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52" w:rsidRPr="009529BF" w:rsidRDefault="009529BF" w:rsidP="009529BF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jdgxs" w:colFirst="0" w:colLast="0"/>
      <w:bookmarkEnd w:id="0"/>
      <w:r w:rsidRPr="009529BF">
        <w:rPr>
          <w:rFonts w:ascii="Times New Roman" w:hAnsi="Times New Roman" w:cs="Times New Roman"/>
          <w:b/>
          <w:sz w:val="24"/>
        </w:rPr>
        <w:t>Manevi Psikolojik Sağlamlık</w:t>
      </w:r>
    </w:p>
    <w:tbl>
      <w:tblPr>
        <w:tblStyle w:val="a"/>
        <w:tblW w:w="91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417"/>
        <w:gridCol w:w="1276"/>
        <w:gridCol w:w="1625"/>
      </w:tblGrid>
      <w:tr w:rsidR="00B52552">
        <w:trPr>
          <w:cantSplit/>
          <w:trHeight w:val="251"/>
        </w:trPr>
        <w:tc>
          <w:tcPr>
            <w:tcW w:w="482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52552" w:rsidRDefault="0095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Maddeler</w:t>
            </w:r>
          </w:p>
        </w:tc>
        <w:tc>
          <w:tcPr>
            <w:tcW w:w="1417" w:type="dxa"/>
            <w:tcBorders>
              <w:top w:val="single" w:sz="18" w:space="0" w:color="000000"/>
              <w:left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Manevi Başa Çıkma</w:t>
            </w:r>
          </w:p>
        </w:tc>
        <w:tc>
          <w:tcPr>
            <w:tcW w:w="1276" w:type="dxa"/>
            <w:tcBorders>
              <w:top w:val="single" w:sz="18" w:space="0" w:color="000000"/>
              <w:left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Manevi İnançlar</w:t>
            </w:r>
          </w:p>
        </w:tc>
        <w:tc>
          <w:tcPr>
            <w:tcW w:w="1625" w:type="dxa"/>
            <w:tcBorders>
              <w:top w:val="single" w:sz="18" w:space="0" w:color="000000"/>
              <w:left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Manevi bağlılık</w:t>
            </w:r>
          </w:p>
        </w:tc>
      </w:tr>
      <w:tr w:rsidR="00B52552">
        <w:trPr>
          <w:cantSplit/>
          <w:trHeight w:val="397"/>
        </w:trPr>
        <w:tc>
          <w:tcPr>
            <w:tcW w:w="4820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m12 (Zorluklarla karşılaştığımda manevi inançlarıma sığınırım.)</w:t>
            </w:r>
          </w:p>
        </w:tc>
        <w:tc>
          <w:tcPr>
            <w:tcW w:w="141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,709</w:t>
            </w:r>
          </w:p>
        </w:tc>
        <w:tc>
          <w:tcPr>
            <w:tcW w:w="127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2552">
        <w:trPr>
          <w:cantSplit/>
          <w:trHeight w:val="41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m11 (Hayatın zorlayıcı anlarında maneviyatım beni güçlendirir.)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2552">
        <w:trPr>
          <w:cantSplit/>
          <w:trHeight w:val="41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m13 (Zorluklar karşısında manevi kaynaklarımdan destek alırım.)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2552">
        <w:trPr>
          <w:cantSplit/>
          <w:trHeight w:val="41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m15 (Manevi değerlerim sayesinde zorlayıcı durumlara daha dirençliyim.)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2552">
        <w:trPr>
          <w:cantSplit/>
          <w:trHeight w:val="41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m16 (Zor zamanlarda maneviyatımla güç bulurum.)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2552">
        <w:trPr>
          <w:cantSplit/>
          <w:trHeight w:val="41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m14 (Maneviyatım beni olumsuz duygulardan arındırır.)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2552">
        <w:trPr>
          <w:cantSplit/>
          <w:trHeight w:val="39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m10 (Manevi inançlarım yaşamıma anlam katıyor.)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,774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2552">
        <w:trPr>
          <w:cantSplit/>
          <w:trHeight w:val="39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m8 (Manevi değerlere bağlı kaldıkça içsel huzurum artıyor.)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,745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2552">
        <w:trPr>
          <w:cantSplit/>
          <w:trHeight w:val="39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m7 (İnançlarım, zor durumlarda beni ayakta tutuyor.)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,687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2552">
        <w:trPr>
          <w:cantSplit/>
          <w:trHeight w:val="39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m9 (Manevi inanışlarım beni her zaman doğruya yönlendiriyor.)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,682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2552">
        <w:trPr>
          <w:cantSplit/>
          <w:trHeight w:val="39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m6 (Manevi inançlarım, yaşamımın önemli bir parçası.)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,646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2552">
        <w:trPr>
          <w:cantSplit/>
          <w:trHeight w:val="41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m1 (İnançlarım doğrultusunda kararlar almaya özen gösteririm.)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,812</w:t>
            </w:r>
          </w:p>
        </w:tc>
      </w:tr>
      <w:tr w:rsidR="00B52552">
        <w:trPr>
          <w:cantSplit/>
          <w:trHeight w:val="41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m2 (Manevi pratiğimi her gün düzenli olarak sürdürürüm.)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,764</w:t>
            </w:r>
          </w:p>
        </w:tc>
      </w:tr>
      <w:tr w:rsidR="00B52552">
        <w:trPr>
          <w:cantSplit/>
          <w:trHeight w:val="39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m3 (İnançlarıma bağlı kalmak bana güç verir.)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,672</w:t>
            </w:r>
          </w:p>
        </w:tc>
      </w:tr>
      <w:tr w:rsidR="00B52552">
        <w:trPr>
          <w:cantSplit/>
          <w:trHeight w:val="39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m5 (Manevi bağlılığımı her koşulda korurum.)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,645</w:t>
            </w:r>
          </w:p>
        </w:tc>
      </w:tr>
      <w:tr w:rsidR="00B52552">
        <w:trPr>
          <w:cantSplit/>
          <w:trHeight w:val="397"/>
        </w:trPr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m4 (Manevi değerlerim, hayatımda rehberlik eden temel ilkelerdir.)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,644</w:t>
            </w:r>
          </w:p>
        </w:tc>
      </w:tr>
    </w:tbl>
    <w:p w:rsidR="00B52552" w:rsidRDefault="00B52552"/>
    <w:p w:rsidR="00B52552" w:rsidRDefault="009529B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Ölçekte ters madde yoktur. Toplam puan alınabileceği gibi her alt boyut için de puanlama yapılabilir.</w:t>
      </w:r>
    </w:p>
    <w:p w:rsidR="00774EF8" w:rsidRDefault="00774E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Ölçek 5’li </w:t>
      </w:r>
      <w:proofErr w:type="spellStart"/>
      <w:r>
        <w:rPr>
          <w:rFonts w:ascii="Times New Roman" w:eastAsia="Times New Roman" w:hAnsi="Times New Roman" w:cs="Times New Roman"/>
        </w:rPr>
        <w:t>likert</w:t>
      </w:r>
      <w:proofErr w:type="spellEnd"/>
      <w:r>
        <w:rPr>
          <w:rFonts w:ascii="Times New Roman" w:eastAsia="Times New Roman" w:hAnsi="Times New Roman" w:cs="Times New Roman"/>
        </w:rPr>
        <w:t xml:space="preserve"> şeklindedir. 1. Kesinlikle Katılmıyorum, 2. Katılmıyorum, 3. Kararsızım, 4, Katılıyorum, 5. Kesinlikle Katılıyorum</w:t>
      </w:r>
    </w:p>
    <w:p w:rsidR="009529BF" w:rsidRDefault="009529B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Kaynakça: </w:t>
      </w:r>
      <w:r w:rsidRPr="009529BF">
        <w:rPr>
          <w:rFonts w:ascii="Times New Roman" w:eastAsia="Times New Roman" w:hAnsi="Times New Roman" w:cs="Times New Roman"/>
        </w:rPr>
        <w:t>Okan, N</w:t>
      </w:r>
      <w:proofErr w:type="gramStart"/>
      <w:r w:rsidRPr="009529BF">
        <w:rPr>
          <w:rFonts w:ascii="Times New Roman" w:eastAsia="Times New Roman" w:hAnsi="Times New Roman" w:cs="Times New Roman"/>
        </w:rPr>
        <w:t>.,</w:t>
      </w:r>
      <w:proofErr w:type="gramEnd"/>
      <w:r w:rsidRPr="009529BF">
        <w:rPr>
          <w:rFonts w:ascii="Times New Roman" w:eastAsia="Times New Roman" w:hAnsi="Times New Roman" w:cs="Times New Roman"/>
        </w:rPr>
        <w:t xml:space="preserve"> Ekşi, F. (2025). </w:t>
      </w:r>
      <w:proofErr w:type="spellStart"/>
      <w:r w:rsidRPr="009529BF">
        <w:rPr>
          <w:rFonts w:ascii="Times New Roman" w:eastAsia="Times New Roman" w:hAnsi="Times New Roman" w:cs="Times New Roman"/>
        </w:rPr>
        <w:t>The</w:t>
      </w:r>
      <w:proofErr w:type="spellEnd"/>
      <w:r w:rsidRPr="009529BF">
        <w:rPr>
          <w:rFonts w:ascii="Times New Roman" w:eastAsia="Times New Roman" w:hAnsi="Times New Roman" w:cs="Times New Roman"/>
        </w:rPr>
        <w:t xml:space="preserve"> Spiritual </w:t>
      </w:r>
      <w:proofErr w:type="spellStart"/>
      <w:r w:rsidRPr="009529BF">
        <w:rPr>
          <w:rFonts w:ascii="Times New Roman" w:eastAsia="Times New Roman" w:hAnsi="Times New Roman" w:cs="Times New Roman"/>
        </w:rPr>
        <w:t>Psychological</w:t>
      </w:r>
      <w:proofErr w:type="spellEnd"/>
      <w:r w:rsidRPr="009529B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529BF">
        <w:rPr>
          <w:rFonts w:ascii="Times New Roman" w:eastAsia="Times New Roman" w:hAnsi="Times New Roman" w:cs="Times New Roman"/>
        </w:rPr>
        <w:t>Robustness</w:t>
      </w:r>
      <w:proofErr w:type="spellEnd"/>
      <w:r w:rsidRPr="009529B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529BF">
        <w:rPr>
          <w:rFonts w:ascii="Times New Roman" w:eastAsia="Times New Roman" w:hAnsi="Times New Roman" w:cs="Times New Roman"/>
        </w:rPr>
        <w:t>Scale</w:t>
      </w:r>
      <w:proofErr w:type="spellEnd"/>
      <w:r w:rsidRPr="009529BF">
        <w:rPr>
          <w:rFonts w:ascii="Times New Roman" w:eastAsia="Times New Roman" w:hAnsi="Times New Roman" w:cs="Times New Roman"/>
        </w:rPr>
        <w:t xml:space="preserve"> (SPRS): A New </w:t>
      </w:r>
      <w:proofErr w:type="spellStart"/>
      <w:r w:rsidRPr="009529BF">
        <w:rPr>
          <w:rFonts w:ascii="Times New Roman" w:eastAsia="Times New Roman" w:hAnsi="Times New Roman" w:cs="Times New Roman"/>
        </w:rPr>
        <w:t>Measure</w:t>
      </w:r>
      <w:proofErr w:type="spellEnd"/>
      <w:r w:rsidRPr="009529B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529BF">
        <w:rPr>
          <w:rFonts w:ascii="Times New Roman" w:eastAsia="Times New Roman" w:hAnsi="Times New Roman" w:cs="Times New Roman"/>
        </w:rPr>
        <w:t>for</w:t>
      </w:r>
      <w:proofErr w:type="spellEnd"/>
      <w:r w:rsidRPr="009529B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529BF">
        <w:rPr>
          <w:rFonts w:ascii="Times New Roman" w:eastAsia="Times New Roman" w:hAnsi="Times New Roman" w:cs="Times New Roman"/>
        </w:rPr>
        <w:t>Assessing</w:t>
      </w:r>
      <w:proofErr w:type="spellEnd"/>
      <w:r w:rsidRPr="009529BF">
        <w:rPr>
          <w:rFonts w:ascii="Times New Roman" w:eastAsia="Times New Roman" w:hAnsi="Times New Roman" w:cs="Times New Roman"/>
        </w:rPr>
        <w:t xml:space="preserve"> Spiritual and </w:t>
      </w:r>
      <w:proofErr w:type="spellStart"/>
      <w:r w:rsidRPr="009529BF">
        <w:rPr>
          <w:rFonts w:ascii="Times New Roman" w:eastAsia="Times New Roman" w:hAnsi="Times New Roman" w:cs="Times New Roman"/>
        </w:rPr>
        <w:t>Psychological</w:t>
      </w:r>
      <w:proofErr w:type="spellEnd"/>
      <w:r w:rsidRPr="009529B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529BF">
        <w:rPr>
          <w:rFonts w:ascii="Times New Roman" w:eastAsia="Times New Roman" w:hAnsi="Times New Roman" w:cs="Times New Roman"/>
        </w:rPr>
        <w:t>Strength</w:t>
      </w:r>
      <w:proofErr w:type="spellEnd"/>
      <w:r w:rsidRPr="009529BF">
        <w:rPr>
          <w:rFonts w:ascii="Times New Roman" w:eastAsia="Times New Roman" w:hAnsi="Times New Roman" w:cs="Times New Roman"/>
        </w:rPr>
        <w:t xml:space="preserve"> in </w:t>
      </w:r>
      <w:proofErr w:type="spellStart"/>
      <w:r w:rsidRPr="009529BF">
        <w:rPr>
          <w:rFonts w:ascii="Times New Roman" w:eastAsia="Times New Roman" w:hAnsi="Times New Roman" w:cs="Times New Roman"/>
        </w:rPr>
        <w:t>the</w:t>
      </w:r>
      <w:proofErr w:type="spellEnd"/>
      <w:r w:rsidRPr="009529B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529BF">
        <w:rPr>
          <w:rFonts w:ascii="Times New Roman" w:eastAsia="Times New Roman" w:hAnsi="Times New Roman" w:cs="Times New Roman"/>
        </w:rPr>
        <w:t>Context</w:t>
      </w:r>
      <w:proofErr w:type="spellEnd"/>
      <w:r w:rsidRPr="009529BF">
        <w:rPr>
          <w:rFonts w:ascii="Times New Roman" w:eastAsia="Times New Roman" w:hAnsi="Times New Roman" w:cs="Times New Roman"/>
        </w:rPr>
        <w:t xml:space="preserve"> of </w:t>
      </w:r>
      <w:proofErr w:type="spellStart"/>
      <w:r w:rsidRPr="009529BF">
        <w:rPr>
          <w:rFonts w:ascii="Times New Roman" w:eastAsia="Times New Roman" w:hAnsi="Times New Roman" w:cs="Times New Roman"/>
        </w:rPr>
        <w:t>Turkish</w:t>
      </w:r>
      <w:proofErr w:type="spellEnd"/>
      <w:r w:rsidRPr="009529B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529BF">
        <w:rPr>
          <w:rFonts w:ascii="Times New Roman" w:eastAsia="Times New Roman" w:hAnsi="Times New Roman" w:cs="Times New Roman"/>
        </w:rPr>
        <w:t>Culture</w:t>
      </w:r>
      <w:proofErr w:type="spellEnd"/>
      <w:r w:rsidRPr="009529BF">
        <w:rPr>
          <w:rFonts w:ascii="Times New Roman" w:eastAsia="Times New Roman" w:hAnsi="Times New Roman" w:cs="Times New Roman"/>
        </w:rPr>
        <w:t xml:space="preserve">. </w:t>
      </w:r>
      <w:r w:rsidRPr="009529BF">
        <w:rPr>
          <w:rFonts w:ascii="Times New Roman" w:eastAsia="Times New Roman" w:hAnsi="Times New Roman" w:cs="Times New Roman"/>
          <w:i/>
          <w:iCs/>
        </w:rPr>
        <w:t xml:space="preserve">J </w:t>
      </w:r>
      <w:proofErr w:type="spellStart"/>
      <w:r w:rsidRPr="009529BF">
        <w:rPr>
          <w:rFonts w:ascii="Times New Roman" w:eastAsia="Times New Roman" w:hAnsi="Times New Roman" w:cs="Times New Roman"/>
          <w:i/>
          <w:iCs/>
        </w:rPr>
        <w:t>Relig</w:t>
      </w:r>
      <w:proofErr w:type="spellEnd"/>
      <w:r w:rsidRPr="009529BF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529BF">
        <w:rPr>
          <w:rFonts w:ascii="Times New Roman" w:eastAsia="Times New Roman" w:hAnsi="Times New Roman" w:cs="Times New Roman"/>
          <w:i/>
          <w:iCs/>
        </w:rPr>
        <w:t>Health</w:t>
      </w:r>
      <w:proofErr w:type="spellEnd"/>
      <w:r w:rsidRPr="009529BF">
        <w:rPr>
          <w:rFonts w:ascii="Times New Roman" w:eastAsia="Times New Roman" w:hAnsi="Times New Roman" w:cs="Times New Roman"/>
        </w:rPr>
        <w:t> </w:t>
      </w:r>
      <w:r w:rsidRPr="00D85144">
        <w:rPr>
          <w:rFonts w:ascii="Times New Roman" w:eastAsia="Times New Roman" w:hAnsi="Times New Roman" w:cs="Times New Roman"/>
          <w:bCs/>
        </w:rPr>
        <w:t>64</w:t>
      </w:r>
      <w:r w:rsidRPr="009529BF">
        <w:rPr>
          <w:rFonts w:ascii="Times New Roman" w:eastAsia="Times New Roman" w:hAnsi="Times New Roman" w:cs="Times New Roman"/>
        </w:rPr>
        <w:t>, 1</w:t>
      </w:r>
      <w:bookmarkStart w:id="1" w:name="_GoBack"/>
      <w:bookmarkEnd w:id="1"/>
      <w:r w:rsidRPr="009529BF">
        <w:rPr>
          <w:rFonts w:ascii="Times New Roman" w:eastAsia="Times New Roman" w:hAnsi="Times New Roman" w:cs="Times New Roman"/>
        </w:rPr>
        <w:t xml:space="preserve">473–1497. </w:t>
      </w:r>
      <w:hyperlink r:id="rId4" w:history="1">
        <w:r w:rsidRPr="008D078D">
          <w:rPr>
            <w:rStyle w:val="Kpr"/>
            <w:rFonts w:ascii="Times New Roman" w:eastAsia="Times New Roman" w:hAnsi="Times New Roman" w:cs="Times New Roman"/>
          </w:rPr>
          <w:t>https://doi.org/10.1007/s10943-024-02175-5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sectPr w:rsidR="009529B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52"/>
    <w:rsid w:val="00774EF8"/>
    <w:rsid w:val="009529BF"/>
    <w:rsid w:val="00B52552"/>
    <w:rsid w:val="00D8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4DB6"/>
  <w15:docId w15:val="{B6FC6D88-169A-4533-BC79-133CEB59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Kpr">
    <w:name w:val="Hyperlink"/>
    <w:basedOn w:val="VarsaylanParagrafYazTipi"/>
    <w:uiPriority w:val="99"/>
    <w:unhideWhenUsed/>
    <w:rsid w:val="009529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07/s10943-024-02175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Nesr OKN</dc:creator>
  <cp:lastModifiedBy>Nesr OKN</cp:lastModifiedBy>
  <cp:revision>4</cp:revision>
  <dcterms:created xsi:type="dcterms:W3CDTF">2025-05-15T20:04:00Z</dcterms:created>
  <dcterms:modified xsi:type="dcterms:W3CDTF">2025-11-19T12:38:00Z</dcterms:modified>
</cp:coreProperties>
</file>