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9B664" w14:textId="77777777" w:rsidR="00BF0890" w:rsidRPr="0090779D" w:rsidRDefault="00BF0890" w:rsidP="00B44B03">
      <w:pPr>
        <w:spacing w:line="360" w:lineRule="auto"/>
        <w:rPr>
          <w:rFonts w:ascii="Cambria" w:hAnsi="Cambria"/>
          <w:b/>
          <w:szCs w:val="22"/>
        </w:rPr>
      </w:pPr>
      <w:r w:rsidRPr="0090779D">
        <w:rPr>
          <w:rFonts w:ascii="Cambria" w:hAnsi="Cambria"/>
          <w:b/>
          <w:szCs w:val="22"/>
        </w:rPr>
        <w:t>Dijital Okuryazarlık Öz</w:t>
      </w:r>
      <w:r w:rsidR="00B44B03">
        <w:rPr>
          <w:rFonts w:ascii="Cambria" w:hAnsi="Cambria"/>
          <w:b/>
          <w:szCs w:val="22"/>
        </w:rPr>
        <w:t xml:space="preserve"> Y</w:t>
      </w:r>
      <w:r w:rsidRPr="0090779D">
        <w:rPr>
          <w:rFonts w:ascii="Cambria" w:hAnsi="Cambria"/>
          <w:b/>
          <w:szCs w:val="22"/>
        </w:rPr>
        <w:t>eterlik Ölçeği</w:t>
      </w:r>
      <w:r w:rsidR="00B44B03">
        <w:rPr>
          <w:rFonts w:ascii="Cambria" w:hAnsi="Cambria"/>
          <w:b/>
          <w:szCs w:val="22"/>
        </w:rPr>
        <w:t>-Halil Erdem ÇOCUK (2020)</w:t>
      </w:r>
    </w:p>
    <w:p w14:paraId="21B6C929" w14:textId="77777777" w:rsidR="00BF0890" w:rsidRPr="0090779D" w:rsidRDefault="00BF0890" w:rsidP="00BF0890">
      <w:pPr>
        <w:spacing w:line="360" w:lineRule="auto"/>
        <w:ind w:left="567" w:hanging="567"/>
        <w:rPr>
          <w:rFonts w:ascii="Cambria" w:hAnsi="Cambria"/>
          <w:szCs w:val="22"/>
        </w:rPr>
      </w:pPr>
      <w:r>
        <w:rPr>
          <w:rFonts w:ascii="Cambria" w:hAnsi="Cambria"/>
          <w:szCs w:val="22"/>
        </w:rPr>
        <w:t>Değerli</w:t>
      </w:r>
      <w:r w:rsidR="00B44B03">
        <w:rPr>
          <w:rFonts w:ascii="Cambria" w:hAnsi="Cambria"/>
          <w:szCs w:val="22"/>
        </w:rPr>
        <w:t xml:space="preserve"> katılımcı</w:t>
      </w:r>
      <w:r w:rsidRPr="0090779D">
        <w:rPr>
          <w:rFonts w:ascii="Cambria" w:hAnsi="Cambria"/>
          <w:szCs w:val="22"/>
        </w:rPr>
        <w:t>,</w:t>
      </w:r>
    </w:p>
    <w:p w14:paraId="7C4FF186" w14:textId="77777777" w:rsidR="00BF0890" w:rsidRPr="0090779D" w:rsidRDefault="00BF0890" w:rsidP="00BF0890">
      <w:pPr>
        <w:spacing w:line="360" w:lineRule="auto"/>
        <w:jc w:val="both"/>
        <w:rPr>
          <w:rFonts w:ascii="Cambria" w:hAnsi="Cambria"/>
          <w:b/>
          <w:szCs w:val="22"/>
        </w:rPr>
      </w:pPr>
      <w:r w:rsidRPr="0090779D">
        <w:rPr>
          <w:rFonts w:ascii="Cambria" w:hAnsi="Cambria"/>
          <w:szCs w:val="22"/>
        </w:rPr>
        <w:t>Bu ölçekte dijital ortam odaklı okuryazarlık süreçlerinde karşılaşabileceğiniz bazı durumlara yer verilmiştir. Sizden istenen her bir ifadeyi okuduktan sonra bu durumun üstesinden gelmeye ilişkin algınızı 0-5 arasında belirlenen sayılardan uygun olduğunu düşündüğünüz sayıyı vererek işaretlemenizdir.</w:t>
      </w:r>
      <w:r w:rsidRPr="0090779D">
        <w:rPr>
          <w:rFonts w:ascii="Cambria" w:hAnsi="Cambria"/>
          <w:b/>
          <w:szCs w:val="22"/>
        </w:rPr>
        <w:t xml:space="preserve"> </w:t>
      </w:r>
    </w:p>
    <w:tbl>
      <w:tblPr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132"/>
        <w:gridCol w:w="562"/>
        <w:gridCol w:w="623"/>
        <w:gridCol w:w="1649"/>
        <w:gridCol w:w="705"/>
        <w:gridCol w:w="3402"/>
      </w:tblGrid>
      <w:tr w:rsidR="00370BD1" w:rsidRPr="0090779D" w14:paraId="32DCEAC9" w14:textId="77777777" w:rsidTr="00A648C4">
        <w:trPr>
          <w:jc w:val="center"/>
        </w:trPr>
        <w:tc>
          <w:tcPr>
            <w:tcW w:w="2132" w:type="dxa"/>
          </w:tcPr>
          <w:p w14:paraId="21F19466" w14:textId="77777777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 w:rsidRPr="0090779D">
              <w:rPr>
                <w:rFonts w:ascii="Cambria" w:eastAsia="TimesNewRoman" w:hAnsi="Cambria"/>
                <w:bCs/>
                <w:szCs w:val="22"/>
              </w:rPr>
              <w:t>0</w:t>
            </w:r>
          </w:p>
        </w:tc>
        <w:tc>
          <w:tcPr>
            <w:tcW w:w="562" w:type="dxa"/>
          </w:tcPr>
          <w:p w14:paraId="4BD6C420" w14:textId="40ABC938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1</w:t>
            </w:r>
          </w:p>
        </w:tc>
        <w:tc>
          <w:tcPr>
            <w:tcW w:w="623" w:type="dxa"/>
          </w:tcPr>
          <w:p w14:paraId="092EECE0" w14:textId="77777777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 w:rsidRPr="0090779D">
              <w:rPr>
                <w:rFonts w:ascii="Cambria" w:eastAsia="TimesNewRoman" w:hAnsi="Cambria"/>
                <w:bCs/>
                <w:szCs w:val="22"/>
              </w:rPr>
              <w:t>2</w:t>
            </w:r>
          </w:p>
        </w:tc>
        <w:tc>
          <w:tcPr>
            <w:tcW w:w="1649" w:type="dxa"/>
          </w:tcPr>
          <w:p w14:paraId="6841FA68" w14:textId="1953401D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3</w:t>
            </w:r>
          </w:p>
        </w:tc>
        <w:tc>
          <w:tcPr>
            <w:tcW w:w="705" w:type="dxa"/>
          </w:tcPr>
          <w:p w14:paraId="463047FD" w14:textId="29CF590D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4</w:t>
            </w:r>
          </w:p>
        </w:tc>
        <w:tc>
          <w:tcPr>
            <w:tcW w:w="3402" w:type="dxa"/>
          </w:tcPr>
          <w:p w14:paraId="402C9E6C" w14:textId="12980A43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5</w:t>
            </w:r>
          </w:p>
        </w:tc>
      </w:tr>
      <w:tr w:rsidR="00370BD1" w:rsidRPr="0090779D" w14:paraId="65EAD48C" w14:textId="77777777" w:rsidTr="00A648C4">
        <w:trPr>
          <w:jc w:val="center"/>
        </w:trPr>
        <w:tc>
          <w:tcPr>
            <w:tcW w:w="2132" w:type="dxa"/>
          </w:tcPr>
          <w:p w14:paraId="2B3A1ABC" w14:textId="031F2549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 w:rsidRPr="0090779D">
              <w:rPr>
                <w:rFonts w:ascii="Cambria" w:hAnsi="Cambria"/>
                <w:sz w:val="20"/>
              </w:rPr>
              <w:t>Y</w:t>
            </w:r>
            <w:r w:rsidRPr="0090779D">
              <w:rPr>
                <w:rFonts w:ascii="Cambria" w:hAnsi="Cambria"/>
                <w:sz w:val="20"/>
              </w:rPr>
              <w:t>apamam</w:t>
            </w:r>
            <w:r>
              <w:rPr>
                <w:rFonts w:ascii="Cambria" w:hAnsi="Cambria"/>
                <w:sz w:val="20"/>
              </w:rPr>
              <w:t xml:space="preserve">. </w:t>
            </w:r>
          </w:p>
        </w:tc>
        <w:tc>
          <w:tcPr>
            <w:tcW w:w="562" w:type="dxa"/>
          </w:tcPr>
          <w:p w14:paraId="6F207450" w14:textId="77777777" w:rsidR="00370BD1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</w:p>
        </w:tc>
        <w:tc>
          <w:tcPr>
            <w:tcW w:w="623" w:type="dxa"/>
          </w:tcPr>
          <w:p w14:paraId="4B1B0EFB" w14:textId="77777777" w:rsidR="00370BD1" w:rsidRPr="0090779D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</w:p>
        </w:tc>
        <w:tc>
          <w:tcPr>
            <w:tcW w:w="1649" w:type="dxa"/>
          </w:tcPr>
          <w:p w14:paraId="681A9F01" w14:textId="4F15670C" w:rsidR="00370BD1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Kısmen yapabilirim.</w:t>
            </w:r>
          </w:p>
        </w:tc>
        <w:tc>
          <w:tcPr>
            <w:tcW w:w="705" w:type="dxa"/>
          </w:tcPr>
          <w:p w14:paraId="6052D1D0" w14:textId="77777777" w:rsidR="00370BD1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</w:p>
        </w:tc>
        <w:tc>
          <w:tcPr>
            <w:tcW w:w="3402" w:type="dxa"/>
          </w:tcPr>
          <w:p w14:paraId="385BDD62" w14:textId="1622C612" w:rsidR="00370BD1" w:rsidRDefault="00370BD1" w:rsidP="00EB45B1">
            <w:pPr>
              <w:autoSpaceDE w:val="0"/>
              <w:autoSpaceDN w:val="0"/>
              <w:adjustRightInd w:val="0"/>
              <w:spacing w:line="360" w:lineRule="auto"/>
              <w:jc w:val="center"/>
              <w:rPr>
                <w:rFonts w:ascii="Cambria" w:eastAsia="TimesNewRoman" w:hAnsi="Cambria"/>
                <w:bCs/>
                <w:szCs w:val="22"/>
              </w:rPr>
            </w:pPr>
            <w:r>
              <w:rPr>
                <w:rFonts w:ascii="Cambria" w:eastAsia="TimesNewRoman" w:hAnsi="Cambria"/>
                <w:bCs/>
                <w:szCs w:val="22"/>
              </w:rPr>
              <w:t>Yapabileceğiminden kesinlikle eminim.</w:t>
            </w:r>
          </w:p>
        </w:tc>
      </w:tr>
    </w:tbl>
    <w:p w14:paraId="6027E820" w14:textId="340FABDC" w:rsidR="00BF0890" w:rsidRPr="0090779D" w:rsidRDefault="00BF0890" w:rsidP="00BF0890">
      <w:pPr>
        <w:tabs>
          <w:tab w:val="left" w:pos="284"/>
        </w:tabs>
        <w:spacing w:after="120"/>
        <w:jc w:val="both"/>
        <w:rPr>
          <w:rFonts w:ascii="Cambria" w:hAnsi="Cambria"/>
          <w:sz w:val="20"/>
        </w:rPr>
      </w:pPr>
      <w:r w:rsidRPr="0090779D">
        <w:rPr>
          <w:rFonts w:ascii="Cambria" w:hAnsi="Cambria"/>
          <w:b/>
          <w:szCs w:val="22"/>
        </w:rPr>
        <w:tab/>
      </w:r>
      <w:r w:rsidRPr="0090779D">
        <w:rPr>
          <w:rFonts w:ascii="Cambria" w:hAnsi="Cambria"/>
          <w:b/>
          <w:sz w:val="20"/>
        </w:rPr>
        <w:t xml:space="preserve">                 </w:t>
      </w:r>
      <w:r w:rsidRPr="0090779D">
        <w:rPr>
          <w:rFonts w:ascii="Cambria" w:hAnsi="Cambria"/>
          <w:sz w:val="20"/>
        </w:rPr>
        <w:t xml:space="preserve">                                                </w:t>
      </w:r>
    </w:p>
    <w:tbl>
      <w:tblPr>
        <w:tblW w:w="0" w:type="auto"/>
        <w:tblBorders>
          <w:top w:val="single" w:sz="4" w:space="0" w:color="auto"/>
          <w:bottom w:val="single" w:sz="4" w:space="0" w:color="auto"/>
          <w:insideH w:val="single" w:sz="4" w:space="0" w:color="auto"/>
        </w:tblBorders>
        <w:tblLook w:val="04A0" w:firstRow="1" w:lastRow="0" w:firstColumn="1" w:lastColumn="0" w:noHBand="0" w:noVBand="1"/>
      </w:tblPr>
      <w:tblGrid>
        <w:gridCol w:w="7591"/>
        <w:gridCol w:w="1236"/>
      </w:tblGrid>
      <w:tr w:rsidR="00BF0890" w:rsidRPr="0090779D" w14:paraId="27572DEE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7600FBEC" w14:textId="77777777" w:rsidR="00BF0890" w:rsidRPr="0090779D" w:rsidRDefault="00BF0890" w:rsidP="00EB45B1">
            <w:pPr>
              <w:tabs>
                <w:tab w:val="left" w:pos="0"/>
              </w:tabs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90779D">
              <w:rPr>
                <w:rFonts w:ascii="Cambria" w:hAnsi="Cambria"/>
                <w:b/>
                <w:bCs/>
                <w:szCs w:val="22"/>
              </w:rPr>
              <w:t>İfadeler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1ECD86F2" w14:textId="77777777" w:rsidR="00BF0890" w:rsidRPr="0090779D" w:rsidRDefault="00BF0890" w:rsidP="00EB45B1">
            <w:pPr>
              <w:ind w:left="567" w:hanging="567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90779D">
              <w:rPr>
                <w:rFonts w:ascii="Cambria" w:hAnsi="Cambria"/>
                <w:b/>
                <w:bCs/>
                <w:szCs w:val="22"/>
              </w:rPr>
              <w:t>Düzey</w:t>
            </w:r>
          </w:p>
          <w:p w14:paraId="4DBEAF48" w14:textId="77777777" w:rsidR="00BF0890" w:rsidRPr="0090779D" w:rsidRDefault="00BF0890" w:rsidP="00EB45B1">
            <w:pPr>
              <w:ind w:left="567" w:hanging="567"/>
              <w:jc w:val="center"/>
              <w:rPr>
                <w:rFonts w:ascii="Cambria" w:hAnsi="Cambria"/>
                <w:b/>
                <w:bCs/>
                <w:szCs w:val="22"/>
              </w:rPr>
            </w:pPr>
            <w:r w:rsidRPr="0090779D">
              <w:rPr>
                <w:rFonts w:ascii="Cambria" w:hAnsi="Cambria"/>
                <w:b/>
                <w:bCs/>
                <w:szCs w:val="22"/>
              </w:rPr>
              <w:t>(0-5)</w:t>
            </w:r>
          </w:p>
        </w:tc>
      </w:tr>
      <w:tr w:rsidR="00BF0890" w:rsidRPr="0090779D" w14:paraId="76F39E0B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5689D5F5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bCs/>
                <w:szCs w:val="22"/>
              </w:rPr>
              <w:t>1. Görsel iletileri yazılı metinlere göre daha kolay anlayabilme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00E1F153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7B6D709D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7B03023B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2. Problem çözme sürecinde görsellerden yararlanabilme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3D798EF0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1CC0906F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308638AA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3. Görsellerdeki boyut (uzaklık, yükseklik, derinlik vb) ayarlarına karar verebilme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8388E87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4F7C8A70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2271BF6D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4. Sunumlarda görsel içeriklere yer verebilme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00C98EEB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2F002E28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77D7C5F3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5. Görsellerdeki renk (dolgunluk, zıtlık vb) ayarlarına karar verebilme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BD1E9B9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7B825911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34F7871A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6. Görsel imgeleri sözel iletilere dönüştürebilme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1706D0BB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27EE0CE7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529FD7C9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7. Görsel imgeleri yazılı metne dönüştürebilme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5926288A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69503B26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7271BA6E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8. Bilgiyi ihtiyaç doğrultusunda dijital ortamda yeniden düzenleyebilme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1009F6DD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0117213C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45FA09DB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9. Bilgiyi dijital ortamda etkili biçimde kullanabilme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458E35D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6417454E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6F62A1FB" w14:textId="77777777" w:rsidR="00BF0890" w:rsidRPr="0090779D" w:rsidRDefault="00BF0890" w:rsidP="00EB45B1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10. Bilgiye erişim sağlayan elektronik veri tabanlarını kullanabilme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35ED1A50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47AC1674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6BCA9DCC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11. Farklı türlerdeki bilgi kaynaklarını (internet, kitap, dergi vb.) kullanabilme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57147A7E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40C01F98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2FE64273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12.Gereksinim duyulan bilgiyi belirli özelliklere (tür, tarih, dil vb.) göre sınırlandırabilme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F8FF53E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60D17ECD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2588DC6B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13. Teknoloji ile ilgili etik kurallara uyulup uyulmadığına karar verebilme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0E7CB251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1D057270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5FFA7336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14. Teknoloji kaynaklarını güvenli biçimde kullanabilme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2622B84F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6EC24AA0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7503EDF4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15. Problem çözme sürecinde teknolojik kaynaklardan yararlanabilme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32CC9D7B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19B4704F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2EB5DF40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 xml:space="preserve">16. Teknoloji ile </w:t>
            </w:r>
            <w:proofErr w:type="spellStart"/>
            <w:r w:rsidRPr="0090779D">
              <w:rPr>
                <w:rFonts w:ascii="Cambria" w:hAnsi="Cambria"/>
                <w:color w:val="000000"/>
                <w:szCs w:val="22"/>
              </w:rPr>
              <w:t>sosyo</w:t>
            </w:r>
            <w:proofErr w:type="spellEnd"/>
            <w:r w:rsidRPr="0090779D">
              <w:rPr>
                <w:rFonts w:ascii="Cambria" w:hAnsi="Cambria"/>
                <w:color w:val="000000"/>
                <w:szCs w:val="22"/>
              </w:rPr>
              <w:t>-kültürel bağlam arasındaki ilişkiyi açıklayabilme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12426F4C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53747EDC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3A4534EE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17. Eğitimde kullanılabilecek yeni teknolojilerle ilgili araştırmalar yapabilme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0C0C6B13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51CB9137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37339849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b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18. Yeni teknolojileri sınıf içi uygulamalarda kullanabilme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5166049B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7FE87CE0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098EBBD5" w14:textId="77777777" w:rsidR="00BF0890" w:rsidRPr="0090779D" w:rsidRDefault="00BF0890" w:rsidP="00EB45B1">
            <w:pPr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19. Öğrenme etkinliklerine ilişkin teknolojik kaynakların kontrolünü yapabilme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43C88D7B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  <w:tr w:rsidR="00BF0890" w:rsidRPr="0090779D" w14:paraId="37DF06A6" w14:textId="77777777" w:rsidTr="00EB45B1">
        <w:trPr>
          <w:trHeight w:val="144"/>
        </w:trPr>
        <w:tc>
          <w:tcPr>
            <w:tcW w:w="7591" w:type="dxa"/>
            <w:tcBorders>
              <w:right w:val="single" w:sz="4" w:space="0" w:color="auto"/>
            </w:tcBorders>
          </w:tcPr>
          <w:p w14:paraId="150B8B5F" w14:textId="77777777" w:rsidR="00BF0890" w:rsidRPr="0090779D" w:rsidRDefault="00BF0890" w:rsidP="00EB45B1">
            <w:pPr>
              <w:tabs>
                <w:tab w:val="left" w:pos="1760"/>
              </w:tabs>
              <w:autoSpaceDE w:val="0"/>
              <w:autoSpaceDN w:val="0"/>
              <w:adjustRightInd w:val="0"/>
              <w:spacing w:line="360" w:lineRule="auto"/>
              <w:jc w:val="both"/>
              <w:rPr>
                <w:rFonts w:ascii="Cambria" w:hAnsi="Cambria"/>
                <w:color w:val="000000"/>
                <w:szCs w:val="22"/>
              </w:rPr>
            </w:pPr>
            <w:r w:rsidRPr="0090779D">
              <w:rPr>
                <w:rFonts w:ascii="Cambria" w:hAnsi="Cambria"/>
                <w:color w:val="000000"/>
                <w:szCs w:val="22"/>
              </w:rPr>
              <w:t>20. Teknoloji ile zenginleştirilmiş öğrenme modelleri oluşturabilme</w:t>
            </w:r>
          </w:p>
        </w:tc>
        <w:tc>
          <w:tcPr>
            <w:tcW w:w="1236" w:type="dxa"/>
            <w:tcBorders>
              <w:left w:val="single" w:sz="4" w:space="0" w:color="auto"/>
            </w:tcBorders>
          </w:tcPr>
          <w:p w14:paraId="76EE87DC" w14:textId="77777777" w:rsidR="00BF0890" w:rsidRPr="0090779D" w:rsidRDefault="00BF0890" w:rsidP="00EB45B1">
            <w:pPr>
              <w:ind w:left="567" w:hanging="567"/>
              <w:rPr>
                <w:rFonts w:ascii="Cambria" w:hAnsi="Cambria"/>
                <w:bCs/>
                <w:szCs w:val="22"/>
              </w:rPr>
            </w:pPr>
          </w:p>
        </w:tc>
      </w:tr>
    </w:tbl>
    <w:p w14:paraId="020ECE5F" w14:textId="77777777" w:rsidR="00000000" w:rsidRDefault="00000000"/>
    <w:p w14:paraId="0D0FD19B" w14:textId="77777777" w:rsidR="00F33222" w:rsidRDefault="00F33222" w:rsidP="00F33222"/>
    <w:p w14:paraId="32E8D88A" w14:textId="77777777" w:rsidR="00F33222" w:rsidRDefault="00F33222" w:rsidP="00F33222"/>
    <w:p w14:paraId="29C7FD91" w14:textId="77777777" w:rsidR="00F33222" w:rsidRDefault="00F33222" w:rsidP="00F33222"/>
    <w:p w14:paraId="78576D4A" w14:textId="77777777" w:rsidR="00F33222" w:rsidRPr="00F33222" w:rsidRDefault="00F33222" w:rsidP="00F33222">
      <w:pPr>
        <w:spacing w:line="480" w:lineRule="auto"/>
        <w:rPr>
          <w:rFonts w:asciiTheme="majorHAnsi" w:hAnsiTheme="majorHAnsi"/>
          <w:b/>
          <w:sz w:val="24"/>
          <w:szCs w:val="24"/>
        </w:rPr>
      </w:pPr>
      <w:r w:rsidRPr="00F33222">
        <w:rPr>
          <w:rFonts w:asciiTheme="majorHAnsi" w:hAnsiTheme="majorHAnsi"/>
          <w:b/>
          <w:sz w:val="24"/>
          <w:szCs w:val="24"/>
        </w:rPr>
        <w:t>Kaynak/Referans:</w:t>
      </w:r>
    </w:p>
    <w:p w14:paraId="4D08AEA0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sz w:val="24"/>
          <w:szCs w:val="24"/>
        </w:rPr>
        <w:t>Çocuk, H. E. (2020). Dijital Öykü Uygulamalarının Türkçe Öğretmen Adaylarının Akademik Başarılarına, Dijital Okuryazarlık ve Türkçe Öğretimi Özyeterlik Algılarına Etki</w:t>
      </w:r>
      <w:r>
        <w:rPr>
          <w:rFonts w:asciiTheme="majorHAnsi" w:hAnsiTheme="majorHAnsi"/>
          <w:sz w:val="24"/>
          <w:szCs w:val="24"/>
        </w:rPr>
        <w:t>si. (Yayım</w:t>
      </w:r>
      <w:r w:rsidRPr="00F33222">
        <w:rPr>
          <w:rFonts w:asciiTheme="majorHAnsi" w:hAnsiTheme="majorHAnsi"/>
          <w:sz w:val="24"/>
          <w:szCs w:val="24"/>
        </w:rPr>
        <w:t>lanmamış Doktora Tezi). Mersin Üniversitesi, Mersin.</w:t>
      </w:r>
    </w:p>
    <w:p w14:paraId="61200039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b/>
          <w:sz w:val="24"/>
          <w:szCs w:val="24"/>
        </w:rPr>
      </w:pPr>
      <w:r w:rsidRPr="00F33222">
        <w:rPr>
          <w:rFonts w:asciiTheme="majorHAnsi" w:hAnsiTheme="majorHAnsi"/>
          <w:b/>
          <w:sz w:val="24"/>
          <w:szCs w:val="24"/>
        </w:rPr>
        <w:t>Puanlama Yönergesi</w:t>
      </w:r>
    </w:p>
    <w:p w14:paraId="23B56B37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b/>
          <w:sz w:val="24"/>
          <w:szCs w:val="24"/>
        </w:rPr>
        <w:t>Alt boyut ve madde sayısı:</w:t>
      </w:r>
      <w:r w:rsidRPr="00F33222">
        <w:rPr>
          <w:rFonts w:asciiTheme="majorHAnsi" w:hAnsiTheme="majorHAnsi"/>
          <w:sz w:val="24"/>
          <w:szCs w:val="24"/>
        </w:rPr>
        <w:t xml:space="preserve"> 4 alt boyut ve 20 madde</w:t>
      </w:r>
    </w:p>
    <w:p w14:paraId="01DEF506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sz w:val="24"/>
          <w:szCs w:val="24"/>
        </w:rPr>
        <w:t>Dijital Ortam Odaklı Görsel Okuryazarlığı: 1-7. maddeler</w:t>
      </w:r>
    </w:p>
    <w:p w14:paraId="616AAB10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sz w:val="24"/>
          <w:szCs w:val="24"/>
        </w:rPr>
        <w:t>Dijital Ortam Odaklı Bilgi Okuryazarlığı: 8-12. maddeler</w:t>
      </w:r>
    </w:p>
    <w:p w14:paraId="54317462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sz w:val="24"/>
          <w:szCs w:val="24"/>
        </w:rPr>
        <w:t>Dijital Ortam Odaklı Teknoloji Okuryazarlığı: 13-16. maddeler</w:t>
      </w:r>
    </w:p>
    <w:p w14:paraId="084AAFD8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sz w:val="24"/>
          <w:szCs w:val="24"/>
        </w:rPr>
        <w:t>Dijital Ortam Odaklı Eğitim Süreçleri: 17-20. Maddeler</w:t>
      </w:r>
    </w:p>
    <w:p w14:paraId="34489596" w14:textId="1DD5EE4D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  <w:r w:rsidRPr="00F33222">
        <w:rPr>
          <w:rFonts w:asciiTheme="majorHAnsi" w:hAnsiTheme="majorHAnsi"/>
          <w:b/>
          <w:sz w:val="24"/>
          <w:szCs w:val="24"/>
        </w:rPr>
        <w:t>Ölçeğin Değerlendirilmesi:</w:t>
      </w:r>
      <w:r w:rsidRPr="00F33222">
        <w:rPr>
          <w:rFonts w:asciiTheme="majorHAnsi" w:hAnsiTheme="majorHAnsi"/>
          <w:sz w:val="24"/>
          <w:szCs w:val="24"/>
        </w:rPr>
        <w:t xml:space="preserve"> Ölçeğin h</w:t>
      </w:r>
      <w:r w:rsidRPr="00F33222">
        <w:rPr>
          <w:rFonts w:asciiTheme="majorHAnsi" w:hAnsiTheme="majorHAnsi"/>
          <w:bCs/>
          <w:sz w:val="24"/>
          <w:szCs w:val="24"/>
        </w:rPr>
        <w:t xml:space="preserve">er bir alt boyutundan alınan yüksek puan bireyin ilgili alt boyutun değerlendirdiği özelliğe sahip olduğunu göstermektedir. </w:t>
      </w:r>
      <w:r w:rsidRPr="00F33222">
        <w:rPr>
          <w:rFonts w:asciiTheme="majorHAnsi" w:hAnsiTheme="majorHAnsi"/>
          <w:sz w:val="24"/>
          <w:szCs w:val="24"/>
        </w:rPr>
        <w:t xml:space="preserve">Ölçek ayrıca toplam öz yeterlik puanı vermektedir. Ölçek puanlanırken alt boyutların ve toplam puanın ortalaması alınmaktadır. Ölçekten alınabilecek puan </w:t>
      </w:r>
      <w:r w:rsidR="00AA1F9D">
        <w:rPr>
          <w:rFonts w:asciiTheme="majorHAnsi" w:hAnsiTheme="majorHAnsi"/>
          <w:sz w:val="24"/>
          <w:szCs w:val="24"/>
        </w:rPr>
        <w:t>0</w:t>
      </w:r>
      <w:r w:rsidRPr="00F33222">
        <w:rPr>
          <w:rFonts w:asciiTheme="majorHAnsi" w:hAnsiTheme="majorHAnsi"/>
          <w:sz w:val="24"/>
          <w:szCs w:val="24"/>
        </w:rPr>
        <w:t xml:space="preserve"> ile 100 arasında değişmektedir. Ölçekte ters madde bulunmamaktadır. Yüksek puan öz yeterlik algısının yüksek olduğunu ifade eder.</w:t>
      </w:r>
    </w:p>
    <w:p w14:paraId="5F9F6419" w14:textId="77777777" w:rsidR="00F33222" w:rsidRPr="00F33222" w:rsidRDefault="00F33222" w:rsidP="00F33222">
      <w:pPr>
        <w:spacing w:line="480" w:lineRule="auto"/>
        <w:ind w:left="-426"/>
        <w:jc w:val="both"/>
        <w:rPr>
          <w:rFonts w:asciiTheme="majorHAnsi" w:hAnsiTheme="majorHAnsi"/>
          <w:sz w:val="24"/>
          <w:szCs w:val="24"/>
        </w:rPr>
      </w:pPr>
    </w:p>
    <w:p w14:paraId="00CFED4D" w14:textId="77777777" w:rsidR="00F33222" w:rsidRPr="00F33222" w:rsidRDefault="00F33222" w:rsidP="00F33222">
      <w:pPr>
        <w:spacing w:line="480" w:lineRule="auto"/>
        <w:jc w:val="both"/>
        <w:rPr>
          <w:rFonts w:asciiTheme="majorHAnsi" w:hAnsiTheme="majorHAnsi"/>
          <w:sz w:val="24"/>
          <w:szCs w:val="24"/>
        </w:rPr>
      </w:pPr>
    </w:p>
    <w:sectPr w:rsidR="00F33222" w:rsidRPr="00F33222" w:rsidSect="008D436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imesNew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0890"/>
    <w:rsid w:val="0028488C"/>
    <w:rsid w:val="00342F6E"/>
    <w:rsid w:val="00370BD1"/>
    <w:rsid w:val="008D4362"/>
    <w:rsid w:val="0096032E"/>
    <w:rsid w:val="00A648C4"/>
    <w:rsid w:val="00AA1F9D"/>
    <w:rsid w:val="00B44B03"/>
    <w:rsid w:val="00BF0890"/>
    <w:rsid w:val="00E25BEE"/>
    <w:rsid w:val="00F332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C3B06E"/>
  <w15:docId w15:val="{07360D34-4967-4441-A31A-39DCF821C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F0890"/>
    <w:pPr>
      <w:spacing w:after="0" w:line="240" w:lineRule="auto"/>
    </w:pPr>
    <w:rPr>
      <w:rFonts w:ascii="Arial" w:eastAsia="Times New Roman" w:hAnsi="Arial" w:cs="Times New Roman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203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33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440</Words>
  <Characters>2513</Characters>
  <Application>Microsoft Office Word</Application>
  <DocSecurity>0</DocSecurity>
  <Lines>20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KMU</dc:creator>
  <cp:keywords/>
  <dc:description/>
  <cp:lastModifiedBy>HALİL ERDEM ÇOCUK</cp:lastModifiedBy>
  <cp:revision>4</cp:revision>
  <cp:lastPrinted>2022-10-31T11:49:00Z</cp:lastPrinted>
  <dcterms:created xsi:type="dcterms:W3CDTF">2026-06-08T11:07:00Z</dcterms:created>
  <dcterms:modified xsi:type="dcterms:W3CDTF">2026-06-08T11:12:00Z</dcterms:modified>
</cp:coreProperties>
</file>