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E5F7" w14:textId="0178C927" w:rsidR="00FD4993" w:rsidRDefault="00FD4993" w:rsidP="00A95225">
      <w:r w:rsidRPr="00FD4993">
        <w:rPr>
          <w:b/>
          <w:bCs/>
        </w:rPr>
        <w:t>Atıf:</w:t>
      </w:r>
      <w:r>
        <w:t xml:space="preserve"> </w:t>
      </w:r>
      <w:r w:rsidRPr="00FD4993">
        <w:t xml:space="preserve">Turan, A. (2025). Kültürlerarası Duyarlılığın Sağlık Çalışanlarının Sağlık Turizmi Farkındalıklarına Etkileri. Çankırı Karatekin Üniversitesi Sosyal Bilimler Enstitüsü Dergisi, 16(2), 336-352. </w:t>
      </w:r>
      <w:hyperlink r:id="rId4" w:history="1">
        <w:r w:rsidRPr="005C5F4E">
          <w:rPr>
            <w:rStyle w:val="Kpr"/>
          </w:rPr>
          <w:t>https://doi.org/10.54558/jiss.1692313</w:t>
        </w:r>
      </w:hyperlink>
    </w:p>
    <w:p w14:paraId="69A4B0E7" w14:textId="77777777" w:rsidR="00997A52" w:rsidRDefault="00997A52" w:rsidP="00A95225"/>
    <w:p w14:paraId="1E0F91EB" w14:textId="6A7DDCBF" w:rsidR="00FD4993" w:rsidRPr="00997A52" w:rsidRDefault="00997A52" w:rsidP="00997A52">
      <w:pPr>
        <w:pStyle w:val="Balk1"/>
      </w:pPr>
      <w:r w:rsidRPr="00997A52">
        <w:t>SAĞLIK ÇALIŞANLARININ SAĞLIK TURİZMİ FARKINDALIĞI ÖLÇEĞİ</w:t>
      </w:r>
    </w:p>
    <w:p w14:paraId="746B3945" w14:textId="2F5F5339" w:rsidR="00997A52" w:rsidRPr="00F646D9" w:rsidRDefault="00997A52" w:rsidP="00997A52">
      <w:r>
        <w:t>Ölçek</w:t>
      </w:r>
      <w:r w:rsidR="00F646D9">
        <w:t>,</w:t>
      </w:r>
      <w:r>
        <w:t xml:space="preserve"> sağlık çalışanlarının </w:t>
      </w:r>
      <w:r w:rsidR="00F646D9">
        <w:t xml:space="preserve">sağlık turizmi farkındalıklarını ölçmeye yönelik </w:t>
      </w:r>
      <w:r w:rsidR="00F646D9" w:rsidRPr="00413B03">
        <w:t>29</w:t>
      </w:r>
      <w:r w:rsidRPr="00413B03">
        <w:t xml:space="preserve"> madde içermektedir. ‘Kesinlikle katılmıyorum (1)’ seçeneğinden ‘Kesinlikle katılıyorum’a (5) doğru 5’li Likert tipli bir ölçektir. </w:t>
      </w:r>
      <w:r w:rsidRPr="00997A52">
        <w:t xml:space="preserve">Ortalamanın 5’e yaklaşması sağlık turizmi farkındalığının yüksekliğini ifade etmektedir. </w:t>
      </w:r>
      <w:r w:rsidRPr="00413B03">
        <w:t>Ölçeğin puanlandırılması aşağıdaki şekilde yapılmıştır. Ölçek</w:t>
      </w:r>
      <w:r>
        <w:t xml:space="preserve"> maddesine 1 (Kesinlikle katılmıyorum) şeklinde değerlendirenlerinin puanlarının sıfır olması için ortalama değerinden 1 eksiltilmektedir. Ölçek 5’li </w:t>
      </w:r>
      <w:r w:rsidR="00F646D9">
        <w:t>Likert</w:t>
      </w:r>
      <w:r>
        <w:t xml:space="preserve"> ölçek olduğu için değer aralığı 4’tür. En yüksek alınabilecek puan (100) değer aralığına bölündüğünde 25 elde edildiği için puan hesaplamasında ortalamanın 1 eksiği 25 ile çarpılmaktadır.</w:t>
      </w:r>
    </w:p>
    <w:p w14:paraId="50810261" w14:textId="77777777" w:rsidR="00997A52" w:rsidRDefault="00997A52" w:rsidP="00997A52">
      <w:r>
        <w:t>PUAN= (x-</w:t>
      </w:r>
      <w:proofErr w:type="gramStart"/>
      <w:r>
        <w:t>1)*</w:t>
      </w:r>
      <w:proofErr w:type="gramEnd"/>
      <w:r>
        <w:t>25</w:t>
      </w:r>
    </w:p>
    <w:p w14:paraId="004515E3" w14:textId="77777777" w:rsidR="00997A52" w:rsidRDefault="00997A52" w:rsidP="00997A52">
      <w:r>
        <w:t>x: ölçek maddesinin ortalaması</w:t>
      </w:r>
    </w:p>
    <w:p w14:paraId="6298E7BC" w14:textId="77777777" w:rsidR="00997A52" w:rsidRPr="00997A52" w:rsidRDefault="00997A52" w:rsidP="00997A52">
      <w:r w:rsidRPr="00997A52">
        <w:t>0-25 arası: Yetersiz</w:t>
      </w:r>
    </w:p>
    <w:p w14:paraId="1EFF0429" w14:textId="77777777" w:rsidR="00997A52" w:rsidRPr="00997A52" w:rsidRDefault="00997A52" w:rsidP="00997A52">
      <w:r w:rsidRPr="00997A52">
        <w:t>25-50 arası: Orta</w:t>
      </w:r>
    </w:p>
    <w:p w14:paraId="384F6087" w14:textId="77777777" w:rsidR="00997A52" w:rsidRPr="00997A52" w:rsidRDefault="00997A52" w:rsidP="00997A52">
      <w:r w:rsidRPr="00997A52">
        <w:t>50-75 arası: İyi</w:t>
      </w:r>
    </w:p>
    <w:p w14:paraId="5836E765" w14:textId="77777777" w:rsidR="00997A52" w:rsidRPr="00997A52" w:rsidRDefault="00997A52" w:rsidP="00997A52">
      <w:r w:rsidRPr="00997A52">
        <w:t>75- 100 arası: Mükemmel</w:t>
      </w:r>
    </w:p>
    <w:p w14:paraId="22254D66" w14:textId="77777777" w:rsidR="00A95225" w:rsidRPr="00A95225" w:rsidRDefault="00A95225" w:rsidP="00A95225">
      <w:r w:rsidRPr="00A95225">
        <w:rPr>
          <w:b/>
          <w:bCs/>
        </w:rPr>
        <w:t>Güvenilirlik değerleri (iç tutarlılık/Cronbach Alpha):</w:t>
      </w:r>
    </w:p>
    <w:p w14:paraId="0C1707E4" w14:textId="77777777" w:rsidR="00A95225" w:rsidRPr="00A95225" w:rsidRDefault="00A95225" w:rsidP="00A95225">
      <w:r w:rsidRPr="00A95225">
        <w:t>Ölçeğin genel iç tutarlılık değeri 0,960’dır.</w:t>
      </w:r>
    </w:p>
    <w:p w14:paraId="6A967464" w14:textId="77777777" w:rsidR="00A95225" w:rsidRPr="00A95225" w:rsidRDefault="00A95225" w:rsidP="00A95225">
      <w:r w:rsidRPr="00A95225">
        <w:t>1. FAKTÖR Kurumsal Yeterlilikler: 0,951</w:t>
      </w:r>
    </w:p>
    <w:p w14:paraId="28FC13DF" w14:textId="77777777" w:rsidR="00A95225" w:rsidRPr="00A95225" w:rsidRDefault="00A95225" w:rsidP="00A95225">
      <w:r>
        <w:t xml:space="preserve">2. FAKTÖR </w:t>
      </w:r>
      <w:r w:rsidRPr="00A95225">
        <w:t>Sağlık</w:t>
      </w:r>
      <w:r>
        <w:t xml:space="preserve"> </w:t>
      </w:r>
      <w:r w:rsidRPr="00A95225">
        <w:t>Turizminin Etkileri: 0,876</w:t>
      </w:r>
    </w:p>
    <w:p w14:paraId="699308EF" w14:textId="77777777" w:rsidR="00A95225" w:rsidRPr="00A95225" w:rsidRDefault="00A95225" w:rsidP="00A95225">
      <w:r>
        <w:t xml:space="preserve">3. FAKTÖR </w:t>
      </w:r>
      <w:r w:rsidRPr="00A95225">
        <w:t>Sağlık</w:t>
      </w:r>
      <w:r>
        <w:t xml:space="preserve"> </w:t>
      </w:r>
      <w:r w:rsidRPr="00A95225">
        <w:t>Turizminin Sorunları: 0,830</w:t>
      </w:r>
    </w:p>
    <w:p w14:paraId="48CA9822" w14:textId="76ACA780" w:rsidR="00A95225" w:rsidRPr="00A95225" w:rsidRDefault="00A95225" w:rsidP="00A95225">
      <w:r>
        <w:t xml:space="preserve">4. FAKTÖR </w:t>
      </w:r>
      <w:r w:rsidR="00E76863">
        <w:t>Şehrin</w:t>
      </w:r>
      <w:r>
        <w:t xml:space="preserve"> </w:t>
      </w:r>
      <w:r w:rsidRPr="00A95225">
        <w:t>Sağlık</w:t>
      </w:r>
      <w:r>
        <w:t xml:space="preserve"> </w:t>
      </w:r>
      <w:r w:rsidRPr="00A95225">
        <w:t>Turizmi</w:t>
      </w:r>
      <w:r>
        <w:t xml:space="preserve"> </w:t>
      </w:r>
      <w:r w:rsidRPr="00A95225">
        <w:t>Potansiyeli: 0,819</w:t>
      </w:r>
    </w:p>
    <w:p w14:paraId="1F3B2BFE" w14:textId="77777777" w:rsidR="00A95225" w:rsidRPr="00A95225" w:rsidRDefault="00A95225" w:rsidP="00A95225">
      <w:r>
        <w:t xml:space="preserve">5. FAKTÖR Hastanenin </w:t>
      </w:r>
      <w:r w:rsidRPr="00A95225">
        <w:t>Sağlık</w:t>
      </w:r>
      <w:r>
        <w:t xml:space="preserve"> </w:t>
      </w:r>
      <w:r w:rsidRPr="00A95225">
        <w:t>Turizmi</w:t>
      </w:r>
      <w:r>
        <w:t xml:space="preserve"> </w:t>
      </w:r>
      <w:r w:rsidRPr="00A95225">
        <w:t>Uygulamaları: 0,834</w:t>
      </w:r>
    </w:p>
    <w:p w14:paraId="4F97C7B9" w14:textId="77777777" w:rsidR="00A95225" w:rsidRPr="00A95225" w:rsidRDefault="00A95225" w:rsidP="00A95225">
      <w:r w:rsidRPr="00A95225">
        <w:rPr>
          <w:b/>
          <w:bCs/>
        </w:rPr>
        <w:t>Geçerlilik değerleri Açıklayıcı Faktör Analizi (Faktör Yükleri):</w:t>
      </w:r>
    </w:p>
    <w:p w14:paraId="0CD5DB6D" w14:textId="77777777" w:rsidR="00A95225" w:rsidRPr="00A95225" w:rsidRDefault="00A95225" w:rsidP="00A95225">
      <w:r w:rsidRPr="00A95225">
        <w:t>KMO Değeri: 0,831’dir. Barlett Değeri: x² = 35787,648, p = 0,000</w:t>
      </w:r>
    </w:p>
    <w:p w14:paraId="034FA890" w14:textId="77777777" w:rsidR="00A95225" w:rsidRDefault="00A95225" w:rsidP="00A95225">
      <w:r w:rsidRPr="00A95225">
        <w:t>5 Faktör Toplam varyansın yaklaşık %81’ini açıklamaktadır.</w:t>
      </w:r>
    </w:p>
    <w:p w14:paraId="0160CEC2" w14:textId="79E89B33" w:rsidR="000A2584" w:rsidRDefault="000A2584">
      <w:pPr>
        <w:spacing w:after="160" w:line="259" w:lineRule="auto"/>
        <w:jc w:val="left"/>
      </w:pPr>
      <w:r>
        <w:br w:type="page"/>
      </w:r>
    </w:p>
    <w:p w14:paraId="6B96F29B" w14:textId="77777777" w:rsidR="000A2584" w:rsidRPr="00A95225" w:rsidRDefault="000A2584" w:rsidP="00A95225"/>
    <w:p w14:paraId="20F972BD" w14:textId="47C02407" w:rsidR="00D53123" w:rsidRPr="00126D5C" w:rsidRDefault="00D53123" w:rsidP="00F646D9">
      <w:pPr>
        <w:jc w:val="left"/>
        <w:rPr>
          <w:b/>
          <w:bCs/>
        </w:rPr>
      </w:pPr>
      <w:r w:rsidRPr="00126D5C">
        <w:rPr>
          <w:b/>
          <w:bCs/>
        </w:rPr>
        <w:t xml:space="preserve">SAĞLIK ÇALIŞANLARININ SAĞLIK TURİZMİ FARKINDALIĞI </w:t>
      </w:r>
    </w:p>
    <w:tbl>
      <w:tblPr>
        <w:tblW w:w="836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922"/>
        <w:gridCol w:w="606"/>
        <w:gridCol w:w="512"/>
        <w:gridCol w:w="764"/>
        <w:gridCol w:w="512"/>
        <w:gridCol w:w="512"/>
      </w:tblGrid>
      <w:tr w:rsidR="000A2584" w:rsidRPr="00997A52" w14:paraId="7FA7143B" w14:textId="77777777" w:rsidTr="000A2584">
        <w:tblPrEx>
          <w:tblCellMar>
            <w:top w:w="0" w:type="dxa"/>
            <w:bottom w:w="0" w:type="dxa"/>
          </w:tblCellMar>
        </w:tblPrEx>
        <w:trPr>
          <w:cantSplit/>
          <w:trHeight w:val="2066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2F7538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vAlign w:val="center"/>
          </w:tcPr>
          <w:p w14:paraId="47B0B79D" w14:textId="4A43AF51" w:rsidR="000A2584" w:rsidRPr="00997A52" w:rsidRDefault="000A2584" w:rsidP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Aşağıdaki ifadelere katılma derecenizi, yan tarafta bulunan kutucuklardan uygun olanını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0A2584">
              <w:rPr>
                <w:b w:val="0"/>
                <w:sz w:val="18"/>
                <w:szCs w:val="18"/>
              </w:rPr>
              <w:t>işaretleyerek belirtiniz.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extDirection w:val="btLr"/>
          </w:tcPr>
          <w:p w14:paraId="1D114F59" w14:textId="77777777" w:rsidR="000A2584" w:rsidRPr="000A2584" w:rsidRDefault="000A2584" w:rsidP="000A2584">
            <w:pPr>
              <w:pStyle w:val="Default"/>
              <w:ind w:left="113" w:right="113"/>
              <w:rPr>
                <w:b w:val="0"/>
                <w:bCs/>
                <w:sz w:val="18"/>
              </w:rPr>
            </w:pPr>
            <w:r w:rsidRPr="000A2584">
              <w:rPr>
                <w:b w:val="0"/>
                <w:bCs/>
                <w:sz w:val="18"/>
                <w:szCs w:val="18"/>
              </w:rPr>
              <w:t xml:space="preserve">Kesinlikle Katılmıyorum </w:t>
            </w:r>
          </w:p>
          <w:p w14:paraId="6180ECCE" w14:textId="77777777" w:rsidR="000A2584" w:rsidRPr="00997A52" w:rsidRDefault="000A2584" w:rsidP="000A2584">
            <w:pPr>
              <w:pStyle w:val="Default"/>
              <w:ind w:left="113" w:right="113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extDirection w:val="btLr"/>
          </w:tcPr>
          <w:p w14:paraId="2A0994D2" w14:textId="11EAA057" w:rsidR="000A2584" w:rsidRPr="00997A52" w:rsidRDefault="000A2584" w:rsidP="000A2584">
            <w:pPr>
              <w:pStyle w:val="Default"/>
              <w:ind w:left="113" w:right="11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Katılmıyorum </w:t>
            </w: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extDirection w:val="btLr"/>
          </w:tcPr>
          <w:p w14:paraId="291B955E" w14:textId="77777777" w:rsidR="000A2584" w:rsidRDefault="000A2584" w:rsidP="000A2584">
            <w:pPr>
              <w:pStyle w:val="Default"/>
              <w:ind w:left="113" w:right="11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Ne katılıyorum </w:t>
            </w:r>
          </w:p>
          <w:p w14:paraId="4C9F0B0A" w14:textId="648A4F93" w:rsidR="000A2584" w:rsidRPr="00997A52" w:rsidRDefault="000A2584" w:rsidP="000A2584">
            <w:pPr>
              <w:pStyle w:val="Default"/>
              <w:ind w:left="113" w:right="11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ne de katılmıyorum </w:t>
            </w: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textDirection w:val="btLr"/>
          </w:tcPr>
          <w:p w14:paraId="0C7754CE" w14:textId="2287C65E" w:rsidR="000A2584" w:rsidRPr="00997A52" w:rsidRDefault="000A2584" w:rsidP="000A2584">
            <w:pPr>
              <w:pStyle w:val="Default"/>
              <w:ind w:left="113" w:right="11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Katılıyorum</w:t>
            </w: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textDirection w:val="btLr"/>
          </w:tcPr>
          <w:p w14:paraId="58FD11F7" w14:textId="4D8720E2" w:rsidR="000A2584" w:rsidRPr="00997A52" w:rsidRDefault="000A2584" w:rsidP="000A2584">
            <w:pPr>
              <w:pStyle w:val="Default"/>
              <w:ind w:left="113" w:right="11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Kesinlikle katılıyorum</w:t>
            </w:r>
          </w:p>
        </w:tc>
      </w:tr>
      <w:tr w:rsidR="000A2584" w:rsidRPr="00997A52" w14:paraId="26CC4670" w14:textId="71C3021E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0F120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32AABA" w14:textId="01377BEF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Sağlık turizmi konusu ilgimi çeker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0003F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E10A4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AB0C8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537FD0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352F0F" w14:textId="4422C104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605F2D4B" w14:textId="505B3D85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B6F84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5E869E" w14:textId="3667D56E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Çalıştığım sağlık işletmesinde, sağlık turizmi uygulamalarında görev almak isterim.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B6540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85D67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54E7D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6A36D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5406CF" w14:textId="125AFB5F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794EB84C" w14:textId="4D9617D4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59848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3.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B3E8A5D" w14:textId="3E5836C9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hastalar, şehrimizin ekonomik açıdan kalkınmasına olanak sağlar.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C5DD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50A4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D81EE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4233C0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1CF7AF" w14:textId="50C5B875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3E7D1AB4" w14:textId="7C56BBFA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01236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4.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B75678" w14:textId="4DC0523C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hastalar, kurumumuz için gelir kaynağıdır.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9C07D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4E6B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DAADA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5AED9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7669FF" w14:textId="22C81F06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3E34B870" w14:textId="27CD1F00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762E7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5.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E0E16C" w14:textId="7BD7ABD3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hastalar, sağlık hizmetleri sektörüne canlılık getirir.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83618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30653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03AC05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5501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2B01CB" w14:textId="25598D7A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155BED12" w14:textId="23F08477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94701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6.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9DD0B0" w14:textId="25C2D15A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hastalar, yerli hastalarımıza yeterli ilgi ve özeni göstermemize engel olabilir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965E6B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8F54E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66255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482D6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169A27" w14:textId="362D98B5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2B0833FE" w14:textId="4724C19B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A28C0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7.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E3B7A0" w14:textId="0AE2B275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hastalar, bölgemize bulaşıcı hastalıklar getirebilir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AFF18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76765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68BCE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18B5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241F50" w14:textId="02026D23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6FBCF1DC" w14:textId="4CD22F41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BF70F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8.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5D7777" w14:textId="27AAA71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hastalar, bölgenin ahlaki yapısını olumsuz etkileyebilir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03E3BB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ED7D5D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D853C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09EE2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6BBFBC" w14:textId="4BEB683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25DBBCCD" w14:textId="5EA75115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9778D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9.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038395" w14:textId="3236B11A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hastaların teşhis ve tedavilerinde, iletişim açısından zorluklar yaşanabilir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042FA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065D5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163B9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0A53D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DE7EE6" w14:textId="15015443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5643AE57" w14:textId="19B72974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E6DDD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10.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DA3583" w14:textId="3C3E6B85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hastalar, çalışanlara motive edici olumlu geribildirimde bulunmazlar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4DEDE8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E5AA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22395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B236B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BE1033" w14:textId="7A40816D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7B54F3B3" w14:textId="70802BD2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8431F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11.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7CF1CC" w14:textId="5DEC062C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hastalara gösterilen ilgi ve özen, yerli hastalarımızı incitebilir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553FD4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F59C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AC9D4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832B04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1E1972" w14:textId="2AE92D7F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4EBF0227" w14:textId="1DC2CB29" w:rsidTr="000A258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5161D0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12.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637652" w14:textId="5F4D18EC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Yabancı hastalara uygulanan işlemlerin faturalandırılmasında sorunlar yaşanabilir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9FFE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72022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02A3C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58527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F8A5D5" w14:textId="1916160B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13F73D2B" w14:textId="61FEBE9C" w:rsidTr="000A258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C26E4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13.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0C9686" w14:textId="11C87F02" w:rsidR="000A2584" w:rsidRPr="00997A52" w:rsidRDefault="00F646D9">
            <w:pPr>
              <w:pStyle w:val="Defaul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Ş</w:t>
            </w:r>
            <w:r w:rsidR="000A2584" w:rsidRPr="000A2584">
              <w:rPr>
                <w:b w:val="0"/>
                <w:sz w:val="18"/>
                <w:szCs w:val="18"/>
              </w:rPr>
              <w:t>ehir, termal su kaynakları açısından yeterli rezerve sahiptir</w:t>
            </w:r>
            <w:r w:rsidR="000A2584"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F9538D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650D3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8C832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9ED94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E34589" w14:textId="7A5FF74A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1003420D" w14:textId="1DEF4A99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F24DB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14.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9C8768" w14:textId="1E6F6295" w:rsidR="000A2584" w:rsidRPr="00997A52" w:rsidRDefault="00F646D9">
            <w:pPr>
              <w:pStyle w:val="Defaul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Ş</w:t>
            </w:r>
            <w:r w:rsidR="000A2584" w:rsidRPr="000A2584">
              <w:rPr>
                <w:b w:val="0"/>
                <w:sz w:val="18"/>
                <w:szCs w:val="18"/>
              </w:rPr>
              <w:t>ehir, yabancı hastaların kolay ulaşabileceği bir konumdadır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36490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B108A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2457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65385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0DA168" w14:textId="3F025B53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2AC08BBB" w14:textId="25F5D3BF" w:rsidTr="000A258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09B91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15.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0DF6C3" w14:textId="3C7A378B" w:rsidR="000A2584" w:rsidRPr="00997A52" w:rsidRDefault="00F646D9">
            <w:pPr>
              <w:pStyle w:val="Defaul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Ş</w:t>
            </w:r>
            <w:r w:rsidR="000A2584" w:rsidRPr="000A2584">
              <w:rPr>
                <w:b w:val="0"/>
                <w:sz w:val="18"/>
                <w:szCs w:val="18"/>
              </w:rPr>
              <w:t>ehir, yabancı hastaların konaklaması açısından yeterli niteliktedir</w:t>
            </w:r>
            <w:r w:rsidR="000A2584"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6B756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F55AD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37D4A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E1C04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C90C5F" w14:textId="4E6F0363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31FE7833" w14:textId="55EC72A6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BD463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16.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3ACE05" w14:textId="727E3821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işletmesinde, uygulanan tedaviler sonucunda olumlu sonuçlar alınabileceğine inanıyorum.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20B8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1284E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A7E934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3BE2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F737D9" w14:textId="569A89C2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651ACAE3" w14:textId="29266F1A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56030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17.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BF4730" w14:textId="23009A89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işletmesi, sağlık turizmi uygulamaları açısından yeterli ekipmana sahiptir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3355A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BEA055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49FD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B4DC8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81083E" w14:textId="01C1CBFD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4250442B" w14:textId="6B261D85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E6471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18.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43563D" w14:textId="11025979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işletmesi, bilimsel norm ve standartlara uygun teşhis ve tedavi prosedürlerini uygular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43572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F1C2A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38DAE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18AA15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475FD8" w14:textId="66A3985A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2C1C8DB4" w14:textId="3D34A3EE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53EF94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19.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1ABEF4" w14:textId="22BCED3E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işletmesi, hizmet sunum sürecinde, hasta ihtiyaç ve beklentilerini göz önünde bulundurur.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3BEC3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3A289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00DAB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6C0F8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81BFB9" w14:textId="2641ABE4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6A3EB514" w14:textId="37A4E304" w:rsidTr="000A2584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74FDEB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20.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3DFDCE" w14:textId="748BA54E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işletmesi, etik kurallara riayet eder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3282F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479BD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F2861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9888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A5DCE1" w14:textId="0C9BEB96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0B81B080" w14:textId="35178811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B5BA0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21.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AE5864" w14:textId="1FA42786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Sağlık çalışanlarının niteliği (kalifiye) sağlık turizmi için uygundur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86975B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65E1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F1C5ED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D4EC0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CBD654" w14:textId="06E83F66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0E9DC695" w14:textId="40EA52C5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5CE38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22.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B90D73B" w14:textId="75634D91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işletmesi, teknolojik donanım açısından sağlık turizmi için uygundur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5312C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22B3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8653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668A65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8762BE0" w14:textId="0170407C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11E3198F" w14:textId="687E282F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D7F4E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23.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DC2E25" w14:textId="092C734F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işletmesindeki uzman hekimler, alanlarında son derece iyidirler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E99D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D3258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5C0C5B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FB0ED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AD87DFF" w14:textId="5AD82B1E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2D69CF58" w14:textId="6E668131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584DCD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lastRenderedPageBreak/>
              <w:t xml:space="preserve">24.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6AD9CEB" w14:textId="36EDB1D4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 bilimsel yayın ve uygulamaları takip eder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8DC70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02868B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589AC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81FF9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7721AB" w14:textId="07743781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6EB5EEB9" w14:textId="0E539A7B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4432F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25.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6513D1" w14:textId="5D360E44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işletmesinde, sağlık hizmetleri maliyeti uygundur</w:t>
            </w:r>
            <w:r w:rsidRPr="00997A52">
              <w:rPr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75B6C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3678E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E18A1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88B8A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5A0FD0" w14:textId="663738BE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3390E7C5" w14:textId="721D8211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941914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26.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93076E" w14:textId="5DC3C3EA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işletmesinde, sağlık hizmetlerine ulaşım kolaydır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289EA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D3715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854B97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C6F96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13A867" w14:textId="6B209A29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1F51EA77" w14:textId="1A307CB8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9183E1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27.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13DEAA" w14:textId="5BA1B2BB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işletmesinde, muayene, tetkik sonuçları ve tedavi bekleme süreleri uzun değildir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B7853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9BE56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8F17FF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F137AC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2D57B7" w14:textId="585B9F0A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48AA5AA1" w14:textId="538ADC26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9C8E6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28.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0EED17" w14:textId="713D8499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0A2584">
              <w:rPr>
                <w:b w:val="0"/>
                <w:sz w:val="18"/>
                <w:szCs w:val="18"/>
              </w:rPr>
              <w:t>Bu sağlık işletmesi, sahip olduğu kalite belgesinin gereklerini yerine getirmektedir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C4AEA8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911A9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E7C0F4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486331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2C8163" w14:textId="39F190AF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  <w:tr w:rsidR="000A2584" w:rsidRPr="00997A52" w14:paraId="4FBE18FC" w14:textId="736C75CC" w:rsidTr="000A258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53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63B312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  <w:r w:rsidRPr="00997A52">
              <w:rPr>
                <w:b w:val="0"/>
                <w:sz w:val="18"/>
                <w:szCs w:val="18"/>
              </w:rPr>
              <w:t xml:space="preserve">29. </w:t>
            </w:r>
          </w:p>
        </w:tc>
        <w:tc>
          <w:tcPr>
            <w:tcW w:w="492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D9988C" w14:textId="4A9005AF" w:rsidR="000A2584" w:rsidRPr="00997A52" w:rsidRDefault="00F646D9">
            <w:pPr>
              <w:pStyle w:val="Default"/>
              <w:rPr>
                <w:b w:val="0"/>
                <w:sz w:val="18"/>
                <w:szCs w:val="18"/>
              </w:rPr>
            </w:pPr>
            <w:r w:rsidRPr="00F646D9">
              <w:rPr>
                <w:b w:val="0"/>
                <w:sz w:val="18"/>
                <w:szCs w:val="18"/>
              </w:rPr>
              <w:t>Bu sağlık işletmesi, genel anlamda sağlık turizmi uygulamalarına uygundur</w:t>
            </w:r>
          </w:p>
        </w:tc>
        <w:tc>
          <w:tcPr>
            <w:tcW w:w="60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FCC24A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B4DB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FE1D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29F6E" w14:textId="77777777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  <w:tc>
          <w:tcPr>
            <w:tcW w:w="51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2F01437" w14:textId="0B120B92" w:rsidR="000A2584" w:rsidRPr="00997A52" w:rsidRDefault="000A2584">
            <w:pPr>
              <w:pStyle w:val="Default"/>
              <w:rPr>
                <w:b w:val="0"/>
                <w:sz w:val="18"/>
                <w:szCs w:val="18"/>
              </w:rPr>
            </w:pPr>
          </w:p>
        </w:tc>
      </w:tr>
    </w:tbl>
    <w:p w14:paraId="45BD17BA" w14:textId="77777777" w:rsidR="00997A52" w:rsidRDefault="00997A52" w:rsidP="00F646D9"/>
    <w:sectPr w:rsidR="00997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25"/>
    <w:rsid w:val="000A2584"/>
    <w:rsid w:val="00250503"/>
    <w:rsid w:val="00260DBA"/>
    <w:rsid w:val="002943A4"/>
    <w:rsid w:val="002F75DD"/>
    <w:rsid w:val="003F116A"/>
    <w:rsid w:val="00413B03"/>
    <w:rsid w:val="00505632"/>
    <w:rsid w:val="005800B5"/>
    <w:rsid w:val="00627216"/>
    <w:rsid w:val="006719A0"/>
    <w:rsid w:val="007A0CFD"/>
    <w:rsid w:val="007B5772"/>
    <w:rsid w:val="00997A52"/>
    <w:rsid w:val="00A11FC5"/>
    <w:rsid w:val="00A95225"/>
    <w:rsid w:val="00B13842"/>
    <w:rsid w:val="00C845C3"/>
    <w:rsid w:val="00D53123"/>
    <w:rsid w:val="00DE439B"/>
    <w:rsid w:val="00E14A96"/>
    <w:rsid w:val="00E65E8D"/>
    <w:rsid w:val="00E76863"/>
    <w:rsid w:val="00EB6C47"/>
    <w:rsid w:val="00EF597E"/>
    <w:rsid w:val="00F646D9"/>
    <w:rsid w:val="00F654B5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39FB"/>
  <w15:chartTrackingRefBased/>
  <w15:docId w15:val="{77BBBE0F-BCF5-4E81-9EBF-B6951008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theme="minorBidi"/>
        <w:b/>
        <w:iCs/>
        <w:szCs w:val="18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42"/>
    <w:pPr>
      <w:spacing w:after="200" w:line="276" w:lineRule="auto"/>
      <w:jc w:val="both"/>
    </w:pPr>
    <w:rPr>
      <w:b w:val="0"/>
      <w:iCs w:val="0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E439B"/>
    <w:pPr>
      <w:keepNext/>
      <w:keepLines/>
      <w:spacing w:before="240" w:after="120" w:line="259" w:lineRule="auto"/>
      <w:jc w:val="left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654B5"/>
    <w:pPr>
      <w:keepNext/>
      <w:keepLines/>
      <w:spacing w:before="40" w:after="0" w:line="240" w:lineRule="auto"/>
      <w:jc w:val="left"/>
      <w:outlineLvl w:val="1"/>
    </w:pPr>
    <w:rPr>
      <w:rFonts w:eastAsiaTheme="majorEastAsia" w:cstheme="majorBidi"/>
      <w:b/>
      <w:iCs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11FC5"/>
    <w:pPr>
      <w:keepNext/>
      <w:keepLines/>
      <w:spacing w:before="40" w:after="0" w:line="259" w:lineRule="auto"/>
      <w:jc w:val="left"/>
      <w:outlineLvl w:val="2"/>
    </w:pPr>
    <w:rPr>
      <w:rFonts w:eastAsiaTheme="majorEastAsia" w:cstheme="majorBidi"/>
      <w:b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5E8D"/>
    <w:pPr>
      <w:keepNext/>
      <w:keepLines/>
      <w:spacing w:before="40" w:after="0" w:line="240" w:lineRule="auto"/>
      <w:jc w:val="left"/>
      <w:outlineLvl w:val="3"/>
    </w:pPr>
    <w:rPr>
      <w:rFonts w:eastAsiaTheme="majorEastAsia" w:cstheme="majorBidi"/>
      <w:b/>
      <w:iCs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E439B"/>
    <w:rPr>
      <w:rFonts w:ascii="Times New Roman" w:eastAsiaTheme="majorEastAsia" w:hAnsi="Times New Roman" w:cstheme="majorBidi"/>
      <w:b w:val="0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F654B5"/>
    <w:rPr>
      <w:rFonts w:eastAsiaTheme="majorEastAsia" w:cstheme="majorBidi"/>
      <w:sz w:val="24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11FC5"/>
    <w:rPr>
      <w:rFonts w:ascii="Times New Roman" w:eastAsiaTheme="majorEastAsia" w:hAnsi="Times New Roman" w:cstheme="majorBidi"/>
      <w:b w:val="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5E8D"/>
    <w:rPr>
      <w:rFonts w:ascii="Times New Roman" w:eastAsiaTheme="majorEastAsia" w:hAnsi="Times New Roman" w:cstheme="majorBidi"/>
      <w:b w:val="0"/>
      <w:iCs w:val="0"/>
      <w:sz w:val="24"/>
    </w:rPr>
  </w:style>
  <w:style w:type="character" w:styleId="Kpr">
    <w:name w:val="Hyperlink"/>
    <w:basedOn w:val="VarsaylanParagrafYazTipi"/>
    <w:uiPriority w:val="99"/>
    <w:unhideWhenUsed/>
    <w:rsid w:val="00FD499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4993"/>
    <w:rPr>
      <w:color w:val="605E5C"/>
      <w:shd w:val="clear" w:color="auto" w:fill="E1DFDD"/>
    </w:rPr>
  </w:style>
  <w:style w:type="paragraph" w:customStyle="1" w:styleId="Default">
    <w:name w:val="Default"/>
    <w:rsid w:val="00997A5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4558/jiss.169231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SHMYO</dc:creator>
  <cp:keywords/>
  <dc:description/>
  <cp:lastModifiedBy>AYŞE GÜL TUĞRAN</cp:lastModifiedBy>
  <cp:revision>9</cp:revision>
  <dcterms:created xsi:type="dcterms:W3CDTF">2024-07-26T06:36:00Z</dcterms:created>
  <dcterms:modified xsi:type="dcterms:W3CDTF">2026-04-13T12:22:00Z</dcterms:modified>
</cp:coreProperties>
</file>