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F0" w:rsidRDefault="009E2A05">
      <w:pPr>
        <w:pStyle w:val="KonuBal"/>
      </w:pPr>
      <w:r>
        <w:t>PSİKOLOJİK</w:t>
      </w:r>
      <w:r>
        <w:rPr>
          <w:spacing w:val="-5"/>
        </w:rPr>
        <w:t xml:space="preserve"> </w:t>
      </w:r>
      <w:r>
        <w:t>SAĞLAMLIK</w:t>
      </w:r>
      <w:r>
        <w:rPr>
          <w:spacing w:val="-5"/>
        </w:rPr>
        <w:t xml:space="preserve"> </w:t>
      </w:r>
      <w:r>
        <w:rPr>
          <w:spacing w:val="-2"/>
        </w:rPr>
        <w:t>ÖLÇEĞİ</w:t>
      </w:r>
    </w:p>
    <w:p w:rsidR="00017DF0" w:rsidRDefault="00017DF0">
      <w:pPr>
        <w:pStyle w:val="GvdeMetni"/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4"/>
        <w:gridCol w:w="602"/>
        <w:gridCol w:w="602"/>
        <w:gridCol w:w="451"/>
        <w:gridCol w:w="451"/>
        <w:gridCol w:w="602"/>
      </w:tblGrid>
      <w:tr w:rsidR="00017DF0">
        <w:trPr>
          <w:trHeight w:val="1684"/>
        </w:trPr>
        <w:tc>
          <w:tcPr>
            <w:tcW w:w="8284" w:type="dxa"/>
          </w:tcPr>
          <w:p w:rsidR="00017DF0" w:rsidRDefault="009E2A05">
            <w:pPr>
              <w:pStyle w:val="TableParagraph"/>
              <w:tabs>
                <w:tab w:val="left" w:pos="6282"/>
              </w:tabs>
              <w:spacing w:before="248"/>
              <w:ind w:left="38" w:right="100" w:firstLine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Açıklama:</w:t>
            </w:r>
            <w:r>
              <w:rPr>
                <w:rFonts w:ascii="Times New Roman" w:hAnsi="Times New Roman"/>
                <w:b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Ölçekte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bulunan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ifadelere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ölçüde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katıldığınızı,</w:t>
            </w:r>
            <w:r>
              <w:rPr>
                <w:rFonts w:ascii="Times New Roman" w:hAnsi="Times New Roman"/>
              </w:rPr>
              <w:tab/>
              <w:t>maddeleri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 xml:space="preserve">dikkatlice </w:t>
            </w:r>
            <w:proofErr w:type="spellStart"/>
            <w:r>
              <w:rPr>
                <w:rFonts w:ascii="Times New Roman" w:hAnsi="Times New Roman"/>
              </w:rPr>
              <w:t>kuduktan</w:t>
            </w:r>
            <w:proofErr w:type="spellEnd"/>
            <w:r>
              <w:rPr>
                <w:rFonts w:ascii="Times New Roman" w:hAnsi="Times New Roman"/>
              </w:rPr>
              <w:t xml:space="preserve"> sonra, size en uygun seçeneğe </w:t>
            </w:r>
            <w:r>
              <w:rPr>
                <w:rFonts w:ascii="Times New Roman" w:hAnsi="Times New Roman"/>
                <w:b/>
              </w:rPr>
              <w:t xml:space="preserve">(X) </w:t>
            </w:r>
            <w:r>
              <w:rPr>
                <w:rFonts w:ascii="Times New Roman" w:hAnsi="Times New Roman"/>
              </w:rPr>
              <w:t>işareti koyarak belirtiniz.</w:t>
            </w:r>
          </w:p>
        </w:tc>
        <w:tc>
          <w:tcPr>
            <w:tcW w:w="602" w:type="dxa"/>
            <w:textDirection w:val="btLr"/>
          </w:tcPr>
          <w:p w:rsidR="00017DF0" w:rsidRDefault="009E2A05">
            <w:pPr>
              <w:pStyle w:val="TableParagraph"/>
              <w:spacing w:before="64" w:line="260" w:lineRule="atLeast"/>
              <w:ind w:left="170" w:firstLine="19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Kesinlikle Katılmıyorum</w:t>
            </w:r>
          </w:p>
        </w:tc>
        <w:tc>
          <w:tcPr>
            <w:tcW w:w="602" w:type="dxa"/>
            <w:textDirection w:val="btLr"/>
          </w:tcPr>
          <w:p w:rsidR="00017DF0" w:rsidRDefault="009E2A05">
            <w:pPr>
              <w:pStyle w:val="TableParagraph"/>
              <w:spacing w:before="174"/>
              <w:ind w:left="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Katılmıyorum</w:t>
            </w:r>
          </w:p>
        </w:tc>
        <w:tc>
          <w:tcPr>
            <w:tcW w:w="451" w:type="dxa"/>
            <w:textDirection w:val="btLr"/>
          </w:tcPr>
          <w:p w:rsidR="00017DF0" w:rsidRDefault="009E2A05">
            <w:pPr>
              <w:pStyle w:val="TableParagraph"/>
              <w:spacing w:before="110"/>
              <w:ind w:left="30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Kararsızım</w:t>
            </w:r>
          </w:p>
        </w:tc>
        <w:tc>
          <w:tcPr>
            <w:tcW w:w="451" w:type="dxa"/>
            <w:textDirection w:val="btLr"/>
          </w:tcPr>
          <w:p w:rsidR="00017DF0" w:rsidRDefault="009E2A05">
            <w:pPr>
              <w:pStyle w:val="TableParagraph"/>
              <w:spacing w:before="110"/>
              <w:ind w:left="26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Katılıyorum</w:t>
            </w:r>
          </w:p>
        </w:tc>
        <w:tc>
          <w:tcPr>
            <w:tcW w:w="602" w:type="dxa"/>
            <w:textDirection w:val="btLr"/>
          </w:tcPr>
          <w:p w:rsidR="00017DF0" w:rsidRDefault="009E2A05">
            <w:pPr>
              <w:pStyle w:val="TableParagraph"/>
              <w:spacing w:before="63" w:line="260" w:lineRule="atLeast"/>
              <w:ind w:left="261" w:firstLine="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Kesinlikle Katılıyorum</w:t>
            </w:r>
          </w:p>
        </w:tc>
      </w:tr>
      <w:tr w:rsidR="00017DF0">
        <w:trPr>
          <w:trHeight w:val="527"/>
        </w:trPr>
        <w:tc>
          <w:tcPr>
            <w:tcW w:w="8284" w:type="dxa"/>
          </w:tcPr>
          <w:p w:rsidR="00017DF0" w:rsidRDefault="009E2A05">
            <w:pPr>
              <w:pStyle w:val="TableParagraph"/>
              <w:spacing w:before="233"/>
              <w:ind w:left="4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</w:t>
            </w:r>
            <w:r>
              <w:rPr>
                <w:rFonts w:ascii="Times New Roman" w:hAnsi="Times New Roman"/>
                <w:b/>
                <w:spacing w:val="131"/>
              </w:rPr>
              <w:t xml:space="preserve"> 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Zorluklarla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karşılaştıkça</w:t>
            </w:r>
            <w:r>
              <w:rPr>
                <w:rFonts w:ascii="Times New Roman" w:hAnsi="Times New Roman"/>
                <w:color w:val="1F2023"/>
                <w:spacing w:val="53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daha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da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 xml:space="preserve"> güçleniyorum.</w:t>
            </w:r>
          </w:p>
        </w:tc>
        <w:tc>
          <w:tcPr>
            <w:tcW w:w="602" w:type="dxa"/>
          </w:tcPr>
          <w:p w:rsidR="00017DF0" w:rsidRDefault="009E2A05">
            <w:pPr>
              <w:pStyle w:val="TableParagraph"/>
              <w:spacing w:before="248" w:line="259" w:lineRule="exact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①</w:t>
            </w:r>
          </w:p>
        </w:tc>
        <w:tc>
          <w:tcPr>
            <w:tcW w:w="602" w:type="dxa"/>
          </w:tcPr>
          <w:p w:rsidR="00017DF0" w:rsidRDefault="009E2A05">
            <w:pPr>
              <w:pStyle w:val="TableParagraph"/>
              <w:spacing w:before="248" w:line="259" w:lineRule="exact"/>
              <w:ind w:left="18" w:right="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②</w:t>
            </w:r>
          </w:p>
        </w:tc>
        <w:tc>
          <w:tcPr>
            <w:tcW w:w="451" w:type="dxa"/>
          </w:tcPr>
          <w:p w:rsidR="00017DF0" w:rsidRDefault="009E2A05">
            <w:pPr>
              <w:pStyle w:val="TableParagraph"/>
              <w:spacing w:before="248" w:line="259" w:lineRule="exact"/>
              <w:ind w:left="35" w:right="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③</w:t>
            </w:r>
          </w:p>
        </w:tc>
        <w:tc>
          <w:tcPr>
            <w:tcW w:w="451" w:type="dxa"/>
          </w:tcPr>
          <w:p w:rsidR="00017DF0" w:rsidRDefault="009E2A05">
            <w:pPr>
              <w:pStyle w:val="TableParagraph"/>
              <w:spacing w:before="248" w:line="259" w:lineRule="exact"/>
              <w:ind w:left="12" w:right="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④</w:t>
            </w:r>
          </w:p>
        </w:tc>
        <w:tc>
          <w:tcPr>
            <w:tcW w:w="602" w:type="dxa"/>
          </w:tcPr>
          <w:p w:rsidR="00017DF0" w:rsidRDefault="009E2A05">
            <w:pPr>
              <w:pStyle w:val="TableParagraph"/>
              <w:spacing w:before="248" w:line="259" w:lineRule="exact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⑤</w:t>
            </w:r>
          </w:p>
        </w:tc>
      </w:tr>
      <w:tr w:rsidR="00017DF0">
        <w:trPr>
          <w:trHeight w:val="566"/>
        </w:trPr>
        <w:tc>
          <w:tcPr>
            <w:tcW w:w="8284" w:type="dxa"/>
          </w:tcPr>
          <w:p w:rsidR="00017DF0" w:rsidRDefault="009E2A05" w:rsidP="00EC3566">
            <w:pPr>
              <w:pStyle w:val="TableParagraph"/>
              <w:spacing w:before="234"/>
              <w:ind w:left="4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</w:t>
            </w:r>
            <w:r>
              <w:rPr>
                <w:rFonts w:ascii="Times New Roman" w:hAnsi="Times New Roman"/>
                <w:b/>
                <w:spacing w:val="128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Yaşamın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 xml:space="preserve"> </w:t>
            </w:r>
            <w:r w:rsidR="00EC3566">
              <w:rPr>
                <w:rFonts w:ascii="Times New Roman" w:hAnsi="Times New Roman"/>
                <w:color w:val="1F2023"/>
                <w:shd w:val="clear" w:color="auto" w:fill="F0F3F4"/>
              </w:rPr>
              <w:t>güçlüklerine</w:t>
            </w:r>
            <w:r>
              <w:rPr>
                <w:rFonts w:ascii="Times New Roman" w:hAnsi="Times New Roman"/>
                <w:color w:val="1F2023"/>
                <w:spacing w:val="-3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kolay</w:t>
            </w:r>
            <w:r>
              <w:rPr>
                <w:rFonts w:ascii="Times New Roman" w:hAnsi="Times New Roman"/>
                <w:color w:val="1F2023"/>
                <w:spacing w:val="-5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kolay</w:t>
            </w:r>
            <w:r>
              <w:rPr>
                <w:rFonts w:ascii="Times New Roman" w:hAnsi="Times New Roman"/>
                <w:color w:val="1F2023"/>
                <w:spacing w:val="-5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teslim</w:t>
            </w:r>
            <w:r>
              <w:rPr>
                <w:rFonts w:ascii="Times New Roman" w:hAnsi="Times New Roman"/>
                <w:color w:val="1F2023"/>
                <w:spacing w:val="-6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>olmuyorum.</w:t>
            </w:r>
          </w:p>
        </w:tc>
        <w:tc>
          <w:tcPr>
            <w:tcW w:w="602" w:type="dxa"/>
          </w:tcPr>
          <w:p w:rsidR="00017DF0" w:rsidRDefault="00017DF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①</w:t>
            </w:r>
          </w:p>
        </w:tc>
        <w:tc>
          <w:tcPr>
            <w:tcW w:w="602" w:type="dxa"/>
          </w:tcPr>
          <w:p w:rsidR="00017DF0" w:rsidRDefault="00017DF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ind w:left="18" w:right="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②</w:t>
            </w:r>
          </w:p>
        </w:tc>
        <w:tc>
          <w:tcPr>
            <w:tcW w:w="451" w:type="dxa"/>
          </w:tcPr>
          <w:p w:rsidR="00017DF0" w:rsidRDefault="00017DF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ind w:left="35" w:right="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③</w:t>
            </w:r>
          </w:p>
        </w:tc>
        <w:tc>
          <w:tcPr>
            <w:tcW w:w="451" w:type="dxa"/>
          </w:tcPr>
          <w:p w:rsidR="00017DF0" w:rsidRDefault="00017DF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ind w:left="12" w:right="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④</w:t>
            </w:r>
          </w:p>
        </w:tc>
        <w:tc>
          <w:tcPr>
            <w:tcW w:w="602" w:type="dxa"/>
          </w:tcPr>
          <w:p w:rsidR="00017DF0" w:rsidRDefault="00017DF0">
            <w:pPr>
              <w:pStyle w:val="TableParagraph"/>
              <w:spacing w:before="15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⑤</w:t>
            </w:r>
          </w:p>
        </w:tc>
      </w:tr>
      <w:tr w:rsidR="00017DF0">
        <w:trPr>
          <w:trHeight w:val="565"/>
        </w:trPr>
        <w:tc>
          <w:tcPr>
            <w:tcW w:w="8284" w:type="dxa"/>
          </w:tcPr>
          <w:p w:rsidR="00017DF0" w:rsidRDefault="009E2A05">
            <w:pPr>
              <w:pStyle w:val="TableParagraph"/>
              <w:spacing w:before="233"/>
              <w:ind w:left="4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</w:t>
            </w:r>
            <w:r>
              <w:rPr>
                <w:rFonts w:ascii="Times New Roman" w:hAnsi="Times New Roman"/>
                <w:b/>
                <w:spacing w:val="131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Zorlukların</w:t>
            </w:r>
            <w:r>
              <w:rPr>
                <w:rFonts w:ascii="Times New Roman" w:hAnsi="Times New Roman"/>
                <w:color w:val="1F2023"/>
                <w:spacing w:val="-5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üstesinden</w:t>
            </w:r>
            <w:r>
              <w:rPr>
                <w:rFonts w:ascii="Times New Roman" w:hAnsi="Times New Roman"/>
                <w:color w:val="1F2023"/>
                <w:spacing w:val="-3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gelmek</w:t>
            </w:r>
            <w:r>
              <w:rPr>
                <w:rFonts w:ascii="Times New Roman" w:hAnsi="Times New Roman"/>
                <w:color w:val="1F2023"/>
                <w:spacing w:val="-5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beni</w:t>
            </w:r>
            <w:r>
              <w:rPr>
                <w:rFonts w:ascii="Times New Roman" w:hAnsi="Times New Roman"/>
                <w:color w:val="1F2023"/>
                <w:spacing w:val="-1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daha</w:t>
            </w:r>
            <w:r>
              <w:rPr>
                <w:rFonts w:ascii="Times New Roman" w:hAnsi="Times New Roman"/>
                <w:color w:val="1F2023"/>
                <w:spacing w:val="-4"/>
                <w:shd w:val="clear" w:color="auto" w:fill="F0F3F4"/>
              </w:rPr>
              <w:t xml:space="preserve"> </w:t>
            </w:r>
            <w:r>
              <w:rPr>
                <w:rFonts w:ascii="Times New Roman" w:hAnsi="Times New Roman"/>
                <w:color w:val="1F2023"/>
                <w:shd w:val="clear" w:color="auto" w:fill="F0F3F4"/>
              </w:rPr>
              <w:t>da</w:t>
            </w:r>
            <w:r>
              <w:rPr>
                <w:rFonts w:ascii="Times New Roman" w:hAnsi="Times New Roman"/>
                <w:color w:val="1F2023"/>
                <w:spacing w:val="-2"/>
                <w:shd w:val="clear" w:color="auto" w:fill="F0F3F4"/>
              </w:rPr>
              <w:t xml:space="preserve"> güçlendirdi.</w:t>
            </w:r>
          </w:p>
        </w:tc>
        <w:tc>
          <w:tcPr>
            <w:tcW w:w="602" w:type="dxa"/>
          </w:tcPr>
          <w:p w:rsidR="00017DF0" w:rsidRDefault="00017DF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spacing w:before="1"/>
              <w:ind w:left="18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①</w:t>
            </w:r>
          </w:p>
        </w:tc>
        <w:tc>
          <w:tcPr>
            <w:tcW w:w="602" w:type="dxa"/>
          </w:tcPr>
          <w:p w:rsidR="00017DF0" w:rsidRDefault="00017DF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spacing w:before="1"/>
              <w:ind w:left="18" w:right="9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②</w:t>
            </w:r>
          </w:p>
        </w:tc>
        <w:tc>
          <w:tcPr>
            <w:tcW w:w="451" w:type="dxa"/>
          </w:tcPr>
          <w:p w:rsidR="00017DF0" w:rsidRDefault="00017DF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spacing w:before="1"/>
              <w:ind w:left="35" w:right="23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③</w:t>
            </w:r>
          </w:p>
        </w:tc>
        <w:tc>
          <w:tcPr>
            <w:tcW w:w="451" w:type="dxa"/>
          </w:tcPr>
          <w:p w:rsidR="00017DF0" w:rsidRDefault="00017DF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spacing w:before="1"/>
              <w:ind w:left="12" w:right="3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④</w:t>
            </w:r>
          </w:p>
        </w:tc>
        <w:tc>
          <w:tcPr>
            <w:tcW w:w="602" w:type="dxa"/>
          </w:tcPr>
          <w:p w:rsidR="00017DF0" w:rsidRDefault="00017DF0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:rsidR="00017DF0" w:rsidRDefault="009E2A05">
            <w:pPr>
              <w:pStyle w:val="TableParagraph"/>
              <w:spacing w:before="1"/>
              <w:ind w:left="109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10"/>
                <w:w w:val="75"/>
              </w:rPr>
              <w:t>⑤</w:t>
            </w:r>
          </w:p>
        </w:tc>
      </w:tr>
    </w:tbl>
    <w:p w:rsidR="00017DF0" w:rsidRDefault="00017DF0">
      <w:pPr>
        <w:pStyle w:val="GvdeMetni"/>
        <w:rPr>
          <w:b/>
        </w:rPr>
      </w:pPr>
    </w:p>
    <w:p w:rsidR="00017DF0" w:rsidRDefault="00017DF0">
      <w:pPr>
        <w:pStyle w:val="GvdeMetni"/>
        <w:rPr>
          <w:b/>
        </w:rPr>
      </w:pPr>
    </w:p>
    <w:p w:rsidR="00017DF0" w:rsidRDefault="00017DF0">
      <w:pPr>
        <w:pStyle w:val="GvdeMetni"/>
        <w:rPr>
          <w:b/>
        </w:rPr>
      </w:pPr>
    </w:p>
    <w:p w:rsidR="00017DF0" w:rsidRDefault="00017DF0">
      <w:pPr>
        <w:pStyle w:val="GvdeMetni"/>
        <w:spacing w:before="263"/>
        <w:rPr>
          <w:b/>
        </w:rPr>
      </w:pPr>
    </w:p>
    <w:p w:rsidR="00017DF0" w:rsidRDefault="009E2A05">
      <w:pPr>
        <w:pStyle w:val="GvdeMetni"/>
        <w:ind w:left="142"/>
      </w:pPr>
      <w:r>
        <w:t>Ölçek,</w:t>
      </w:r>
      <w:r>
        <w:rPr>
          <w:spacing w:val="-3"/>
        </w:rPr>
        <w:t xml:space="preserve"> </w:t>
      </w:r>
      <w:r>
        <w:t>tek</w:t>
      </w:r>
      <w:r>
        <w:rPr>
          <w:spacing w:val="-1"/>
        </w:rPr>
        <w:t xml:space="preserve"> </w:t>
      </w:r>
      <w:r>
        <w:t>boyutlu</w:t>
      </w:r>
      <w:r>
        <w:rPr>
          <w:spacing w:val="-1"/>
        </w:rPr>
        <w:t xml:space="preserve"> </w:t>
      </w:r>
      <w:r>
        <w:t>olup</w:t>
      </w:r>
      <w:r>
        <w:rPr>
          <w:spacing w:val="-1"/>
        </w:rPr>
        <w:t xml:space="preserve"> </w:t>
      </w:r>
      <w:r>
        <w:t>toplam</w:t>
      </w:r>
      <w:r>
        <w:rPr>
          <w:spacing w:val="-1"/>
        </w:rPr>
        <w:t xml:space="preserve"> </w:t>
      </w:r>
      <w:r>
        <w:t>puan</w:t>
      </w:r>
      <w:r>
        <w:rPr>
          <w:spacing w:val="-1"/>
        </w:rPr>
        <w:t xml:space="preserve"> </w:t>
      </w:r>
      <w:r>
        <w:t>üzerinde</w:t>
      </w:r>
      <w:r>
        <w:rPr>
          <w:spacing w:val="-3"/>
        </w:rPr>
        <w:t xml:space="preserve"> </w:t>
      </w:r>
      <w:r>
        <w:t>değerlendirilmektedir.</w:t>
      </w:r>
      <w:r>
        <w:rPr>
          <w:spacing w:val="-1"/>
        </w:rPr>
        <w:t xml:space="preserve"> </w:t>
      </w:r>
      <w:r>
        <w:t>Ölçekte</w:t>
      </w:r>
      <w:r>
        <w:rPr>
          <w:spacing w:val="-1"/>
        </w:rPr>
        <w:t xml:space="preserve"> </w:t>
      </w:r>
      <w:r>
        <w:t>tersten</w:t>
      </w:r>
      <w:r>
        <w:rPr>
          <w:spacing w:val="-1"/>
        </w:rPr>
        <w:t xml:space="preserve"> </w:t>
      </w:r>
      <w:r>
        <w:t xml:space="preserve">kodlanan </w:t>
      </w:r>
      <w:r>
        <w:rPr>
          <w:spacing w:val="-2"/>
        </w:rPr>
        <w:t>madde</w:t>
      </w:r>
    </w:p>
    <w:p w:rsidR="00017DF0" w:rsidRDefault="0009153F">
      <w:pPr>
        <w:pStyle w:val="GvdeMetni"/>
        <w:ind w:left="142"/>
      </w:pPr>
      <w:proofErr w:type="gramStart"/>
      <w:r>
        <w:t>bulunmamaktadır</w:t>
      </w:r>
      <w:proofErr w:type="gramEnd"/>
      <w:r w:rsidR="009E2A05">
        <w:t>.</w:t>
      </w:r>
      <w:r w:rsidR="009E2A05">
        <w:rPr>
          <w:spacing w:val="-5"/>
        </w:rPr>
        <w:t xml:space="preserve"> </w:t>
      </w:r>
      <w:r w:rsidR="009E2A05">
        <w:t>Ölçekten</w:t>
      </w:r>
      <w:r w:rsidR="009E2A05">
        <w:rPr>
          <w:spacing w:val="-5"/>
        </w:rPr>
        <w:t xml:space="preserve"> </w:t>
      </w:r>
      <w:r w:rsidR="009E2A05">
        <w:t>alınan</w:t>
      </w:r>
      <w:r w:rsidR="009E2A05">
        <w:rPr>
          <w:spacing w:val="-1"/>
        </w:rPr>
        <w:t xml:space="preserve"> </w:t>
      </w:r>
      <w:r w:rsidR="009E2A05">
        <w:t>yüksek</w:t>
      </w:r>
      <w:r w:rsidR="009E2A05">
        <w:rPr>
          <w:spacing w:val="-5"/>
        </w:rPr>
        <w:t xml:space="preserve"> </w:t>
      </w:r>
      <w:r w:rsidR="009E2A05">
        <w:t>puanlar,</w:t>
      </w:r>
      <w:r w:rsidR="009E2A05">
        <w:rPr>
          <w:spacing w:val="-4"/>
        </w:rPr>
        <w:t xml:space="preserve"> </w:t>
      </w:r>
      <w:r w:rsidR="009E2A05">
        <w:t>bireyin</w:t>
      </w:r>
      <w:r w:rsidR="009E2A05">
        <w:rPr>
          <w:spacing w:val="-5"/>
        </w:rPr>
        <w:t xml:space="preserve"> </w:t>
      </w:r>
      <w:r w:rsidR="009E2A05">
        <w:t>psikolojik</w:t>
      </w:r>
      <w:r w:rsidR="009E2A05">
        <w:rPr>
          <w:spacing w:val="-5"/>
        </w:rPr>
        <w:t xml:space="preserve"> </w:t>
      </w:r>
      <w:r w:rsidR="009E2A05">
        <w:t>sağlamlık</w:t>
      </w:r>
      <w:r w:rsidR="009E2A05">
        <w:rPr>
          <w:spacing w:val="-5"/>
        </w:rPr>
        <w:t xml:space="preserve"> </w:t>
      </w:r>
      <w:r w:rsidR="009E2A05">
        <w:t>düzeyinin</w:t>
      </w:r>
      <w:r w:rsidR="009E2A05">
        <w:rPr>
          <w:spacing w:val="-1"/>
        </w:rPr>
        <w:t xml:space="preserve"> </w:t>
      </w:r>
      <w:r w:rsidR="009E2A05">
        <w:t>yüksek</w:t>
      </w:r>
      <w:r w:rsidR="009E2A05">
        <w:rPr>
          <w:spacing w:val="-5"/>
        </w:rPr>
        <w:t xml:space="preserve"> </w:t>
      </w:r>
      <w:r w:rsidR="009E2A05">
        <w:t xml:space="preserve">olduğunu </w:t>
      </w:r>
      <w:r w:rsidR="009E2A05">
        <w:rPr>
          <w:spacing w:val="-2"/>
        </w:rPr>
        <w:t>göstermektedir.</w:t>
      </w:r>
    </w:p>
    <w:p w:rsidR="00017DF0" w:rsidRDefault="009E2A05">
      <w:pPr>
        <w:spacing w:before="272"/>
        <w:ind w:left="192"/>
        <w:rPr>
          <w:rFonts w:ascii="Calibri" w:hAnsi="Calibri"/>
          <w:b/>
          <w:spacing w:val="-2"/>
        </w:rPr>
      </w:pPr>
      <w:r>
        <w:rPr>
          <w:rFonts w:ascii="Calibri" w:hAnsi="Calibri"/>
          <w:b/>
        </w:rPr>
        <w:t>Ölçeği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Geliştirenler</w:t>
      </w:r>
      <w:r w:rsidR="0009153F">
        <w:rPr>
          <w:rFonts w:ascii="Calibri" w:hAnsi="Calibri"/>
          <w:b/>
        </w:rPr>
        <w:t>;</w:t>
      </w: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809"/>
      </w:tblGrid>
      <w:tr w:rsidR="0009153F" w:rsidTr="00B11B87">
        <w:trPr>
          <w:trHeight w:val="570"/>
        </w:trPr>
        <w:tc>
          <w:tcPr>
            <w:tcW w:w="10809" w:type="dxa"/>
          </w:tcPr>
          <w:p w:rsidR="0009153F" w:rsidRDefault="0009153F" w:rsidP="00B11B87">
            <w:pPr>
              <w:pStyle w:val="TableParagraph"/>
              <w:spacing w:before="164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Merino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</w:t>
            </w:r>
            <w:proofErr w:type="gramStart"/>
            <w:r>
              <w:rPr>
                <w:sz w:val="21"/>
              </w:rPr>
              <w:t>.,</w:t>
            </w:r>
            <w:proofErr w:type="gramEnd"/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Privado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J.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(2015).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Positive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psychological</w:t>
            </w:r>
            <w:proofErr w:type="spellEnd"/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functioning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Evidence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for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a</w:t>
            </w:r>
          </w:p>
        </w:tc>
      </w:tr>
      <w:tr w:rsidR="0009153F" w:rsidTr="00B11B87">
        <w:trPr>
          <w:trHeight w:val="571"/>
        </w:trPr>
        <w:tc>
          <w:tcPr>
            <w:tcW w:w="10809" w:type="dxa"/>
          </w:tcPr>
          <w:p w:rsidR="0009153F" w:rsidRDefault="0009153F" w:rsidP="00B11B87">
            <w:pPr>
              <w:pStyle w:val="TableParagraph"/>
              <w:spacing w:before="165"/>
              <w:ind w:left="50"/>
              <w:rPr>
                <w:sz w:val="21"/>
              </w:rPr>
            </w:pPr>
            <w:proofErr w:type="spellStart"/>
            <w:r>
              <w:rPr>
                <w:sz w:val="21"/>
              </w:rPr>
              <w:t>newconstruct</w:t>
            </w:r>
            <w:proofErr w:type="spellEnd"/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and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its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measurement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[</w:t>
            </w:r>
            <w:proofErr w:type="spellStart"/>
            <w:r>
              <w:rPr>
                <w:sz w:val="21"/>
              </w:rPr>
              <w:t>Funcionamiento</w:t>
            </w:r>
            <w:proofErr w:type="spellEnd"/>
            <w:r>
              <w:rPr>
                <w:spacing w:val="-1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psicológico</w:t>
            </w:r>
            <w:proofErr w:type="spellEnd"/>
            <w:r>
              <w:rPr>
                <w:spacing w:val="-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positivo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-1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Evidencia</w:t>
            </w:r>
            <w:proofErr w:type="spellEnd"/>
          </w:p>
        </w:tc>
      </w:tr>
      <w:tr w:rsidR="0009153F" w:rsidTr="00B11B87">
        <w:trPr>
          <w:trHeight w:val="578"/>
        </w:trPr>
        <w:tc>
          <w:tcPr>
            <w:tcW w:w="10809" w:type="dxa"/>
          </w:tcPr>
          <w:p w:rsidR="0009153F" w:rsidRDefault="0009153F" w:rsidP="00B11B87">
            <w:pPr>
              <w:pStyle w:val="TableParagraph"/>
              <w:spacing w:before="165"/>
              <w:ind w:left="50"/>
              <w:rPr>
                <w:sz w:val="21"/>
              </w:rPr>
            </w:pPr>
            <w:proofErr w:type="gramStart"/>
            <w:r>
              <w:rPr>
                <w:sz w:val="21"/>
              </w:rPr>
              <w:t>para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un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nuevo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constructo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y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su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medición</w:t>
            </w:r>
            <w:proofErr w:type="spellEnd"/>
            <w:r>
              <w:rPr>
                <w:sz w:val="21"/>
              </w:rPr>
              <w:t>].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Anales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Psicología</w:t>
            </w:r>
            <w:proofErr w:type="spellEnd"/>
            <w:r>
              <w:rPr>
                <w:sz w:val="21"/>
              </w:rPr>
              <w:t>/</w:t>
            </w:r>
            <w:proofErr w:type="spellStart"/>
            <w:r>
              <w:rPr>
                <w:sz w:val="21"/>
              </w:rPr>
              <w:t>Annals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of</w:t>
            </w:r>
          </w:p>
        </w:tc>
      </w:tr>
      <w:tr w:rsidR="0009153F" w:rsidTr="00B11B87">
        <w:trPr>
          <w:trHeight w:val="421"/>
        </w:trPr>
        <w:tc>
          <w:tcPr>
            <w:tcW w:w="10809" w:type="dxa"/>
          </w:tcPr>
          <w:p w:rsidR="0009153F" w:rsidRDefault="0009153F" w:rsidP="00B11B87">
            <w:pPr>
              <w:pStyle w:val="TableParagraph"/>
              <w:spacing w:before="157" w:line="245" w:lineRule="exact"/>
              <w:ind w:left="50"/>
              <w:rPr>
                <w:rFonts w:ascii="Calibri"/>
              </w:rPr>
            </w:pPr>
            <w:proofErr w:type="spellStart"/>
            <w:r>
              <w:rPr>
                <w:sz w:val="21"/>
              </w:rPr>
              <w:t>Psychology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31(1),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45-54.</w:t>
            </w:r>
            <w:r>
              <w:rPr>
                <w:spacing w:val="40"/>
                <w:sz w:val="21"/>
              </w:rPr>
              <w:t xml:space="preserve"> </w:t>
            </w:r>
            <w:hyperlink r:id="rId4">
              <w:r>
                <w:rPr>
                  <w:rFonts w:ascii="Calibri"/>
                  <w:spacing w:val="-2"/>
                </w:rPr>
                <w:t>http://dx.doi.org/10.6018/analesps.31.1.171081</w:t>
              </w:r>
            </w:hyperlink>
          </w:p>
        </w:tc>
      </w:tr>
    </w:tbl>
    <w:p w:rsidR="0009153F" w:rsidRDefault="0009153F">
      <w:pPr>
        <w:spacing w:before="272"/>
        <w:ind w:left="192"/>
        <w:rPr>
          <w:rFonts w:ascii="Calibri" w:hAnsi="Calibri"/>
          <w:b/>
        </w:rPr>
      </w:pPr>
      <w:r>
        <w:rPr>
          <w:rFonts w:ascii="Calibri" w:hAnsi="Calibri"/>
          <w:b/>
        </w:rPr>
        <w:t>Ölçeği</w:t>
      </w:r>
      <w:r>
        <w:rPr>
          <w:rFonts w:ascii="Calibri" w:hAnsi="Calibri"/>
          <w:b/>
        </w:rPr>
        <w:t xml:space="preserve"> Uyarlayan</w:t>
      </w:r>
      <w:r>
        <w:rPr>
          <w:rFonts w:ascii="Calibri" w:hAnsi="Calibri"/>
          <w:b/>
          <w:spacing w:val="-9"/>
        </w:rPr>
        <w:t>lar;</w:t>
      </w:r>
    </w:p>
    <w:p w:rsidR="00017DF0" w:rsidRDefault="00017DF0">
      <w:pPr>
        <w:pStyle w:val="GvdeMetni"/>
        <w:spacing w:before="57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8" w:type="dxa"/>
        <w:tblLayout w:type="fixed"/>
        <w:tblLook w:val="01E0" w:firstRow="1" w:lastRow="1" w:firstColumn="1" w:lastColumn="1" w:noHBand="0" w:noVBand="0"/>
      </w:tblPr>
      <w:tblGrid>
        <w:gridCol w:w="10809"/>
      </w:tblGrid>
      <w:tr w:rsidR="00017DF0">
        <w:trPr>
          <w:trHeight w:val="887"/>
        </w:trPr>
        <w:tc>
          <w:tcPr>
            <w:tcW w:w="10809" w:type="dxa"/>
          </w:tcPr>
          <w:p w:rsidR="00017DF0" w:rsidRDefault="009E2A05">
            <w:pPr>
              <w:pStyle w:val="TableParagraph"/>
              <w:spacing w:line="244" w:lineRule="auto"/>
              <w:ind w:left="50"/>
              <w:rPr>
                <w:color w:val="0000FF"/>
                <w:spacing w:val="-2"/>
                <w:sz w:val="21"/>
                <w:u w:val="single" w:color="0000FF"/>
              </w:rPr>
            </w:pPr>
            <w:proofErr w:type="spellStart"/>
            <w:r>
              <w:rPr>
                <w:sz w:val="21"/>
              </w:rPr>
              <w:t>Green</w:t>
            </w:r>
            <w:proofErr w:type="spellEnd"/>
            <w:r>
              <w:rPr>
                <w:sz w:val="21"/>
              </w:rPr>
              <w:t>, Z. A</w:t>
            </w:r>
            <w:proofErr w:type="gramStart"/>
            <w:r>
              <w:rPr>
                <w:sz w:val="21"/>
              </w:rPr>
              <w:t>.,</w:t>
            </w:r>
            <w:proofErr w:type="gramEnd"/>
            <w:r>
              <w:rPr>
                <w:sz w:val="21"/>
              </w:rPr>
              <w:t xml:space="preserve"> Çiçek, İ., &amp; Yıldırım, M. (2024). </w:t>
            </w:r>
            <w:proofErr w:type="spellStart"/>
            <w:r>
              <w:rPr>
                <w:sz w:val="21"/>
              </w:rPr>
              <w:t>The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relationship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between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social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support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uncertainty</w:t>
            </w:r>
            <w:proofErr w:type="spellEnd"/>
            <w:r>
              <w:rPr>
                <w:sz w:val="21"/>
              </w:rPr>
              <w:t xml:space="preserve"> of COVID-19: </w:t>
            </w:r>
            <w:proofErr w:type="spellStart"/>
            <w:r>
              <w:rPr>
                <w:sz w:val="21"/>
              </w:rPr>
              <w:t>The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mediating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roles</w:t>
            </w:r>
            <w:proofErr w:type="spellEnd"/>
            <w:r>
              <w:rPr>
                <w:sz w:val="21"/>
              </w:rPr>
              <w:t xml:space="preserve"> of </w:t>
            </w:r>
            <w:proofErr w:type="spellStart"/>
            <w:r>
              <w:rPr>
                <w:sz w:val="21"/>
              </w:rPr>
              <w:t>resilience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and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academic</w:t>
            </w:r>
            <w:proofErr w:type="spellEnd"/>
            <w:r>
              <w:rPr>
                <w:sz w:val="21"/>
              </w:rPr>
              <w:t xml:space="preserve"> self-</w:t>
            </w:r>
            <w:proofErr w:type="spellStart"/>
            <w:r>
              <w:rPr>
                <w:sz w:val="21"/>
              </w:rPr>
              <w:t>efficacy</w:t>
            </w:r>
            <w:proofErr w:type="spellEnd"/>
            <w:r>
              <w:rPr>
                <w:sz w:val="21"/>
              </w:rPr>
              <w:t xml:space="preserve">. </w:t>
            </w:r>
            <w:proofErr w:type="spellStart"/>
            <w:r>
              <w:rPr>
                <w:sz w:val="21"/>
              </w:rPr>
              <w:t>Psihologija</w:t>
            </w:r>
            <w:proofErr w:type="spellEnd"/>
            <w:r>
              <w:rPr>
                <w:sz w:val="21"/>
              </w:rPr>
              <w:t xml:space="preserve">, (00), 2-2. </w:t>
            </w:r>
            <w:hyperlink r:id="rId5">
              <w:r>
                <w:rPr>
                  <w:color w:val="0000FF"/>
                  <w:spacing w:val="-2"/>
                  <w:sz w:val="21"/>
                  <w:u w:val="single" w:color="0000FF"/>
                </w:rPr>
                <w:t>https://doi.org/10.2298/PSI220903002G</w:t>
              </w:r>
            </w:hyperlink>
          </w:p>
          <w:p w:rsidR="0009153F" w:rsidRDefault="0009153F">
            <w:pPr>
              <w:pStyle w:val="TableParagraph"/>
              <w:spacing w:line="244" w:lineRule="auto"/>
              <w:ind w:left="50"/>
              <w:rPr>
                <w:color w:val="0000FF"/>
                <w:spacing w:val="-2"/>
                <w:sz w:val="21"/>
                <w:u w:val="single" w:color="0000FF"/>
              </w:rPr>
            </w:pPr>
          </w:p>
          <w:p w:rsidR="0009153F" w:rsidRDefault="0009153F">
            <w:pPr>
              <w:pStyle w:val="TableParagraph"/>
              <w:spacing w:line="244" w:lineRule="auto"/>
              <w:ind w:left="50"/>
              <w:rPr>
                <w:color w:val="0000FF"/>
                <w:spacing w:val="-2"/>
                <w:sz w:val="21"/>
                <w:u w:val="single" w:color="0000FF"/>
              </w:rPr>
            </w:pPr>
          </w:p>
          <w:p w:rsidR="0009153F" w:rsidRDefault="0009153F">
            <w:pPr>
              <w:pStyle w:val="TableParagraph"/>
              <w:spacing w:line="244" w:lineRule="auto"/>
              <w:ind w:left="50"/>
              <w:rPr>
                <w:sz w:val="21"/>
              </w:rPr>
            </w:pPr>
            <w:r>
              <w:rPr>
                <w:color w:val="0000FF"/>
                <w:spacing w:val="-2"/>
                <w:sz w:val="21"/>
                <w:u w:val="single" w:color="0000FF"/>
              </w:rPr>
              <w:t>İletişim için: cicekilhan7272@gmail.com</w:t>
            </w:r>
            <w:bookmarkStart w:id="0" w:name="_GoBack"/>
            <w:bookmarkEnd w:id="0"/>
          </w:p>
        </w:tc>
      </w:tr>
      <w:tr w:rsidR="00017DF0">
        <w:trPr>
          <w:trHeight w:val="570"/>
        </w:trPr>
        <w:tc>
          <w:tcPr>
            <w:tcW w:w="10809" w:type="dxa"/>
          </w:tcPr>
          <w:p w:rsidR="00017DF0" w:rsidRDefault="00017DF0">
            <w:pPr>
              <w:pStyle w:val="TableParagraph"/>
              <w:spacing w:before="164"/>
              <w:ind w:left="50"/>
              <w:rPr>
                <w:sz w:val="21"/>
              </w:rPr>
            </w:pPr>
          </w:p>
        </w:tc>
      </w:tr>
      <w:tr w:rsidR="00017DF0">
        <w:trPr>
          <w:trHeight w:val="571"/>
        </w:trPr>
        <w:tc>
          <w:tcPr>
            <w:tcW w:w="10809" w:type="dxa"/>
          </w:tcPr>
          <w:p w:rsidR="00017DF0" w:rsidRDefault="00017DF0">
            <w:pPr>
              <w:pStyle w:val="TableParagraph"/>
              <w:spacing w:before="165"/>
              <w:ind w:left="50"/>
              <w:rPr>
                <w:sz w:val="21"/>
              </w:rPr>
            </w:pPr>
          </w:p>
        </w:tc>
      </w:tr>
      <w:tr w:rsidR="00017DF0">
        <w:trPr>
          <w:trHeight w:val="578"/>
        </w:trPr>
        <w:tc>
          <w:tcPr>
            <w:tcW w:w="10809" w:type="dxa"/>
          </w:tcPr>
          <w:p w:rsidR="00017DF0" w:rsidRDefault="00017DF0">
            <w:pPr>
              <w:pStyle w:val="TableParagraph"/>
              <w:spacing w:before="165"/>
              <w:ind w:left="50"/>
              <w:rPr>
                <w:sz w:val="21"/>
              </w:rPr>
            </w:pPr>
          </w:p>
        </w:tc>
      </w:tr>
      <w:tr w:rsidR="00017DF0">
        <w:trPr>
          <w:trHeight w:val="421"/>
        </w:trPr>
        <w:tc>
          <w:tcPr>
            <w:tcW w:w="10809" w:type="dxa"/>
          </w:tcPr>
          <w:p w:rsidR="00017DF0" w:rsidRDefault="00017DF0">
            <w:pPr>
              <w:pStyle w:val="TableParagraph"/>
              <w:spacing w:before="157" w:line="245" w:lineRule="exact"/>
              <w:ind w:left="50"/>
              <w:rPr>
                <w:rFonts w:ascii="Calibri"/>
              </w:rPr>
            </w:pPr>
          </w:p>
        </w:tc>
      </w:tr>
    </w:tbl>
    <w:p w:rsidR="009E2A05" w:rsidRDefault="009E2A05"/>
    <w:sectPr w:rsidR="009E2A05">
      <w:type w:val="continuous"/>
      <w:pgSz w:w="11910" w:h="16840"/>
      <w:pgMar w:top="1680" w:right="425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F0"/>
    <w:rsid w:val="00017DF0"/>
    <w:rsid w:val="0009153F"/>
    <w:rsid w:val="001F5CB8"/>
    <w:rsid w:val="009E2A05"/>
    <w:rsid w:val="00E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2B1B"/>
  <w15:docId w15:val="{9174ADF9-98B4-4EC1-A925-2ED4A1EE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79"/>
      <w:ind w:left="13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298/PSI220903002G" TargetMode="External"/><Relationship Id="rId4" Type="http://schemas.openxmlformats.org/officeDocument/2006/relationships/hyperlink" Target="http://dx.doi.org/10.6018/analesps.31.1.17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4</cp:revision>
  <dcterms:created xsi:type="dcterms:W3CDTF">2025-11-14T09:13:00Z</dcterms:created>
  <dcterms:modified xsi:type="dcterms:W3CDTF">2025-11-14T09:16:00Z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