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42648" w14:textId="7521CEA6" w:rsidR="009F3EE0" w:rsidRPr="00477168" w:rsidRDefault="00D729C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7168">
        <w:rPr>
          <w:rFonts w:ascii="Times New Roman" w:eastAsia="Times New Roman" w:hAnsi="Times New Roman" w:cs="Times New Roman"/>
          <w:b/>
          <w:sz w:val="28"/>
          <w:szCs w:val="28"/>
        </w:rPr>
        <w:t>Okula Hazır Oluş Ölçeği</w:t>
      </w:r>
    </w:p>
    <w:tbl>
      <w:tblPr>
        <w:tblStyle w:val="a0"/>
        <w:tblW w:w="889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40"/>
        <w:gridCol w:w="426"/>
        <w:gridCol w:w="425"/>
        <w:gridCol w:w="425"/>
        <w:gridCol w:w="425"/>
        <w:gridCol w:w="426"/>
        <w:gridCol w:w="425"/>
      </w:tblGrid>
      <w:tr w:rsidR="00CF78E6" w:rsidRPr="00477168" w14:paraId="3370F563" w14:textId="77777777" w:rsidTr="00DC4954">
        <w:trPr>
          <w:cantSplit/>
          <w:trHeight w:val="2483"/>
        </w:trPr>
        <w:tc>
          <w:tcPr>
            <w:tcW w:w="6340" w:type="dxa"/>
            <w:shd w:val="clear" w:color="auto" w:fill="auto"/>
            <w:vAlign w:val="center"/>
          </w:tcPr>
          <w:p w14:paraId="621AB27E" w14:textId="77777777" w:rsidR="00235EE2" w:rsidRPr="00477168" w:rsidRDefault="00235EE2" w:rsidP="00913A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heading=h.gjdgxs" w:colFirst="0" w:colLast="0"/>
            <w:bookmarkEnd w:id="0"/>
          </w:p>
          <w:p w14:paraId="770076EB" w14:textId="7C8AD10D" w:rsidR="00913A2A" w:rsidRPr="00477168" w:rsidRDefault="00913A2A" w:rsidP="00913A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Aşağıdaki listede </w:t>
            </w:r>
            <w:r w:rsidR="00287811"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çocukların</w:t>
            </w: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okula hazır oluş durumuna ilişkin maddeler yer almaktadır. Bu </w:t>
            </w: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ölçek</w:t>
            </w: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sizin veya </w:t>
            </w:r>
            <w:r w:rsidR="00287811"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sınıfınızdaki çocukların</w:t>
            </w: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eğitim süreci</w:t>
            </w:r>
            <w:r w:rsidR="00287811"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ni değerlendirme amacı taşımaz. </w:t>
            </w: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Lütfen değerlendirme yapacağınız </w:t>
            </w:r>
            <w:r w:rsidR="00287811"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çocuğun</w:t>
            </w: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 az son dört haftadaki genel durumunu göz önünde bulundurarak size e</w:t>
            </w:r>
            <w:r w:rsidR="00287811"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n uygun seçeneği işaretleyiniz.</w:t>
            </w:r>
          </w:p>
          <w:p w14:paraId="3E8D1BE1" w14:textId="77777777" w:rsidR="00287811" w:rsidRPr="00477168" w:rsidRDefault="00287811" w:rsidP="00913A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8BCA28" w14:textId="77777777" w:rsidR="00CF78E6" w:rsidRPr="00477168" w:rsidRDefault="00913A2A" w:rsidP="00913A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Gözlemlediğiniz davranış için; </w:t>
            </w:r>
            <w:r w:rsidRPr="004E2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“Hiçbir zaman”</w:t>
            </w: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gözlemlemediyseniz 1’i, </w:t>
            </w:r>
            <w:r w:rsidRPr="004E2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“Nadiren”</w:t>
            </w: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gözlemlediyseniz 2’yi, </w:t>
            </w:r>
            <w:r w:rsidRPr="004E2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“Bazen”</w:t>
            </w: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gözlemlediyseniz 3’ü, </w:t>
            </w:r>
            <w:r w:rsidRPr="004E2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“Genellikle”</w:t>
            </w: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gözlemlediyseniz 4’ü, </w:t>
            </w:r>
            <w:r w:rsidRPr="004E2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“Sıklıkla”</w:t>
            </w: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gözlemlediyseniz 5’i ve </w:t>
            </w:r>
            <w:r w:rsidRPr="004E29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“Her zaman” </w:t>
            </w: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gözlemlediyseniz 6’yı işaretleyiniz.</w:t>
            </w:r>
          </w:p>
          <w:p w14:paraId="077AD3D6" w14:textId="39863429" w:rsidR="00235EE2" w:rsidRPr="00477168" w:rsidRDefault="00235EE2" w:rsidP="00913A2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0E1D6BD9" w14:textId="56A70C42" w:rsidR="00CF78E6" w:rsidRPr="00DC4954" w:rsidRDefault="00CF78E6" w:rsidP="00DC49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DC4954">
              <w:rPr>
                <w:rFonts w:ascii="Times New Roman" w:hAnsi="Times New Roman" w:cs="Times New Roman"/>
                <w:b/>
                <w:szCs w:val="24"/>
              </w:rPr>
              <w:t>Hiçbir zaman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19BF12AA" w14:textId="217950FE" w:rsidR="00CF78E6" w:rsidRPr="00DC4954" w:rsidRDefault="00CF78E6" w:rsidP="00DC49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DC4954">
              <w:rPr>
                <w:rFonts w:ascii="Times New Roman" w:hAnsi="Times New Roman" w:cs="Times New Roman"/>
                <w:b/>
                <w:szCs w:val="24"/>
              </w:rPr>
              <w:t>Nadiren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23BCB63" w14:textId="079CE5ED" w:rsidR="00CF78E6" w:rsidRPr="00DC4954" w:rsidRDefault="00CF78E6" w:rsidP="00DC49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C4954">
              <w:rPr>
                <w:rFonts w:ascii="Times New Roman" w:hAnsi="Times New Roman" w:cs="Times New Roman"/>
                <w:b/>
                <w:szCs w:val="24"/>
              </w:rPr>
              <w:t>Bazen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5AF687AE" w14:textId="1EF70498" w:rsidR="00CF78E6" w:rsidRPr="00DC4954" w:rsidRDefault="00CF78E6" w:rsidP="00DC49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C4954">
              <w:rPr>
                <w:rFonts w:ascii="Times New Roman" w:hAnsi="Times New Roman" w:cs="Times New Roman"/>
                <w:b/>
                <w:szCs w:val="24"/>
              </w:rPr>
              <w:t>Genellikle</w:t>
            </w:r>
          </w:p>
        </w:tc>
        <w:tc>
          <w:tcPr>
            <w:tcW w:w="426" w:type="dxa"/>
            <w:textDirection w:val="btLr"/>
            <w:vAlign w:val="center"/>
          </w:tcPr>
          <w:p w14:paraId="3EBFFB92" w14:textId="31F21C02" w:rsidR="00CF78E6" w:rsidRPr="00DC4954" w:rsidRDefault="00CF78E6" w:rsidP="00DC49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C4954">
              <w:rPr>
                <w:rFonts w:ascii="Times New Roman" w:hAnsi="Times New Roman" w:cs="Times New Roman"/>
                <w:b/>
                <w:szCs w:val="24"/>
              </w:rPr>
              <w:t>Sıklıkla</w:t>
            </w:r>
          </w:p>
        </w:tc>
        <w:tc>
          <w:tcPr>
            <w:tcW w:w="425" w:type="dxa"/>
            <w:textDirection w:val="btLr"/>
            <w:vAlign w:val="center"/>
          </w:tcPr>
          <w:p w14:paraId="6622F650" w14:textId="7631613E" w:rsidR="00CF78E6" w:rsidRPr="00DC4954" w:rsidRDefault="00CF78E6" w:rsidP="00DC495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C4954">
              <w:rPr>
                <w:rFonts w:ascii="Times New Roman" w:hAnsi="Times New Roman" w:cs="Times New Roman"/>
                <w:b/>
                <w:szCs w:val="24"/>
              </w:rPr>
              <w:t>Her zaman</w:t>
            </w:r>
          </w:p>
        </w:tc>
      </w:tr>
      <w:tr w:rsidR="00CF78E6" w:rsidRPr="00477168" w14:paraId="27627E8A" w14:textId="77777777" w:rsidTr="00CF78E6">
        <w:tc>
          <w:tcPr>
            <w:tcW w:w="6340" w:type="dxa"/>
            <w:shd w:val="clear" w:color="auto" w:fill="auto"/>
          </w:tcPr>
          <w:p w14:paraId="0F8296A8" w14:textId="49BF3C77" w:rsidR="00CF78E6" w:rsidRPr="00477168" w:rsidRDefault="00CF78E6" w:rsidP="002878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 w:rsidRPr="00477168">
              <w:rPr>
                <w:rFonts w:ascii="Times New Roman" w:hAnsi="Times New Roman" w:cs="Times New Roman"/>
              </w:rPr>
              <w:t xml:space="preserve">Zorluklarla </w:t>
            </w:r>
            <w:r w:rsidR="00287811" w:rsidRPr="00477168">
              <w:rPr>
                <w:rFonts w:ascii="Times New Roman" w:hAnsi="Times New Roman" w:cs="Times New Roman"/>
              </w:rPr>
              <w:t>baş etmeye isteklidir.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FDA6DA5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9AD18C7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09C48DC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A3ED1A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14:paraId="79CBB55D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14:paraId="16F9B676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78E6" w:rsidRPr="00477168" w14:paraId="1B091F48" w14:textId="77777777" w:rsidTr="00CF78E6">
        <w:tc>
          <w:tcPr>
            <w:tcW w:w="6340" w:type="dxa"/>
            <w:shd w:val="clear" w:color="auto" w:fill="D9D9D9"/>
          </w:tcPr>
          <w:p w14:paraId="089D3759" w14:textId="6187CC91" w:rsidR="00CF78E6" w:rsidRPr="00477168" w:rsidRDefault="00CF78E6" w:rsidP="002878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 w:rsidRPr="00477168">
              <w:rPr>
                <w:rFonts w:ascii="Times New Roman" w:hAnsi="Times New Roman" w:cs="Times New Roman"/>
              </w:rPr>
              <w:t xml:space="preserve">Akranlarıyla </w:t>
            </w:r>
            <w:r w:rsidR="00287811" w:rsidRPr="00477168">
              <w:rPr>
                <w:rFonts w:ascii="Times New Roman" w:hAnsi="Times New Roman" w:cs="Times New Roman"/>
              </w:rPr>
              <w:t>kaynaşmaya isteklidir.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12610230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2E9DAF66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725EAC3A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3502148C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2BDB12DB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0E6F26CA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78E6" w:rsidRPr="00477168" w14:paraId="7895BAF6" w14:textId="77777777" w:rsidTr="00CF78E6">
        <w:tc>
          <w:tcPr>
            <w:tcW w:w="6340" w:type="dxa"/>
            <w:shd w:val="clear" w:color="auto" w:fill="auto"/>
          </w:tcPr>
          <w:p w14:paraId="4801DF0D" w14:textId="2EB99D8A" w:rsidR="00CF78E6" w:rsidRPr="00477168" w:rsidRDefault="00CF78E6" w:rsidP="00CF78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 w:rsidRPr="00477168">
              <w:rPr>
                <w:rFonts w:ascii="Times New Roman" w:hAnsi="Times New Roman" w:cs="Times New Roman"/>
              </w:rPr>
              <w:t>Akranlarıyla iş birliği içinde oyun oynar.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AD6E405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0F655AD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541C117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9950EB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14:paraId="32C21EBD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14:paraId="5C220A8E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78E6" w:rsidRPr="00477168" w14:paraId="36002E11" w14:textId="77777777" w:rsidTr="00CF78E6">
        <w:tc>
          <w:tcPr>
            <w:tcW w:w="6340" w:type="dxa"/>
            <w:shd w:val="clear" w:color="auto" w:fill="D9D9D9"/>
          </w:tcPr>
          <w:p w14:paraId="2332629C" w14:textId="448C95E2" w:rsidR="00CF78E6" w:rsidRPr="00477168" w:rsidRDefault="00CF78E6" w:rsidP="00CF78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 w:rsidRPr="00477168">
              <w:rPr>
                <w:rFonts w:ascii="Times New Roman" w:hAnsi="Times New Roman" w:cs="Times New Roman"/>
              </w:rPr>
              <w:t>Zorluk yaşadıktan sonra da çalışmalarına devam eder.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5EFDBC3C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472B212A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5CA41A27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1E8C3877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045EEF19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49073898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78E6" w:rsidRPr="00477168" w14:paraId="390B5A22" w14:textId="77777777" w:rsidTr="00CF78E6">
        <w:tc>
          <w:tcPr>
            <w:tcW w:w="6340" w:type="dxa"/>
            <w:shd w:val="clear" w:color="auto" w:fill="auto"/>
          </w:tcPr>
          <w:p w14:paraId="3FF41C51" w14:textId="0FD20F48" w:rsidR="00CF78E6" w:rsidRPr="00477168" w:rsidRDefault="00CF78E6" w:rsidP="00CF78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 w:rsidRPr="00477168">
              <w:rPr>
                <w:rFonts w:ascii="Times New Roman" w:hAnsi="Times New Roman" w:cs="Times New Roman"/>
              </w:rPr>
              <w:t xml:space="preserve">Grup etkinliklerine çoğunlukla </w:t>
            </w:r>
            <w:proofErr w:type="gramStart"/>
            <w:r w:rsidRPr="00477168">
              <w:rPr>
                <w:rFonts w:ascii="Times New Roman" w:hAnsi="Times New Roman" w:cs="Times New Roman"/>
              </w:rPr>
              <w:t>konsantre</w:t>
            </w:r>
            <w:proofErr w:type="gramEnd"/>
            <w:r w:rsidRPr="00477168">
              <w:rPr>
                <w:rFonts w:ascii="Times New Roman" w:hAnsi="Times New Roman" w:cs="Times New Roman"/>
              </w:rPr>
              <w:t xml:space="preserve"> olur.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2EF169C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432793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052287E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82771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14:paraId="073DE056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14:paraId="6BD40540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78E6" w:rsidRPr="00477168" w14:paraId="537263F9" w14:textId="77777777" w:rsidTr="00CF78E6">
        <w:tc>
          <w:tcPr>
            <w:tcW w:w="6340" w:type="dxa"/>
            <w:shd w:val="clear" w:color="auto" w:fill="D9D9D9"/>
          </w:tcPr>
          <w:p w14:paraId="038D9489" w14:textId="61CE8C52" w:rsidR="00CF78E6" w:rsidRPr="00477168" w:rsidRDefault="00CF78E6" w:rsidP="00CF78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 w:rsidRPr="00477168">
              <w:rPr>
                <w:rFonts w:ascii="Times New Roman" w:hAnsi="Times New Roman" w:cs="Times New Roman"/>
              </w:rPr>
              <w:t>Düşüncelerini öğretmenine aktif olarak iletir.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6987F880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20553133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7F4D3E2D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51573D95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1AE25313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7799C07D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78E6" w:rsidRPr="00477168" w14:paraId="14900672" w14:textId="77777777" w:rsidTr="00CF78E6">
        <w:tc>
          <w:tcPr>
            <w:tcW w:w="6340" w:type="dxa"/>
            <w:shd w:val="clear" w:color="auto" w:fill="auto"/>
          </w:tcPr>
          <w:p w14:paraId="667237D9" w14:textId="7C907256" w:rsidR="00CF78E6" w:rsidRPr="00477168" w:rsidRDefault="00CF78E6" w:rsidP="00CF78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 w:rsidRPr="00477168">
              <w:rPr>
                <w:rFonts w:ascii="Times New Roman" w:hAnsi="Times New Roman" w:cs="Times New Roman"/>
              </w:rPr>
              <w:t>Grup etkinlikleri sırasında öğretmene aktif olarak yanıt verir.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6D56B5B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4844EA4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C98F1E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844BCF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14:paraId="135D4335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14:paraId="7BE7F728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78E6" w:rsidRPr="00477168" w14:paraId="2823329A" w14:textId="77777777" w:rsidTr="00CF78E6">
        <w:tc>
          <w:tcPr>
            <w:tcW w:w="6340" w:type="dxa"/>
            <w:shd w:val="clear" w:color="auto" w:fill="D9D9D9"/>
          </w:tcPr>
          <w:p w14:paraId="745401C0" w14:textId="13A5172D" w:rsidR="00CF78E6" w:rsidRPr="00477168" w:rsidRDefault="00CF78E6" w:rsidP="00CF78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 w:rsidRPr="00477168">
              <w:rPr>
                <w:rFonts w:ascii="Times New Roman" w:hAnsi="Times New Roman" w:cs="Times New Roman"/>
              </w:rPr>
              <w:t>Kendine güvenir, "yapabileceğine" inanır.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55D427BF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4705B41C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40DB7B53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3F17013C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70972BB7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72751246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78E6" w:rsidRPr="00477168" w14:paraId="7A6FAA0B" w14:textId="77777777" w:rsidTr="00CF78E6">
        <w:tc>
          <w:tcPr>
            <w:tcW w:w="6340" w:type="dxa"/>
            <w:shd w:val="clear" w:color="auto" w:fill="auto"/>
          </w:tcPr>
          <w:p w14:paraId="6959099F" w14:textId="5835B8FF" w:rsidR="00CF78E6" w:rsidRPr="00477168" w:rsidRDefault="00CF78E6" w:rsidP="00CF78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 w:rsidRPr="00477168">
              <w:rPr>
                <w:rFonts w:ascii="Times New Roman" w:hAnsi="Times New Roman" w:cs="Times New Roman"/>
                <w:szCs w:val="20"/>
              </w:rPr>
              <w:t>Temel şekilleri tanır.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7D30423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552715C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D38435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B83980E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14:paraId="126D30C6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14:paraId="01F4CDB0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78E6" w:rsidRPr="00477168" w14:paraId="2C1A8B18" w14:textId="77777777" w:rsidTr="00CF78E6">
        <w:tc>
          <w:tcPr>
            <w:tcW w:w="6340" w:type="dxa"/>
            <w:shd w:val="clear" w:color="auto" w:fill="D9D9D9"/>
          </w:tcPr>
          <w:p w14:paraId="28DB6AF9" w14:textId="78EE8D09" w:rsidR="00CF78E6" w:rsidRPr="00477168" w:rsidRDefault="00CF78E6" w:rsidP="00CF78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 w:rsidRPr="00477168">
              <w:rPr>
                <w:rFonts w:ascii="Times New Roman" w:hAnsi="Times New Roman" w:cs="Times New Roman"/>
                <w:szCs w:val="20"/>
              </w:rPr>
              <w:t>Türkçeyi doğru konuşur.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04A3996B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134151E0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4BEEB419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1F8005FD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0D728BC3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7E686AF0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78E6" w:rsidRPr="00477168" w14:paraId="35AE3EF3" w14:textId="77777777" w:rsidTr="00CF78E6">
        <w:tc>
          <w:tcPr>
            <w:tcW w:w="6340" w:type="dxa"/>
            <w:shd w:val="clear" w:color="auto" w:fill="auto"/>
          </w:tcPr>
          <w:p w14:paraId="1156EB0B" w14:textId="46C33D15" w:rsidR="00CF78E6" w:rsidRPr="00477168" w:rsidRDefault="00CF78E6" w:rsidP="00CF78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 w:rsidRPr="00477168">
              <w:rPr>
                <w:rFonts w:ascii="Times New Roman" w:hAnsi="Times New Roman" w:cs="Times New Roman"/>
                <w:szCs w:val="20"/>
              </w:rPr>
              <w:t>Temel renkleri tanır.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E83B7DF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31CCAA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78569C1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436DC57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14:paraId="27AFDD88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14:paraId="20D281C6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78E6" w:rsidRPr="00477168" w14:paraId="4428C280" w14:textId="77777777" w:rsidTr="00CF78E6">
        <w:tc>
          <w:tcPr>
            <w:tcW w:w="6340" w:type="dxa"/>
            <w:shd w:val="clear" w:color="auto" w:fill="D9D9D9"/>
          </w:tcPr>
          <w:p w14:paraId="78B1B223" w14:textId="47FABC94" w:rsidR="00CF78E6" w:rsidRPr="00477168" w:rsidRDefault="00CF78E6" w:rsidP="00CF78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 w:rsidRPr="00477168">
              <w:rPr>
                <w:rFonts w:ascii="Times New Roman" w:hAnsi="Times New Roman" w:cs="Times New Roman"/>
                <w:szCs w:val="20"/>
              </w:rPr>
              <w:t>Türkçeyi doğru anlar.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540BDBF4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66020790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76E91D0A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680C00E4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2F8B1933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0652825D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78E6" w:rsidRPr="00477168" w14:paraId="74085EEA" w14:textId="77777777" w:rsidTr="00CF78E6">
        <w:tc>
          <w:tcPr>
            <w:tcW w:w="6340" w:type="dxa"/>
            <w:shd w:val="clear" w:color="auto" w:fill="auto"/>
          </w:tcPr>
          <w:p w14:paraId="6ABA6E68" w14:textId="504D1E0A" w:rsidR="00CF78E6" w:rsidRPr="00477168" w:rsidRDefault="00CF78E6" w:rsidP="00CF78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 w:rsidRPr="00477168">
              <w:rPr>
                <w:rFonts w:ascii="Times New Roman" w:hAnsi="Times New Roman" w:cs="Times New Roman"/>
                <w:szCs w:val="20"/>
              </w:rPr>
              <w:t>Kelimeleri düzgün telaffuz eder.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D2A77AE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13E1744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0F695D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849F093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14:paraId="179EFE70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14:paraId="4993C9A8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78E6" w:rsidRPr="00477168" w14:paraId="02E284DE" w14:textId="77777777" w:rsidTr="00CF78E6">
        <w:tc>
          <w:tcPr>
            <w:tcW w:w="6340" w:type="dxa"/>
            <w:shd w:val="clear" w:color="auto" w:fill="D9D9D9"/>
          </w:tcPr>
          <w:p w14:paraId="002E2AB4" w14:textId="647F37AD" w:rsidR="00CF78E6" w:rsidRPr="00477168" w:rsidRDefault="00CF78E6" w:rsidP="00CF78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 w:rsidRPr="00477168">
              <w:rPr>
                <w:rFonts w:ascii="Times New Roman" w:hAnsi="Times New Roman" w:cs="Times New Roman"/>
                <w:szCs w:val="20"/>
              </w:rPr>
              <w:t>Aileden ayrıldığında ağlar.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0628D9E4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683BB088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54F03C2A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1F40FA64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1AD28DB8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1A9398F3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78E6" w:rsidRPr="00477168" w14:paraId="6E30C220" w14:textId="77777777" w:rsidTr="00CF78E6">
        <w:tc>
          <w:tcPr>
            <w:tcW w:w="6340" w:type="dxa"/>
            <w:shd w:val="clear" w:color="auto" w:fill="auto"/>
          </w:tcPr>
          <w:p w14:paraId="470FED8C" w14:textId="64CBEA85" w:rsidR="00CF78E6" w:rsidRPr="00477168" w:rsidRDefault="00CF78E6" w:rsidP="00CF78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 w:rsidRPr="00477168">
              <w:rPr>
                <w:rFonts w:ascii="Times New Roman" w:hAnsi="Times New Roman" w:cs="Times New Roman"/>
                <w:szCs w:val="20"/>
              </w:rPr>
              <w:t>Uyku/dinlenme saatinde eve gitmek ya da ailesini görmek için ağlar veya üzülür.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918F6D7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DC284EC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724461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CB5ED44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14:paraId="4A5C341A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14:paraId="4E47A096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78E6" w:rsidRPr="00477168" w14:paraId="3658D87B" w14:textId="77777777" w:rsidTr="00CF78E6">
        <w:tc>
          <w:tcPr>
            <w:tcW w:w="6340" w:type="dxa"/>
            <w:shd w:val="clear" w:color="auto" w:fill="D9D9D9"/>
          </w:tcPr>
          <w:p w14:paraId="5F942CBA" w14:textId="4AEC96AD" w:rsidR="00CF78E6" w:rsidRPr="00477168" w:rsidRDefault="00CF78E6" w:rsidP="002878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 w:rsidRPr="00477168">
              <w:rPr>
                <w:rFonts w:ascii="Times New Roman" w:hAnsi="Times New Roman" w:cs="Times New Roman"/>
                <w:szCs w:val="20"/>
              </w:rPr>
              <w:t xml:space="preserve">Beslenme saatinde yemek yemeyi reddeder </w:t>
            </w:r>
            <w:r w:rsidR="00287811" w:rsidRPr="00477168">
              <w:rPr>
                <w:rFonts w:ascii="Times New Roman" w:hAnsi="Times New Roman" w:cs="Times New Roman"/>
                <w:szCs w:val="20"/>
              </w:rPr>
              <w:t>ya da</w:t>
            </w:r>
            <w:r w:rsidRPr="00477168">
              <w:rPr>
                <w:rFonts w:ascii="Times New Roman" w:hAnsi="Times New Roman" w:cs="Times New Roman"/>
                <w:szCs w:val="20"/>
              </w:rPr>
              <w:t xml:space="preserve"> ağlar.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5284B303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47D452F4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377F44D1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287FC82A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492EBC9D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2106A635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78E6" w:rsidRPr="00477168" w14:paraId="0430EA7E" w14:textId="77777777" w:rsidTr="00CF78E6">
        <w:tc>
          <w:tcPr>
            <w:tcW w:w="6340" w:type="dxa"/>
            <w:shd w:val="clear" w:color="auto" w:fill="auto"/>
          </w:tcPr>
          <w:p w14:paraId="0975B9EF" w14:textId="0A3105DE" w:rsidR="00CF78E6" w:rsidRPr="00477168" w:rsidRDefault="00CF78E6" w:rsidP="00CF78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 w:rsidRPr="00477168">
              <w:rPr>
                <w:rFonts w:ascii="Times New Roman" w:hAnsi="Times New Roman" w:cs="Times New Roman"/>
                <w:szCs w:val="20"/>
              </w:rPr>
              <w:t>Aileden ayrıldığında üzülür.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46AB1BC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C313DB6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8191C5F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6625DA0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14:paraId="16AE994C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14:paraId="433BA7BD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78E6" w:rsidRPr="00477168" w14:paraId="4B380821" w14:textId="77777777" w:rsidTr="00CF78E6">
        <w:tc>
          <w:tcPr>
            <w:tcW w:w="6340" w:type="dxa"/>
            <w:shd w:val="clear" w:color="auto" w:fill="D9D9D9"/>
          </w:tcPr>
          <w:p w14:paraId="63A09C44" w14:textId="4220A666" w:rsidR="00CF78E6" w:rsidRPr="00477168" w:rsidRDefault="00CF78E6" w:rsidP="00235EE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 w:rsidRPr="00477168">
              <w:rPr>
                <w:rFonts w:ascii="Times New Roman" w:hAnsi="Times New Roman" w:cs="Times New Roman"/>
                <w:szCs w:val="20"/>
              </w:rPr>
              <w:t xml:space="preserve">Uyku/dinlenme saatinde uyku odasına ya da yatağa gitmeye direnir. 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2397DB42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13C344CD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45332D6F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5762E7AB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085E7DFD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2C1417D9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78E6" w:rsidRPr="00477168" w14:paraId="55638731" w14:textId="77777777" w:rsidTr="00CF78E6">
        <w:tc>
          <w:tcPr>
            <w:tcW w:w="6340" w:type="dxa"/>
            <w:shd w:val="clear" w:color="auto" w:fill="auto"/>
          </w:tcPr>
          <w:p w14:paraId="3F9CB2C7" w14:textId="58049A52" w:rsidR="00CF78E6" w:rsidRPr="00477168" w:rsidRDefault="00287811" w:rsidP="002878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 w:rsidRPr="00477168">
              <w:rPr>
                <w:rFonts w:ascii="Times New Roman" w:hAnsi="Times New Roman" w:cs="Times New Roman"/>
                <w:szCs w:val="20"/>
              </w:rPr>
              <w:t>Çoğu zaman mutsuz ya da üzgün görünür.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9835F7F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FF377DC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A49FBF9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354837C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14:paraId="5C44E19F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14:paraId="599065BB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78E6" w:rsidRPr="00477168" w14:paraId="15ED0872" w14:textId="77777777" w:rsidTr="00CF78E6">
        <w:tc>
          <w:tcPr>
            <w:tcW w:w="6340" w:type="dxa"/>
            <w:shd w:val="clear" w:color="auto" w:fill="D9D9D9"/>
          </w:tcPr>
          <w:p w14:paraId="66463FDC" w14:textId="4D3EE263" w:rsidR="00CF78E6" w:rsidRPr="00477168" w:rsidRDefault="00CF78E6" w:rsidP="00CF78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 w:rsidRPr="00477168">
              <w:rPr>
                <w:rFonts w:ascii="Times New Roman" w:hAnsi="Times New Roman" w:cs="Times New Roman"/>
                <w:szCs w:val="20"/>
              </w:rPr>
              <w:t>Sıraya girer ve sırada kalır.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300CCBB1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75EF06EF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6DEA0385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4595F988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D9D9D9"/>
            <w:vAlign w:val="center"/>
          </w:tcPr>
          <w:p w14:paraId="2592A5C2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D9D9D9"/>
            <w:vAlign w:val="center"/>
          </w:tcPr>
          <w:p w14:paraId="05EDC4AB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78E6" w:rsidRPr="00477168" w14:paraId="740601AC" w14:textId="77777777" w:rsidTr="00CF78E6">
        <w:tc>
          <w:tcPr>
            <w:tcW w:w="6340" w:type="dxa"/>
            <w:shd w:val="clear" w:color="auto" w:fill="auto"/>
          </w:tcPr>
          <w:p w14:paraId="4169C379" w14:textId="66FC2056" w:rsidR="00CF78E6" w:rsidRPr="00477168" w:rsidRDefault="00287811" w:rsidP="0028781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26"/>
              <w:rPr>
                <w:rFonts w:ascii="Times New Roman" w:eastAsia="Times New Roman" w:hAnsi="Times New Roman" w:cs="Times New Roman"/>
                <w:color w:val="000000"/>
              </w:rPr>
            </w:pPr>
            <w:r w:rsidRPr="00477168">
              <w:rPr>
                <w:rFonts w:ascii="Times New Roman" w:hAnsi="Times New Roman" w:cs="Times New Roman"/>
                <w:szCs w:val="20"/>
              </w:rPr>
              <w:t>Oyun bittikten sonra oyuncağını yerine koyar.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117CCC6E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BBB58C5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D498256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81A1859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6" w:type="dxa"/>
            <w:vAlign w:val="center"/>
          </w:tcPr>
          <w:p w14:paraId="4C24F8E1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14:paraId="416CB4D1" w14:textId="77777777" w:rsidR="00CF78E6" w:rsidRPr="00477168" w:rsidRDefault="00CF78E6" w:rsidP="00CF78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716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5F36E87D" w14:textId="77777777" w:rsidR="009F3EE0" w:rsidRPr="00477168" w:rsidRDefault="009F3EE0">
      <w:pPr>
        <w:jc w:val="center"/>
        <w:rPr>
          <w:rFonts w:ascii="Times New Roman" w:eastAsia="Times New Roman" w:hAnsi="Times New Roman" w:cs="Times New Roman"/>
          <w:b/>
        </w:rPr>
      </w:pPr>
    </w:p>
    <w:p w14:paraId="15D7EE51" w14:textId="77777777" w:rsidR="00477168" w:rsidRDefault="00477168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09708DA8" w14:textId="08ADFD37" w:rsidR="009F3EE0" w:rsidRPr="00477168" w:rsidRDefault="004F775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716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ÖLÇME ARACI KULLANIM REHBERİ</w:t>
      </w:r>
    </w:p>
    <w:p w14:paraId="2FB2DE60" w14:textId="034D9790" w:rsidR="00CF78E6" w:rsidRPr="00477168" w:rsidRDefault="001B55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168">
        <w:rPr>
          <w:rFonts w:ascii="Times New Roman" w:eastAsia="Times New Roman" w:hAnsi="Times New Roman" w:cs="Times New Roman"/>
          <w:b/>
          <w:sz w:val="24"/>
          <w:szCs w:val="24"/>
        </w:rPr>
        <w:t xml:space="preserve">Ölçeğin Uyarlama </w:t>
      </w:r>
      <w:r w:rsidR="004F7754" w:rsidRPr="00477168">
        <w:rPr>
          <w:rFonts w:ascii="Times New Roman" w:eastAsia="Times New Roman" w:hAnsi="Times New Roman" w:cs="Times New Roman"/>
          <w:b/>
          <w:sz w:val="24"/>
          <w:szCs w:val="24"/>
        </w:rPr>
        <w:t xml:space="preserve">Künyesi: </w:t>
      </w:r>
      <w:r w:rsidR="00CF78E6" w:rsidRPr="00477168">
        <w:rPr>
          <w:rFonts w:ascii="Times New Roman" w:eastAsia="Times New Roman" w:hAnsi="Times New Roman" w:cs="Times New Roman"/>
          <w:sz w:val="24"/>
          <w:szCs w:val="24"/>
        </w:rPr>
        <w:t>Dinler, H. (2018). Ş</w:t>
      </w:r>
      <w:r w:rsidR="00CF78E6" w:rsidRPr="00477168">
        <w:rPr>
          <w:rFonts w:ascii="Times New Roman" w:eastAsia="Times New Roman" w:hAnsi="Times New Roman" w:cs="Times New Roman"/>
          <w:i/>
          <w:iCs/>
          <w:sz w:val="24"/>
          <w:szCs w:val="24"/>
        </w:rPr>
        <w:t>iir Odaklı Destekleyici Eğitim Programı'nın Okul Öncesi Dönemi Çocuklarının Fonolojik Farkındalıklarına Etkisi</w:t>
      </w:r>
      <w:r w:rsidR="00CF78E6" w:rsidRPr="00477168">
        <w:rPr>
          <w:rFonts w:ascii="Times New Roman" w:eastAsia="Times New Roman" w:hAnsi="Times New Roman" w:cs="Times New Roman"/>
          <w:sz w:val="24"/>
          <w:szCs w:val="24"/>
        </w:rPr>
        <w:t xml:space="preserve"> [Yüksek lisans tezi, Pamukkale Üniversitesi]. Denizli, Türkiye. </w:t>
      </w:r>
      <w:hyperlink r:id="rId6" w:history="1">
        <w:r w:rsidR="00CF78E6" w:rsidRPr="00477168">
          <w:rPr>
            <w:rStyle w:val="Kpr"/>
            <w:rFonts w:ascii="Times New Roman" w:eastAsia="Times New Roman" w:hAnsi="Times New Roman" w:cs="Times New Roman"/>
            <w:sz w:val="24"/>
            <w:szCs w:val="24"/>
          </w:rPr>
          <w:t>https://gcris.pau.edu.tr/handle/11499/26386</w:t>
        </w:r>
      </w:hyperlink>
      <w:r w:rsidR="00CF78E6" w:rsidRPr="00477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05D0DB" w14:textId="2A25A560" w:rsidR="002E6A33" w:rsidRPr="00477168" w:rsidRDefault="002E6A33" w:rsidP="004C6FA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7168">
        <w:rPr>
          <w:rFonts w:ascii="Times New Roman" w:hAnsi="Times New Roman" w:cs="Times New Roman"/>
          <w:b/>
          <w:bCs/>
          <w:sz w:val="24"/>
          <w:szCs w:val="24"/>
        </w:rPr>
        <w:t xml:space="preserve">Orijinal </w:t>
      </w:r>
      <w:r w:rsidR="004D0B5C" w:rsidRPr="00477168">
        <w:rPr>
          <w:rFonts w:ascii="Times New Roman" w:hAnsi="Times New Roman" w:cs="Times New Roman"/>
          <w:b/>
          <w:bCs/>
          <w:sz w:val="24"/>
          <w:szCs w:val="24"/>
        </w:rPr>
        <w:t>Ölçek</w:t>
      </w:r>
      <w:r w:rsidRPr="00477168">
        <w:rPr>
          <w:rFonts w:ascii="Times New Roman" w:hAnsi="Times New Roman" w:cs="Times New Roman"/>
          <w:b/>
          <w:bCs/>
          <w:sz w:val="24"/>
          <w:szCs w:val="24"/>
        </w:rPr>
        <w:t xml:space="preserve"> Künyesi:</w:t>
      </w:r>
      <w:r w:rsidRPr="0047716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77168">
        <w:rPr>
          <w:rFonts w:ascii="Times New Roman" w:hAnsi="Times New Roman" w:cs="Times New Roman"/>
          <w:bCs/>
          <w:sz w:val="24"/>
          <w:szCs w:val="24"/>
        </w:rPr>
        <w:t>Xie</w:t>
      </w:r>
      <w:proofErr w:type="spellEnd"/>
      <w:r w:rsidRPr="00477168">
        <w:rPr>
          <w:rFonts w:ascii="Times New Roman" w:hAnsi="Times New Roman" w:cs="Times New Roman"/>
          <w:bCs/>
          <w:sz w:val="24"/>
          <w:szCs w:val="24"/>
        </w:rPr>
        <w:t>, S</w:t>
      </w:r>
      <w:proofErr w:type="gramStart"/>
      <w:r w:rsidRPr="00477168">
        <w:rPr>
          <w:rFonts w:ascii="Times New Roman" w:hAnsi="Times New Roman" w:cs="Times New Roman"/>
          <w:bCs/>
          <w:sz w:val="24"/>
          <w:szCs w:val="24"/>
        </w:rPr>
        <w:t>.,</w:t>
      </w:r>
      <w:proofErr w:type="gramEnd"/>
      <w:r w:rsidRPr="00477168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Pr="00477168">
        <w:rPr>
          <w:rFonts w:ascii="Times New Roman" w:hAnsi="Times New Roman" w:cs="Times New Roman"/>
          <w:bCs/>
          <w:sz w:val="24"/>
          <w:szCs w:val="24"/>
        </w:rPr>
        <w:t>Li</w:t>
      </w:r>
      <w:proofErr w:type="spellEnd"/>
      <w:r w:rsidRPr="00477168">
        <w:rPr>
          <w:rFonts w:ascii="Times New Roman" w:hAnsi="Times New Roman" w:cs="Times New Roman"/>
          <w:bCs/>
          <w:sz w:val="24"/>
          <w:szCs w:val="24"/>
        </w:rPr>
        <w:t xml:space="preserve">, H. (2019). Development </w:t>
      </w:r>
      <w:proofErr w:type="spellStart"/>
      <w:r w:rsidRPr="00477168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47716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77168">
        <w:rPr>
          <w:rFonts w:ascii="Times New Roman" w:hAnsi="Times New Roman" w:cs="Times New Roman"/>
          <w:bCs/>
          <w:sz w:val="24"/>
          <w:szCs w:val="24"/>
        </w:rPr>
        <w:t>Validation</w:t>
      </w:r>
      <w:proofErr w:type="spellEnd"/>
      <w:r w:rsidRPr="00477168">
        <w:rPr>
          <w:rFonts w:ascii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477168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Pr="0047716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77168">
        <w:rPr>
          <w:rFonts w:ascii="Times New Roman" w:hAnsi="Times New Roman" w:cs="Times New Roman"/>
          <w:bCs/>
          <w:sz w:val="24"/>
          <w:szCs w:val="24"/>
        </w:rPr>
        <w:t>Chinese</w:t>
      </w:r>
      <w:proofErr w:type="spellEnd"/>
      <w:r w:rsidRPr="00477168">
        <w:rPr>
          <w:rFonts w:ascii="Times New Roman" w:hAnsi="Times New Roman" w:cs="Times New Roman"/>
          <w:bCs/>
          <w:sz w:val="24"/>
          <w:szCs w:val="24"/>
        </w:rPr>
        <w:t xml:space="preserve"> Preschool Readiness </w:t>
      </w:r>
      <w:proofErr w:type="spellStart"/>
      <w:r w:rsidRPr="00477168">
        <w:rPr>
          <w:rFonts w:ascii="Times New Roman" w:hAnsi="Times New Roman" w:cs="Times New Roman"/>
          <w:bCs/>
          <w:sz w:val="24"/>
          <w:szCs w:val="24"/>
        </w:rPr>
        <w:t>Scale</w:t>
      </w:r>
      <w:proofErr w:type="spellEnd"/>
      <w:r w:rsidRPr="00477168">
        <w:rPr>
          <w:rFonts w:ascii="Times New Roman" w:hAnsi="Times New Roman" w:cs="Times New Roman"/>
          <w:bCs/>
          <w:sz w:val="24"/>
          <w:szCs w:val="24"/>
        </w:rPr>
        <w:t>. </w:t>
      </w:r>
      <w:proofErr w:type="spellStart"/>
      <w:r w:rsidRPr="00477168">
        <w:rPr>
          <w:rFonts w:ascii="Times New Roman" w:hAnsi="Times New Roman" w:cs="Times New Roman"/>
          <w:bCs/>
          <w:i/>
          <w:iCs/>
          <w:sz w:val="24"/>
          <w:szCs w:val="24"/>
        </w:rPr>
        <w:t>Early</w:t>
      </w:r>
      <w:proofErr w:type="spellEnd"/>
      <w:r w:rsidRPr="0047716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77168">
        <w:rPr>
          <w:rFonts w:ascii="Times New Roman" w:hAnsi="Times New Roman" w:cs="Times New Roman"/>
          <w:bCs/>
          <w:i/>
          <w:iCs/>
          <w:sz w:val="24"/>
          <w:szCs w:val="24"/>
        </w:rPr>
        <w:t>Education</w:t>
      </w:r>
      <w:proofErr w:type="spellEnd"/>
      <w:r w:rsidRPr="0047716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477168">
        <w:rPr>
          <w:rFonts w:ascii="Times New Roman" w:hAnsi="Times New Roman" w:cs="Times New Roman"/>
          <w:bCs/>
          <w:i/>
          <w:iCs/>
          <w:sz w:val="24"/>
          <w:szCs w:val="24"/>
        </w:rPr>
        <w:t>and</w:t>
      </w:r>
      <w:proofErr w:type="spellEnd"/>
      <w:r w:rsidRPr="0047716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Development</w:t>
      </w:r>
      <w:r w:rsidRPr="00477168">
        <w:rPr>
          <w:rFonts w:ascii="Times New Roman" w:hAnsi="Times New Roman" w:cs="Times New Roman"/>
          <w:bCs/>
          <w:sz w:val="24"/>
          <w:szCs w:val="24"/>
        </w:rPr>
        <w:t>, </w:t>
      </w:r>
      <w:r w:rsidRPr="00477168">
        <w:rPr>
          <w:rFonts w:ascii="Times New Roman" w:hAnsi="Times New Roman" w:cs="Times New Roman"/>
          <w:bCs/>
          <w:i/>
          <w:iCs/>
          <w:sz w:val="24"/>
          <w:szCs w:val="24"/>
        </w:rPr>
        <w:t>30</w:t>
      </w:r>
      <w:r w:rsidRPr="00477168">
        <w:rPr>
          <w:rFonts w:ascii="Times New Roman" w:hAnsi="Times New Roman" w:cs="Times New Roman"/>
          <w:bCs/>
          <w:sz w:val="24"/>
          <w:szCs w:val="24"/>
        </w:rPr>
        <w:t>(4), 522–539. </w:t>
      </w:r>
      <w:hyperlink r:id="rId7" w:history="1">
        <w:r w:rsidRPr="00477168">
          <w:rPr>
            <w:rStyle w:val="Kpr"/>
            <w:rFonts w:ascii="Times New Roman" w:hAnsi="Times New Roman" w:cs="Times New Roman"/>
            <w:bCs/>
            <w:sz w:val="24"/>
            <w:szCs w:val="24"/>
          </w:rPr>
          <w:t>https://doi.org/10.1080/10409289.2019.1596462</w:t>
        </w:r>
      </w:hyperlink>
    </w:p>
    <w:p w14:paraId="0CF85BB5" w14:textId="5C093367" w:rsidR="004C6FA4" w:rsidRPr="00477168" w:rsidRDefault="004C6FA4" w:rsidP="004C6FA4">
      <w:pPr>
        <w:jc w:val="both"/>
        <w:rPr>
          <w:rFonts w:ascii="Times New Roman" w:hAnsi="Times New Roman" w:cs="Times New Roman"/>
          <w:sz w:val="24"/>
          <w:szCs w:val="24"/>
        </w:rPr>
      </w:pPr>
      <w:r w:rsidRPr="00477168">
        <w:rPr>
          <w:rFonts w:ascii="Times New Roman" w:hAnsi="Times New Roman" w:cs="Times New Roman"/>
          <w:b/>
          <w:bCs/>
          <w:sz w:val="24"/>
          <w:szCs w:val="24"/>
        </w:rPr>
        <w:t xml:space="preserve">İletişim: </w:t>
      </w:r>
      <w:r w:rsidRPr="00477168">
        <w:rPr>
          <w:rFonts w:ascii="Times New Roman" w:hAnsi="Times New Roman" w:cs="Times New Roman"/>
          <w:sz w:val="24"/>
          <w:szCs w:val="24"/>
        </w:rPr>
        <w:t xml:space="preserve">Dr. Hızır DİNLER, </w:t>
      </w:r>
      <w:hyperlink r:id="rId8" w:history="1">
        <w:r w:rsidRPr="00477168">
          <w:rPr>
            <w:rStyle w:val="Kpr"/>
            <w:rFonts w:ascii="Times New Roman" w:hAnsi="Times New Roman" w:cs="Times New Roman"/>
            <w:sz w:val="24"/>
            <w:szCs w:val="24"/>
          </w:rPr>
          <w:t>mizahizir@gmail.com</w:t>
        </w:r>
      </w:hyperlink>
    </w:p>
    <w:p w14:paraId="4E26E48A" w14:textId="77777777" w:rsidR="009F3EE0" w:rsidRPr="00477168" w:rsidRDefault="004F775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7168">
        <w:rPr>
          <w:rFonts w:ascii="Times New Roman" w:eastAsia="Times New Roman" w:hAnsi="Times New Roman" w:cs="Times New Roman"/>
          <w:b/>
          <w:sz w:val="24"/>
          <w:szCs w:val="24"/>
        </w:rPr>
        <w:t>UYGULAYICILAR ve ARAŞTIRMACILAR için REHBER</w:t>
      </w:r>
    </w:p>
    <w:p w14:paraId="3580B2CC" w14:textId="24CC1546" w:rsidR="00913A2A" w:rsidRPr="00477168" w:rsidRDefault="00913A2A" w:rsidP="00913A2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168">
        <w:rPr>
          <w:rFonts w:ascii="Times New Roman" w:eastAsia="Times New Roman" w:hAnsi="Times New Roman" w:cs="Times New Roman"/>
          <w:sz w:val="24"/>
          <w:szCs w:val="24"/>
        </w:rPr>
        <w:t xml:space="preserve">Bu ölçme aracı, 3-6 yaş aralığındaki okul öncesi dönem çocuklarının okula hazır </w:t>
      </w:r>
      <w:proofErr w:type="spellStart"/>
      <w:r w:rsidRPr="00477168">
        <w:rPr>
          <w:rFonts w:ascii="Times New Roman" w:eastAsia="Times New Roman" w:hAnsi="Times New Roman" w:cs="Times New Roman"/>
          <w:sz w:val="24"/>
          <w:szCs w:val="24"/>
        </w:rPr>
        <w:t>bulunuşluk</w:t>
      </w:r>
      <w:proofErr w:type="spellEnd"/>
      <w:r w:rsidRPr="00477168">
        <w:rPr>
          <w:rFonts w:ascii="Times New Roman" w:eastAsia="Times New Roman" w:hAnsi="Times New Roman" w:cs="Times New Roman"/>
          <w:sz w:val="24"/>
          <w:szCs w:val="24"/>
        </w:rPr>
        <w:t xml:space="preserve"> düzeylerini öğretmenler tarafından değerlendirmek amacıyla geliştirilmiştir. Orijinal ölçek </w:t>
      </w:r>
      <w:proofErr w:type="spellStart"/>
      <w:r w:rsidRPr="00477168">
        <w:rPr>
          <w:rFonts w:ascii="Times New Roman" w:eastAsia="Times New Roman" w:hAnsi="Times New Roman" w:cs="Times New Roman"/>
          <w:sz w:val="24"/>
          <w:szCs w:val="24"/>
        </w:rPr>
        <w:t>Xie</w:t>
      </w:r>
      <w:proofErr w:type="spellEnd"/>
      <w:r w:rsidRPr="00477168">
        <w:rPr>
          <w:rFonts w:ascii="Times New Roman" w:eastAsia="Times New Roman" w:hAnsi="Times New Roman" w:cs="Times New Roman"/>
          <w:sz w:val="24"/>
          <w:szCs w:val="24"/>
        </w:rPr>
        <w:t xml:space="preserve"> ve </w:t>
      </w:r>
      <w:proofErr w:type="spellStart"/>
      <w:r w:rsidRPr="00477168">
        <w:rPr>
          <w:rFonts w:ascii="Times New Roman" w:eastAsia="Times New Roman" w:hAnsi="Times New Roman" w:cs="Times New Roman"/>
          <w:sz w:val="24"/>
          <w:szCs w:val="24"/>
        </w:rPr>
        <w:t>Li</w:t>
      </w:r>
      <w:proofErr w:type="spellEnd"/>
      <w:r w:rsidRPr="00477168">
        <w:rPr>
          <w:rFonts w:ascii="Times New Roman" w:eastAsia="Times New Roman" w:hAnsi="Times New Roman" w:cs="Times New Roman"/>
          <w:sz w:val="24"/>
          <w:szCs w:val="24"/>
        </w:rPr>
        <w:t xml:space="preserve"> (2019) tarafından geliştirilmiş, </w:t>
      </w:r>
      <w:proofErr w:type="spellStart"/>
      <w:r w:rsidRPr="00477168">
        <w:rPr>
          <w:rFonts w:ascii="Times New Roman" w:eastAsia="Times New Roman" w:hAnsi="Times New Roman" w:cs="Times New Roman"/>
          <w:sz w:val="24"/>
          <w:szCs w:val="24"/>
        </w:rPr>
        <w:t>Türkçe'ye</w:t>
      </w:r>
      <w:proofErr w:type="spellEnd"/>
      <w:r w:rsidRPr="00477168">
        <w:rPr>
          <w:rFonts w:ascii="Times New Roman" w:eastAsia="Times New Roman" w:hAnsi="Times New Roman" w:cs="Times New Roman"/>
          <w:sz w:val="24"/>
          <w:szCs w:val="24"/>
        </w:rPr>
        <w:t xml:space="preserve"> uyarlama çalışması Dinler </w:t>
      </w:r>
      <w:r w:rsidR="007B0EC3" w:rsidRPr="00477168">
        <w:rPr>
          <w:rFonts w:ascii="Times New Roman" w:eastAsia="Times New Roman" w:hAnsi="Times New Roman" w:cs="Times New Roman"/>
          <w:sz w:val="24"/>
          <w:szCs w:val="24"/>
        </w:rPr>
        <w:t>(2018)</w:t>
      </w:r>
      <w:r w:rsidRPr="00477168">
        <w:rPr>
          <w:rFonts w:ascii="Times New Roman" w:eastAsia="Times New Roman" w:hAnsi="Times New Roman" w:cs="Times New Roman"/>
          <w:sz w:val="24"/>
          <w:szCs w:val="24"/>
        </w:rPr>
        <w:t xml:space="preserve"> tarafından yapılmıştır. Ölçme aracı, </w:t>
      </w:r>
      <w:r w:rsidR="00EE3EF6" w:rsidRPr="00477168">
        <w:rPr>
          <w:rFonts w:ascii="Times New Roman" w:eastAsia="Times New Roman" w:hAnsi="Times New Roman" w:cs="Times New Roman"/>
          <w:sz w:val="24"/>
          <w:szCs w:val="24"/>
        </w:rPr>
        <w:t xml:space="preserve">orijinal formunda 25 maddeden, </w:t>
      </w:r>
      <w:r w:rsidRPr="00477168">
        <w:rPr>
          <w:rFonts w:ascii="Times New Roman" w:eastAsia="Times New Roman" w:hAnsi="Times New Roman" w:cs="Times New Roman"/>
          <w:sz w:val="24"/>
          <w:szCs w:val="24"/>
        </w:rPr>
        <w:t>AFA sonrası nihai formunda </w:t>
      </w:r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>21 madde</w:t>
      </w:r>
      <w:r w:rsidRPr="00477168">
        <w:rPr>
          <w:rFonts w:ascii="Times New Roman" w:eastAsia="Times New Roman" w:hAnsi="Times New Roman" w:cs="Times New Roman"/>
          <w:sz w:val="24"/>
          <w:szCs w:val="24"/>
        </w:rPr>
        <w:t> ve </w:t>
      </w:r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>4 alt boyuttan</w:t>
      </w:r>
      <w:r w:rsidRPr="00477168">
        <w:rPr>
          <w:rFonts w:ascii="Times New Roman" w:eastAsia="Times New Roman" w:hAnsi="Times New Roman" w:cs="Times New Roman"/>
          <w:sz w:val="24"/>
          <w:szCs w:val="24"/>
        </w:rPr>
        <w:t> oluşmaktadır. Bunlar </w:t>
      </w:r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>Sosyal Yeterlilik ve Öğrenme Eğilimleri</w:t>
      </w:r>
      <w:r w:rsidRPr="00477168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>Bilişsel ve İletişim Becerileri</w:t>
      </w:r>
      <w:r w:rsidRPr="00477168">
        <w:rPr>
          <w:rFonts w:ascii="Times New Roman" w:eastAsia="Times New Roman" w:hAnsi="Times New Roman" w:cs="Times New Roman"/>
          <w:sz w:val="24"/>
          <w:szCs w:val="24"/>
        </w:rPr>
        <w:t>, </w:t>
      </w:r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>Özbakım Becerileri</w:t>
      </w:r>
      <w:r w:rsidRPr="00477168">
        <w:rPr>
          <w:rFonts w:ascii="Times New Roman" w:eastAsia="Times New Roman" w:hAnsi="Times New Roman" w:cs="Times New Roman"/>
          <w:sz w:val="24"/>
          <w:szCs w:val="24"/>
        </w:rPr>
        <w:t> ve </w:t>
      </w:r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Sınıf </w:t>
      </w:r>
      <w:proofErr w:type="spellStart"/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>Kuralları</w:t>
      </w:r>
      <w:r w:rsidRPr="00477168">
        <w:rPr>
          <w:rFonts w:ascii="Times New Roman" w:eastAsia="Times New Roman" w:hAnsi="Times New Roman" w:cs="Times New Roman"/>
          <w:sz w:val="24"/>
          <w:szCs w:val="24"/>
        </w:rPr>
        <w:t>’dır</w:t>
      </w:r>
      <w:proofErr w:type="spellEnd"/>
      <w:r w:rsidRPr="00477168">
        <w:rPr>
          <w:rFonts w:ascii="Times New Roman" w:eastAsia="Times New Roman" w:hAnsi="Times New Roman" w:cs="Times New Roman"/>
          <w:sz w:val="24"/>
          <w:szCs w:val="24"/>
        </w:rPr>
        <w:t>. Bu alt boyutlar, çocukların okula hazır oluş durumlarını çok yönlü ve kapsamlı bir şekilde değerlendirmek için tasarlanmıştır.</w:t>
      </w:r>
    </w:p>
    <w:p w14:paraId="25580863" w14:textId="77777777" w:rsidR="00913A2A" w:rsidRPr="00477168" w:rsidRDefault="00913A2A" w:rsidP="00913A2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168">
        <w:rPr>
          <w:rFonts w:ascii="Times New Roman" w:eastAsia="Times New Roman" w:hAnsi="Times New Roman" w:cs="Times New Roman"/>
          <w:sz w:val="24"/>
          <w:szCs w:val="24"/>
        </w:rPr>
        <w:t>Okul öncesi çocuklarının okula hazır oluş düzeylerini ölçen bu ölçek, dört (4) alt boyutu olan 21 maddeden oluşan </w:t>
      </w:r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altılı (6'lı) </w:t>
      </w:r>
      <w:proofErr w:type="spellStart"/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>Likert</w:t>
      </w:r>
      <w:proofErr w:type="spellEnd"/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tipinde</w:t>
      </w:r>
      <w:r w:rsidRPr="00477168">
        <w:rPr>
          <w:rFonts w:ascii="Times New Roman" w:eastAsia="Times New Roman" w:hAnsi="Times New Roman" w:cs="Times New Roman"/>
          <w:sz w:val="24"/>
          <w:szCs w:val="24"/>
        </w:rPr>
        <w:t> bir ölçektir. Değerlendirme yapan öğretmenler, gözlemledikleri her bir davranışsal madde için </w:t>
      </w:r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>1 (Hiçbir zaman)</w:t>
      </w:r>
      <w:r w:rsidRPr="00477168">
        <w:rPr>
          <w:rFonts w:ascii="Times New Roman" w:eastAsia="Times New Roman" w:hAnsi="Times New Roman" w:cs="Times New Roman"/>
          <w:sz w:val="24"/>
          <w:szCs w:val="24"/>
        </w:rPr>
        <w:t> ile </w:t>
      </w:r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>6 (Her zaman)</w:t>
      </w:r>
      <w:r w:rsidRPr="00477168">
        <w:rPr>
          <w:rFonts w:ascii="Times New Roman" w:eastAsia="Times New Roman" w:hAnsi="Times New Roman" w:cs="Times New Roman"/>
          <w:sz w:val="24"/>
          <w:szCs w:val="24"/>
        </w:rPr>
        <w:t> arasında bir puanlama yapar.</w:t>
      </w:r>
    </w:p>
    <w:p w14:paraId="5A803C17" w14:textId="77777777" w:rsidR="002E6A33" w:rsidRPr="00477168" w:rsidRDefault="00913A2A" w:rsidP="00913A2A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>Açımlayıcı</w:t>
      </w:r>
      <w:proofErr w:type="spellEnd"/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Faktör Analizi (AFA)</w:t>
      </w:r>
      <w:r w:rsidR="00BB6F62"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D46945C" w14:textId="79129F8F" w:rsidR="00913A2A" w:rsidRPr="00477168" w:rsidRDefault="00913A2A" w:rsidP="00913A2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168">
        <w:rPr>
          <w:rFonts w:ascii="Times New Roman" w:eastAsia="Times New Roman" w:hAnsi="Times New Roman" w:cs="Times New Roman"/>
          <w:sz w:val="24"/>
          <w:szCs w:val="24"/>
        </w:rPr>
        <w:t xml:space="preserve">Ölçeğin </w:t>
      </w:r>
      <w:proofErr w:type="spellStart"/>
      <w:r w:rsidRPr="00477168">
        <w:rPr>
          <w:rFonts w:ascii="Times New Roman" w:eastAsia="Times New Roman" w:hAnsi="Times New Roman" w:cs="Times New Roman"/>
          <w:sz w:val="24"/>
          <w:szCs w:val="24"/>
        </w:rPr>
        <w:t>Açımlayıcı</w:t>
      </w:r>
      <w:proofErr w:type="spellEnd"/>
      <w:r w:rsidRPr="00477168">
        <w:rPr>
          <w:rFonts w:ascii="Times New Roman" w:eastAsia="Times New Roman" w:hAnsi="Times New Roman" w:cs="Times New Roman"/>
          <w:sz w:val="24"/>
          <w:szCs w:val="24"/>
        </w:rPr>
        <w:t xml:space="preserve"> Faktör Analizinden elde edilen </w:t>
      </w:r>
      <w:proofErr w:type="spellStart"/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>Kaiser-Meyer-Olkin</w:t>
      </w:r>
      <w:proofErr w:type="spellEnd"/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(KMO) </w:t>
      </w:r>
      <w:proofErr w:type="gramStart"/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>değeri .93</w:t>
      </w:r>
      <w:proofErr w:type="gramEnd"/>
      <w:r w:rsidRPr="00477168">
        <w:rPr>
          <w:rFonts w:ascii="Times New Roman" w:eastAsia="Times New Roman" w:hAnsi="Times New Roman" w:cs="Times New Roman"/>
          <w:sz w:val="24"/>
          <w:szCs w:val="24"/>
        </w:rPr>
        <w:t> olarak hesaplanmış ve </w:t>
      </w:r>
      <w:proofErr w:type="spellStart"/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>Bartlett</w:t>
      </w:r>
      <w:proofErr w:type="spellEnd"/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Küresellik Testi değeri</w:t>
      </w:r>
      <w:r w:rsidRPr="00477168">
        <w:rPr>
          <w:rFonts w:ascii="Times New Roman" w:eastAsia="Times New Roman" w:hAnsi="Times New Roman" w:cs="Times New Roman"/>
          <w:sz w:val="24"/>
          <w:szCs w:val="24"/>
        </w:rPr>
        <w:t xml:space="preserve"> (χ²=9153.88, p&lt;.001) istatistiksel olarak anlamlı bulunmuştur. Bu değerler, veri setinin faktör analizi için mükemmel düzeyde uygun olduğunu ve değişkenler arasında anlamlı ilişkiler bulunduğunu göstererek </w:t>
      </w:r>
      <w:proofErr w:type="spellStart"/>
      <w:r w:rsidRPr="00477168">
        <w:rPr>
          <w:rFonts w:ascii="Times New Roman" w:eastAsia="Times New Roman" w:hAnsi="Times New Roman" w:cs="Times New Roman"/>
          <w:sz w:val="24"/>
          <w:szCs w:val="24"/>
        </w:rPr>
        <w:t>AFA’nın</w:t>
      </w:r>
      <w:proofErr w:type="spellEnd"/>
      <w:r w:rsidRPr="00477168">
        <w:rPr>
          <w:rFonts w:ascii="Times New Roman" w:eastAsia="Times New Roman" w:hAnsi="Times New Roman" w:cs="Times New Roman"/>
          <w:sz w:val="24"/>
          <w:szCs w:val="24"/>
        </w:rPr>
        <w:t xml:space="preserve"> güvenilir bir şekilde gerçekleştirilebileceğini işaret etmektedir.</w:t>
      </w:r>
    </w:p>
    <w:p w14:paraId="7BCFEC33" w14:textId="53F23256" w:rsidR="004705E8" w:rsidRPr="00477168" w:rsidRDefault="00913A2A" w:rsidP="00913A2A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7168">
        <w:rPr>
          <w:rFonts w:ascii="Times New Roman" w:eastAsia="Times New Roman" w:hAnsi="Times New Roman" w:cs="Times New Roman"/>
          <w:sz w:val="24"/>
          <w:szCs w:val="24"/>
        </w:rPr>
        <w:t>Ölçeğin dört faktörlü yapısına ait AFA sonuçlarına göre açıklayıcı </w:t>
      </w:r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toplam </w:t>
      </w:r>
      <w:proofErr w:type="spellStart"/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>varyans</w:t>
      </w:r>
      <w:proofErr w:type="spellEnd"/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oranı %79.28</w:t>
      </w:r>
      <w:r w:rsidRPr="00477168">
        <w:rPr>
          <w:rFonts w:ascii="Times New Roman" w:eastAsia="Times New Roman" w:hAnsi="Times New Roman" w:cs="Times New Roman"/>
          <w:sz w:val="24"/>
          <w:szCs w:val="24"/>
        </w:rPr>
        <w:t> olarak saptanmıştır. Alt boyutlar arasında ilişki olduğu saptandığı için faktörlerin yorumlanmasında “</w:t>
      </w:r>
      <w:proofErr w:type="spellStart"/>
      <w:r w:rsidRPr="00477168">
        <w:rPr>
          <w:rFonts w:ascii="Times New Roman" w:eastAsia="Times New Roman" w:hAnsi="Times New Roman" w:cs="Times New Roman"/>
          <w:sz w:val="24"/>
          <w:szCs w:val="24"/>
        </w:rPr>
        <w:t>direct</w:t>
      </w:r>
      <w:proofErr w:type="spellEnd"/>
      <w:r w:rsidRPr="00477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77168">
        <w:rPr>
          <w:rFonts w:ascii="Times New Roman" w:eastAsia="Times New Roman" w:hAnsi="Times New Roman" w:cs="Times New Roman"/>
          <w:sz w:val="24"/>
          <w:szCs w:val="24"/>
        </w:rPr>
        <w:t>oblimin</w:t>
      </w:r>
      <w:proofErr w:type="spellEnd"/>
      <w:r w:rsidRPr="00477168">
        <w:rPr>
          <w:rFonts w:ascii="Times New Roman" w:eastAsia="Times New Roman" w:hAnsi="Times New Roman" w:cs="Times New Roman"/>
          <w:sz w:val="24"/>
          <w:szCs w:val="24"/>
        </w:rPr>
        <w:t xml:space="preserve"> eksen döndürme tekniği” kullanılmıştır. Analizler sonucunda orijinal 25 maddelik formdan, faktör </w:t>
      </w:r>
      <w:proofErr w:type="gramStart"/>
      <w:r w:rsidRPr="00477168">
        <w:rPr>
          <w:rFonts w:ascii="Times New Roman" w:eastAsia="Times New Roman" w:hAnsi="Times New Roman" w:cs="Times New Roman"/>
          <w:sz w:val="24"/>
          <w:szCs w:val="24"/>
        </w:rPr>
        <w:t>yükü .30'un</w:t>
      </w:r>
      <w:proofErr w:type="gramEnd"/>
      <w:r w:rsidRPr="00477168">
        <w:rPr>
          <w:rFonts w:ascii="Times New Roman" w:eastAsia="Times New Roman" w:hAnsi="Times New Roman" w:cs="Times New Roman"/>
          <w:sz w:val="24"/>
          <w:szCs w:val="24"/>
        </w:rPr>
        <w:t xml:space="preserve"> altında olan veya </w:t>
      </w:r>
      <w:proofErr w:type="spellStart"/>
      <w:r w:rsidRPr="00477168">
        <w:rPr>
          <w:rFonts w:ascii="Times New Roman" w:eastAsia="Times New Roman" w:hAnsi="Times New Roman" w:cs="Times New Roman"/>
          <w:sz w:val="24"/>
          <w:szCs w:val="24"/>
        </w:rPr>
        <w:t>binişik</w:t>
      </w:r>
      <w:proofErr w:type="spellEnd"/>
      <w:r w:rsidRPr="00477168">
        <w:rPr>
          <w:rFonts w:ascii="Times New Roman" w:eastAsia="Times New Roman" w:hAnsi="Times New Roman" w:cs="Times New Roman"/>
          <w:sz w:val="24"/>
          <w:szCs w:val="24"/>
        </w:rPr>
        <w:t xml:space="preserve"> (iki faktördeki yük farkının .10'dan az olması) olan 4 madde ölçekten çıkarılarak 21 maddelik nihai forma ulaşılmıştır.</w:t>
      </w:r>
    </w:p>
    <w:p w14:paraId="4D09311A" w14:textId="77777777" w:rsidR="007D2C11" w:rsidRDefault="007D2C11" w:rsidP="00913A2A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33D1FB" w14:textId="77777777" w:rsidR="007D2C11" w:rsidRDefault="007D2C11" w:rsidP="00913A2A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BBF1E0" w14:textId="77777777" w:rsidR="007D2C11" w:rsidRDefault="007D2C11" w:rsidP="00913A2A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D8C41A" w14:textId="77777777" w:rsidR="007D2C11" w:rsidRDefault="007D2C11" w:rsidP="00913A2A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FF2024" w14:textId="77777777" w:rsidR="007D2C11" w:rsidRDefault="007D2C11" w:rsidP="00913A2A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96ED19" w14:textId="17E80B1D" w:rsidR="002E6A33" w:rsidRPr="00477168" w:rsidRDefault="00913A2A" w:rsidP="00913A2A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Doğrulayıcı Faktör Analizi (DFA)</w:t>
      </w:r>
      <w:r w:rsidR="002E6A33"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085FCCA6" w14:textId="447E6935" w:rsidR="00913A2A" w:rsidRPr="00477168" w:rsidRDefault="00913A2A" w:rsidP="00913A2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168">
        <w:rPr>
          <w:rFonts w:ascii="Times New Roman" w:eastAsia="Times New Roman" w:hAnsi="Times New Roman" w:cs="Times New Roman"/>
          <w:sz w:val="24"/>
          <w:szCs w:val="24"/>
        </w:rPr>
        <w:t>AFA ile belirlenen dört faktörlü yapının doğruluğu Doğrulayıcı Faktör Analizi (DFA) ile test edilmiştir. DFA sonuçlarına göre model-veri uyum istatistikleri aşağıdaki gibi bulunmuştur:</w:t>
      </w:r>
    </w:p>
    <w:p w14:paraId="5E3AB94B" w14:textId="77777777" w:rsidR="00913A2A" w:rsidRPr="00477168" w:rsidRDefault="00913A2A" w:rsidP="007D2C11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>χ²/</w:t>
      </w:r>
      <w:proofErr w:type="spellStart"/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>sd</w:t>
      </w:r>
      <w:proofErr w:type="spellEnd"/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</w:t>
      </w:r>
      <w:r w:rsidRPr="00477168">
        <w:rPr>
          <w:rFonts w:ascii="Times New Roman" w:eastAsia="Times New Roman" w:hAnsi="Times New Roman" w:cs="Times New Roman"/>
          <w:bCs/>
          <w:sz w:val="24"/>
          <w:szCs w:val="24"/>
        </w:rPr>
        <w:t>4.56</w:t>
      </w:r>
    </w:p>
    <w:p w14:paraId="0DE36CE8" w14:textId="77777777" w:rsidR="00913A2A" w:rsidRPr="00477168" w:rsidRDefault="00913A2A" w:rsidP="007D2C11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RMSEA = </w:t>
      </w:r>
      <w:r w:rsidRPr="00477168">
        <w:rPr>
          <w:rFonts w:ascii="Times New Roman" w:eastAsia="Times New Roman" w:hAnsi="Times New Roman" w:cs="Times New Roman"/>
          <w:bCs/>
          <w:sz w:val="24"/>
          <w:szCs w:val="24"/>
        </w:rPr>
        <w:t>0.09</w:t>
      </w:r>
    </w:p>
    <w:p w14:paraId="68D5C104" w14:textId="77777777" w:rsidR="00913A2A" w:rsidRPr="00477168" w:rsidRDefault="00913A2A" w:rsidP="007D2C11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CFI = </w:t>
      </w:r>
      <w:r w:rsidRPr="00477168">
        <w:rPr>
          <w:rFonts w:ascii="Times New Roman" w:eastAsia="Times New Roman" w:hAnsi="Times New Roman" w:cs="Times New Roman"/>
          <w:bCs/>
          <w:sz w:val="24"/>
          <w:szCs w:val="24"/>
        </w:rPr>
        <w:t>0.98</w:t>
      </w:r>
    </w:p>
    <w:p w14:paraId="6B5AB441" w14:textId="77777777" w:rsidR="00913A2A" w:rsidRPr="00477168" w:rsidRDefault="00913A2A" w:rsidP="007D2C11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TLI = </w:t>
      </w:r>
      <w:r w:rsidRPr="00477168">
        <w:rPr>
          <w:rFonts w:ascii="Times New Roman" w:eastAsia="Times New Roman" w:hAnsi="Times New Roman" w:cs="Times New Roman"/>
          <w:bCs/>
          <w:sz w:val="24"/>
          <w:szCs w:val="24"/>
        </w:rPr>
        <w:t>0.97</w:t>
      </w:r>
    </w:p>
    <w:p w14:paraId="11C220D8" w14:textId="77777777" w:rsidR="00913A2A" w:rsidRPr="00477168" w:rsidRDefault="00913A2A" w:rsidP="007D2C11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SRMR = </w:t>
      </w:r>
      <w:r w:rsidRPr="00477168">
        <w:rPr>
          <w:rFonts w:ascii="Times New Roman" w:eastAsia="Times New Roman" w:hAnsi="Times New Roman" w:cs="Times New Roman"/>
          <w:bCs/>
          <w:sz w:val="24"/>
          <w:szCs w:val="24"/>
        </w:rPr>
        <w:t>0.02</w:t>
      </w:r>
    </w:p>
    <w:p w14:paraId="5F72C26D" w14:textId="77777777" w:rsidR="00913A2A" w:rsidRPr="00477168" w:rsidRDefault="00913A2A" w:rsidP="00913A2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168">
        <w:rPr>
          <w:rFonts w:ascii="Times New Roman" w:eastAsia="Times New Roman" w:hAnsi="Times New Roman" w:cs="Times New Roman"/>
          <w:sz w:val="24"/>
          <w:szCs w:val="24"/>
        </w:rPr>
        <w:t>Model-veri uyum indeksleri bütünüyle incelendiğinde, χ²/</w:t>
      </w:r>
      <w:proofErr w:type="spellStart"/>
      <w:r w:rsidRPr="00477168">
        <w:rPr>
          <w:rFonts w:ascii="Times New Roman" w:eastAsia="Times New Roman" w:hAnsi="Times New Roman" w:cs="Times New Roman"/>
          <w:sz w:val="24"/>
          <w:szCs w:val="24"/>
        </w:rPr>
        <w:t>sd</w:t>
      </w:r>
      <w:proofErr w:type="spellEnd"/>
      <w:r w:rsidRPr="00477168">
        <w:rPr>
          <w:rFonts w:ascii="Times New Roman" w:eastAsia="Times New Roman" w:hAnsi="Times New Roman" w:cs="Times New Roman"/>
          <w:sz w:val="24"/>
          <w:szCs w:val="24"/>
        </w:rPr>
        <w:t xml:space="preserve"> oranı, RMSEA, CFI ve TLI değerlerinin kabul edilebilir sınırlar içinde olduğu görülmektedir (</w:t>
      </w:r>
      <w:proofErr w:type="spellStart"/>
      <w:r w:rsidRPr="00477168">
        <w:rPr>
          <w:rFonts w:ascii="Times New Roman" w:eastAsia="Times New Roman" w:hAnsi="Times New Roman" w:cs="Times New Roman"/>
          <w:sz w:val="24"/>
          <w:szCs w:val="24"/>
        </w:rPr>
        <w:t>Byrne</w:t>
      </w:r>
      <w:proofErr w:type="spellEnd"/>
      <w:r w:rsidRPr="00477168">
        <w:rPr>
          <w:rFonts w:ascii="Times New Roman" w:eastAsia="Times New Roman" w:hAnsi="Times New Roman" w:cs="Times New Roman"/>
          <w:sz w:val="24"/>
          <w:szCs w:val="24"/>
        </w:rPr>
        <w:t xml:space="preserve">, 2013; Kayış, 2009; Kılıç, 2016; </w:t>
      </w:r>
      <w:proofErr w:type="spellStart"/>
      <w:r w:rsidRPr="00477168">
        <w:rPr>
          <w:rFonts w:ascii="Times New Roman" w:eastAsia="Times New Roman" w:hAnsi="Times New Roman" w:cs="Times New Roman"/>
          <w:sz w:val="24"/>
          <w:szCs w:val="24"/>
        </w:rPr>
        <w:t>Kline</w:t>
      </w:r>
      <w:proofErr w:type="spellEnd"/>
      <w:r w:rsidRPr="00477168">
        <w:rPr>
          <w:rFonts w:ascii="Times New Roman" w:eastAsia="Times New Roman" w:hAnsi="Times New Roman" w:cs="Times New Roman"/>
          <w:sz w:val="24"/>
          <w:szCs w:val="24"/>
        </w:rPr>
        <w:t>, 2011). Bu durumda ölçeğin 4 boyutlu uyum değerlerinin geçerli bir yapı sunduğu söylenebilir.</w:t>
      </w:r>
    </w:p>
    <w:p w14:paraId="74D1D02F" w14:textId="77777777" w:rsidR="00E60BD4" w:rsidRPr="00477168" w:rsidRDefault="00913A2A" w:rsidP="00913A2A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>Güvenirlik Analizi (</w:t>
      </w:r>
      <w:proofErr w:type="spellStart"/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>Cronbach</w:t>
      </w:r>
      <w:proofErr w:type="spellEnd"/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Alfa)</w:t>
      </w:r>
    </w:p>
    <w:p w14:paraId="5099C622" w14:textId="302C7FDB" w:rsidR="00913A2A" w:rsidRPr="00477168" w:rsidRDefault="00913A2A" w:rsidP="00E60BD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168">
        <w:rPr>
          <w:rFonts w:ascii="Times New Roman" w:eastAsia="Times New Roman" w:hAnsi="Times New Roman" w:cs="Times New Roman"/>
          <w:sz w:val="24"/>
          <w:szCs w:val="24"/>
        </w:rPr>
        <w:t>Ölçeğin iç tutarlılık güvenirlik katsayıları şu şekildedir:</w:t>
      </w:r>
    </w:p>
    <w:p w14:paraId="3652EDD4" w14:textId="77777777" w:rsidR="00913A2A" w:rsidRPr="00477168" w:rsidRDefault="00913A2A" w:rsidP="00913A2A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>Sosyal Yeterlilik ve Öğrenme Eğilimleri:</w:t>
      </w:r>
      <w:r w:rsidRPr="00477168">
        <w:rPr>
          <w:rFonts w:ascii="Times New Roman" w:eastAsia="Times New Roman" w:hAnsi="Times New Roman" w:cs="Times New Roman"/>
          <w:sz w:val="24"/>
          <w:szCs w:val="24"/>
        </w:rPr>
        <w:t> α = 0,95</w:t>
      </w:r>
    </w:p>
    <w:p w14:paraId="267AB1F0" w14:textId="77777777" w:rsidR="00913A2A" w:rsidRPr="00477168" w:rsidRDefault="00913A2A" w:rsidP="00913A2A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>Öz Bakım Becerileri:</w:t>
      </w:r>
      <w:r w:rsidRPr="00477168">
        <w:rPr>
          <w:rFonts w:ascii="Times New Roman" w:eastAsia="Times New Roman" w:hAnsi="Times New Roman" w:cs="Times New Roman"/>
          <w:sz w:val="24"/>
          <w:szCs w:val="24"/>
        </w:rPr>
        <w:t> α = 0,91</w:t>
      </w:r>
    </w:p>
    <w:p w14:paraId="4C090872" w14:textId="77777777" w:rsidR="00913A2A" w:rsidRPr="00477168" w:rsidRDefault="00913A2A" w:rsidP="00913A2A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>Bilişsel Beceriler ve İletişim Becerileri:</w:t>
      </w:r>
      <w:r w:rsidRPr="00477168">
        <w:rPr>
          <w:rFonts w:ascii="Times New Roman" w:eastAsia="Times New Roman" w:hAnsi="Times New Roman" w:cs="Times New Roman"/>
          <w:sz w:val="24"/>
          <w:szCs w:val="24"/>
        </w:rPr>
        <w:t> α = 0,95</w:t>
      </w:r>
    </w:p>
    <w:p w14:paraId="1195E977" w14:textId="77777777" w:rsidR="00913A2A" w:rsidRPr="00477168" w:rsidRDefault="00913A2A" w:rsidP="00913A2A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>Sınıf Kuralları:</w:t>
      </w:r>
      <w:r w:rsidRPr="00477168">
        <w:rPr>
          <w:rFonts w:ascii="Times New Roman" w:eastAsia="Times New Roman" w:hAnsi="Times New Roman" w:cs="Times New Roman"/>
          <w:sz w:val="24"/>
          <w:szCs w:val="24"/>
        </w:rPr>
        <w:t> α = 0,82</w:t>
      </w:r>
    </w:p>
    <w:p w14:paraId="3F2A2ADC" w14:textId="77777777" w:rsidR="00913A2A" w:rsidRPr="00477168" w:rsidRDefault="00913A2A" w:rsidP="00913A2A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>Genel Ölçek Toplamı:</w:t>
      </w:r>
      <w:r w:rsidRPr="00477168">
        <w:rPr>
          <w:rFonts w:ascii="Times New Roman" w:eastAsia="Times New Roman" w:hAnsi="Times New Roman" w:cs="Times New Roman"/>
          <w:sz w:val="24"/>
          <w:szCs w:val="24"/>
        </w:rPr>
        <w:t> α = 0,90</w:t>
      </w:r>
    </w:p>
    <w:p w14:paraId="4FBB0F57" w14:textId="77777777" w:rsidR="00913A2A" w:rsidRPr="00477168" w:rsidRDefault="00913A2A" w:rsidP="00913A2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168">
        <w:rPr>
          <w:rFonts w:ascii="Times New Roman" w:eastAsia="Times New Roman" w:hAnsi="Times New Roman" w:cs="Times New Roman"/>
          <w:sz w:val="24"/>
          <w:szCs w:val="24"/>
        </w:rPr>
        <w:t xml:space="preserve">Literatürde </w:t>
      </w:r>
      <w:proofErr w:type="spellStart"/>
      <w:r w:rsidRPr="00477168">
        <w:rPr>
          <w:rFonts w:ascii="Times New Roman" w:eastAsia="Times New Roman" w:hAnsi="Times New Roman" w:cs="Times New Roman"/>
          <w:sz w:val="24"/>
          <w:szCs w:val="24"/>
        </w:rPr>
        <w:t>Cronbach</w:t>
      </w:r>
      <w:proofErr w:type="spellEnd"/>
      <w:r w:rsidRPr="00477168">
        <w:rPr>
          <w:rFonts w:ascii="Times New Roman" w:eastAsia="Times New Roman" w:hAnsi="Times New Roman" w:cs="Times New Roman"/>
          <w:sz w:val="24"/>
          <w:szCs w:val="24"/>
        </w:rPr>
        <w:t xml:space="preserve"> Alfa </w:t>
      </w:r>
      <w:proofErr w:type="gramStart"/>
      <w:r w:rsidRPr="00477168">
        <w:rPr>
          <w:rFonts w:ascii="Times New Roman" w:eastAsia="Times New Roman" w:hAnsi="Times New Roman" w:cs="Times New Roman"/>
          <w:sz w:val="24"/>
          <w:szCs w:val="24"/>
        </w:rPr>
        <w:t>katsayısının .80</w:t>
      </w:r>
      <w:proofErr w:type="gramEnd"/>
      <w:r w:rsidRPr="00477168">
        <w:rPr>
          <w:rFonts w:ascii="Times New Roman" w:eastAsia="Times New Roman" w:hAnsi="Times New Roman" w:cs="Times New Roman"/>
          <w:sz w:val="24"/>
          <w:szCs w:val="24"/>
        </w:rPr>
        <w:t xml:space="preserve"> ve üzeri olması ölçeğin yüksek derecede güvenirliğe sahip olduğunu göstermektedir (Kayış, 2009; Kılıç, 2016). Bu durumda ölçeğin hem genelinin hem de tüm alt boyutlarının yapısının yüksek derecede iç tutarlılığa sahip olduğu söylenebilir.</w:t>
      </w:r>
    </w:p>
    <w:p w14:paraId="56485924" w14:textId="13D38665" w:rsidR="00913A2A" w:rsidRPr="00477168" w:rsidRDefault="00913A2A" w:rsidP="00913A2A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168">
        <w:rPr>
          <w:rFonts w:ascii="Times New Roman" w:eastAsia="Times New Roman" w:hAnsi="Times New Roman" w:cs="Times New Roman"/>
          <w:sz w:val="24"/>
          <w:szCs w:val="24"/>
        </w:rPr>
        <w:t>Uyarlamasını yaptığımız ölçme aracının, atıf gösterilmesi ve bilimsel araştırmalarla sınırlı olmak kaydıyla kullanılmasına izin veriyoruz. Araştırmanın başlangıcında, araştırmanın amacı ile ilgili bir bilginin sorumlu yazar</w:t>
      </w:r>
      <w:r w:rsidR="009E6F5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77168">
        <w:rPr>
          <w:rFonts w:ascii="Times New Roman" w:eastAsia="Times New Roman" w:hAnsi="Times New Roman" w:cs="Times New Roman"/>
          <w:sz w:val="24"/>
          <w:szCs w:val="24"/>
        </w:rPr>
        <w:t xml:space="preserve"> e-posta yoluyla iletilmesi yeterlidir.</w:t>
      </w:r>
    </w:p>
    <w:p w14:paraId="535C8DEE" w14:textId="77777777" w:rsidR="00B929E5" w:rsidRPr="00477168" w:rsidRDefault="00B929E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10BEF62A" w14:textId="77777777" w:rsidR="00331EA2" w:rsidRPr="00331EA2" w:rsidRDefault="00331EA2" w:rsidP="004F7754">
      <w:pPr>
        <w:pStyle w:val="ListeParagraf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GoBack"/>
      <w:bookmarkEnd w:id="1"/>
      <w:r w:rsidRPr="00331EA2">
        <w:rPr>
          <w:rFonts w:ascii="Times New Roman" w:hAnsi="Times New Roman" w:cs="Times New Roman"/>
          <w:b/>
          <w:bCs/>
          <w:sz w:val="24"/>
          <w:szCs w:val="24"/>
        </w:rPr>
        <w:lastRenderedPageBreak/>
        <w:t>Ölçeğin Faktörleri ve İlgili Madde Dağılımları</w:t>
      </w:r>
    </w:p>
    <w:p w14:paraId="37677A72" w14:textId="3AD06DD7" w:rsidR="00913A2A" w:rsidRPr="00477168" w:rsidRDefault="00913A2A" w:rsidP="00913A2A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716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Sosyal Yeterlilik ve Öğrenme Eğilimleri: </w:t>
      </w:r>
      <w:r w:rsidRPr="00477168">
        <w:rPr>
          <w:rFonts w:ascii="Times New Roman" w:eastAsia="Times New Roman" w:hAnsi="Times New Roman" w:cs="Times New Roman"/>
          <w:b/>
          <w:sz w:val="24"/>
          <w:szCs w:val="24"/>
        </w:rPr>
        <w:t>1-2-3-4-5-6-7-8</w:t>
      </w:r>
    </w:p>
    <w:p w14:paraId="17D14321" w14:textId="73E58078" w:rsidR="00913A2A" w:rsidRPr="00477168" w:rsidRDefault="00913A2A" w:rsidP="00913A2A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716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Bilişsel ve İletişim Becerileri: </w:t>
      </w:r>
      <w:r w:rsidRPr="00477168">
        <w:rPr>
          <w:rFonts w:ascii="Times New Roman" w:eastAsia="Times New Roman" w:hAnsi="Times New Roman" w:cs="Times New Roman"/>
          <w:b/>
          <w:sz w:val="24"/>
          <w:szCs w:val="24"/>
        </w:rPr>
        <w:t>9-10-11</w:t>
      </w:r>
      <w:r w:rsidRPr="00477168">
        <w:rPr>
          <w:rFonts w:ascii="Times New Roman" w:eastAsia="Times New Roman" w:hAnsi="Times New Roman" w:cs="Times New Roman"/>
          <w:b/>
          <w:sz w:val="24"/>
          <w:szCs w:val="24"/>
        </w:rPr>
        <w:t>-12-13</w:t>
      </w:r>
    </w:p>
    <w:p w14:paraId="5209090D" w14:textId="3DF5470D" w:rsidR="00913A2A" w:rsidRPr="00477168" w:rsidRDefault="00A12C45" w:rsidP="00A12C45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716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Duygusal Olgunluk ve Özbakım </w:t>
      </w:r>
      <w:r w:rsidR="00913A2A" w:rsidRPr="00477168">
        <w:rPr>
          <w:rFonts w:ascii="Times New Roman" w:eastAsia="Times New Roman" w:hAnsi="Times New Roman" w:cs="Times New Roman"/>
          <w:bCs/>
          <w:i/>
          <w:sz w:val="24"/>
          <w:szCs w:val="24"/>
        </w:rPr>
        <w:t>Becerileri</w:t>
      </w:r>
      <w:r w:rsidRPr="0047716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: </w:t>
      </w:r>
      <w:r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>14-15-16-17-18-19</w:t>
      </w:r>
    </w:p>
    <w:p w14:paraId="3FAD1D2D" w14:textId="1D7B5141" w:rsidR="00913A2A" w:rsidRPr="00477168" w:rsidRDefault="00913A2A" w:rsidP="00913A2A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77168">
        <w:rPr>
          <w:rFonts w:ascii="Times New Roman" w:eastAsia="Times New Roman" w:hAnsi="Times New Roman" w:cs="Times New Roman"/>
          <w:bCs/>
          <w:i/>
          <w:sz w:val="24"/>
          <w:szCs w:val="24"/>
        </w:rPr>
        <w:t>Sınıf Kuralları</w:t>
      </w:r>
      <w:r w:rsidR="00A12C45" w:rsidRPr="00477168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: </w:t>
      </w:r>
      <w:r w:rsidR="00A12C45" w:rsidRPr="00477168">
        <w:rPr>
          <w:rFonts w:ascii="Times New Roman" w:eastAsia="Times New Roman" w:hAnsi="Times New Roman" w:cs="Times New Roman"/>
          <w:b/>
          <w:bCs/>
          <w:sz w:val="24"/>
          <w:szCs w:val="24"/>
        </w:rPr>
        <w:t>20-21</w:t>
      </w:r>
    </w:p>
    <w:p w14:paraId="54FCEB92" w14:textId="3EAF5987" w:rsidR="009F3EE0" w:rsidRPr="00477168" w:rsidRDefault="009F3EE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F3EE0" w:rsidRPr="00477168">
      <w:pgSz w:w="11906" w:h="16838"/>
      <w:pgMar w:top="1135" w:right="1417" w:bottom="56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8717E"/>
    <w:multiLevelType w:val="multilevel"/>
    <w:tmpl w:val="6678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E3F85"/>
    <w:multiLevelType w:val="multilevel"/>
    <w:tmpl w:val="1E7CF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F44EBA"/>
    <w:multiLevelType w:val="multilevel"/>
    <w:tmpl w:val="EA7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7112AD"/>
    <w:multiLevelType w:val="multilevel"/>
    <w:tmpl w:val="4C82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975354"/>
    <w:multiLevelType w:val="multilevel"/>
    <w:tmpl w:val="2656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54582C"/>
    <w:multiLevelType w:val="multilevel"/>
    <w:tmpl w:val="9B76AF0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0"/>
    <w:rsid w:val="00127A4A"/>
    <w:rsid w:val="001B5534"/>
    <w:rsid w:val="00235EE2"/>
    <w:rsid w:val="00247ACD"/>
    <w:rsid w:val="00287811"/>
    <w:rsid w:val="002E6A33"/>
    <w:rsid w:val="002F6A36"/>
    <w:rsid w:val="00331EA2"/>
    <w:rsid w:val="003824C1"/>
    <w:rsid w:val="00444EA4"/>
    <w:rsid w:val="004705E8"/>
    <w:rsid w:val="00477168"/>
    <w:rsid w:val="004C6FA4"/>
    <w:rsid w:val="004D0B5C"/>
    <w:rsid w:val="004D4041"/>
    <w:rsid w:val="004E2970"/>
    <w:rsid w:val="004F7754"/>
    <w:rsid w:val="005470C3"/>
    <w:rsid w:val="00671BC2"/>
    <w:rsid w:val="006A77E4"/>
    <w:rsid w:val="007B0EC3"/>
    <w:rsid w:val="007C3795"/>
    <w:rsid w:val="007D2C11"/>
    <w:rsid w:val="00884409"/>
    <w:rsid w:val="008E75FB"/>
    <w:rsid w:val="009038FC"/>
    <w:rsid w:val="00913A2A"/>
    <w:rsid w:val="00963A60"/>
    <w:rsid w:val="009E6F5C"/>
    <w:rsid w:val="009F3EE0"/>
    <w:rsid w:val="00A12C45"/>
    <w:rsid w:val="00A92DDD"/>
    <w:rsid w:val="00AC4494"/>
    <w:rsid w:val="00AC50F4"/>
    <w:rsid w:val="00B929E5"/>
    <w:rsid w:val="00B96462"/>
    <w:rsid w:val="00BB6F62"/>
    <w:rsid w:val="00BD0806"/>
    <w:rsid w:val="00BD65B1"/>
    <w:rsid w:val="00C132F8"/>
    <w:rsid w:val="00C71294"/>
    <w:rsid w:val="00CF78E6"/>
    <w:rsid w:val="00D729CA"/>
    <w:rsid w:val="00DC4954"/>
    <w:rsid w:val="00E60BD4"/>
    <w:rsid w:val="00EE3EF6"/>
    <w:rsid w:val="00FE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70C6"/>
  <w15:docId w15:val="{286D0111-B8DC-4DF2-945D-249F5264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84A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685CA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77C6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B1639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B1639"/>
    <w:rPr>
      <w:color w:val="605E5C"/>
      <w:shd w:val="clear" w:color="auto" w:fill="E1DFDD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zahizir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1080/10409289.2019.15964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cris.pau.edu.tr/handle/11499/2638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pvPdi+8vIsINoxKTsi5wx8aPFQ==">CgMxLjAyCGguZ2pkZ3hzOAByITFsWDNmZlRHaEZEZ0NDTUktamh0YzVSbDhBcUw1c3Z3aw==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Raskolnikov</dc:creator>
  <cp:lastModifiedBy>pc</cp:lastModifiedBy>
  <cp:revision>49</cp:revision>
  <dcterms:created xsi:type="dcterms:W3CDTF">2020-06-16T10:28:00Z</dcterms:created>
  <dcterms:modified xsi:type="dcterms:W3CDTF">2025-08-18T12:41:00Z</dcterms:modified>
</cp:coreProperties>
</file>