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60"/>
        <w:jc w:val="center"/>
      </w:pPr>
      <w:r>
        <w:rPr>
          <w:rFonts w:ascii="Arial" w:cs="Arial" w:eastAsia="Arial" w:hAnsi="Arial"/>
          <w:b/>
          <w:bCs/>
          <w:color w:val="000000"/>
          <w:sz w:val="28"/>
          <w:szCs w:val="28"/>
        </w:rPr>
        <w:t xml:space="preserve">HANDOFF-CEX Hasta Devir Teslim Değerlendirme Ölçeği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HANDOFF-CEX Patient Handover Assessment Scale</w:t>
      </w:r>
    </w:p>
    <w:p>
      <w:pPr>
        <w:spacing w:after="60"/>
        <w:jc w:val="center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Türkçe Geçerlik ve Güvenirlik Çalışması / Turkish Validation and Reliability Study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Tosun, B., Berşe, S., Dirgar, E., Ünal, N., &amp; Tosun, N. (2025)</w:t>
      </w:r>
    </w:p>
    <w:p>
      <w:pPr>
        <w:pBdr>
          <w:bottom w:val="single" w:color="000000" w:sz="8" w:space="6"/>
        </w:pBdr>
        <w:spacing w:after="200"/>
      </w:pPr>
    </w:p>
    <w:p>
      <w:pPr>
        <w:pStyle w:val="Heading2"/>
      </w:pPr>
      <w:r>
        <w:t xml:space="preserve">Kaynak / Reference</w:t>
      </w:r>
    </w:p>
    <w:p>
      <w:pPr>
        <w:spacing w:after="6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Tosun, B., Berşe, S., Dirgar, E., Ünal, N., &amp; Tosun, N. (2025). Turkish Validation and Reliability Study of the “HANDOFF-CEX” Patient Handover Scale. </w:t>
      </w:r>
      <w:r>
        <w:rPr>
          <w:rFonts w:ascii="Arial" w:cs="Arial" w:eastAsia="Arial" w:hAnsi="Arial"/>
          <w:i/>
          <w:iCs/>
          <w:color w:val="000000"/>
          <w:sz w:val="19"/>
          <w:szCs w:val="19"/>
        </w:rPr>
        <w:t xml:space="preserve">CBU-SBED, 12</w:t>
      </w:r>
      <w:r>
        <w:rPr>
          <w:rFonts w:ascii="Arial" w:cs="Arial" w:eastAsia="Arial" w:hAnsi="Arial"/>
          <w:color w:val="000000"/>
          <w:sz w:val="19"/>
          <w:szCs w:val="19"/>
        </w:rPr>
        <w:t xml:space="preserve">(3), 359–367. https://doi.org/10.34087/cbusbed.1574256</w:t>
      </w:r>
    </w:p>
    <w:p>
      <w:pPr>
        <w:spacing w:after="200"/>
      </w:pPr>
    </w:p>
    <w:p>
      <w:pPr>
        <w:pStyle w:val="Heading2"/>
      </w:pPr>
      <w:r>
        <w:t xml:space="preserve">Ölçek Hakkında / About the Scale</w:t>
      </w:r>
    </w:p>
    <w:p>
      <w:pPr>
        <w:spacing w:after="8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HANDOFF-CEX, hemşirelikte nöbet devir tesliminin kalitesini yapılandırılmış biçimde değerlendirmek için kullanılan gözlem temelli bir ölçektir. Türkçe versiyonu iki formdan oluşur: Devreden (Outgoing) ve Devralan (Incoming) değerlendirme formları. Her formda alanlar 1–9 arasında puanlanır (1–3: Yetersiz, 4–6: Yeterli, 7–9: Üst düzey).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HANDOFF-CEX is an observation-based scale used to evaluate the quality of nursing shift handovers in a structured manner. The Turkish version consists of two forms: Outgoing and Incoming assessment forms. Each domain is scored from 1 to 9 (1–3: Insufficient, 4–6: Sufficient, 7–9: Superior).</w:t>
      </w:r>
    </w:p>
    <w:p>
      <w:pPr>
        <w:pStyle w:val="Heading2"/>
      </w:pPr>
      <w:r>
        <w:t xml:space="preserve">Puanlama / Scoring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1–3: Yetersiz / Insufficient   |   4–6: Yeterli / Sufficient   |   7–9: Üst Düzey / Superior</w:t>
      </w:r>
    </w:p>
    <w:p>
      <w:pPr>
        <w:spacing w:after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Gözlem yapılamayan alanlar için “Gözlem yapılamadı” seçeneği işaretlenir ve hesaba katılmaz.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Ortalama puan = (puanlanan alanların toplamı) / (puanlanan alan sayısı)</w:t>
      </w:r>
    </w:p>
    <w:p>
      <w:r>
        <w:rPr>
          <w:sz w:val="10"/>
          <w:szCs w:val="10"/>
        </w:rPr>
        <w:t xml:space="preserve"/>
      </w:r>
      <w:r>
        <w:br w:type="page"/>
      </w:r>
    </w:p>
    <w:p>
      <w:pPr>
        <w:spacing w:before="100" w:after="60"/>
        <w:jc w:val="center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FORM 1: Devreden (Outgoing) Değerlendirme Formu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Outgoing Handover Assessment Form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00"/>
        <w:gridCol w:w="1000"/>
        <w:gridCol w:w="3200"/>
      </w:tblGrid>
      <w:tr>
        <w:trPr>
          <w:tblHeader/>
        </w:trP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0000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Alan / Domain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0000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Yetersiz (1–3)
Insufficient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0000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Puan
Score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0000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Üst Düzey (7–9)
Superior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Ortam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Setting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≥ 5 Kesinti yaşanır; Gürültülü, Karmaşık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≥5 Interruptions; Noisy, Chaotic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Kesinti olmaz; Sessiz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No interruptions; Quiet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Düzen / Verimlilik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Organization / Efficiency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Düzensiz; Tutarsız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Disorganized; Inconsistent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Standart devir; Kısa ve öz devir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Standard handover; Brief and concise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İletişim Becerileri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Communication Skills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Yüz yüze değildir; Anlaşılıp anlaşılmadığı kontrol edilmez; Sorular için zaman ayırmaz; Görevlerin sorumlulukları açık değildir; Belirsiz bir dil kullanır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Not face-to-face; No check for understanding; No time for questions; Task responsibilities unclear; Vague language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Yüz yüze devir; Anlaşılıp anlaşılmadığı kontrol edilir; Soruları aydınlatır; Görevlerin sorumlulukları açıktır; Somut bir dil kullanır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Face-to-face; Checks understanding; Clarifies questions; Clear task responsibilities; Concrete language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İçerik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Content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Atlanan ve ihmal edilen bilgiler vardır; Klinik durum açıklanmaz; ‘Yapılması gerekenler’ planda olmayan, gerekçesiz işler vardır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Missing/omitted information; Clinical situation not explained; Action items unplanned, unjustified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Tüm gerekli bilgileri içerir; Klinik durumu açıklar; ‘Yapılması gerekenler’ planlıdır, gerekçelidir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Contains all necessary information; Explains clinical situation; Action items planned, justified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Klinik Karar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Clinical Judgment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Durumu kötü olan hastaları tanımaz; Önleyici rehberlik önerileri yoktur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Does not identify deteriorating patients; No anticipatory guidance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Durumu kötü olan hastalar belirtilir; Eylem planı ile sağlanan rehberlik önerileri vardır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Identifies deteriorating patients; Provides anticipatory guidance with action plan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Hümanist Kalite / Profesyonellik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Humanistic Quality / Professionalism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Telaşlı, özensiz; Uygunsuz yorumlar yapar: hastalara, ailelerine ve çalışanlara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Rushed, careless; Inappropriate comments about patients, families, and staff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Göreve odaklanır; Uygun yorumlar yapar: hastalara, ailelerine ve çalışanlara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Task-focused; Appropriate comments about patients, families, and staff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Genel Devir Yeterliliği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Overall Handover Competency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Gözlem süresi / Observation duration: ............. dk/min   |   Geribildirim süresi / Feedback duration: ............. dk/min</w:t>
      </w:r>
    </w:p>
    <w:p>
      <w:pPr>
        <w:spacing w:after="40"/>
      </w:pPr>
      <w:r>
        <w:rPr>
          <w:rFonts w:ascii="Arial" w:cs="Arial" w:eastAsia="Arial" w:hAnsi="Arial"/>
          <w:color w:val="000000"/>
          <w:sz w:val="17"/>
          <w:szCs w:val="17"/>
        </w:rPr>
        <w:t xml:space="preserve">Değerlendiricinin memnuniyeti / Evaluator satisfaction:  Düşük/Low  □ 1  □ 2  □ 3  □ 4  □ 5  □ 6  □ 7  □ 8  □ 9  Yüksek/High</w:t>
      </w:r>
    </w:p>
    <w:p>
      <w:pPr>
        <w:spacing w:after="40"/>
      </w:pPr>
      <w:r>
        <w:rPr>
          <w:rFonts w:ascii="Arial" w:cs="Arial" w:eastAsia="Arial" w:hAnsi="Arial"/>
          <w:color w:val="000000"/>
          <w:sz w:val="17"/>
          <w:szCs w:val="17"/>
        </w:rPr>
        <w:t xml:space="preserve">Değerlendirilenin memnuniyeti / Evaluee satisfaction:  Düşük/Low  □ 1  □ 2  □ 3  □ 4  □ 5  □ 6  □ 7  □ 8  □ 9  Yüksek/High</w:t>
      </w:r>
    </w:p>
    <w:p>
      <w:pPr>
        <w:spacing w:after="20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Yorumlar / Comments: .........................................................................................................</w:t>
      </w:r>
    </w:p>
    <w:p>
      <w:r>
        <w:rPr>
          <w:sz w:val="10"/>
          <w:szCs w:val="10"/>
        </w:rPr>
        <w:t xml:space="preserve"/>
      </w:r>
      <w:r>
        <w:br w:type="page"/>
      </w:r>
    </w:p>
    <w:p>
      <w:pPr>
        <w:spacing w:before="100" w:after="60"/>
        <w:jc w:val="center"/>
      </w:pPr>
      <w:r>
        <w:rPr>
          <w:rFonts w:ascii="Arial" w:cs="Arial" w:eastAsia="Arial" w:hAnsi="Arial"/>
          <w:b/>
          <w:bCs/>
          <w:color w:val="000000"/>
          <w:sz w:val="26"/>
          <w:szCs w:val="26"/>
        </w:rPr>
        <w:t xml:space="preserve">FORM 2: Devralan (Incoming) Değerlendirme Formu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Incoming Handover Assessment Form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00"/>
        <w:gridCol w:w="1000"/>
        <w:gridCol w:w="3200"/>
      </w:tblGrid>
      <w:tr>
        <w:trPr>
          <w:tblHeader/>
        </w:trP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0000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Alan / Domain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0000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Yetersiz (1–3)
Insufficient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0000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Puan
Score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00000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Üst Düzey (7–9)
Superior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Ortam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Setting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≥ 5 Kesinti yaşanır; Gürültülü, Karmaşık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≥5 Interruptions; Noisy, Chaotic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Kesinti olmaz; Sessiz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No interruptions; Quiet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Düzen / Verimlilik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Organization / Efficiency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Düzensiz; Hazırlıksız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Disorganized; Unprepared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Not almak için hazırlıklıdır; Notlar alır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Prepared to take notes; Takes notes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İletişim Becerileri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Communication Skills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Etkileşim yok; Soru yok; Geri bildirim yok; Görevler için sorumlulukları kabul etmez; Belirsiz bir dil kullanır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No interaction; No questions; No feedback; Does not accept task responsibilities; Vague language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Yüz yüze devir; Sorular sorar; Görevler için geri bildirim verir; Sorumluluklarını kabul eder; Somut bir dil kullanır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Face-to-face; Asks questions; Gives feedback on tasks; Accepts responsibilities; Concrete language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Klinik Karar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Clinical Judgment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Durumu kötü olan hastaları bilmez; Önleyici rehberlik için önerileri yoktur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Unaware of deteriorating patients; No anticipatory guidance suggestions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Durumu kötü olan hastalar belirtilir; Önleyici rehberlik için önerileri vardır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Identifies deteriorating patients; Has anticipatory guidance suggestions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Hümanist Kalite / Profesyonellik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Humanistic Quality / Professionalism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Telaşlı, özensiz; Uygunsuz yorumlar yapar: hastalara, ailelerine ve çalışanlara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Rushed, careless; Inappropriate comments about patients, families, and staff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Göreve odaklanır; Uygun yorumlar yapar: hastalara, ailelerine ve çalışanlara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55555"/>
                <w:sz w:val="15"/>
                <w:szCs w:val="15"/>
              </w:rPr>
              <w:t xml:space="preserve">Task-focused; Appropriate comments about patients, families, and staff</w:t>
            </w:r>
          </w:p>
        </w:tc>
      </w:tr>
      <w:tr>
        <w:tc>
          <w:tcPr>
            <w:tcW w:type="dxa" w:w="2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Genel Devir Yeterliliği</w:t>
            </w:r>
          </w:p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444444"/>
                <w:sz w:val="16"/>
                <w:szCs w:val="16"/>
              </w:rPr>
              <w:t xml:space="preserve">Overall Handover Competency</w:t>
            </w:r>
          </w:p>
        </w:tc>
        <w:tc>
          <w:tcPr>
            <w:tcW w:type="dxa" w:w="24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1  □ 2  □ 3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4  □ 5  □ 6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5"/>
                <w:szCs w:val="15"/>
              </w:rPr>
              <w:t xml:space="preserve">□ 7  □ 8  □ 9</w:t>
            </w:r>
          </w:p>
          <w:p>
            <w:pPr>
              <w:spacing w:before="20" w:after="2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4"/>
                <w:szCs w:val="14"/>
              </w:rPr>
              <w:t xml:space="preserve">□ Gözlem yapılamadı</w:t>
            </w:r>
          </w:p>
        </w:tc>
        <w:tc>
          <w:tcPr>
            <w:tcW w:type="dxa" w:w="3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before="20" w:after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p>
      <w:pPr>
        <w:spacing w:after="4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Gözlem süresi / Observation duration: ............. dk/min   |   Geribildirim süresi / Feedback duration: ............. dk/min</w:t>
      </w:r>
    </w:p>
    <w:p>
      <w:pPr>
        <w:spacing w:after="40"/>
      </w:pPr>
      <w:r>
        <w:rPr>
          <w:rFonts w:ascii="Arial" w:cs="Arial" w:eastAsia="Arial" w:hAnsi="Arial"/>
          <w:color w:val="000000"/>
          <w:sz w:val="17"/>
          <w:szCs w:val="17"/>
        </w:rPr>
        <w:t xml:space="preserve">Değerlendiricinin memnuniyeti / Evaluator satisfaction:  Düşük/Low  □ 1  □ 2  □ 3  □ 4  □ 5  □ 6  □ 7  □ 8  □ 9  Yüksek/High</w:t>
      </w:r>
    </w:p>
    <w:p>
      <w:pPr>
        <w:spacing w:after="40"/>
      </w:pPr>
      <w:r>
        <w:rPr>
          <w:rFonts w:ascii="Arial" w:cs="Arial" w:eastAsia="Arial" w:hAnsi="Arial"/>
          <w:color w:val="000000"/>
          <w:sz w:val="17"/>
          <w:szCs w:val="17"/>
        </w:rPr>
        <w:t xml:space="preserve">Değerlendirilenin memnuniyeti / Evaluee satisfaction:  Düşük/Low  □ 1  □ 2  □ 3  □ 4  □ 5  □ 6  □ 7  □ 8  □ 9  Yüksek/High</w:t>
      </w:r>
    </w:p>
    <w:p>
      <w:pPr>
        <w:spacing w:after="200"/>
      </w:pPr>
      <w:r>
        <w:rPr>
          <w:rFonts w:ascii="Arial" w:cs="Arial" w:eastAsia="Arial" w:hAnsi="Arial"/>
          <w:color w:val="000000"/>
          <w:sz w:val="18"/>
          <w:szCs w:val="18"/>
        </w:rPr>
        <w:t xml:space="preserve">Yorumlar / Comments: .........................................................................................................</w:t>
      </w:r>
    </w:p>
    <w:p>
      <w:pPr>
        <w:pBdr>
          <w:top w:val="single" w:color="000000" w:sz="8" w:space="8"/>
        </w:pBdr>
        <w:spacing w:before="200"/>
      </w:pPr>
    </w:p>
    <w:p>
      <w:pPr>
        <w:pStyle w:val="Heading2"/>
      </w:pPr>
      <w:r>
        <w:t xml:space="preserve">Ölçek Kullanım İzni / Scale Usage Permission</w:t>
      </w:r>
    </w:p>
    <w:p>
      <w:pPr>
        <w:spacing w:after="6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Bu ölçek, Creative Commons Atıf-Gayriticari 4.0 (CC BY-NC 4.0) Uluslararası Lisansı ile lisanslanmıştır. Ticari olmayan akademik/kurumsal kullanımlarda, uygun atıf yapıldığı sürece ek yazılı izin gerekmeksizin kullanılabilir.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This scale is licensed under Creative Commons Attribution-NonCommercial 4.0 (CC BY-NC 4.0) International License. It may be used for non-commercial academic/institutional purposes with proper citation without additional written permission.</w:t>
      </w:r>
    </w:p>
    <w:p>
      <w:pPr>
        <w:spacing w:after="80"/>
      </w:pPr>
      <w:r>
        <w:rPr>
          <w:rFonts w:ascii="Arial" w:cs="Arial" w:eastAsia="Arial" w:hAnsi="Arial"/>
          <w:color w:val="000000"/>
          <w:sz w:val="19"/>
          <w:szCs w:val="19"/>
        </w:rPr>
        <w:t xml:space="preserve">Ölçeği araştırma veya klinik uygulamalarınızda kullanmak için detaylı bilgi ve izin başvurusu:</w:t>
      </w:r>
    </w:p>
    <w:p>
      <w:pPr>
        <w:spacing w:before="120" w:after="120"/>
        <w:jc w:val="center"/>
      </w:pPr>
      <w:hyperlink w:history="1" r:id="rIdus29chq19szuavhupnjxi">
        <w:r>
          <w:rPr>
            <w:rFonts w:ascii="Arial" w:cs="Arial" w:eastAsia="Arial" w:hAnsi="Arial"/>
            <w:b/>
            <w:bCs/>
            <w:color w:val="000000"/>
            <w:sz w:val="26"/>
            <w:szCs w:val="26"/>
            <w:u w:val="single"/>
          </w:rPr>
          <w:t xml:space="preserve">sonerberse.com</w:t>
        </w:r>
      </w:hyperlink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Doç. Dr. Soner Berşe</w:t>
      </w:r>
    </w:p>
    <w:p>
      <w:pPr>
        <w:spacing w:after="40"/>
        <w:jc w:val="center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Gaziantep Üniversitesi • Sağlık Bilimleri Fakültesi • Hemşirelik Bölümü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000000"/>
          <w:sz w:val="19"/>
          <w:szCs w:val="19"/>
        </w:rPr>
        <w:t xml:space="preserve">İletişim / Contact: </w:t>
      </w:r>
      <w:r>
        <w:rPr>
          <w:rFonts w:ascii="Arial" w:cs="Arial" w:eastAsia="Arial" w:hAnsi="Arial"/>
          <w:color w:val="000000"/>
          <w:sz w:val="19"/>
          <w:szCs w:val="19"/>
        </w:rPr>
        <w:t xml:space="preserve">sonerberse@gmail.com  |  sonerberse@gantep.edu.tr</w:t>
      </w:r>
    </w:p>
    <w:sectPr>
      <w:headerReference w:type="default" r:id="rId6"/>
      <w:footerReference w:type="default" r:id="rId7"/>
      <w:pgSz w:w="11906" w:h="16838" w:orient="portrait"/>
      <w:pgMar w:top="1100" w:right="900" w:bottom="11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4" w:space="4"/>
      </w:pBdr>
      <w:spacing w:before="100"/>
      <w:jc w:val="center"/>
    </w:pPr>
    <w:r>
      <w:rPr>
        <w:rFonts w:ascii="Arial" w:cs="Arial" w:eastAsia="Arial" w:hAnsi="Arial"/>
        <w:color w:val="666666"/>
        <w:sz w:val="15"/>
        <w:szCs w:val="15"/>
      </w:rPr>
      <w:t xml:space="preserve">© Tosun, Berşe, Dirgar, Ünal &amp; Tosun (2025)  |  </w:t>
    </w:r>
    <w:r>
      <w:rPr>
        <w:rFonts w:ascii="Arial" w:cs="Arial" w:eastAsia="Arial" w:hAnsi="Arial"/>
        <w:b/>
        <w:bCs/>
        <w:color w:val="000000"/>
        <w:sz w:val="15"/>
        <w:szCs w:val="15"/>
      </w:rPr>
      <w:t xml:space="preserve">sonerberse.com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0000" w:sz="6" w:space="4"/>
      </w:pBdr>
      <w:spacing w:after="100"/>
      <w:jc w:val="center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HANDOFF-CEX  |  Hasta Devir Teslim Değerlendirme Ölçeği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us29chq19szuavhupnjxi" Type="http://schemas.openxmlformats.org/officeDocument/2006/relationships/hyperlink" Target="https://sonerberse.com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2026-03-23T17:24:25.182Z</dcterms:created>
  <dcterms:modified xsi:type="dcterms:W3CDTF">2026-03-23T17:24:25.183Z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