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FE4BF" w14:textId="09786AFE" w:rsidR="003B7DEF" w:rsidRPr="003B7DEF" w:rsidRDefault="003B7DEF" w:rsidP="003B7DEF">
      <w:pPr>
        <w:spacing w:line="360" w:lineRule="auto"/>
        <w:jc w:val="center"/>
        <w:rPr>
          <w:b/>
        </w:rPr>
      </w:pPr>
      <w:r w:rsidRPr="003B7DEF">
        <w:rPr>
          <w:rFonts w:ascii="Times New Roman" w:hAnsi="Times New Roman"/>
          <w:b/>
          <w:color w:val="000000" w:themeColor="text1"/>
          <w:sz w:val="24"/>
          <w:szCs w:val="24"/>
        </w:rPr>
        <w:t>GEBE KADINLAR İÇİN İLAÇ BİLGİ OKURYAZARLIĞI ÖLÇEĞİ</w:t>
      </w:r>
    </w:p>
    <w:p w14:paraId="654D6693" w14:textId="22794E37" w:rsidR="000715C0" w:rsidRDefault="000715C0" w:rsidP="00071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7BA3B2D" w14:textId="49C6B57A" w:rsidR="00097D95" w:rsidRDefault="007C0B25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F1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31F16">
        <w:rPr>
          <w:rFonts w:ascii="Times New Roman" w:hAnsi="Times New Roman" w:cs="Times New Roman"/>
          <w:sz w:val="24"/>
          <w:szCs w:val="24"/>
        </w:rPr>
        <w:t xml:space="preserve"> vd. (2023) tarafından Çinli gebe kadınların ilaç bilgi okuryazarlığını ölçmek amacıyla </w:t>
      </w:r>
      <w:r w:rsidR="00A208BA" w:rsidRPr="00831F16">
        <w:rPr>
          <w:rFonts w:ascii="Times New Roman" w:hAnsi="Times New Roman" w:cs="Times New Roman"/>
          <w:sz w:val="24"/>
          <w:szCs w:val="24"/>
        </w:rPr>
        <w:t xml:space="preserve">geliştirilen ölçek Eminoğlu vd. tarafından (2025) Türk kültürüne uyarlanmıştır. </w:t>
      </w:r>
      <w:r w:rsidR="00097D95" w:rsidRPr="00831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Ölçek 20 maddeden oluşmaktadır. </w:t>
      </w:r>
      <w:r w:rsidR="00097D95" w:rsidRPr="00831F16">
        <w:rPr>
          <w:rFonts w:ascii="Times New Roman" w:hAnsi="Times New Roman" w:cs="Times New Roman"/>
          <w:sz w:val="24"/>
          <w:szCs w:val="24"/>
        </w:rPr>
        <w:t>“Nadiren Doğru (1)”, “Bazen Doğru (2)”, “Sıklıkla Doğru (3)”, “Genellikle Doğru (4)” ve “Neredeyse Doğru (5)” arasında puanlanmak</w:t>
      </w:r>
      <w:r w:rsidR="00881DE3">
        <w:rPr>
          <w:rFonts w:ascii="Times New Roman" w:hAnsi="Times New Roman" w:cs="Times New Roman"/>
          <w:sz w:val="24"/>
          <w:szCs w:val="24"/>
        </w:rPr>
        <w:t xml:space="preserve">ta olup 5’li </w:t>
      </w:r>
      <w:proofErr w:type="spellStart"/>
      <w:r w:rsidR="00881DE3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881DE3">
        <w:rPr>
          <w:rFonts w:ascii="Times New Roman" w:hAnsi="Times New Roman" w:cs="Times New Roman"/>
          <w:sz w:val="24"/>
          <w:szCs w:val="24"/>
        </w:rPr>
        <w:t xml:space="preserve"> tipindedir.</w:t>
      </w:r>
      <w:r w:rsidR="00097D95" w:rsidRPr="00831F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7D95" w:rsidRPr="00831F16">
        <w:rPr>
          <w:rFonts w:ascii="Times New Roman" w:hAnsi="Times New Roman" w:cs="Times New Roman"/>
          <w:sz w:val="24"/>
          <w:szCs w:val="24"/>
        </w:rPr>
        <w:t>İlaçla ilgili bilgi ihtiyaçları (1, 2, 3, 4 maddeler); ilaç bilgi kaynakları (5, 6 maddeler); ilaç bilgisi kalitesi ayrımı (7, 8, 9 maddeler); ilaç bilgi kaynağı farkındalığı (10, 11, 12, 13, 14, 15, 16 maddeler) ve ilaç alma davranışı (17, 18, 19, 20 maddeler) olmak üzere</w:t>
      </w:r>
      <w:r w:rsidR="00881DE3">
        <w:rPr>
          <w:rFonts w:ascii="Times New Roman" w:hAnsi="Times New Roman" w:cs="Times New Roman"/>
          <w:sz w:val="24"/>
          <w:szCs w:val="24"/>
        </w:rPr>
        <w:t xml:space="preserve"> beş alt boyuttan oluşmaktadır. </w:t>
      </w:r>
      <w:proofErr w:type="gramEnd"/>
      <w:r w:rsidR="00831F16" w:rsidRPr="00831F16">
        <w:rPr>
          <w:rFonts w:ascii="Times New Roman" w:hAnsi="Times New Roman" w:cs="Times New Roman"/>
          <w:sz w:val="24"/>
          <w:szCs w:val="24"/>
        </w:rPr>
        <w:t>Ölçekte ters madde bulunmamaktadır.</w:t>
      </w:r>
      <w:r w:rsidR="00881D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31F16" w:rsidRPr="00831F16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Gebe Kadınlar için İlaç Bilgi Okuryazarlığı </w:t>
      </w:r>
      <w:proofErr w:type="spellStart"/>
      <w:r w:rsidR="00831F16" w:rsidRPr="00831F16">
        <w:rPr>
          <w:rStyle w:val="Gl"/>
          <w:rFonts w:ascii="Times New Roman" w:hAnsi="Times New Roman" w:cs="Times New Roman"/>
          <w:b w:val="0"/>
          <w:sz w:val="24"/>
          <w:szCs w:val="24"/>
        </w:rPr>
        <w:t>Ölçeği</w:t>
      </w:r>
      <w:r w:rsidR="00831F16" w:rsidRPr="00831F16">
        <w:rPr>
          <w:rFonts w:ascii="Times New Roman" w:hAnsi="Times New Roman" w:cs="Times New Roman"/>
          <w:sz w:val="24"/>
          <w:szCs w:val="24"/>
        </w:rPr>
        <w:t>’nden</w:t>
      </w:r>
      <w:proofErr w:type="spellEnd"/>
      <w:r w:rsidR="00831F16" w:rsidRPr="00831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F16" w:rsidRPr="00831F16">
        <w:rPr>
          <w:rFonts w:ascii="Times New Roman" w:hAnsi="Times New Roman" w:cs="Times New Roman"/>
          <w:sz w:val="24"/>
          <w:szCs w:val="24"/>
        </w:rPr>
        <w:t xml:space="preserve">alınan yüksek puanlar, ilaç bilgi okuryazarlığının yüksek olduğunu göstermektedir. </w:t>
      </w:r>
      <w:r w:rsidR="00097D95" w:rsidRPr="00831F16">
        <w:rPr>
          <w:rFonts w:ascii="Times New Roman" w:hAnsi="Times New Roman" w:cs="Times New Roman"/>
          <w:sz w:val="24"/>
          <w:szCs w:val="24"/>
        </w:rPr>
        <w:t xml:space="preserve">Ölçeğin </w:t>
      </w:r>
      <w:proofErr w:type="spellStart"/>
      <w:r w:rsidR="00097D95" w:rsidRPr="00831F16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097D95" w:rsidRPr="00831F16">
        <w:rPr>
          <w:rFonts w:ascii="Times New Roman" w:hAnsi="Times New Roman" w:cs="Times New Roman"/>
          <w:sz w:val="24"/>
          <w:szCs w:val="24"/>
        </w:rPr>
        <w:t xml:space="preserve"> alfa katsayısı 0,872 olarak belirlenmiştir.</w:t>
      </w:r>
    </w:p>
    <w:p w14:paraId="3F02D88E" w14:textId="77777777" w:rsidR="00287D9B" w:rsidRPr="000715C0" w:rsidRDefault="00287D9B" w:rsidP="00287D9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15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KAYNAKÇA: </w:t>
      </w:r>
    </w:p>
    <w:p w14:paraId="6B3A8963" w14:textId="77777777" w:rsidR="00287D9B" w:rsidRPr="00287D9B" w:rsidRDefault="00287D9B" w:rsidP="00287D9B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7D9B">
        <w:rPr>
          <w:rFonts w:ascii="Times New Roman" w:hAnsi="Times New Roman" w:cs="Times New Roman"/>
          <w:sz w:val="24"/>
          <w:szCs w:val="24"/>
        </w:rPr>
        <w:t xml:space="preserve">Li, S.-y., Guo, J.-Y., Zhou, J., Shen, Q., Niu, S.-Y., Wang, L., Chen, H.-J., Ouyang, Y.-Q., &amp; Redding, S. R. (2023). Development and psychometric properties of a medication information literacy scale for Chinese pregnant women. </w:t>
      </w:r>
    </w:p>
    <w:p w14:paraId="3FB597F2" w14:textId="77777777" w:rsidR="00287D9B" w:rsidRPr="00287D9B" w:rsidRDefault="00287D9B" w:rsidP="00287D9B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7D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Eminoğlu, A., Çelikkanat, Ş., &amp; Güngörmüş, Z. (2025). Turkish Adaptation, Validity, and Reliability Study of the Medication Information Literacy Scale for Pregnant Women. </w:t>
      </w:r>
      <w:r w:rsidRPr="00287D9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nursing measurement</w:t>
      </w:r>
      <w:r w:rsidRPr="00287D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JNM-2025-0015.R1. Advance online publication. https://doi.org/10.1891/JNM-2025-0015</w:t>
      </w:r>
    </w:p>
    <w:p w14:paraId="0EF3EE1F" w14:textId="3492F7DB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B5757" w14:textId="509262B8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1CF0" w14:textId="6F7CF2D5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CD8CE" w14:textId="7B962163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C8E7" w14:textId="12A71C2A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02D5B" w14:textId="2C08DB72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60A7" w14:textId="63A3E85E" w:rsidR="00287D9B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6482D" w14:textId="77777777" w:rsidR="00287D9B" w:rsidRPr="00831F16" w:rsidRDefault="00287D9B" w:rsidP="00097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D8D30" w14:textId="72FB8C9C" w:rsidR="000715C0" w:rsidRDefault="000715C0" w:rsidP="00A20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</w:p>
    <w:tbl>
      <w:tblPr>
        <w:tblpPr w:leftFromText="141" w:rightFromText="141" w:vertAnchor="text" w:horzAnchor="margin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2"/>
        <w:gridCol w:w="292"/>
        <w:gridCol w:w="292"/>
        <w:gridCol w:w="292"/>
        <w:gridCol w:w="292"/>
        <w:gridCol w:w="292"/>
      </w:tblGrid>
      <w:tr w:rsidR="00320788" w:rsidRPr="00970049" w14:paraId="621CB106" w14:textId="77777777" w:rsidTr="00392FE2">
        <w:trPr>
          <w:cantSplit/>
          <w:trHeight w:val="2117"/>
          <w:tblHeader/>
        </w:trPr>
        <w:tc>
          <w:tcPr>
            <w:tcW w:w="0" w:type="auto"/>
            <w:shd w:val="clear" w:color="auto" w:fill="auto"/>
            <w:vAlign w:val="center"/>
          </w:tcPr>
          <w:p w14:paraId="7B8887D6" w14:textId="77777777" w:rsidR="00F555B0" w:rsidRPr="00970049" w:rsidRDefault="00F555B0" w:rsidP="009D3C53">
            <w:pPr>
              <w:pStyle w:val="a"/>
              <w:adjustRightInd w:val="0"/>
              <w:snapToGrid w:val="0"/>
              <w:spacing w:line="276" w:lineRule="auto"/>
              <w:ind w:left="-37" w:firstLine="426"/>
              <w:jc w:val="left"/>
              <w:rPr>
                <w:b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970049">
              <w:rPr>
                <w:b/>
                <w:color w:val="000000" w:themeColor="text1"/>
                <w:kern w:val="0"/>
                <w:sz w:val="20"/>
                <w:szCs w:val="20"/>
              </w:rPr>
              <w:lastRenderedPageBreak/>
              <w:t>Maddeler</w:t>
            </w:r>
            <w:proofErr w:type="spellEnd"/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3FD008F0" w14:textId="3C9594A6" w:rsidR="00F555B0" w:rsidRPr="00970049" w:rsidRDefault="00F555B0" w:rsidP="0032078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Nadiren Doğru (1)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2AF3C41E" w14:textId="14A720ED" w:rsidR="00F555B0" w:rsidRPr="00970049" w:rsidRDefault="00F555B0" w:rsidP="0032078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Bazen Doğru  (2)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64B78013" w14:textId="14886801" w:rsidR="00F555B0" w:rsidRPr="00970049" w:rsidRDefault="00F555B0" w:rsidP="0032078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Sıklıkla Doğru  (3)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6EB9362F" w14:textId="2EE949DF" w:rsidR="00F555B0" w:rsidRPr="00970049" w:rsidRDefault="00F555B0" w:rsidP="0032078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Genellikle Doğru (4)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5260AEBF" w14:textId="0FB68B51" w:rsidR="00F555B0" w:rsidRPr="00970049" w:rsidRDefault="00146BA9" w:rsidP="00320788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Neredeyse Doğru  (5</w:t>
            </w:r>
            <w:r w:rsidR="00F555B0" w:rsidRPr="0097004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146BA9" w:rsidRPr="00970049" w14:paraId="2559D792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01C012A4" w14:textId="33982B31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Gebelerle ilgili ilaç bilgilerine aktif olarak bakma farkındalığına sahibim.</w:t>
            </w:r>
          </w:p>
        </w:tc>
        <w:tc>
          <w:tcPr>
            <w:tcW w:w="0" w:type="auto"/>
            <w:shd w:val="clear" w:color="auto" w:fill="auto"/>
          </w:tcPr>
          <w:p w14:paraId="4097E0C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977C9B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93FAE8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0D83C0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84450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7D4CEE9E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02AFB956" w14:textId="2EE702FF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sz w:val="20"/>
                <w:szCs w:val="20"/>
              </w:rPr>
              <w:t>Gebelerle ilgili ilaç bilgilerini anlamanın gerekli olduğunu düşünüyorum</w:t>
            </w:r>
          </w:p>
        </w:tc>
        <w:tc>
          <w:tcPr>
            <w:tcW w:w="0" w:type="auto"/>
            <w:shd w:val="clear" w:color="auto" w:fill="auto"/>
          </w:tcPr>
          <w:p w14:paraId="2A65BBA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DDFF32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E93EAB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BA16318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639B62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3723C1FA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0B6B1285" w14:textId="21A7079B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İlaçların </w:t>
            </w:r>
            <w:proofErr w:type="spellStart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fetus</w:t>
            </w:r>
            <w:proofErr w:type="spellEnd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üzerinde kötü bir etkisi olacağından endişeleniyorum.</w:t>
            </w:r>
          </w:p>
        </w:tc>
        <w:tc>
          <w:tcPr>
            <w:tcW w:w="0" w:type="auto"/>
            <w:shd w:val="clear" w:color="auto" w:fill="auto"/>
          </w:tcPr>
          <w:p w14:paraId="25B23A2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16EC396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523944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6BD57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5EA4346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32AA99E4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71D55CDF" w14:textId="7C0A7F19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İlaçların benim üzerimde kötü bir etkisi olacağından endişeleniyorum.</w:t>
            </w:r>
          </w:p>
        </w:tc>
        <w:tc>
          <w:tcPr>
            <w:tcW w:w="0" w:type="auto"/>
            <w:shd w:val="clear" w:color="auto" w:fill="auto"/>
          </w:tcPr>
          <w:p w14:paraId="2158DB0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D7C434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8EFA39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2235CC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76ABD4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75A9DA05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55DE8A4E" w14:textId="1D3015F7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İlaç bilgilerini ilaç talimatlarından, ilaç </w:t>
            </w:r>
            <w:proofErr w:type="gramStart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prospektüslerinden</w:t>
            </w:r>
            <w:proofErr w:type="gramEnd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ilaç kitaplarından edinirim.</w:t>
            </w:r>
          </w:p>
        </w:tc>
        <w:tc>
          <w:tcPr>
            <w:tcW w:w="0" w:type="auto"/>
            <w:shd w:val="clear" w:color="auto" w:fill="auto"/>
          </w:tcPr>
          <w:p w14:paraId="556CC14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40A78D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689A5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EF719A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A038A5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278C28B0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101DE7FB" w14:textId="2025ECB1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İlaç bilgilerini doktorlardan, eczacılardan ve hemşirelerden edinirim.</w:t>
            </w:r>
          </w:p>
        </w:tc>
        <w:tc>
          <w:tcPr>
            <w:tcW w:w="0" w:type="auto"/>
            <w:shd w:val="clear" w:color="auto" w:fill="auto"/>
          </w:tcPr>
          <w:p w14:paraId="66594CE4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AE7B653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4A4C6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627C8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5081B1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2997E55A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4701A30E" w14:textId="25D684DA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İhtiyacım olan ilaç bilgilerini bulabilirim.</w:t>
            </w:r>
          </w:p>
        </w:tc>
        <w:tc>
          <w:tcPr>
            <w:tcW w:w="0" w:type="auto"/>
            <w:shd w:val="clear" w:color="auto" w:fill="auto"/>
          </w:tcPr>
          <w:p w14:paraId="24D935F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F905F3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66095A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81A5D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C55699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1F264212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43468942" w14:textId="1D62DBEF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Bulduğum ilaçla bilgilerinin kalitesinden memnunum.</w:t>
            </w:r>
          </w:p>
        </w:tc>
        <w:tc>
          <w:tcPr>
            <w:tcW w:w="0" w:type="auto"/>
            <w:shd w:val="clear" w:color="auto" w:fill="auto"/>
          </w:tcPr>
          <w:p w14:paraId="040C8179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CF9FEC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E371DF1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846E1C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80ED8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47D98182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19C16C15" w14:textId="44FF3F25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30" w:right="114" w:hanging="42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Bulduğum ilaç bilgileri şüphelerimi yanıtladı.</w:t>
            </w:r>
          </w:p>
        </w:tc>
        <w:tc>
          <w:tcPr>
            <w:tcW w:w="0" w:type="auto"/>
            <w:shd w:val="clear" w:color="auto" w:fill="auto"/>
          </w:tcPr>
          <w:p w14:paraId="2C5C164E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D07C69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41AC53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7CC060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ECDCA6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60EB4FAA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7E4A2158" w14:textId="451B5D33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Gebeliğin ilk üç ayının ilaç tedavisinin hassas dönemi olduğunu biliyorum</w:t>
            </w:r>
          </w:p>
        </w:tc>
        <w:tc>
          <w:tcPr>
            <w:tcW w:w="0" w:type="auto"/>
            <w:shd w:val="clear" w:color="auto" w:fill="auto"/>
          </w:tcPr>
          <w:p w14:paraId="7CEE28AC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9B4A7D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B858EEC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C8FB0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25423B9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5BFAEDE6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3E5C1655" w14:textId="5A74C431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Gebeliğin farklı </w:t>
            </w:r>
            <w:proofErr w:type="spellStart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trimester</w:t>
            </w:r>
            <w:proofErr w:type="spellEnd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dönemlerinde ilaç kullanımının risklerinin farklı olduğunu biliyorum.</w:t>
            </w:r>
          </w:p>
        </w:tc>
        <w:tc>
          <w:tcPr>
            <w:tcW w:w="0" w:type="auto"/>
            <w:shd w:val="clear" w:color="auto" w:fill="auto"/>
          </w:tcPr>
          <w:p w14:paraId="6DD19218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DE8D0B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D5AF3F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B0CBF7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48DB8E4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6678D2A3" w14:textId="77777777" w:rsidTr="00392FE2">
        <w:trPr>
          <w:trHeight w:val="302"/>
        </w:trPr>
        <w:tc>
          <w:tcPr>
            <w:tcW w:w="0" w:type="auto"/>
            <w:shd w:val="clear" w:color="auto" w:fill="auto"/>
            <w:vAlign w:val="center"/>
          </w:tcPr>
          <w:p w14:paraId="4485800C" w14:textId="6265B155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İlaçların </w:t>
            </w:r>
            <w:proofErr w:type="spellStart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teratojenik</w:t>
            </w:r>
            <w:proofErr w:type="spellEnd"/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etkilerini biliyorum.</w:t>
            </w:r>
          </w:p>
        </w:tc>
        <w:tc>
          <w:tcPr>
            <w:tcW w:w="0" w:type="auto"/>
            <w:shd w:val="clear" w:color="auto" w:fill="auto"/>
          </w:tcPr>
          <w:p w14:paraId="508E30FD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FA3193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E4CC22D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C1EFDF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1C0856" w14:textId="77777777" w:rsidR="00146BA9" w:rsidRPr="00970049" w:rsidRDefault="00146BA9" w:rsidP="0014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2496A488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443599BF" w14:textId="68E0F219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İzin verilmeyen kullanım ile dikkatli kullanım arasındaki farkı biliyorum.</w:t>
            </w:r>
          </w:p>
        </w:tc>
        <w:tc>
          <w:tcPr>
            <w:tcW w:w="0" w:type="auto"/>
            <w:shd w:val="clear" w:color="auto" w:fill="auto"/>
          </w:tcPr>
          <w:p w14:paraId="575808C1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754C22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AA5865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0DF3E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53D81D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0A191749" w14:textId="77777777" w:rsidTr="00392FE2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14:paraId="4232C0A2" w14:textId="099EE870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Sadece internetteki ilaç bilgilerine dayanarak ilaç almanın fetüs açısından riskli olduğunu düşünüyorum.</w:t>
            </w:r>
          </w:p>
        </w:tc>
        <w:tc>
          <w:tcPr>
            <w:tcW w:w="0" w:type="auto"/>
            <w:shd w:val="clear" w:color="auto" w:fill="auto"/>
          </w:tcPr>
          <w:p w14:paraId="3014EEC7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E191FA9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E0684B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0DCD2E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851F93" w14:textId="77777777" w:rsidR="00146BA9" w:rsidRPr="00970049" w:rsidRDefault="00146BA9" w:rsidP="00146BA9">
            <w:pPr>
              <w:spacing w:after="6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146BA9" w:rsidRPr="00970049" w14:paraId="5199B7A5" w14:textId="77777777" w:rsidTr="00392FE2">
        <w:trPr>
          <w:trHeight w:val="47"/>
        </w:trPr>
        <w:tc>
          <w:tcPr>
            <w:tcW w:w="0" w:type="auto"/>
            <w:shd w:val="clear" w:color="auto" w:fill="auto"/>
            <w:vAlign w:val="center"/>
          </w:tcPr>
          <w:p w14:paraId="7F9EF434" w14:textId="79139940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Sadece deneyimlere dayanarak ilaç almanın fetüs için riskli olduğunu düşünüyorum.</w:t>
            </w:r>
          </w:p>
        </w:tc>
        <w:tc>
          <w:tcPr>
            <w:tcW w:w="0" w:type="auto"/>
            <w:shd w:val="clear" w:color="auto" w:fill="auto"/>
          </w:tcPr>
          <w:p w14:paraId="100B60EF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1F9275FC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50C5111F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332EC487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243648F5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146BA9" w:rsidRPr="00970049" w14:paraId="4EA1F019" w14:textId="77777777" w:rsidTr="00392F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11270A37" w14:textId="09B56149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Sadece ilaç kitaplarına, talimatlara vb. dayanarak ilaç almanın fetüs için riskli olduğunu düşünüyorum.</w:t>
            </w:r>
          </w:p>
        </w:tc>
        <w:tc>
          <w:tcPr>
            <w:tcW w:w="0" w:type="auto"/>
            <w:shd w:val="clear" w:color="auto" w:fill="auto"/>
          </w:tcPr>
          <w:p w14:paraId="21BF8838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D99493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525A922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D68678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F19306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</w:tr>
      <w:tr w:rsidR="00146BA9" w:rsidRPr="00970049" w14:paraId="0376402B" w14:textId="77777777" w:rsidTr="00392FE2">
        <w:trPr>
          <w:trHeight w:val="47"/>
        </w:trPr>
        <w:tc>
          <w:tcPr>
            <w:tcW w:w="0" w:type="auto"/>
            <w:shd w:val="clear" w:color="auto" w:fill="auto"/>
            <w:vAlign w:val="center"/>
          </w:tcPr>
          <w:p w14:paraId="3584BB49" w14:textId="771B22B6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Farklı kaynaklardan alınan ilaç bilgilerini kapsamlı bir şekilde karşılaştırırım</w:t>
            </w: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011BA68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03290E4A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5915CC94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34561D3D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66AC84F9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146BA9" w:rsidRPr="00970049" w14:paraId="6FA76EE1" w14:textId="77777777" w:rsidTr="00392F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6A8860D3" w14:textId="3E97C537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İnternetten alınan ilaç bilgilerini sağlık personeline danışırım</w:t>
            </w: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CF76921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0A88CEBD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3D6FE188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082BF314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1919037C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</w:tr>
      <w:tr w:rsidR="00146BA9" w:rsidRPr="00970049" w14:paraId="345F836F" w14:textId="77777777" w:rsidTr="00392F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0555AED8" w14:textId="3A9A5F16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Akraba ve arkadaşlarımdan gelen ilaç bilgileri hakkında sağlık personeline danışırım.</w:t>
            </w:r>
          </w:p>
        </w:tc>
        <w:tc>
          <w:tcPr>
            <w:tcW w:w="0" w:type="auto"/>
            <w:shd w:val="clear" w:color="auto" w:fill="auto"/>
          </w:tcPr>
          <w:p w14:paraId="432146BF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A3E2A7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3B15A2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5B9B029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FA7D33D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</w:tr>
      <w:tr w:rsidR="00320788" w:rsidRPr="00970049" w14:paraId="62D6973C" w14:textId="77777777" w:rsidTr="00392F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5B2A598E" w14:textId="1E4A0A05" w:rsidR="00146BA9" w:rsidRPr="00970049" w:rsidRDefault="00146BA9" w:rsidP="00146BA9">
            <w:pPr>
              <w:pStyle w:val="ListeParagraf"/>
              <w:numPr>
                <w:ilvl w:val="0"/>
                <w:numId w:val="2"/>
              </w:numPr>
              <w:spacing w:after="60"/>
              <w:ind w:left="530" w:right="114" w:hanging="4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İlaç kitabından edindiğ</w:t>
            </w:r>
            <w:r w:rsidR="004432D4"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97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 ilaç bilgilerini sağlık personeline danışırım.</w:t>
            </w:r>
          </w:p>
        </w:tc>
        <w:tc>
          <w:tcPr>
            <w:tcW w:w="0" w:type="auto"/>
            <w:shd w:val="clear" w:color="auto" w:fill="auto"/>
          </w:tcPr>
          <w:p w14:paraId="02BA7D9F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771F8DB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64B6F5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CBDE34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18147C" w14:textId="77777777" w:rsidR="00146BA9" w:rsidRPr="00970049" w:rsidRDefault="00146BA9" w:rsidP="00146BA9">
            <w:pPr>
              <w:pStyle w:val="a"/>
              <w:spacing w:after="60" w:line="360" w:lineRule="auto"/>
              <w:rPr>
                <w:rFonts w:eastAsia="SimSun"/>
                <w:kern w:val="0"/>
                <w:sz w:val="20"/>
                <w:szCs w:val="20"/>
              </w:rPr>
            </w:pPr>
          </w:p>
        </w:tc>
      </w:tr>
    </w:tbl>
    <w:p w14:paraId="520273E7" w14:textId="43254A72" w:rsidR="00536759" w:rsidRDefault="00536759"/>
    <w:p w14:paraId="08A5D5FA" w14:textId="5D0E9423" w:rsidR="00536759" w:rsidRDefault="00536759"/>
    <w:p w14:paraId="1355E506" w14:textId="613FD6A4" w:rsidR="00536759" w:rsidRDefault="00536759"/>
    <w:p w14:paraId="691A4C02" w14:textId="30E2E14A" w:rsidR="00536759" w:rsidRDefault="00536759"/>
    <w:p w14:paraId="26A8DCA7" w14:textId="77777777" w:rsidR="000715C0" w:rsidRDefault="000715C0"/>
    <w:sectPr w:rsidR="0007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952"/>
    <w:multiLevelType w:val="hybridMultilevel"/>
    <w:tmpl w:val="FFAC1D84"/>
    <w:lvl w:ilvl="0" w:tplc="AFBA25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3C52"/>
    <w:multiLevelType w:val="hybridMultilevel"/>
    <w:tmpl w:val="A468945A"/>
    <w:lvl w:ilvl="0" w:tplc="ECC4DB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89"/>
    <w:rsid w:val="000715C0"/>
    <w:rsid w:val="00097D95"/>
    <w:rsid w:val="00146BA9"/>
    <w:rsid w:val="00287D9B"/>
    <w:rsid w:val="002D7D89"/>
    <w:rsid w:val="00320788"/>
    <w:rsid w:val="00336EE8"/>
    <w:rsid w:val="00392FE2"/>
    <w:rsid w:val="003B7DEF"/>
    <w:rsid w:val="004432D4"/>
    <w:rsid w:val="004F1DED"/>
    <w:rsid w:val="00536759"/>
    <w:rsid w:val="007C0B25"/>
    <w:rsid w:val="007C354E"/>
    <w:rsid w:val="00831F16"/>
    <w:rsid w:val="00881DE3"/>
    <w:rsid w:val="00885D9D"/>
    <w:rsid w:val="009125E2"/>
    <w:rsid w:val="00970049"/>
    <w:rsid w:val="009B7310"/>
    <w:rsid w:val="00A03349"/>
    <w:rsid w:val="00A208BA"/>
    <w:rsid w:val="00A937BD"/>
    <w:rsid w:val="00C80630"/>
    <w:rsid w:val="00CA1E7D"/>
    <w:rsid w:val="00DB27DA"/>
    <w:rsid w:val="00F555B0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6B5F6"/>
  <w15:chartTrackingRefBased/>
  <w15:docId w15:val="{57F53F37-33F2-4718-BE60-0061C44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Ak1">
    <w:name w:val="Tablo Kılavuzu Açık1"/>
    <w:basedOn w:val="NormalTablo"/>
    <w:next w:val="TabloKlavuzuAk"/>
    <w:uiPriority w:val="40"/>
    <w:rsid w:val="00885D9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885D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4F1DE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F1DE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937BD"/>
    <w:pPr>
      <w:spacing w:line="240" w:lineRule="auto"/>
      <w:jc w:val="both"/>
    </w:pPr>
    <w:rPr>
      <w:rFonts w:ascii="Calibri" w:eastAsia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A937BD"/>
    <w:rPr>
      <w:rFonts w:ascii="Calibri" w:eastAsia="Calibri" w:hAnsi="Calibri" w:cs="Calibri"/>
      <w:noProof/>
      <w:lang w:val="en-US"/>
    </w:rPr>
  </w:style>
  <w:style w:type="character" w:styleId="Gl">
    <w:name w:val="Strong"/>
    <w:basedOn w:val="VarsaylanParagrafYazTipi"/>
    <w:uiPriority w:val="22"/>
    <w:qFormat/>
    <w:rsid w:val="00831F16"/>
    <w:rPr>
      <w:b/>
      <w:bCs/>
    </w:rPr>
  </w:style>
  <w:style w:type="paragraph" w:customStyle="1" w:styleId="a">
    <w:name w:val="表格內容置中"/>
    <w:link w:val="a0"/>
    <w:rsid w:val="00F555B0"/>
    <w:pPr>
      <w:spacing w:after="0" w:line="240" w:lineRule="auto"/>
      <w:jc w:val="center"/>
    </w:pPr>
    <w:rPr>
      <w:rFonts w:ascii="Times New Roman" w:eastAsia="DFKai-SB" w:hAnsi="Times New Roman" w:cs="Times New Roman"/>
      <w:kern w:val="2"/>
      <w:sz w:val="24"/>
      <w:szCs w:val="24"/>
      <w:lang w:val="en-US" w:eastAsia="zh-TW"/>
    </w:rPr>
  </w:style>
  <w:style w:type="character" w:customStyle="1" w:styleId="a0">
    <w:name w:val="表格內容置中 字元"/>
    <w:link w:val="a"/>
    <w:rsid w:val="00F555B0"/>
    <w:rPr>
      <w:rFonts w:ascii="Times New Roman" w:eastAsia="DFKai-SB" w:hAnsi="Times New Roman" w:cs="Times New Roman"/>
      <w:kern w:val="2"/>
      <w:sz w:val="24"/>
      <w:szCs w:val="24"/>
      <w:lang w:val="en-US" w:eastAsia="zh-TW"/>
    </w:rPr>
  </w:style>
  <w:style w:type="paragraph" w:styleId="ListeParagraf">
    <w:name w:val="List Paragraph"/>
    <w:basedOn w:val="Normal"/>
    <w:uiPriority w:val="34"/>
    <w:qFormat/>
    <w:rsid w:val="00F555B0"/>
    <w:pPr>
      <w:spacing w:after="200" w:line="276" w:lineRule="auto"/>
      <w:ind w:left="720"/>
      <w:contextualSpacing/>
    </w:pPr>
    <w:rPr>
      <w:rFonts w:ascii="Calibri" w:eastAsia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411</Words>
  <Characters>2802</Characters>
  <Application>Microsoft Office Word</Application>
  <DocSecurity>0</DocSecurity>
  <Lines>175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Hakem</cp:lastModifiedBy>
  <cp:revision>13</cp:revision>
  <dcterms:created xsi:type="dcterms:W3CDTF">2023-11-03T11:22:00Z</dcterms:created>
  <dcterms:modified xsi:type="dcterms:W3CDTF">2025-11-04T14:41:00Z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bb1aa974-88b9-411e-805d-3c680eafe886</vt:lpwstr>
  </property>
</Properties>
</file>