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2ECA" w14:textId="77777777" w:rsidR="00B05CC2" w:rsidRPr="006648D7" w:rsidRDefault="00B05CC2" w:rsidP="00B05C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48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Table 1. </w:t>
      </w:r>
      <w:r w:rsidRPr="006648D7">
        <w:rPr>
          <w:rFonts w:ascii="Times New Roman" w:eastAsia="Times New Roman" w:hAnsi="Times New Roman" w:cs="Times New Roman"/>
          <w:sz w:val="24"/>
          <w:szCs w:val="24"/>
        </w:rPr>
        <w:t>Summary of validation approaches used in the MedQ-Sus study</w:t>
      </w:r>
    </w:p>
    <w:tbl>
      <w:tblPr>
        <w:tblW w:w="9072" w:type="dxa"/>
        <w:tblLayout w:type="fixed"/>
        <w:tblLook w:val="0400" w:firstRow="0" w:lastRow="0" w:firstColumn="0" w:lastColumn="0" w:noHBand="0" w:noVBand="1"/>
      </w:tblPr>
      <w:tblGrid>
        <w:gridCol w:w="2193"/>
        <w:gridCol w:w="3699"/>
        <w:gridCol w:w="3180"/>
      </w:tblGrid>
      <w:tr w:rsidR="00B05CC2" w:rsidRPr="006648D7" w14:paraId="5E8D5769" w14:textId="77777777" w:rsidTr="00185407">
        <w:trPr>
          <w:trHeight w:val="446"/>
          <w:tblHeader/>
        </w:trPr>
        <w:tc>
          <w:tcPr>
            <w:tcW w:w="21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4DE33C" w14:textId="77777777" w:rsidR="00B05CC2" w:rsidRPr="006648D7" w:rsidRDefault="00B05CC2" w:rsidP="001854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Validation Type</w:t>
            </w:r>
          </w:p>
        </w:tc>
        <w:tc>
          <w:tcPr>
            <w:tcW w:w="3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134559" w14:textId="77777777" w:rsidR="00B05CC2" w:rsidRPr="006648D7" w:rsidRDefault="00B05CC2" w:rsidP="001854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 Used</w:t>
            </w:r>
          </w:p>
        </w:tc>
        <w:tc>
          <w:tcPr>
            <w:tcW w:w="31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5824EC" w14:textId="77777777" w:rsidR="00B05CC2" w:rsidRPr="006648D7" w:rsidRDefault="00B05CC2" w:rsidP="001854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It Assesses</w:t>
            </w:r>
          </w:p>
        </w:tc>
      </w:tr>
      <w:tr w:rsidR="00B05CC2" w:rsidRPr="006648D7" w14:paraId="463EF2E2" w14:textId="77777777" w:rsidTr="00185407">
        <w:trPr>
          <w:trHeight w:val="539"/>
        </w:trPr>
        <w:tc>
          <w:tcPr>
            <w:tcW w:w="2193" w:type="dxa"/>
            <w:vAlign w:val="center"/>
          </w:tcPr>
          <w:p w14:paraId="6F5F43A3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Criterion validity</w:t>
            </w:r>
          </w:p>
        </w:tc>
        <w:tc>
          <w:tcPr>
            <w:tcW w:w="3699" w:type="dxa"/>
            <w:vAlign w:val="center"/>
          </w:tcPr>
          <w:p w14:paraId="34B2C505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Correlation with 3-day food records + Bland–Altman</w:t>
            </w:r>
          </w:p>
        </w:tc>
        <w:tc>
          <w:tcPr>
            <w:tcW w:w="3180" w:type="dxa"/>
            <w:vAlign w:val="center"/>
          </w:tcPr>
          <w:p w14:paraId="493D0D95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Agreement with dietary intake obtained from reference method</w:t>
            </w:r>
          </w:p>
        </w:tc>
      </w:tr>
      <w:tr w:rsidR="00B05CC2" w:rsidRPr="006648D7" w14:paraId="01826AD7" w14:textId="77777777" w:rsidTr="00185407">
        <w:trPr>
          <w:trHeight w:val="951"/>
        </w:trPr>
        <w:tc>
          <w:tcPr>
            <w:tcW w:w="2193" w:type="dxa"/>
            <w:vAlign w:val="center"/>
          </w:tcPr>
          <w:p w14:paraId="77F89533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Internal structure validity</w:t>
            </w:r>
          </w:p>
        </w:tc>
        <w:tc>
          <w:tcPr>
            <w:tcW w:w="3699" w:type="dxa"/>
            <w:vAlign w:val="center"/>
          </w:tcPr>
          <w:p w14:paraId="1680C236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Correlation between MedQ-Sus components and corresponding food group intakes</w:t>
            </w:r>
          </w:p>
        </w:tc>
        <w:tc>
          <w:tcPr>
            <w:tcW w:w="3180" w:type="dxa"/>
            <w:vAlign w:val="center"/>
          </w:tcPr>
          <w:p w14:paraId="64A74EAF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Whether questionnaire components reflect intended dietary constructs</w:t>
            </w:r>
          </w:p>
        </w:tc>
      </w:tr>
      <w:tr w:rsidR="00B05CC2" w:rsidRPr="006648D7" w14:paraId="261F2565" w14:textId="77777777" w:rsidTr="00185407">
        <w:trPr>
          <w:trHeight w:val="710"/>
        </w:trPr>
        <w:tc>
          <w:tcPr>
            <w:tcW w:w="2193" w:type="dxa"/>
            <w:vAlign w:val="center"/>
          </w:tcPr>
          <w:p w14:paraId="034976BA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 validity (Mediterranean diet)</w:t>
            </w:r>
          </w:p>
        </w:tc>
        <w:tc>
          <w:tcPr>
            <w:tcW w:w="3699" w:type="dxa"/>
            <w:vAlign w:val="center"/>
          </w:tcPr>
          <w:p w14:paraId="345C6F06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Modified aMED + Spearman correlation + ICC</w:t>
            </w:r>
          </w:p>
        </w:tc>
        <w:tc>
          <w:tcPr>
            <w:tcW w:w="3180" w:type="dxa"/>
            <w:vAlign w:val="center"/>
          </w:tcPr>
          <w:p w14:paraId="591C1A05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Ability to capture Mediterranean diet adherence</w:t>
            </w:r>
          </w:p>
        </w:tc>
      </w:tr>
      <w:tr w:rsidR="00B05CC2" w:rsidRPr="006648D7" w14:paraId="6CD48E34" w14:textId="77777777" w:rsidTr="00185407">
        <w:trPr>
          <w:trHeight w:val="703"/>
        </w:trPr>
        <w:tc>
          <w:tcPr>
            <w:tcW w:w="2193" w:type="dxa"/>
            <w:vAlign w:val="center"/>
          </w:tcPr>
          <w:p w14:paraId="13EA6152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 validity (Sustainability)</w:t>
            </w:r>
          </w:p>
        </w:tc>
        <w:tc>
          <w:tcPr>
            <w:tcW w:w="3699" w:type="dxa"/>
            <w:vAlign w:val="center"/>
          </w:tcPr>
          <w:p w14:paraId="21A44129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PHDI + Spearman correlation + ICC</w:t>
            </w:r>
          </w:p>
        </w:tc>
        <w:tc>
          <w:tcPr>
            <w:tcW w:w="3180" w:type="dxa"/>
            <w:vAlign w:val="center"/>
          </w:tcPr>
          <w:p w14:paraId="3564887A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Ability to capture sustainable dietary patterns</w:t>
            </w:r>
          </w:p>
        </w:tc>
      </w:tr>
      <w:tr w:rsidR="00B05CC2" w:rsidRPr="006648D7" w14:paraId="14FD0719" w14:textId="77777777" w:rsidTr="00185407">
        <w:trPr>
          <w:trHeight w:val="446"/>
        </w:trPr>
        <w:tc>
          <w:tcPr>
            <w:tcW w:w="2193" w:type="dxa"/>
            <w:tcBorders>
              <w:bottom w:val="single" w:sz="4" w:space="0" w:color="000000"/>
            </w:tcBorders>
            <w:vAlign w:val="center"/>
          </w:tcPr>
          <w:p w14:paraId="31605196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Reproducibility</w:t>
            </w:r>
          </w:p>
        </w:tc>
        <w:tc>
          <w:tcPr>
            <w:tcW w:w="3699" w:type="dxa"/>
            <w:tcBorders>
              <w:bottom w:val="single" w:sz="4" w:space="0" w:color="000000"/>
            </w:tcBorders>
            <w:vAlign w:val="center"/>
          </w:tcPr>
          <w:p w14:paraId="5726A229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Test–retest + ICC</w:t>
            </w:r>
          </w:p>
        </w:tc>
        <w:tc>
          <w:tcPr>
            <w:tcW w:w="3180" w:type="dxa"/>
            <w:tcBorders>
              <w:bottom w:val="single" w:sz="4" w:space="0" w:color="000000"/>
            </w:tcBorders>
            <w:vAlign w:val="center"/>
          </w:tcPr>
          <w:p w14:paraId="0027E15B" w14:textId="77777777" w:rsidR="00B05CC2" w:rsidRPr="006648D7" w:rsidRDefault="00B05CC2" w:rsidP="0018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48D7">
              <w:rPr>
                <w:rFonts w:ascii="Times New Roman" w:eastAsia="Times New Roman" w:hAnsi="Times New Roman" w:cs="Times New Roman"/>
                <w:sz w:val="24"/>
                <w:szCs w:val="24"/>
              </w:rPr>
              <w:t>Stability and agreement over time</w:t>
            </w:r>
          </w:p>
        </w:tc>
      </w:tr>
    </w:tbl>
    <w:p w14:paraId="4A0615E9" w14:textId="77777777" w:rsidR="00B05CC2" w:rsidRPr="006648D7" w:rsidRDefault="00B05CC2" w:rsidP="00B05C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48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Abbreviations: </w:t>
      </w:r>
      <w:r w:rsidRPr="006648D7">
        <w:rPr>
          <w:rFonts w:ascii="Times New Roman" w:eastAsia="Times New Roman" w:hAnsi="Times New Roman" w:cs="Times New Roman"/>
          <w:sz w:val="24"/>
          <w:szCs w:val="24"/>
        </w:rPr>
        <w:t>ICC: Intraclass correlation coefficient; aMED: alternate Mediterranean Diet score; PHDI: Planetary Health Diet Index.</w:t>
      </w:r>
    </w:p>
    <w:p w14:paraId="66836CF5" w14:textId="77777777" w:rsidR="00B05CC2" w:rsidRPr="006648D7" w:rsidRDefault="00B05CC2" w:rsidP="00B05CC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F7D2D6" w14:textId="77777777" w:rsidR="00B05CC2" w:rsidRPr="006648D7" w:rsidRDefault="00B05CC2" w:rsidP="00B05CC2">
      <w:pPr>
        <w:rPr>
          <w:rFonts w:ascii="Times New Roman" w:hAnsi="Times New Roman" w:cs="Times New Roman"/>
          <w:b/>
          <w:sz w:val="24"/>
          <w:szCs w:val="24"/>
        </w:rPr>
        <w:sectPr w:rsidR="00B05CC2" w:rsidRPr="006648D7" w:rsidSect="00B05CC2">
          <w:pgSz w:w="11906" w:h="16838"/>
          <w:pgMar w:top="1418" w:right="1418" w:bottom="1418" w:left="1418" w:header="709" w:footer="709" w:gutter="0"/>
          <w:cols w:space="708"/>
        </w:sectPr>
      </w:pPr>
    </w:p>
    <w:p w14:paraId="706041CB" w14:textId="3DB6C074" w:rsidR="00B05CC2" w:rsidRPr="006648D7" w:rsidRDefault="00B05CC2" w:rsidP="00B05C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48D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2. </w:t>
      </w:r>
      <w:r w:rsidR="00BC4F06" w:rsidRPr="00BC4F06">
        <w:rPr>
          <w:rFonts w:ascii="Times New Roman" w:hAnsi="Times New Roman" w:cs="Times New Roman"/>
          <w:bCs/>
          <w:sz w:val="24"/>
          <w:szCs w:val="24"/>
        </w:rPr>
        <w:t>Sustainable Mediterranean Diet Scoring and Tertile Ranges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591"/>
        <w:gridCol w:w="2462"/>
        <w:gridCol w:w="3160"/>
        <w:gridCol w:w="2612"/>
        <w:gridCol w:w="734"/>
        <w:gridCol w:w="588"/>
        <w:gridCol w:w="440"/>
        <w:gridCol w:w="1"/>
        <w:gridCol w:w="556"/>
        <w:gridCol w:w="416"/>
        <w:gridCol w:w="416"/>
        <w:gridCol w:w="16"/>
      </w:tblGrid>
      <w:tr w:rsidR="00B05CC2" w:rsidRPr="006648D7" w14:paraId="6A75E5F9" w14:textId="77777777" w:rsidTr="00C15701">
        <w:trPr>
          <w:trHeight w:val="481"/>
        </w:trPr>
        <w:tc>
          <w:tcPr>
            <w:tcW w:w="937" w:type="pct"/>
          </w:tcPr>
          <w:p w14:paraId="37C8F1B9" w14:textId="77777777" w:rsidR="00B05CC2" w:rsidRPr="006648D7" w:rsidRDefault="00B05CC2" w:rsidP="00185407">
            <w:pPr>
              <w:pStyle w:val="Default"/>
              <w:rPr>
                <w:b/>
                <w:bCs/>
                <w:color w:val="auto"/>
              </w:rPr>
            </w:pPr>
            <w:r w:rsidRPr="006648D7">
              <w:rPr>
                <w:b/>
                <w:bCs/>
                <w:color w:val="auto"/>
              </w:rPr>
              <w:t>Food group</w:t>
            </w:r>
          </w:p>
        </w:tc>
        <w:tc>
          <w:tcPr>
            <w:tcW w:w="2975" w:type="pct"/>
            <w:gridSpan w:val="3"/>
          </w:tcPr>
          <w:p w14:paraId="32EE0C1E" w14:textId="77777777" w:rsidR="00B05CC2" w:rsidRPr="006648D7" w:rsidRDefault="00B05CC2" w:rsidP="00185407">
            <w:pPr>
              <w:pStyle w:val="Default"/>
              <w:rPr>
                <w:b/>
                <w:bCs/>
                <w:color w:val="auto"/>
              </w:rPr>
            </w:pPr>
            <w:r w:rsidRPr="006648D7">
              <w:rPr>
                <w:b/>
                <w:bCs/>
                <w:color w:val="auto"/>
              </w:rPr>
              <w:t>Portion sizes</w:t>
            </w:r>
          </w:p>
        </w:tc>
        <w:tc>
          <w:tcPr>
            <w:tcW w:w="593" w:type="pct"/>
            <w:gridSpan w:val="4"/>
            <w:tcBorders>
              <w:bottom w:val="single" w:sz="4" w:space="0" w:color="auto"/>
            </w:tcBorders>
          </w:tcPr>
          <w:p w14:paraId="7153A06E" w14:textId="77777777" w:rsidR="00B05CC2" w:rsidRPr="006648D7" w:rsidRDefault="00B05CC2" w:rsidP="00185407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6648D7">
              <w:rPr>
                <w:b/>
                <w:bCs/>
                <w:color w:val="auto"/>
              </w:rPr>
              <w:t xml:space="preserve">Mediterranean Diet score    </w:t>
            </w:r>
          </w:p>
        </w:tc>
        <w:tc>
          <w:tcPr>
            <w:tcW w:w="495" w:type="pct"/>
            <w:gridSpan w:val="4"/>
            <w:tcBorders>
              <w:bottom w:val="single" w:sz="4" w:space="0" w:color="auto"/>
            </w:tcBorders>
          </w:tcPr>
          <w:p w14:paraId="303E8B61" w14:textId="77777777" w:rsidR="00B05CC2" w:rsidRPr="006648D7" w:rsidRDefault="00B05CC2" w:rsidP="00185407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6648D7">
              <w:rPr>
                <w:b/>
                <w:bCs/>
                <w:color w:val="auto"/>
              </w:rPr>
              <w:t>Sustainable Diet score</w:t>
            </w:r>
          </w:p>
        </w:tc>
      </w:tr>
      <w:tr w:rsidR="00B05CC2" w:rsidRPr="006648D7" w14:paraId="718F2612" w14:textId="77777777" w:rsidTr="00C15701">
        <w:trPr>
          <w:gridAfter w:val="1"/>
          <w:wAfter w:w="6" w:type="pct"/>
          <w:trHeight w:val="849"/>
        </w:trPr>
        <w:tc>
          <w:tcPr>
            <w:tcW w:w="937" w:type="pct"/>
          </w:tcPr>
          <w:p w14:paraId="48046436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Cereals and cereal products </w:t>
            </w:r>
            <w:r w:rsidRPr="006648D7">
              <w:rPr>
                <w:i/>
                <w:color w:val="auto"/>
              </w:rPr>
              <w:t>(including whole grains, excluding sugary products)</w:t>
            </w:r>
          </w:p>
          <w:p w14:paraId="6B8554E4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(130 g/day)</w:t>
            </w:r>
          </w:p>
        </w:tc>
        <w:tc>
          <w:tcPr>
            <w:tcW w:w="891" w:type="pct"/>
          </w:tcPr>
          <w:p w14:paraId="75169088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&lt;1 serving (130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1140" w:type="pct"/>
          </w:tcPr>
          <w:p w14:paraId="7DB3AC36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1–1.5 servings (130–195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70E288BA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&gt;1.5 servings (195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</w:tcPr>
          <w:p w14:paraId="3DA4442D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  <w:tcBorders>
              <w:top w:val="single" w:sz="4" w:space="0" w:color="auto"/>
            </w:tcBorders>
          </w:tcPr>
          <w:p w14:paraId="61D84EE2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top w:val="single" w:sz="4" w:space="0" w:color="auto"/>
              <w:right w:val="single" w:sz="4" w:space="0" w:color="auto"/>
            </w:tcBorders>
          </w:tcPr>
          <w:p w14:paraId="42571A74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229EB2A1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3D377FD6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15301B2C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</w:tr>
      <w:tr w:rsidR="00B05CC2" w:rsidRPr="006648D7" w14:paraId="11957A9D" w14:textId="77777777" w:rsidTr="00C15701">
        <w:trPr>
          <w:gridAfter w:val="1"/>
          <w:wAfter w:w="6" w:type="pct"/>
          <w:trHeight w:val="604"/>
        </w:trPr>
        <w:tc>
          <w:tcPr>
            <w:tcW w:w="937" w:type="pct"/>
          </w:tcPr>
          <w:p w14:paraId="1BB47E7F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Legumes </w:t>
            </w:r>
          </w:p>
          <w:p w14:paraId="76658EA6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(70 g/week)</w:t>
            </w:r>
          </w:p>
        </w:tc>
        <w:tc>
          <w:tcPr>
            <w:tcW w:w="891" w:type="pct"/>
          </w:tcPr>
          <w:p w14:paraId="311E5F35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&lt;1 serving (70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week</w:t>
            </w:r>
          </w:p>
        </w:tc>
        <w:tc>
          <w:tcPr>
            <w:tcW w:w="1140" w:type="pct"/>
          </w:tcPr>
          <w:p w14:paraId="7537331E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1–2 servings (70–140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week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61B0EEF2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&gt;2 servings (140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week</w:t>
            </w:r>
          </w:p>
        </w:tc>
        <w:tc>
          <w:tcPr>
            <w:tcW w:w="247" w:type="pct"/>
            <w:tcBorders>
              <w:left w:val="single" w:sz="4" w:space="0" w:color="auto"/>
            </w:tcBorders>
          </w:tcPr>
          <w:p w14:paraId="5BCBAD3A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</w:tcPr>
          <w:p w14:paraId="2FC178D1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right w:val="single" w:sz="4" w:space="0" w:color="auto"/>
            </w:tcBorders>
          </w:tcPr>
          <w:p w14:paraId="2C44AF3C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62036B4F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38389FB9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6F5456DE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</w:tr>
      <w:tr w:rsidR="00B05CC2" w:rsidRPr="006648D7" w14:paraId="44C731C4" w14:textId="77777777" w:rsidTr="00C15701">
        <w:trPr>
          <w:gridAfter w:val="1"/>
          <w:wAfter w:w="6" w:type="pct"/>
          <w:trHeight w:val="536"/>
        </w:trPr>
        <w:tc>
          <w:tcPr>
            <w:tcW w:w="937" w:type="pct"/>
          </w:tcPr>
          <w:p w14:paraId="2E8D852B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Fresh vegetables</w:t>
            </w:r>
          </w:p>
          <w:p w14:paraId="063A9BF1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(100 g/day)</w:t>
            </w:r>
          </w:p>
        </w:tc>
        <w:tc>
          <w:tcPr>
            <w:tcW w:w="891" w:type="pct"/>
          </w:tcPr>
          <w:p w14:paraId="117D0D73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&lt;1 serving (100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1140" w:type="pct"/>
          </w:tcPr>
          <w:p w14:paraId="05799E4B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1–2.5 servings (100–250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25BA487D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&gt;2.5 servings (250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247" w:type="pct"/>
            <w:tcBorders>
              <w:left w:val="single" w:sz="4" w:space="0" w:color="auto"/>
            </w:tcBorders>
          </w:tcPr>
          <w:p w14:paraId="767BA173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</w:tcPr>
          <w:p w14:paraId="7FEDA1E6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right w:val="single" w:sz="4" w:space="0" w:color="auto"/>
            </w:tcBorders>
          </w:tcPr>
          <w:p w14:paraId="5A68EEC3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069C9293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3FAFBBD0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</w:tcPr>
          <w:p w14:paraId="53C4ED0F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</w:tr>
      <w:tr w:rsidR="00B05CC2" w:rsidRPr="006648D7" w14:paraId="71D0E4A0" w14:textId="77777777" w:rsidTr="00C15701">
        <w:trPr>
          <w:gridAfter w:val="1"/>
          <w:wAfter w:w="6" w:type="pct"/>
          <w:trHeight w:val="550"/>
        </w:trPr>
        <w:tc>
          <w:tcPr>
            <w:tcW w:w="937" w:type="pct"/>
          </w:tcPr>
          <w:p w14:paraId="28CCF376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Fresh fruits</w:t>
            </w:r>
          </w:p>
          <w:p w14:paraId="59A4C5BD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(150 g/day)</w:t>
            </w:r>
          </w:p>
        </w:tc>
        <w:tc>
          <w:tcPr>
            <w:tcW w:w="891" w:type="pct"/>
          </w:tcPr>
          <w:p w14:paraId="2142D5A1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&lt;1 serving (150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1140" w:type="pct"/>
          </w:tcPr>
          <w:p w14:paraId="1C0A3F88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1–2 servings (150–300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5034072B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&gt;2 servings (300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247" w:type="pct"/>
            <w:tcBorders>
              <w:left w:val="single" w:sz="4" w:space="0" w:color="auto"/>
            </w:tcBorders>
          </w:tcPr>
          <w:p w14:paraId="7703D063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</w:tcPr>
          <w:p w14:paraId="685E6903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right w:val="single" w:sz="4" w:space="0" w:color="auto"/>
            </w:tcBorders>
          </w:tcPr>
          <w:p w14:paraId="08EF8C75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68EC1B59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44E22409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</w:tcPr>
          <w:p w14:paraId="328D4D07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</w:tr>
      <w:tr w:rsidR="00B05CC2" w:rsidRPr="006648D7" w14:paraId="39CEAE11" w14:textId="77777777" w:rsidTr="00C15701">
        <w:trPr>
          <w:gridAfter w:val="1"/>
          <w:wAfter w:w="6" w:type="pct"/>
          <w:trHeight w:val="536"/>
        </w:trPr>
        <w:tc>
          <w:tcPr>
            <w:tcW w:w="937" w:type="pct"/>
          </w:tcPr>
          <w:p w14:paraId="75DFBB38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Dairy products</w:t>
            </w:r>
          </w:p>
          <w:p w14:paraId="231E3F2B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(180 g/day)</w:t>
            </w:r>
          </w:p>
        </w:tc>
        <w:tc>
          <w:tcPr>
            <w:tcW w:w="891" w:type="pct"/>
          </w:tcPr>
          <w:p w14:paraId="5A6A16C8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&lt;1 serving (180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1140" w:type="pct"/>
          </w:tcPr>
          <w:p w14:paraId="32F8DF68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1–1.5 servings (180–270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109F7013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&gt;1.5 servings (270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247" w:type="pct"/>
            <w:tcBorders>
              <w:left w:val="single" w:sz="4" w:space="0" w:color="auto"/>
            </w:tcBorders>
          </w:tcPr>
          <w:p w14:paraId="4F9B53D4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98" w:type="pct"/>
          </w:tcPr>
          <w:p w14:paraId="14EBDE6F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right w:val="single" w:sz="4" w:space="0" w:color="auto"/>
            </w:tcBorders>
          </w:tcPr>
          <w:p w14:paraId="37C109D0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03A240F7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02A2F364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</w:tcPr>
          <w:p w14:paraId="405FE486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</w:tr>
      <w:tr w:rsidR="00B05CC2" w:rsidRPr="006648D7" w14:paraId="74C736C6" w14:textId="77777777" w:rsidTr="00C15701">
        <w:trPr>
          <w:gridAfter w:val="1"/>
          <w:wAfter w:w="6" w:type="pct"/>
          <w:trHeight w:val="819"/>
        </w:trPr>
        <w:tc>
          <w:tcPr>
            <w:tcW w:w="937" w:type="pct"/>
          </w:tcPr>
          <w:p w14:paraId="48F8944C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Fish and seafood </w:t>
            </w:r>
          </w:p>
          <w:p w14:paraId="035E0473" w14:textId="77777777" w:rsidR="00B05CC2" w:rsidRPr="006648D7" w:rsidRDefault="00B05CC2" w:rsidP="00185407">
            <w:pPr>
              <w:pStyle w:val="Default"/>
              <w:rPr>
                <w:i/>
                <w:color w:val="auto"/>
              </w:rPr>
            </w:pPr>
            <w:r w:rsidRPr="006648D7">
              <w:rPr>
                <w:i/>
                <w:color w:val="auto"/>
              </w:rPr>
              <w:t>(</w:t>
            </w:r>
            <w:proofErr w:type="gramStart"/>
            <w:r w:rsidRPr="006648D7">
              <w:rPr>
                <w:i/>
                <w:color w:val="auto"/>
              </w:rPr>
              <w:t>excluding</w:t>
            </w:r>
            <w:proofErr w:type="gramEnd"/>
            <w:r w:rsidRPr="006648D7">
              <w:rPr>
                <w:i/>
                <w:color w:val="auto"/>
              </w:rPr>
              <w:t xml:space="preserve"> shellfish)</w:t>
            </w:r>
          </w:p>
          <w:p w14:paraId="48DD6547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(100 g/week)</w:t>
            </w:r>
          </w:p>
        </w:tc>
        <w:tc>
          <w:tcPr>
            <w:tcW w:w="891" w:type="pct"/>
          </w:tcPr>
          <w:p w14:paraId="708322CA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&lt;1 serving (100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week</w:t>
            </w:r>
          </w:p>
        </w:tc>
        <w:tc>
          <w:tcPr>
            <w:tcW w:w="1140" w:type="pct"/>
          </w:tcPr>
          <w:p w14:paraId="71DAA2F4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1–2.5 servings (100–250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week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6BAA6958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&gt;2.5 servings (250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week</w:t>
            </w:r>
          </w:p>
        </w:tc>
        <w:tc>
          <w:tcPr>
            <w:tcW w:w="247" w:type="pct"/>
            <w:tcBorders>
              <w:left w:val="single" w:sz="4" w:space="0" w:color="auto"/>
            </w:tcBorders>
          </w:tcPr>
          <w:p w14:paraId="039834CE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</w:tcPr>
          <w:p w14:paraId="012E829B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right w:val="single" w:sz="4" w:space="0" w:color="auto"/>
            </w:tcBorders>
          </w:tcPr>
          <w:p w14:paraId="70551786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0B7457C3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09577809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</w:tcPr>
          <w:p w14:paraId="7BA49A7A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</w:tr>
      <w:tr w:rsidR="00B05CC2" w:rsidRPr="006648D7" w14:paraId="762F66A9" w14:textId="77777777" w:rsidTr="00C15701">
        <w:trPr>
          <w:gridAfter w:val="1"/>
          <w:wAfter w:w="6" w:type="pct"/>
          <w:trHeight w:val="550"/>
        </w:trPr>
        <w:tc>
          <w:tcPr>
            <w:tcW w:w="937" w:type="pct"/>
          </w:tcPr>
          <w:p w14:paraId="198D3EE5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Meat and meat products</w:t>
            </w:r>
          </w:p>
          <w:p w14:paraId="5AB29F7F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(80 g/day)</w:t>
            </w:r>
          </w:p>
        </w:tc>
        <w:tc>
          <w:tcPr>
            <w:tcW w:w="891" w:type="pct"/>
          </w:tcPr>
          <w:p w14:paraId="119DAFD8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&lt;1 serving (80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1140" w:type="pct"/>
          </w:tcPr>
          <w:p w14:paraId="696FA9BD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1–1.5 servings (80–120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7BCFA14E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 xml:space="preserve">&gt;1.5 servings (120 </w:t>
            </w:r>
            <w:proofErr w:type="gramStart"/>
            <w:r w:rsidRPr="006648D7">
              <w:rPr>
                <w:color w:val="auto"/>
              </w:rPr>
              <w:t>g)/</w:t>
            </w:r>
            <w:proofErr w:type="gramEnd"/>
            <w:r w:rsidRPr="006648D7">
              <w:rPr>
                <w:color w:val="auto"/>
              </w:rPr>
              <w:t>day</w:t>
            </w:r>
          </w:p>
        </w:tc>
        <w:tc>
          <w:tcPr>
            <w:tcW w:w="247" w:type="pct"/>
            <w:tcBorders>
              <w:left w:val="single" w:sz="4" w:space="0" w:color="auto"/>
            </w:tcBorders>
          </w:tcPr>
          <w:p w14:paraId="676C31E2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98" w:type="pct"/>
          </w:tcPr>
          <w:p w14:paraId="3CC29161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  <w:tcBorders>
              <w:right w:val="single" w:sz="4" w:space="0" w:color="auto"/>
            </w:tcBorders>
          </w:tcPr>
          <w:p w14:paraId="0F500DC2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0D2C84F3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</w:tcPr>
          <w:p w14:paraId="7FF51DF6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798B75B4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</w:tr>
      <w:tr w:rsidR="00B05CC2" w:rsidRPr="006648D7" w14:paraId="3D4D7A68" w14:textId="77777777" w:rsidTr="00C15701">
        <w:trPr>
          <w:gridAfter w:val="1"/>
          <w:wAfter w:w="6" w:type="pct"/>
          <w:trHeight w:val="662"/>
        </w:trPr>
        <w:tc>
          <w:tcPr>
            <w:tcW w:w="937" w:type="pct"/>
          </w:tcPr>
          <w:p w14:paraId="13824D5F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Olive oil</w:t>
            </w:r>
          </w:p>
        </w:tc>
        <w:tc>
          <w:tcPr>
            <w:tcW w:w="891" w:type="pct"/>
          </w:tcPr>
          <w:p w14:paraId="08DEDF40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Occasional consumption (&lt;5 tablespoons/day)</w:t>
            </w:r>
          </w:p>
        </w:tc>
        <w:tc>
          <w:tcPr>
            <w:tcW w:w="1140" w:type="pct"/>
          </w:tcPr>
          <w:p w14:paraId="69275464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Regular consumption (approximately 4-5 tablespoons/day)</w:t>
            </w:r>
          </w:p>
        </w:tc>
        <w:tc>
          <w:tcPr>
            <w:tcW w:w="939" w:type="pct"/>
            <w:tcBorders>
              <w:right w:val="single" w:sz="4" w:space="0" w:color="auto"/>
            </w:tcBorders>
          </w:tcPr>
          <w:p w14:paraId="24DD7EBC" w14:textId="77777777" w:rsidR="00B05CC2" w:rsidRPr="006648D7" w:rsidRDefault="00B05CC2" w:rsidP="00185407">
            <w:pPr>
              <w:pStyle w:val="Default"/>
              <w:rPr>
                <w:color w:val="auto"/>
              </w:rPr>
            </w:pPr>
            <w:r w:rsidRPr="006648D7">
              <w:rPr>
                <w:color w:val="auto"/>
              </w:rPr>
              <w:t>Frequent consumption (&gt;4 tablespoons/day)</w:t>
            </w:r>
          </w:p>
        </w:tc>
        <w:tc>
          <w:tcPr>
            <w:tcW w:w="247" w:type="pct"/>
            <w:tcBorders>
              <w:left w:val="single" w:sz="4" w:space="0" w:color="auto"/>
              <w:bottom w:val="single" w:sz="4" w:space="0" w:color="auto"/>
            </w:tcBorders>
          </w:tcPr>
          <w:p w14:paraId="6053B62E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14:paraId="0680F248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2</w:t>
            </w:r>
          </w:p>
        </w:tc>
        <w:tc>
          <w:tcPr>
            <w:tcW w:w="148" w:type="pct"/>
            <w:tcBorders>
              <w:bottom w:val="single" w:sz="4" w:space="0" w:color="auto"/>
              <w:right w:val="single" w:sz="4" w:space="0" w:color="auto"/>
            </w:tcBorders>
          </w:tcPr>
          <w:p w14:paraId="1BDB7964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98" w:type="pct"/>
            <w:gridSpan w:val="2"/>
            <w:tcBorders>
              <w:left w:val="single" w:sz="4" w:space="0" w:color="auto"/>
            </w:tcBorders>
          </w:tcPr>
          <w:p w14:paraId="4DCCC4DF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  <w:tc>
          <w:tcPr>
            <w:tcW w:w="148" w:type="pct"/>
          </w:tcPr>
          <w:p w14:paraId="43A98D28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1</w:t>
            </w:r>
          </w:p>
        </w:tc>
        <w:tc>
          <w:tcPr>
            <w:tcW w:w="148" w:type="pct"/>
          </w:tcPr>
          <w:p w14:paraId="5A9911D2" w14:textId="77777777" w:rsidR="00B05CC2" w:rsidRPr="006648D7" w:rsidRDefault="00B05CC2" w:rsidP="00185407">
            <w:pPr>
              <w:pStyle w:val="Default"/>
              <w:jc w:val="center"/>
              <w:rPr>
                <w:color w:val="auto"/>
              </w:rPr>
            </w:pPr>
            <w:r w:rsidRPr="006648D7">
              <w:rPr>
                <w:color w:val="auto"/>
              </w:rPr>
              <w:t>0</w:t>
            </w:r>
          </w:p>
        </w:tc>
      </w:tr>
    </w:tbl>
    <w:p w14:paraId="605DCECE" w14:textId="0440FFFC" w:rsidR="00B05CC2" w:rsidRPr="006648D7" w:rsidRDefault="00E4603B" w:rsidP="00B05CC2">
      <w:pPr>
        <w:pStyle w:val="AralkYok"/>
        <w:rPr>
          <w:rFonts w:ascii="Times New Roman" w:hAnsi="Times New Roman" w:cs="Times New Roman"/>
          <w:i/>
          <w:sz w:val="24"/>
          <w:szCs w:val="24"/>
        </w:rPr>
      </w:pPr>
      <w:r w:rsidRPr="00E4603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Adapted from Ruggeri, Buonocore, and Amoriello (2022).</w:t>
      </w:r>
      <w:r w:rsidR="00B05CC2" w:rsidRPr="006648D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D3ABAD" w14:textId="77777777" w:rsidR="00B05CC2" w:rsidRPr="006648D7" w:rsidRDefault="00B05CC2" w:rsidP="00B05CC2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6648D7">
        <w:rPr>
          <w:rFonts w:ascii="Times New Roman" w:hAnsi="Times New Roman" w:cs="Times New Roman"/>
          <w:sz w:val="24"/>
          <w:szCs w:val="24"/>
        </w:rPr>
        <w:t>For the Mediterranean Diet score, tertile cut-off points were defined as follows: tertile 1 (0–6.0 points), tertile 2 (6.0–7.0 points), and tertile 3 (≥7.0 points). For the Sustainable Diet score, tertile cut-off points were defined as follows: tertile 1 (0–2.0 points), tertile 2 (2.0–4.0 points), and tertile 3 (≥4.0 points).</w:t>
      </w:r>
    </w:p>
    <w:p w14:paraId="186DC279" w14:textId="77777777" w:rsidR="00B05CC2" w:rsidRPr="006648D7" w:rsidRDefault="00B05CC2" w:rsidP="00B05CC2">
      <w:pPr>
        <w:ind w:right="-31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63D034" w14:textId="77777777" w:rsidR="00EB03B0" w:rsidRPr="00B05CC2" w:rsidRDefault="00EB03B0" w:rsidP="00B05CC2"/>
    <w:sectPr w:rsidR="00EB03B0" w:rsidRPr="00B05CC2" w:rsidSect="00B05CC2">
      <w:pgSz w:w="16838" w:h="11906" w:orient="landscape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B0"/>
    <w:rsid w:val="00581AF3"/>
    <w:rsid w:val="00612117"/>
    <w:rsid w:val="009A608F"/>
    <w:rsid w:val="00B05CC2"/>
    <w:rsid w:val="00B55456"/>
    <w:rsid w:val="00BC4F06"/>
    <w:rsid w:val="00C15701"/>
    <w:rsid w:val="00E4603B"/>
    <w:rsid w:val="00EB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7ADDF"/>
  <w15:chartTrackingRefBased/>
  <w15:docId w15:val="{0A514F04-10A1-441B-B7BA-15D8A3F1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3B0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B03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B03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B03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B03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B03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B03B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B03B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B03B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B03B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B0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B0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B0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B03B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B03B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B03B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B03B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B03B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B03B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B0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B0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B03B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B0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B03B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B03B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B03B0"/>
    <w:pPr>
      <w:spacing w:after="160" w:line="278" w:lineRule="auto"/>
      <w:ind w:left="720"/>
      <w:contextualSpacing/>
    </w:pPr>
    <w:rPr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B03B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B0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B03B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B03B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EB03B0"/>
    <w:pPr>
      <w:spacing w:after="0" w:line="240" w:lineRule="auto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B03B0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EB03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canan  altınsoy</dc:creator>
  <cp:keywords/>
  <dc:description/>
  <cp:lastModifiedBy>canan  altınsoy</cp:lastModifiedBy>
  <cp:revision>5</cp:revision>
  <dcterms:created xsi:type="dcterms:W3CDTF">2026-07-29T06:26:00Z</dcterms:created>
  <dcterms:modified xsi:type="dcterms:W3CDTF">2026-07-29T06:37:00Z</dcterms:modified>
</cp:coreProperties>
</file>