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93FC0" w:rsidP="2EA039F5" w:rsidRDefault="00993FC0" w14:paraId="29366FF7" wp14:textId="571558D2">
      <w:pPr>
        <w:pStyle w:val="Normal"/>
        <w:jc w:val="center"/>
      </w:pPr>
      <w:r w:rsidRPr="2EA039F5" w:rsidR="187AE6D3">
        <w:rPr>
          <w:b w:val="1"/>
          <w:bCs w:val="1"/>
        </w:rPr>
        <w:t>Kontrast</w:t>
      </w:r>
      <w:r w:rsidRPr="2EA039F5" w:rsidR="44B76F4D">
        <w:rPr>
          <w:b w:val="1"/>
          <w:bCs w:val="1"/>
        </w:rPr>
        <w:t xml:space="preserve"> Kaçınma Ölçeği-</w:t>
      </w:r>
      <w:r w:rsidRPr="2EA039F5" w:rsidR="674C8713">
        <w:rPr>
          <w:b w:val="1"/>
          <w:bCs w:val="1"/>
        </w:rPr>
        <w:t xml:space="preserve"> Genel Duygu Kısa Formu (KKÖ-GD-8)</w:t>
      </w:r>
    </w:p>
    <w:p w:rsidR="2EA039F5" w:rsidP="2EA039F5" w:rsidRDefault="2EA039F5" w14:paraId="4AF16033" w14:textId="4EA7B9A2">
      <w:pPr>
        <w:jc w:val="center"/>
        <w:rPr>
          <w:b w:val="1"/>
          <w:bCs w:val="1"/>
        </w:rPr>
      </w:pPr>
    </w:p>
    <w:tbl>
      <w:tblPr>
        <w:tblW w:w="10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6075"/>
        <w:gridCol w:w="723"/>
        <w:gridCol w:w="705"/>
        <w:gridCol w:w="761"/>
        <w:gridCol w:w="770"/>
        <w:gridCol w:w="776"/>
      </w:tblGrid>
      <w:tr xmlns:wp14="http://schemas.microsoft.com/office/word/2010/wordml" w:rsidR="00993FC0" w:rsidTr="2EA039F5" w14:paraId="2F656583" wp14:textId="77777777">
        <w:trPr>
          <w:cantSplit/>
          <w:trHeight w:val="1177"/>
        </w:trPr>
        <w:tc>
          <w:tcPr>
            <w:tcW w:w="6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880413" w:rsidR="00993FC0" w:rsidP="2EA039F5" w:rsidRDefault="00993FC0" w14:paraId="5C03C8CB" wp14:textId="14997959">
            <w:pPr>
              <w:pStyle w:val="Normal"/>
              <w:spacing w:line="276" w:lineRule="auto"/>
              <w:rPr>
                <w:b w:val="1"/>
                <w:bCs w:val="1"/>
              </w:rPr>
            </w:pPr>
            <w:r w:rsidR="44B76F4D">
              <w:rPr/>
              <w:t>Lütfen aşağıda</w:t>
            </w:r>
            <w:r w:rsidR="7E4BFB7D">
              <w:rPr/>
              <w:t xml:space="preserve"> yer alan maddelerin her birinin sizin için ne derece doğru olduğunu</w:t>
            </w:r>
            <w:r w:rsidRPr="2EA039F5" w:rsidR="18830EF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tr"/>
              </w:rPr>
              <w:t xml:space="preserve"> </w:t>
            </w:r>
            <w:r w:rsidRPr="2EA039F5" w:rsidR="18830EF5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lang w:val="tr"/>
              </w:rPr>
              <w:t xml:space="preserve">en uygun seçeneğin üzerine çarpı (X) işareti koyarak </w:t>
            </w:r>
            <w:r w:rsidR="7E4BFB7D">
              <w:rPr/>
              <w:t>belirtiniz.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textDirection w:val="btLr"/>
            <w:vAlign w:val="center"/>
            <w:hideMark/>
          </w:tcPr>
          <w:p w:rsidRPr="007C20FA" w:rsidR="00993FC0" w:rsidP="2EA039F5" w:rsidRDefault="00993FC0" w14:paraId="7DE82EE1" wp14:textId="390AA99B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EA039F5" w:rsidR="24490A46">
              <w:rPr>
                <w:color w:val="000000" w:themeColor="text1" w:themeTint="FF" w:themeShade="FF"/>
              </w:rPr>
              <w:t>Hiç doğru değil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tcMar/>
            <w:textDirection w:val="btLr"/>
            <w:vAlign w:val="center"/>
            <w:hideMark/>
          </w:tcPr>
          <w:p w:rsidRPr="007C20FA" w:rsidR="00993FC0" w:rsidP="2EA039F5" w:rsidRDefault="00993FC0" w14:paraId="3D40448D" wp14:textId="577E1614">
            <w:pPr>
              <w:spacing w:line="276" w:lineRule="auto"/>
            </w:pPr>
            <w:r w:rsidRPr="2EA039F5" w:rsidR="0699B87C">
              <w:rPr>
                <w:color w:val="000000" w:themeColor="text1" w:themeTint="FF" w:themeShade="FF"/>
              </w:rPr>
              <w:t>Biraz doğru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/>
            <w:textDirection w:val="btLr"/>
            <w:vAlign w:val="center"/>
            <w:hideMark/>
          </w:tcPr>
          <w:p w:rsidRPr="007C20FA" w:rsidR="00993FC0" w:rsidP="2EA039F5" w:rsidRDefault="00993FC0" w14:paraId="00B97DF5" wp14:textId="3927A2D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EA039F5" w:rsidR="0699B87C">
              <w:rPr>
                <w:color w:val="000000" w:themeColor="text1" w:themeTint="FF" w:themeShade="FF"/>
              </w:rPr>
              <w:t>Kısmen doğru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textDirection w:val="btLr"/>
            <w:vAlign w:val="center"/>
            <w:hideMark/>
          </w:tcPr>
          <w:p w:rsidRPr="007C20FA" w:rsidR="00993FC0" w:rsidP="2EA039F5" w:rsidRDefault="00993FC0" w14:paraId="68A20492" wp14:textId="3D59A22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EA039F5" w:rsidR="0699B87C">
              <w:rPr>
                <w:color w:val="000000" w:themeColor="text1" w:themeTint="FF" w:themeShade="FF"/>
              </w:rPr>
              <w:t>Oldukça doğru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textDirection w:val="btLr"/>
            <w:vAlign w:val="center"/>
            <w:hideMark/>
          </w:tcPr>
          <w:p w:rsidRPr="007C20FA" w:rsidR="00993FC0" w:rsidP="2EA039F5" w:rsidRDefault="00993FC0" w14:paraId="22EBD4AD" wp14:textId="44342FA4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EA039F5" w:rsidR="5250F09A">
              <w:rPr>
                <w:color w:val="000000" w:themeColor="text1" w:themeTint="FF" w:themeShade="FF"/>
              </w:rPr>
              <w:t>Tamamen doğru</w:t>
            </w:r>
          </w:p>
        </w:tc>
      </w:tr>
      <w:tr xmlns:wp14="http://schemas.microsoft.com/office/word/2010/wordml" w:rsidR="00993FC0" w:rsidTr="2EA039F5" w14:paraId="7383D142" wp14:textId="77777777">
        <w:trPr>
          <w:trHeight w:val="216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80413" w:rsidR="00993FC0" w:rsidP="2EA039F5" w:rsidRDefault="00993FC0" w14:paraId="649841BE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1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880413" w:rsidR="00993FC0" w:rsidP="2EA039F5" w:rsidRDefault="00993FC0" w14:paraId="47D11AD2" wp14:textId="60E1FE42">
            <w:pPr>
              <w:pStyle w:val="TableParagraph"/>
              <w:suppressLineNumbers w:val="0"/>
              <w:bidi w:val="0"/>
              <w:spacing w:before="0" w:beforeAutospacing="off" w:after="0" w:afterAutospacing="off" w:line="276" w:lineRule="auto"/>
              <w:ind w:left="0" w:right="148"/>
              <w:jc w:val="left"/>
            </w:pPr>
            <w:r w:rsidRPr="2EA039F5" w:rsidR="5290FD71">
              <w:rPr>
                <w:sz w:val="20"/>
                <w:szCs w:val="20"/>
                <w:lang w:val="tr-TR"/>
              </w:rPr>
              <w:t>Güçlü duygusal dalgalanmalar benim için özellikle rahatsız edicidir.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56B20A0C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18F999B5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5FCD5EC4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2598DEE6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78941E47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  <w:tr xmlns:wp14="http://schemas.microsoft.com/office/word/2010/wordml" w:rsidR="00993FC0" w:rsidTr="2EA039F5" w14:paraId="32DE9583" wp14:textId="77777777">
        <w:trPr>
          <w:trHeight w:val="300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80413" w:rsidR="00993FC0" w:rsidP="2EA039F5" w:rsidRDefault="00993FC0" w14:paraId="7144751B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2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880413" w:rsidR="00993FC0" w:rsidP="2EA039F5" w:rsidRDefault="00993FC0" w14:paraId="0953CEDF" wp14:textId="53C27DC3">
            <w:pPr>
              <w:pStyle w:val="TableParagraph"/>
              <w:spacing w:line="276" w:lineRule="auto"/>
              <w:ind w:right="148"/>
              <w:contextualSpacing w:val="1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</w:pPr>
            <w:r w:rsidRPr="2EA039F5" w:rsidR="4AABC90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  <w:t>Her an kötü bir şey olabileceği için, zaten karamsar bir ruh halinde olmak benim için daha rahattır.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249FAAB8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78E884CA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0B778152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279935FF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44240AAE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  <w:tr xmlns:wp14="http://schemas.microsoft.com/office/word/2010/wordml" w:rsidR="00993FC0" w:rsidTr="2EA039F5" w14:paraId="2F1C83F6" wp14:textId="77777777">
        <w:trPr>
          <w:trHeight w:val="300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80413" w:rsidR="00993FC0" w:rsidP="2EA039F5" w:rsidRDefault="00993FC0" w14:paraId="7A036E3D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3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880413" w:rsidR="00993FC0" w:rsidP="2EA039F5" w:rsidRDefault="00993FC0" w14:paraId="5DF0FF6C" wp14:textId="52B69B84">
            <w:pPr>
              <w:pStyle w:val="TableParagraph"/>
              <w:spacing w:line="276" w:lineRule="auto"/>
              <w:ind w:right="148"/>
              <w:contextualSpacing w:val="1"/>
            </w:pPr>
            <w:r w:rsidRPr="2EA039F5" w:rsidR="71C409F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  <w:t>Duygusal dalgalanmalar yaşadığımda, bu bana kontrolü kaybetmişim gibi hissettirir.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19F14E3C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7842F596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68D9363B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7C964D78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76DB90EB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  <w:tr xmlns:wp14="http://schemas.microsoft.com/office/word/2010/wordml" w:rsidR="00993FC0" w:rsidTr="2EA039F5" w14:paraId="51E95F03" wp14:textId="77777777">
        <w:trPr>
          <w:trHeight w:val="300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80413" w:rsidR="00993FC0" w:rsidP="2EA039F5" w:rsidRDefault="00993FC0" w14:paraId="17310F6F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4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880413" w:rsidR="00993FC0" w:rsidP="2EA039F5" w:rsidRDefault="00993FC0" w14:paraId="7B3C631C" wp14:textId="2A95CDB3">
            <w:pPr>
              <w:pStyle w:val="TableParagraph"/>
              <w:spacing w:line="276" w:lineRule="auto"/>
              <w:ind w:right="148"/>
              <w:contextualSpacing w:val="1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</w:pPr>
            <w:r w:rsidRPr="2EA039F5" w:rsidR="5506FEC0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  <w:t>Kötü şeyler olduğunda başa çıkmamı kolaylaştırdığı için olumsuz ruh halimi sürdürürüm.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065D2414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2CC21B90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57AB7477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22C3D751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729DE7E4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  <w:tr xmlns:wp14="http://schemas.microsoft.com/office/word/2010/wordml" w:rsidR="00993FC0" w:rsidTr="2EA039F5" w14:paraId="2FC2F3BA" wp14:textId="77777777">
        <w:trPr>
          <w:trHeight w:val="300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80413" w:rsidR="00993FC0" w:rsidP="2EA039F5" w:rsidRDefault="00993FC0" w14:paraId="1D0ADF7A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5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880413" w:rsidR="00993FC0" w:rsidP="2EA039F5" w:rsidRDefault="00993FC0" w14:paraId="0169E819" wp14:textId="171A5840">
            <w:pPr>
              <w:pStyle w:val="TableParagraph"/>
              <w:spacing w:line="276" w:lineRule="auto"/>
              <w:ind w:right="148"/>
              <w:contextualSpacing w:val="1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</w:pPr>
            <w:r w:rsidRPr="2EA039F5" w:rsidR="020D49DB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  <w:t>Mutluluğumu sonradan kaybetmeye katlanmak zorunda kalmaktansa, şu anda kötü hissetmeyi tercih ederim.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2E32D521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138328F9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297C039E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5055DCC4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14648C29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  <w:tr xmlns:wp14="http://schemas.microsoft.com/office/word/2010/wordml" w:rsidR="00993FC0" w:rsidTr="2EA039F5" w14:paraId="5A6556AE" wp14:textId="77777777">
        <w:trPr>
          <w:trHeight w:val="300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80413" w:rsidR="00993FC0" w:rsidP="2EA039F5" w:rsidRDefault="00993FC0" w14:paraId="1AA1B773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6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880413" w:rsidR="00993FC0" w:rsidP="2EA039F5" w:rsidRDefault="00993FC0" w14:paraId="09AB5FD2" wp14:textId="003B6032">
            <w:pPr>
              <w:pStyle w:val="TableParagraph"/>
              <w:spacing w:line="276" w:lineRule="auto"/>
              <w:ind w:right="148"/>
              <w:contextualSpacing w:val="1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</w:pPr>
            <w:r w:rsidRPr="2EA039F5" w:rsidR="51D1858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  <w:t>Olumsuz olana odaklanırım; çünkü en azından beni daha kötü hissettirecek çok fazla şeyin olmayacağını bilirim.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0C50080F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54B6C890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2A2176D0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3BC2995D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34C3CC76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  <w:tr xmlns:wp14="http://schemas.microsoft.com/office/word/2010/wordml" w:rsidR="00993FC0" w:rsidTr="2EA039F5" w14:paraId="4F089AB9" wp14:textId="77777777">
        <w:trPr>
          <w:trHeight w:val="300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880413" w:rsidR="00993FC0" w:rsidP="2EA039F5" w:rsidRDefault="00993FC0" w14:paraId="67E6CB27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7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880413" w:rsidR="00993FC0" w:rsidP="2EA039F5" w:rsidRDefault="00993FC0" w14:paraId="234986B2" wp14:textId="1D8E30D1">
            <w:pPr>
              <w:pStyle w:val="TableParagraph"/>
              <w:spacing w:line="276" w:lineRule="auto"/>
              <w:ind w:right="148"/>
              <w:contextualSpacing w:val="1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</w:pPr>
            <w:r w:rsidRPr="2EA039F5" w:rsidR="43F87B9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  <w:t>Olabilecek kötü şeylere odaklanmaya çalışırım; çünkü bu, duygusal olarak savunmasız hissetmemi önler.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050B3AD0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58A8CB7E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3C1ED14B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7CD048C6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C20FA" w:rsidR="00993FC0" w:rsidP="2EA039F5" w:rsidRDefault="00993FC0" w14:paraId="5090736E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  <w:tr xmlns:wp14="http://schemas.microsoft.com/office/word/2010/wordml" w:rsidR="00993FC0" w:rsidTr="2EA039F5" w14:paraId="6ED4FEC9" wp14:textId="77777777">
        <w:trPr>
          <w:trHeight w:val="302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80413" w:rsidR="00993FC0" w:rsidP="2EA039F5" w:rsidRDefault="00993FC0" w14:paraId="44B0A208" wp14:textId="77777777">
            <w:pPr>
              <w:autoSpaceDE w:val="0"/>
              <w:autoSpaceDN w:val="0"/>
              <w:adjustRightInd w:val="0"/>
              <w:spacing w:line="276" w:lineRule="auto"/>
            </w:pPr>
            <w:r w:rsidR="44B76F4D">
              <w:rPr/>
              <w:t>8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880413" w:rsidR="00993FC0" w:rsidP="2EA039F5" w:rsidRDefault="00993FC0" w14:paraId="7708C8BD" wp14:textId="17A38CBB">
            <w:pPr>
              <w:pStyle w:val="TableParagraph"/>
              <w:spacing w:line="276" w:lineRule="auto"/>
              <w:ind w:right="148"/>
              <w:contextualSpacing w:val="1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</w:pPr>
            <w:r w:rsidRPr="2EA039F5" w:rsidR="27D46FAB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tr-TR"/>
              </w:rPr>
              <w:t>Duygularım inişli çıkışlı olduğunda bu beni rahatsız eder.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6B965A47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2E643A39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2</w:t>
            </w:r>
          </w:p>
        </w:tc>
        <w:tc>
          <w:tcPr>
            <w:tcW w:w="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54A90BE3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2A108F41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4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C20FA" w:rsidR="00993FC0" w:rsidP="2EA039F5" w:rsidRDefault="00993FC0" w14:paraId="795C1E81" wp14:textId="7777777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="44B76F4D">
              <w:rPr/>
              <w:t>5</w:t>
            </w:r>
          </w:p>
        </w:tc>
      </w:tr>
    </w:tbl>
    <w:p xmlns:wp14="http://schemas.microsoft.com/office/word/2010/wordml" w:rsidRPr="00880413" w:rsidR="00993FC0" w:rsidP="2EA039F5" w:rsidRDefault="00993FC0" w14:paraId="073F1086" wp14:textId="775DECC5">
      <w:pPr>
        <w:pStyle w:val="Normal"/>
        <w:spacing w:after="160" w:line="256" w:lineRule="auto"/>
        <w:ind w:left="0"/>
        <w:rPr>
          <w:rFonts w:eastAsia="Calibri"/>
          <w:b w:val="1"/>
          <w:bCs w:val="1"/>
          <w:sz w:val="22"/>
          <w:szCs w:val="22"/>
          <w:lang w:eastAsia="en-US"/>
        </w:rPr>
      </w:pPr>
    </w:p>
    <w:p xmlns:wp14="http://schemas.microsoft.com/office/word/2010/wordml" w:rsidRPr="00880413" w:rsidR="00993FC0" w:rsidP="2EA039F5" w:rsidRDefault="00993FC0" w14:paraId="64587E50" wp14:textId="3CC75D5F">
      <w:pPr>
        <w:pStyle w:val="Normal"/>
        <w:spacing w:after="160" w:line="256" w:lineRule="auto"/>
        <w:ind w:left="0"/>
        <w:rPr>
          <w:rFonts w:eastAsia="Calibri"/>
          <w:sz w:val="22"/>
          <w:szCs w:val="22"/>
          <w:lang w:eastAsia="en-US"/>
        </w:rPr>
      </w:pPr>
      <w:r w:rsidRPr="2EA039F5" w:rsidR="44B76F4D">
        <w:rPr>
          <w:rFonts w:eastAsia="Calibri"/>
          <w:b w:val="1"/>
          <w:bCs w:val="1"/>
          <w:sz w:val="22"/>
          <w:szCs w:val="22"/>
          <w:lang w:eastAsia="en-US"/>
        </w:rPr>
        <w:t>Türkçe Form:</w:t>
      </w:r>
      <w:r w:rsidRPr="2EA039F5" w:rsidR="44B76F4D">
        <w:rPr>
          <w:rFonts w:eastAsia="Calibri"/>
          <w:sz w:val="22"/>
          <w:szCs w:val="22"/>
          <w:lang w:eastAsia="en-US"/>
        </w:rPr>
        <w:t xml:space="preserve"> </w:t>
      </w:r>
    </w:p>
    <w:p w:rsidR="2F3B9276" w:rsidP="2EA039F5" w:rsidRDefault="2F3B9276" w14:paraId="2BD11815" w14:textId="7AEC646D">
      <w:pPr>
        <w:pStyle w:val="Normal"/>
        <w:suppressLineNumbers w:val="0"/>
        <w:bidi w:val="0"/>
        <w:spacing w:before="0" w:beforeAutospacing="off" w:after="160" w:afterAutospacing="off" w:line="256" w:lineRule="auto"/>
        <w:ind w:left="0" w:right="0"/>
        <w:jc w:val="left"/>
        <w:rPr>
          <w:rFonts w:ascii="Times New Roman" w:hAnsi="Times New Roman" w:eastAsia="Calibri" w:cs="Times New Roman"/>
          <w:noProof w:val="0"/>
          <w:sz w:val="22"/>
          <w:szCs w:val="22"/>
          <w:lang w:val="tr-TR"/>
        </w:rPr>
      </w:pPr>
      <w:r w:rsidRPr="2EA039F5" w:rsidR="2F3B9276">
        <w:rPr>
          <w:rFonts w:ascii="Times New Roman" w:hAnsi="Times New Roman" w:eastAsia="Calibri" w:cs="Times New Roman"/>
          <w:noProof w:val="0"/>
          <w:sz w:val="22"/>
          <w:szCs w:val="22"/>
          <w:lang w:val="tr-TR"/>
        </w:rPr>
        <w:t xml:space="preserve">Basatemür, S., Ekşi, H., Demir, İ. H., Llera, S. J., &amp; Newman, M. G. (2026). Kontrast Kaçınma Ölçeği-Genel Duygu Kısa Formu'nun (KKÖ-GD-8) Türk kültürüne uyarlanması: Geçerlik ve güvenirlik çalışması. F. Topsümer ve A. Zeynalova (Ed.), </w:t>
      </w:r>
      <w:r w:rsidRPr="2EA039F5" w:rsidR="2F3B9276">
        <w:rPr>
          <w:rFonts w:ascii="Times New Roman" w:hAnsi="Times New Roman" w:eastAsia="Calibri" w:cs="Times New Roman"/>
          <w:i w:val="1"/>
          <w:iCs w:val="1"/>
          <w:noProof w:val="0"/>
          <w:sz w:val="22"/>
          <w:szCs w:val="22"/>
          <w:lang w:val="tr-TR"/>
        </w:rPr>
        <w:t>5th international Ege congress on social, humanities, administrative, and educational sciences proceedings book</w:t>
      </w:r>
      <w:r w:rsidRPr="2EA039F5" w:rsidR="2F3B9276">
        <w:rPr>
          <w:rFonts w:ascii="Times New Roman" w:hAnsi="Times New Roman" w:eastAsia="Calibri" w:cs="Times New Roman"/>
          <w:noProof w:val="0"/>
          <w:sz w:val="22"/>
          <w:szCs w:val="22"/>
          <w:lang w:val="tr-TR"/>
        </w:rPr>
        <w:t xml:space="preserve"> içinde (ss. 802–815). BZT Turan Publishing House. </w:t>
      </w:r>
      <w:hyperlink r:id="Rfaa6c66ccfb541cf">
        <w:r w:rsidRPr="2EA039F5" w:rsidR="2F3B9276">
          <w:rPr>
            <w:rStyle w:val="Kpr"/>
            <w:rFonts w:ascii="Times New Roman" w:hAnsi="Times New Roman" w:eastAsia="Calibri" w:cs="Times New Roman"/>
            <w:noProof w:val="0"/>
            <w:sz w:val="22"/>
            <w:szCs w:val="22"/>
            <w:lang w:val="tr-TR"/>
          </w:rPr>
          <w:t>https://doi.org/10.30546/19023.978-9952-610-61-1.2026.100.1121</w:t>
        </w:r>
      </w:hyperlink>
    </w:p>
    <w:p w:rsidR="44B76F4D" w:rsidP="2EA039F5" w:rsidRDefault="44B76F4D" w14:paraId="552DB6DC" w14:textId="79B8E840">
      <w:pPr>
        <w:spacing w:after="160" w:line="256" w:lineRule="auto"/>
        <w:ind w:left="0"/>
      </w:pPr>
      <w:r w:rsidRPr="2EA039F5" w:rsidR="44B76F4D">
        <w:rPr>
          <w:rFonts w:eastAsia="Calibri"/>
          <w:b w:val="1"/>
          <w:bCs w:val="1"/>
          <w:sz w:val="22"/>
          <w:szCs w:val="22"/>
          <w:lang w:val="en-US" w:eastAsia="en-US"/>
        </w:rPr>
        <w:t>Orijinal Form:</w:t>
      </w:r>
      <w:r w:rsidRPr="2EA039F5" w:rsidR="44B76F4D">
        <w:rPr>
          <w:rFonts w:eastAsia="Calibri"/>
          <w:sz w:val="22"/>
          <w:szCs w:val="22"/>
          <w:lang w:val="en-US" w:eastAsia="en-US"/>
        </w:rPr>
        <w:t xml:space="preserve"> </w:t>
      </w:r>
    </w:p>
    <w:p w:rsidR="118973B5" w:rsidP="2EA039F5" w:rsidRDefault="118973B5" w14:paraId="4EFB97B0" w14:textId="6A97085E">
      <w:pPr>
        <w:pStyle w:val="Normal"/>
        <w:spacing w:after="160" w:line="256" w:lineRule="auto"/>
        <w:ind w:left="0"/>
      </w:pPr>
      <w:r w:rsidRPr="2EA039F5" w:rsidR="118973B5">
        <w:rPr>
          <w:rFonts w:ascii="Times New Roman" w:hAnsi="Times New Roman" w:eastAsia="Calibri" w:cs="Times New Roman"/>
          <w:noProof w:val="0"/>
          <w:sz w:val="22"/>
          <w:szCs w:val="22"/>
          <w:lang w:val="en-US"/>
        </w:rPr>
        <w:t xml:space="preserve">Llera, S. J., Zainal, N. H., ve Newman, M. G. (2026). Development and validation of the eight item contrast avoidance questionnaire-general emotion scale (CAQ-GE-8): An item-response theory analysis. </w:t>
      </w:r>
      <w:r w:rsidRPr="2EA039F5" w:rsidR="118973B5">
        <w:rPr>
          <w:rFonts w:ascii="Times New Roman" w:hAnsi="Times New Roman" w:eastAsia="Calibri" w:cs="Times New Roman"/>
          <w:i w:val="1"/>
          <w:iCs w:val="1"/>
          <w:noProof w:val="0"/>
          <w:sz w:val="22"/>
          <w:szCs w:val="22"/>
          <w:lang w:val="en-US"/>
        </w:rPr>
        <w:t>Journal of Anxiety Disorders</w:t>
      </w:r>
      <w:r w:rsidRPr="2EA039F5" w:rsidR="118973B5">
        <w:rPr>
          <w:rFonts w:ascii="Times New Roman" w:hAnsi="Times New Roman" w:eastAsia="Calibri" w:cs="Times New Roman"/>
          <w:noProof w:val="0"/>
          <w:sz w:val="22"/>
          <w:szCs w:val="22"/>
          <w:lang w:val="en-US"/>
        </w:rPr>
        <w:t xml:space="preserve">, </w:t>
      </w:r>
      <w:r w:rsidRPr="2EA039F5" w:rsidR="118973B5">
        <w:rPr>
          <w:rFonts w:ascii="Times New Roman" w:hAnsi="Times New Roman" w:eastAsia="Calibri" w:cs="Times New Roman"/>
          <w:i w:val="1"/>
          <w:iCs w:val="1"/>
          <w:noProof w:val="0"/>
          <w:sz w:val="22"/>
          <w:szCs w:val="22"/>
          <w:lang w:val="en-US"/>
        </w:rPr>
        <w:t>118</w:t>
      </w:r>
      <w:r w:rsidRPr="2EA039F5" w:rsidR="118973B5">
        <w:rPr>
          <w:rFonts w:ascii="Times New Roman" w:hAnsi="Times New Roman" w:eastAsia="Calibri" w:cs="Times New Roman"/>
          <w:noProof w:val="0"/>
          <w:sz w:val="22"/>
          <w:szCs w:val="22"/>
          <w:lang w:val="en-US"/>
        </w:rPr>
        <w:t xml:space="preserve">, Makale 103109. </w:t>
      </w:r>
      <w:hyperlink r:id="Rb3336070464a4d70">
        <w:r w:rsidRPr="2EA039F5" w:rsidR="118973B5">
          <w:rPr>
            <w:rStyle w:val="Kpr"/>
            <w:rFonts w:ascii="Times New Roman" w:hAnsi="Times New Roman" w:eastAsia="Calibri" w:cs="Times New Roman"/>
            <w:noProof w:val="0"/>
            <w:sz w:val="22"/>
            <w:szCs w:val="22"/>
            <w:lang w:val="en-US"/>
          </w:rPr>
          <w:t>https://doi.org/10.1016/j.janxdis.2026.103109</w:t>
        </w:r>
      </w:hyperlink>
    </w:p>
    <w:p w:rsidR="2EA039F5" w:rsidP="2EA039F5" w:rsidRDefault="2EA039F5" w14:paraId="67E3255B" w14:textId="094F6DBB">
      <w:pPr>
        <w:pStyle w:val="Normal"/>
        <w:spacing w:after="160" w:line="256" w:lineRule="auto"/>
        <w:ind w:left="0"/>
        <w:rPr>
          <w:rFonts w:ascii="Times New Roman" w:hAnsi="Times New Roman" w:eastAsia="Calibri" w:cs="Times New Roman"/>
          <w:noProof w:val="0"/>
          <w:sz w:val="22"/>
          <w:szCs w:val="22"/>
          <w:lang w:val="en-US"/>
        </w:rPr>
      </w:pPr>
    </w:p>
    <w:p xmlns:wp14="http://schemas.microsoft.com/office/word/2010/wordml" w:rsidRPr="00880413" w:rsidR="00993FC0" w:rsidP="2EA039F5" w:rsidRDefault="00993FC0" w14:paraId="17FF344D" wp14:textId="77777777">
      <w:pPr>
        <w:ind w:left="-426" w:firstLine="426"/>
        <w:jc w:val="both"/>
        <w:rPr>
          <w:b w:val="1"/>
          <w:bCs w:val="1"/>
          <w:sz w:val="22"/>
          <w:szCs w:val="22"/>
        </w:rPr>
      </w:pPr>
      <w:r w:rsidRPr="2EA039F5" w:rsidR="44B76F4D">
        <w:rPr>
          <w:b w:val="1"/>
          <w:bCs w:val="1"/>
          <w:sz w:val="22"/>
          <w:szCs w:val="22"/>
        </w:rPr>
        <w:t>Puanlama Yönergesi</w:t>
      </w:r>
    </w:p>
    <w:p xmlns:wp14="http://schemas.microsoft.com/office/word/2010/wordml" w:rsidRPr="00880413" w:rsidR="00993FC0" w:rsidP="00993FC0" w:rsidRDefault="00993FC0" w14:paraId="672A6659" wp14:textId="77777777">
      <w:pPr>
        <w:ind w:left="-426"/>
        <w:jc w:val="both"/>
        <w:rPr>
          <w:b/>
          <w:sz w:val="22"/>
          <w:szCs w:val="22"/>
        </w:rPr>
      </w:pPr>
    </w:p>
    <w:p xmlns:wp14="http://schemas.microsoft.com/office/word/2010/wordml" w:rsidRPr="00880413" w:rsidR="00563B18" w:rsidP="2EA039F5" w:rsidRDefault="00563B18" w14:paraId="78387EA4" wp14:textId="471A4B26">
      <w:pPr>
        <w:ind w:left="-426" w:firstLine="426"/>
        <w:jc w:val="both"/>
        <w:rPr>
          <w:sz w:val="22"/>
          <w:szCs w:val="22"/>
        </w:rPr>
      </w:pPr>
      <w:r w:rsidRPr="2EA039F5" w:rsidR="34C33E79">
        <w:rPr>
          <w:b w:val="1"/>
          <w:bCs w:val="1"/>
          <w:sz w:val="22"/>
          <w:szCs w:val="22"/>
        </w:rPr>
        <w:t>Alt boyut ve madde sayısı:</w:t>
      </w:r>
      <w:r w:rsidRPr="2EA039F5" w:rsidR="34C33E79">
        <w:rPr>
          <w:sz w:val="22"/>
          <w:szCs w:val="22"/>
        </w:rPr>
        <w:t xml:space="preserve"> </w:t>
      </w:r>
      <w:r w:rsidRPr="2EA039F5" w:rsidR="103091B0">
        <w:rPr>
          <w:sz w:val="22"/>
          <w:szCs w:val="22"/>
        </w:rPr>
        <w:t xml:space="preserve">2 </w:t>
      </w:r>
      <w:r w:rsidRPr="2EA039F5" w:rsidR="34C33E79">
        <w:rPr>
          <w:sz w:val="22"/>
          <w:szCs w:val="22"/>
        </w:rPr>
        <w:t xml:space="preserve">alt boyut ve </w:t>
      </w:r>
      <w:r w:rsidRPr="2EA039F5" w:rsidR="026ABDCB">
        <w:rPr>
          <w:sz w:val="22"/>
          <w:szCs w:val="22"/>
        </w:rPr>
        <w:t xml:space="preserve">8 </w:t>
      </w:r>
      <w:r w:rsidRPr="2EA039F5" w:rsidR="34C33E79">
        <w:rPr>
          <w:sz w:val="22"/>
          <w:szCs w:val="22"/>
        </w:rPr>
        <w:t>madde</w:t>
      </w:r>
    </w:p>
    <w:p xmlns:wp14="http://schemas.microsoft.com/office/word/2010/wordml" w:rsidRPr="00880413" w:rsidR="00993FC0" w:rsidP="00993FC0" w:rsidRDefault="00993FC0" w14:paraId="2917349A" wp14:textId="419FA3F3">
      <w:pPr>
        <w:numPr>
          <w:ilvl w:val="0"/>
          <w:numId w:val="15"/>
        </w:numPr>
        <w:jc w:val="both"/>
        <w:rPr>
          <w:sz w:val="22"/>
          <w:szCs w:val="22"/>
        </w:rPr>
      </w:pPr>
      <w:r w:rsidRPr="2EA039F5" w:rsidR="44CBBE58">
        <w:rPr>
          <w:sz w:val="22"/>
          <w:szCs w:val="22"/>
        </w:rPr>
        <w:t>Olumsuz duyguları başlatma ve sürdürme</w:t>
      </w:r>
      <w:r w:rsidRPr="2EA039F5" w:rsidR="44B76F4D">
        <w:rPr>
          <w:sz w:val="22"/>
          <w:szCs w:val="22"/>
        </w:rPr>
        <w:t xml:space="preserve">: </w:t>
      </w:r>
      <w:r w:rsidRPr="2EA039F5" w:rsidR="00A43B10">
        <w:rPr>
          <w:sz w:val="22"/>
          <w:szCs w:val="22"/>
        </w:rPr>
        <w:t>2, 4, 5, 6, 7</w:t>
      </w:r>
    </w:p>
    <w:p w:rsidR="293DB77C" w:rsidP="2EA039F5" w:rsidRDefault="293DB77C" w14:paraId="40EE78AC" w14:textId="61A7EFEF">
      <w:pPr>
        <w:numPr>
          <w:ilvl w:val="0"/>
          <w:numId w:val="15"/>
        </w:numPr>
        <w:jc w:val="both"/>
        <w:rPr>
          <w:sz w:val="22"/>
          <w:szCs w:val="22"/>
        </w:rPr>
      </w:pPr>
      <w:r w:rsidRPr="2EA039F5" w:rsidR="293DB77C">
        <w:rPr>
          <w:sz w:val="22"/>
          <w:szCs w:val="22"/>
        </w:rPr>
        <w:t>Duygusal değişimlerden rahatsızlık duyma:</w:t>
      </w:r>
      <w:r w:rsidRPr="2EA039F5" w:rsidR="44B76F4D">
        <w:rPr>
          <w:sz w:val="22"/>
          <w:szCs w:val="22"/>
        </w:rPr>
        <w:t xml:space="preserve"> </w:t>
      </w:r>
      <w:r w:rsidRPr="2EA039F5" w:rsidR="0D928599">
        <w:rPr>
          <w:sz w:val="22"/>
          <w:szCs w:val="22"/>
        </w:rPr>
        <w:t>1, 3, 8</w:t>
      </w:r>
    </w:p>
    <w:p w:rsidR="2EA039F5" w:rsidP="2EA039F5" w:rsidRDefault="2EA039F5" w14:paraId="3CCEFAF4" w14:textId="4A8DD4DF">
      <w:pPr>
        <w:ind w:left="360"/>
        <w:jc w:val="both"/>
        <w:rPr>
          <w:b w:val="1"/>
          <w:bCs w:val="1"/>
          <w:sz w:val="22"/>
          <w:szCs w:val="22"/>
        </w:rPr>
      </w:pPr>
    </w:p>
    <w:p w:rsidR="691C6B7F" w:rsidP="2EA039F5" w:rsidRDefault="691C6B7F" w14:paraId="6A8A5EDF" w14:textId="08EF996D">
      <w:pPr>
        <w:ind w:left="0"/>
        <w:jc w:val="both"/>
      </w:pPr>
      <w:r w:rsidRPr="2EA039F5" w:rsidR="691C6B7F">
        <w:rPr>
          <w:b w:val="1"/>
          <w:bCs w:val="1"/>
          <w:sz w:val="22"/>
          <w:szCs w:val="22"/>
        </w:rPr>
        <w:t>Ölçe</w:t>
      </w:r>
      <w:r w:rsidRPr="2EA039F5" w:rsidR="2AC70538">
        <w:rPr>
          <w:b w:val="1"/>
          <w:bCs w:val="1"/>
          <w:sz w:val="22"/>
          <w:szCs w:val="22"/>
        </w:rPr>
        <w:t>kte</w:t>
      </w:r>
      <w:r w:rsidRPr="2EA039F5" w:rsidR="691C6B7F">
        <w:rPr>
          <w:b w:val="1"/>
          <w:bCs w:val="1"/>
          <w:sz w:val="22"/>
          <w:szCs w:val="22"/>
        </w:rPr>
        <w:t xml:space="preserve"> bulunan ters maddeler:</w:t>
      </w:r>
      <w:r w:rsidRPr="2EA039F5" w:rsidR="691C6B7F">
        <w:rPr>
          <w:i w:val="1"/>
          <w:iCs w:val="1"/>
          <w:sz w:val="22"/>
          <w:szCs w:val="22"/>
        </w:rPr>
        <w:t xml:space="preserve"> </w:t>
      </w:r>
      <w:r w:rsidRPr="2EA039F5" w:rsidR="3C8C85E8">
        <w:rPr>
          <w:sz w:val="22"/>
          <w:szCs w:val="22"/>
        </w:rPr>
        <w:t>Ölçekte ters puanlanan madde bulunmamaktadır.</w:t>
      </w:r>
    </w:p>
    <w:p w:rsidR="2EA039F5" w:rsidP="2EA039F5" w:rsidRDefault="2EA039F5" w14:paraId="04F7392F" w14:textId="0EF1FD23">
      <w:pPr>
        <w:pStyle w:val="Normal"/>
        <w:ind w:left="-426"/>
        <w:jc w:val="both"/>
        <w:rPr>
          <w:b w:val="1"/>
          <w:bCs w:val="1"/>
          <w:sz w:val="22"/>
          <w:szCs w:val="22"/>
        </w:rPr>
      </w:pPr>
    </w:p>
    <w:p w:rsidR="5A8F27DE" w:rsidP="2EA039F5" w:rsidRDefault="5A8F27DE" w14:paraId="67B0AC20" w14:textId="409BDA0B">
      <w:pPr>
        <w:pStyle w:val="Normal"/>
        <w:ind w:left="0" w:firstLine="0"/>
        <w:jc w:val="both"/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</w:pPr>
      <w:r w:rsidRPr="2EA039F5" w:rsidR="5A8F27DE">
        <w:rPr>
          <w:b w:val="1"/>
          <w:bCs w:val="1"/>
          <w:sz w:val="22"/>
          <w:szCs w:val="22"/>
        </w:rPr>
        <w:t>Ölçeğin Değerlendirilmesi:</w:t>
      </w:r>
      <w:r w:rsidRPr="2EA039F5" w:rsidR="5A8F27DE">
        <w:rPr>
          <w:sz w:val="22"/>
          <w:szCs w:val="22"/>
        </w:rPr>
        <w:t xml:space="preserve"> </w:t>
      </w:r>
      <w:r w:rsidRPr="2EA039F5" w:rsidR="64C5544E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Türkçe örneklemde ölçek 5’li </w:t>
      </w:r>
      <w:r w:rsidRPr="2EA039F5" w:rsidR="64C5544E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>Likert</w:t>
      </w:r>
      <w:r w:rsidRPr="2EA039F5" w:rsidR="64C5544E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(1: Hiç katılmıyorum; 5: Tamamen katılıyorum) olarak uyarlanmıştır. Ölçek, </w:t>
      </w:r>
      <w:r w:rsidRPr="2EA039F5" w:rsidR="64C5544E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tr-TR"/>
        </w:rPr>
        <w:t>Olumsuz Duyguları Oluşturma ve Sürdürme</w:t>
      </w:r>
      <w:r w:rsidRPr="2EA039F5" w:rsidR="64C5544E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ile </w:t>
      </w:r>
      <w:r w:rsidRPr="2EA039F5" w:rsidR="64C5544E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tr-TR"/>
        </w:rPr>
        <w:t>Duygusal Değişimlerden Rahatsızlık Duyma</w:t>
      </w:r>
      <w:r w:rsidRPr="2EA039F5" w:rsidR="64C5544E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 xml:space="preserve"> olmak üzere iki alt ölçeğe dayalı olarak puanlanmaktadır. Ölçekte ters puanlanan herhangi bir madde bulunmamaktadır. </w:t>
      </w:r>
      <w:r w:rsidRPr="2EA039F5" w:rsidR="060F4D60">
        <w:rPr>
          <w:rFonts w:ascii="Times New Roman" w:hAnsi="Times New Roman" w:eastAsia="Times New Roman" w:cs="Times New Roman"/>
          <w:noProof w:val="0"/>
          <w:sz w:val="22"/>
          <w:szCs w:val="22"/>
          <w:lang w:val="tr-TR"/>
        </w:rPr>
        <w:t>Alt boyut puanları ilgili maddeler üzerinden, ölçek genel puanı ise tüm maddeler dikkate alınarak hesaplanmaktadır. Alt boyutlardan ve ölçek genelinden alınan yüksek puanlar, kontrast kaçınma eğiliminin daha yüksek olduğunu göstermektedir.</w:t>
      </w:r>
    </w:p>
    <w:p xmlns:wp14="http://schemas.microsoft.com/office/word/2010/wordml" w:rsidRPr="00880413" w:rsidR="00993FC0" w:rsidP="2EA039F5" w:rsidRDefault="00993FC0" w14:paraId="6A05A809" wp14:textId="56FD0D02">
      <w:pPr>
        <w:pStyle w:val="Normal"/>
        <w:ind w:left="708"/>
        <w:rPr>
          <w:rFonts w:ascii="Times New Roman" w:hAnsi="Times New Roman" w:eastAsia="Times New Roman" w:cs="Times New Roman"/>
          <w:sz w:val="22"/>
          <w:szCs w:val="22"/>
          <w:lang w:eastAsia="en-US"/>
        </w:rPr>
      </w:pPr>
    </w:p>
    <w:p xmlns:wp14="http://schemas.microsoft.com/office/word/2010/wordml" w:rsidRPr="00880413" w:rsidR="00964604" w:rsidP="2EA039F5" w:rsidRDefault="00964604" w14:paraId="5A39BBE3" wp14:textId="77777777">
      <w:pPr>
        <w:ind w:left="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Pr="00880413" w:rsidR="00964604" w:rsidP="2EA039F5" w:rsidRDefault="00964604" w14:paraId="135F2B13" wp14:textId="2EA387C3">
      <w:pPr>
        <w:ind w:left="0"/>
        <w:jc w:val="both"/>
        <w:rPr>
          <w:sz w:val="22"/>
          <w:szCs w:val="22"/>
        </w:rPr>
      </w:pPr>
      <w:r w:rsidRPr="2EA039F5" w:rsidR="3FECC97A">
        <w:rPr>
          <w:b w:val="1"/>
          <w:bCs w:val="1"/>
          <w:sz w:val="22"/>
          <w:szCs w:val="22"/>
        </w:rPr>
        <w:t>İzin için iletişim adresi:</w:t>
      </w:r>
      <w:r w:rsidRPr="2EA039F5" w:rsidR="3FECC97A">
        <w:rPr>
          <w:sz w:val="22"/>
          <w:szCs w:val="22"/>
        </w:rPr>
        <w:t xml:space="preserve"> </w:t>
      </w:r>
      <w:r w:rsidRPr="2EA039F5" w:rsidR="2EAC0825">
        <w:rPr>
          <w:sz w:val="22"/>
          <w:szCs w:val="22"/>
        </w:rPr>
        <w:t>sevdebasatemur9</w:t>
      </w:r>
      <w:r w:rsidRPr="2EA039F5" w:rsidR="3FECC97A">
        <w:rPr>
          <w:sz w:val="22"/>
          <w:szCs w:val="22"/>
        </w:rPr>
        <w:t>@gmail.com</w:t>
      </w:r>
    </w:p>
    <w:p xmlns:wp14="http://schemas.microsoft.com/office/word/2010/wordml" w:rsidRPr="00880413" w:rsidR="00563B18" w:rsidRDefault="00563B18" w14:paraId="41C8F396" wp14:textId="77777777">
      <w:pPr>
        <w:ind w:left="-426"/>
        <w:jc w:val="both"/>
        <w:rPr>
          <w:sz w:val="16"/>
        </w:rPr>
      </w:pPr>
    </w:p>
    <w:sectPr w:rsidRPr="00880413" w:rsidR="00563B18" w:rsidSect="00FC58EE">
      <w:pgSz w:w="11906" w:h="16838" w:orient="portrait" w:code="9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F3"/>
    <w:multiLevelType w:val="hybridMultilevel"/>
    <w:tmpl w:val="E698DF58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CA1BA5"/>
    <w:multiLevelType w:val="hybridMultilevel"/>
    <w:tmpl w:val="A0788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79BC"/>
    <w:multiLevelType w:val="hybridMultilevel"/>
    <w:tmpl w:val="BF84D4FA"/>
    <w:lvl w:ilvl="0" w:tplc="6AF6C2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8A3"/>
    <w:multiLevelType w:val="hybridMultilevel"/>
    <w:tmpl w:val="8BD040C2"/>
    <w:lvl w:ilvl="0" w:tplc="2B3E6F2C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 w:eastAsia="Times New Roman" w:cs="Times New Roman"/>
        <w:b/>
        <w:i/>
        <w:color w:val="000000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4" w15:restartNumberingAfterBreak="0">
    <w:nsid w:val="1C2573AF"/>
    <w:multiLevelType w:val="hybridMultilevel"/>
    <w:tmpl w:val="145450DA"/>
    <w:lvl w:ilvl="0" w:tplc="86A2874C">
      <w:start w:val="2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0C227B"/>
    <w:multiLevelType w:val="hybridMultilevel"/>
    <w:tmpl w:val="7EC2728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302F"/>
    <w:multiLevelType w:val="hybridMultilevel"/>
    <w:tmpl w:val="DB96B0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E14FA"/>
    <w:multiLevelType w:val="hybridMultilevel"/>
    <w:tmpl w:val="D54C6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15D97"/>
    <w:multiLevelType w:val="hybridMultilevel"/>
    <w:tmpl w:val="DEA4C0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E7735"/>
    <w:multiLevelType w:val="hybridMultilevel"/>
    <w:tmpl w:val="1DB2A9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0259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8E1E29"/>
    <w:multiLevelType w:val="hybridMultilevel"/>
    <w:tmpl w:val="788405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11D8"/>
    <w:multiLevelType w:val="hybridMultilevel"/>
    <w:tmpl w:val="8A9CF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40490"/>
    <w:multiLevelType w:val="multilevel"/>
    <w:tmpl w:val="7EC272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24E7A"/>
    <w:multiLevelType w:val="hybridMultilevel"/>
    <w:tmpl w:val="B908D6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82765">
    <w:abstractNumId w:val="10"/>
  </w:num>
  <w:num w:numId="2" w16cid:durableId="510410401">
    <w:abstractNumId w:val="9"/>
  </w:num>
  <w:num w:numId="3" w16cid:durableId="1579711687">
    <w:abstractNumId w:val="7"/>
  </w:num>
  <w:num w:numId="4" w16cid:durableId="832986110">
    <w:abstractNumId w:val="8"/>
  </w:num>
  <w:num w:numId="5" w16cid:durableId="1772046786">
    <w:abstractNumId w:val="5"/>
  </w:num>
  <w:num w:numId="6" w16cid:durableId="1465154315">
    <w:abstractNumId w:val="13"/>
  </w:num>
  <w:num w:numId="7" w16cid:durableId="887449635">
    <w:abstractNumId w:val="14"/>
  </w:num>
  <w:num w:numId="8" w16cid:durableId="1529105713">
    <w:abstractNumId w:val="12"/>
  </w:num>
  <w:num w:numId="9" w16cid:durableId="644237747">
    <w:abstractNumId w:val="2"/>
  </w:num>
  <w:num w:numId="10" w16cid:durableId="560942630">
    <w:abstractNumId w:val="3"/>
  </w:num>
  <w:num w:numId="11" w16cid:durableId="1203708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4052943">
    <w:abstractNumId w:val="11"/>
  </w:num>
  <w:num w:numId="13" w16cid:durableId="81606239">
    <w:abstractNumId w:val="1"/>
  </w:num>
  <w:num w:numId="14" w16cid:durableId="201285407">
    <w:abstractNumId w:val="4"/>
  </w:num>
  <w:num w:numId="15" w16cid:durableId="18997843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F2"/>
    <w:rsid w:val="00040197"/>
    <w:rsid w:val="00042129"/>
    <w:rsid w:val="00066463"/>
    <w:rsid w:val="000B6667"/>
    <w:rsid w:val="001372C6"/>
    <w:rsid w:val="00140A2D"/>
    <w:rsid w:val="001805A1"/>
    <w:rsid w:val="001956E8"/>
    <w:rsid w:val="001B37F2"/>
    <w:rsid w:val="001F7CAC"/>
    <w:rsid w:val="002042A3"/>
    <w:rsid w:val="002405FC"/>
    <w:rsid w:val="00245219"/>
    <w:rsid w:val="003A0001"/>
    <w:rsid w:val="003C0CF5"/>
    <w:rsid w:val="003C3D09"/>
    <w:rsid w:val="004726F1"/>
    <w:rsid w:val="00503C3F"/>
    <w:rsid w:val="00530179"/>
    <w:rsid w:val="00530688"/>
    <w:rsid w:val="00563B18"/>
    <w:rsid w:val="0057549C"/>
    <w:rsid w:val="005A0AF1"/>
    <w:rsid w:val="005A76CA"/>
    <w:rsid w:val="005F3D8C"/>
    <w:rsid w:val="00621ACF"/>
    <w:rsid w:val="00674588"/>
    <w:rsid w:val="006D3B7C"/>
    <w:rsid w:val="00780BBD"/>
    <w:rsid w:val="007C20AB"/>
    <w:rsid w:val="007C20FA"/>
    <w:rsid w:val="007E7F07"/>
    <w:rsid w:val="007F2F32"/>
    <w:rsid w:val="00800BBD"/>
    <w:rsid w:val="00851836"/>
    <w:rsid w:val="00880413"/>
    <w:rsid w:val="00881A5B"/>
    <w:rsid w:val="008C2431"/>
    <w:rsid w:val="008D6848"/>
    <w:rsid w:val="008D7C1A"/>
    <w:rsid w:val="00904996"/>
    <w:rsid w:val="009234A5"/>
    <w:rsid w:val="00955BFA"/>
    <w:rsid w:val="00964604"/>
    <w:rsid w:val="00993FC0"/>
    <w:rsid w:val="009E6848"/>
    <w:rsid w:val="00A02A37"/>
    <w:rsid w:val="00A3007B"/>
    <w:rsid w:val="00A43B10"/>
    <w:rsid w:val="00A6507E"/>
    <w:rsid w:val="00A9002A"/>
    <w:rsid w:val="00B320B6"/>
    <w:rsid w:val="00BA19F4"/>
    <w:rsid w:val="00CA31C7"/>
    <w:rsid w:val="00D91E41"/>
    <w:rsid w:val="00DA7062"/>
    <w:rsid w:val="00DF6524"/>
    <w:rsid w:val="00E52211"/>
    <w:rsid w:val="00EF0CEE"/>
    <w:rsid w:val="00F0329C"/>
    <w:rsid w:val="00F12EC7"/>
    <w:rsid w:val="00F91291"/>
    <w:rsid w:val="00FB2801"/>
    <w:rsid w:val="00FC58EE"/>
    <w:rsid w:val="00FE4C29"/>
    <w:rsid w:val="00FE56A1"/>
    <w:rsid w:val="020D49DB"/>
    <w:rsid w:val="026ABDCB"/>
    <w:rsid w:val="04BDA17B"/>
    <w:rsid w:val="0589FA0E"/>
    <w:rsid w:val="05D8C5B5"/>
    <w:rsid w:val="060F4D60"/>
    <w:rsid w:val="0699B87C"/>
    <w:rsid w:val="0992B1C1"/>
    <w:rsid w:val="0AA0A31E"/>
    <w:rsid w:val="0AA49E5F"/>
    <w:rsid w:val="0AB67F6E"/>
    <w:rsid w:val="0AF108B7"/>
    <w:rsid w:val="0D928599"/>
    <w:rsid w:val="103091B0"/>
    <w:rsid w:val="118973B5"/>
    <w:rsid w:val="139D9786"/>
    <w:rsid w:val="1410C2F9"/>
    <w:rsid w:val="15EC163F"/>
    <w:rsid w:val="171AF889"/>
    <w:rsid w:val="187AE6D3"/>
    <w:rsid w:val="18830EF5"/>
    <w:rsid w:val="18ABD2BF"/>
    <w:rsid w:val="193DC6E5"/>
    <w:rsid w:val="1BA6FB80"/>
    <w:rsid w:val="1D4A3468"/>
    <w:rsid w:val="1E2B8B35"/>
    <w:rsid w:val="20FECF3D"/>
    <w:rsid w:val="227AA4CC"/>
    <w:rsid w:val="24490A46"/>
    <w:rsid w:val="2713621F"/>
    <w:rsid w:val="27D46FAB"/>
    <w:rsid w:val="2846E077"/>
    <w:rsid w:val="293DB77C"/>
    <w:rsid w:val="2A0FD8A1"/>
    <w:rsid w:val="2AC70538"/>
    <w:rsid w:val="2C21346A"/>
    <w:rsid w:val="2EA039F5"/>
    <w:rsid w:val="2EAC0825"/>
    <w:rsid w:val="2F3B9276"/>
    <w:rsid w:val="30FABCE1"/>
    <w:rsid w:val="3435ADB5"/>
    <w:rsid w:val="34C33E79"/>
    <w:rsid w:val="35066A8D"/>
    <w:rsid w:val="355A253C"/>
    <w:rsid w:val="3878E2CE"/>
    <w:rsid w:val="3A5E8877"/>
    <w:rsid w:val="3A6068BC"/>
    <w:rsid w:val="3B9573B2"/>
    <w:rsid w:val="3C469C1E"/>
    <w:rsid w:val="3C8C85E8"/>
    <w:rsid w:val="3FECC97A"/>
    <w:rsid w:val="43F87B94"/>
    <w:rsid w:val="44B76F4D"/>
    <w:rsid w:val="44CBBE58"/>
    <w:rsid w:val="45F3F75A"/>
    <w:rsid w:val="4684BAA0"/>
    <w:rsid w:val="492D1462"/>
    <w:rsid w:val="497011F9"/>
    <w:rsid w:val="4AABC904"/>
    <w:rsid w:val="4AEA7027"/>
    <w:rsid w:val="4F52CF9C"/>
    <w:rsid w:val="5026844B"/>
    <w:rsid w:val="51D18588"/>
    <w:rsid w:val="52424F03"/>
    <w:rsid w:val="5250F09A"/>
    <w:rsid w:val="5290FD71"/>
    <w:rsid w:val="539C84F1"/>
    <w:rsid w:val="5506FEC0"/>
    <w:rsid w:val="58123799"/>
    <w:rsid w:val="5A38FF98"/>
    <w:rsid w:val="5A8F27DE"/>
    <w:rsid w:val="5CCDC2D1"/>
    <w:rsid w:val="616677FD"/>
    <w:rsid w:val="62045616"/>
    <w:rsid w:val="64C5544E"/>
    <w:rsid w:val="650A2341"/>
    <w:rsid w:val="66BE857F"/>
    <w:rsid w:val="674C8713"/>
    <w:rsid w:val="6870BF4D"/>
    <w:rsid w:val="691C6B7F"/>
    <w:rsid w:val="6973269B"/>
    <w:rsid w:val="69B7105F"/>
    <w:rsid w:val="6A4B5923"/>
    <w:rsid w:val="6DB72D9E"/>
    <w:rsid w:val="6F03B91F"/>
    <w:rsid w:val="71511675"/>
    <w:rsid w:val="71B11777"/>
    <w:rsid w:val="71C409F8"/>
    <w:rsid w:val="733D5166"/>
    <w:rsid w:val="7350CC25"/>
    <w:rsid w:val="73AC352D"/>
    <w:rsid w:val="74F93026"/>
    <w:rsid w:val="77578037"/>
    <w:rsid w:val="7E4BFB7D"/>
    <w:rsid w:val="7E61B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032BA"/>
  <w15:chartTrackingRefBased/>
  <w15:docId w15:val="{DAF9879D-33F4-496A-99EF-954C06AC8C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tr-TR"/>
    </w:rPr>
  </w:style>
  <w:style w:type="paragraph" w:styleId="Balk1">
    <w:name w:val="heading 1"/>
    <w:basedOn w:val="Normal"/>
    <w:next w:val="Normal"/>
    <w:qFormat/>
    <w:pPr>
      <w:keepNext/>
      <w:spacing w:before="120" w:line="360" w:lineRule="auto"/>
      <w:ind w:left="709" w:hanging="709"/>
      <w:jc w:val="both"/>
      <w:outlineLvl w:val="0"/>
    </w:pPr>
    <w:rPr>
      <w:b/>
      <w:sz w:val="24"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pPr>
      <w:spacing w:before="120" w:line="360" w:lineRule="auto"/>
      <w:ind w:firstLine="709"/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8D6848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D6848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vdeMetniGirintisiChar" w:customStyle="1">
    <w:name w:val="Gövde Metni Girintisi Char"/>
    <w:link w:val="GvdeMetniGirintisi"/>
    <w:semiHidden/>
    <w:rsid w:val="008D6848"/>
    <w:rPr>
      <w:sz w:val="24"/>
    </w:rPr>
  </w:style>
  <w:style w:type="character" w:styleId="Kpr">
    <w:name w:val="Hyperlink"/>
    <w:uiPriority w:val="99"/>
    <w:unhideWhenUsed/>
    <w:rsid w:val="00563B18"/>
    <w:rPr>
      <w:color w:val="0000FF"/>
      <w:u w:val="single"/>
    </w:rPr>
  </w:style>
  <w:style w:type="paragraph" w:styleId="metin" w:customStyle="1">
    <w:name w:val="metin"/>
    <w:basedOn w:val="Normal"/>
    <w:qFormat/>
    <w:rsid w:val="00563B18"/>
    <w:pPr>
      <w:spacing w:after="142" w:line="240" w:lineRule="exact"/>
      <w:ind w:firstLine="284"/>
      <w:jc w:val="both"/>
    </w:pPr>
    <w:rPr>
      <w:szCs w:val="24"/>
    </w:rPr>
  </w:style>
  <w:style w:type="paragraph" w:styleId="TableParagraph" w:customStyle="1">
    <w:name w:val="Table Paragraph"/>
    <w:basedOn w:val="Normal"/>
    <w:uiPriority w:val="1"/>
    <w:qFormat/>
    <w:rsid w:val="00993FC0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doi.org/10.30546/19023.978-9952-610-61-1.2026.100.1121" TargetMode="External" Id="Rfaa6c66ccfb541cf" /><Relationship Type="http://schemas.openxmlformats.org/officeDocument/2006/relationships/hyperlink" Target="https://doi.org/10.1016/j.janxdis.2026.103109" TargetMode="External" Id="Rb3336070464a4d7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-=[By NeC]=-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Yalnızlık Envanteri (UCLA-L5)</dc:title>
  <dc:subject/>
  <dc:creator>imparator</dc:creator>
  <keywords/>
  <lastModifiedBy>Sevde Basatemür</lastModifiedBy>
  <revision>10</revision>
  <dcterms:created xsi:type="dcterms:W3CDTF">2026-07-15T12:09:00.0000000Z</dcterms:created>
  <dcterms:modified xsi:type="dcterms:W3CDTF">2026-07-15T18:01:00.0813230Z</dcterms:modified>
</coreProperties>
</file>