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220" w:rsidRDefault="003E3220"/>
    <w:p w:rsidR="00BF440A" w:rsidRPr="00BF440A" w:rsidRDefault="00BF440A" w:rsidP="00BF440A">
      <w:pPr>
        <w:jc w:val="center"/>
        <w:rPr>
          <w:rFonts w:ascii="Arial Black" w:eastAsia="Times New Roman" w:hAnsi="Arial Black"/>
          <w:sz w:val="18"/>
          <w:szCs w:val="18"/>
          <w:lang w:eastAsia="tr-TR"/>
        </w:rPr>
      </w:pPr>
      <w:r w:rsidRPr="00BF440A">
        <w:rPr>
          <w:rFonts w:ascii="Arial Black" w:eastAsia="Times New Roman" w:hAnsi="Arial Black"/>
          <w:sz w:val="18"/>
          <w:szCs w:val="18"/>
          <w:lang w:eastAsia="tr-TR"/>
        </w:rPr>
        <w:t xml:space="preserve">Ev Ödevinde Akademik Erteleme </w:t>
      </w:r>
      <w:proofErr w:type="spellStart"/>
      <w:r w:rsidRPr="00BF440A">
        <w:rPr>
          <w:rFonts w:ascii="Arial Black" w:eastAsia="Times New Roman" w:hAnsi="Arial Black"/>
          <w:sz w:val="18"/>
          <w:szCs w:val="18"/>
          <w:lang w:eastAsia="tr-TR"/>
        </w:rPr>
        <w:t>Ölçeğı</w:t>
      </w:r>
      <w:proofErr w:type="spellEnd"/>
    </w:p>
    <w:tbl>
      <w:tblPr>
        <w:tblW w:w="5000" w:type="pct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73"/>
        <w:gridCol w:w="5456"/>
        <w:gridCol w:w="691"/>
        <w:gridCol w:w="693"/>
        <w:gridCol w:w="691"/>
        <w:gridCol w:w="693"/>
        <w:gridCol w:w="691"/>
      </w:tblGrid>
      <w:tr w:rsidR="00BF440A" w:rsidRPr="008C1D61" w:rsidTr="00BF440A">
        <w:trPr>
          <w:trHeight w:val="1145"/>
        </w:trPr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40A" w:rsidRPr="008C1D61" w:rsidRDefault="00BF440A" w:rsidP="00BF440A">
            <w:pPr>
              <w:jc w:val="center"/>
              <w:rPr>
                <w:rFonts w:ascii="Arial Black" w:hAnsi="Arial Black"/>
                <w:sz w:val="18"/>
              </w:rPr>
            </w:pPr>
          </w:p>
        </w:tc>
        <w:tc>
          <w:tcPr>
            <w:tcW w:w="2937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pStyle w:val="NormalWeb"/>
              <w:spacing w:before="0" w:beforeAutospacing="0" w:after="0" w:afterAutospacing="0"/>
              <w:rPr>
                <w:rFonts w:ascii="Arial Black" w:hAnsi="Arial Black"/>
                <w:sz w:val="18"/>
              </w:rPr>
            </w:pPr>
            <w:r w:rsidRPr="008C1D61">
              <w:rPr>
                <w:rFonts w:ascii="Arial Black" w:hAnsi="Arial Black"/>
                <w:sz w:val="18"/>
                <w:szCs w:val="18"/>
              </w:rPr>
              <w:t>Bazı öğrenciler matematik ödevini hemen tamamlarken bazıları son ana bırakıyor. Sen ne yapıyorsun?</w:t>
            </w:r>
            <w:r w:rsidRPr="008C1D61">
              <w:t xml:space="preserve"> </w:t>
            </w:r>
            <w:r w:rsidRPr="008C1D61">
              <w:rPr>
                <w:rFonts w:ascii="Arial Black" w:hAnsi="Arial Black"/>
                <w:sz w:val="18"/>
                <w:szCs w:val="18"/>
              </w:rPr>
              <w:t xml:space="preserve"> </w:t>
            </w:r>
            <w:r w:rsidRPr="008C1D61">
              <w:rPr>
                <w:rFonts w:ascii="Arial" w:hAnsi="Arial"/>
                <w:sz w:val="18"/>
                <w:szCs w:val="18"/>
              </w:rPr>
              <w:t>Uygun kutuyu (X) ile işaretleyin.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F440A" w:rsidRPr="008C1D61" w:rsidRDefault="00BF440A" w:rsidP="005419D2">
            <w:pPr>
              <w:ind w:left="113" w:right="113"/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Beni hiç yansıtmıyor</w:t>
            </w: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Beni çok az yansıtıyor</w:t>
            </w: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Beni biraz yansıtıyor</w:t>
            </w: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Beni çoğunlukla yansıtıyor</w:t>
            </w: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Beni tamamen yansıtıyor</w:t>
            </w:r>
          </w:p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</w:p>
        </w:tc>
      </w:tr>
      <w:tr w:rsidR="00BF440A" w:rsidRPr="008C1D61" w:rsidTr="00BF440A">
        <w:tc>
          <w:tcPr>
            <w:tcW w:w="201" w:type="pct"/>
            <w:tcBorders>
              <w:top w:val="single" w:sz="4" w:space="0" w:color="auto"/>
            </w:tcBorders>
            <w:vAlign w:val="center"/>
          </w:tcPr>
          <w:p w:rsidR="00BF440A" w:rsidRPr="008C1D61" w:rsidRDefault="00BF440A" w:rsidP="00BF440A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a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37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Önce matematik ödevimi yapar, sonra eğlenceli aktivitelere geçerim.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top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</w:tr>
      <w:tr w:rsidR="00BF440A" w:rsidRPr="008C1D61" w:rsidTr="00BF440A">
        <w:tc>
          <w:tcPr>
            <w:tcW w:w="201" w:type="pct"/>
            <w:vAlign w:val="center"/>
          </w:tcPr>
          <w:p w:rsidR="00BF440A" w:rsidRPr="008C1D61" w:rsidRDefault="00BF440A" w:rsidP="00BF440A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b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37" w:type="pct"/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Matematik ödevlerimi belirlenen sürede yetiştiririm.</w:t>
            </w:r>
          </w:p>
        </w:tc>
        <w:tc>
          <w:tcPr>
            <w:tcW w:w="372" w:type="pct"/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</w:tcPr>
          <w:p w:rsidR="00BF440A" w:rsidRPr="008C1D61" w:rsidRDefault="00BF440A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</w:tr>
      <w:tr w:rsidR="00BF440A" w:rsidRPr="008C1D61" w:rsidTr="00BF440A">
        <w:tc>
          <w:tcPr>
            <w:tcW w:w="201" w:type="pct"/>
            <w:tcBorders>
              <w:bottom w:val="single" w:sz="4" w:space="0" w:color="auto"/>
            </w:tcBorders>
            <w:vAlign w:val="center"/>
          </w:tcPr>
          <w:p w:rsidR="00BF440A" w:rsidRPr="008C1D61" w:rsidRDefault="00BF440A" w:rsidP="00BF440A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c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37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Matematik ödevleri sıkıcı olsa bile, zamanında başlarım.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</w:tr>
      <w:tr w:rsidR="00BF440A" w:rsidRPr="008C1D61" w:rsidTr="00BF440A"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F440A" w:rsidRPr="008C1D61" w:rsidRDefault="00BF440A" w:rsidP="00BF440A">
            <w:pPr>
              <w:jc w:val="center"/>
              <w:rPr>
                <w:rFonts w:ascii="Arial" w:hAnsi="Arial" w:cs="Arial"/>
                <w:sz w:val="18"/>
              </w:rPr>
            </w:pPr>
            <w:proofErr w:type="gramStart"/>
            <w:r w:rsidRPr="008C1D61">
              <w:rPr>
                <w:rFonts w:ascii="Arial" w:hAnsi="Arial" w:cs="Arial"/>
                <w:sz w:val="18"/>
              </w:rPr>
              <w:t>d</w:t>
            </w:r>
            <w:proofErr w:type="gramEnd"/>
            <w:r w:rsidRPr="008C1D61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2937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rPr>
                <w:rFonts w:ascii="Arial" w:eastAsia="Times New Roman" w:hAnsi="Arial"/>
                <w:sz w:val="18"/>
                <w:szCs w:val="18"/>
                <w:lang w:eastAsia="tr-TR"/>
              </w:rPr>
            </w:pPr>
            <w:r w:rsidRPr="008C1D61">
              <w:rPr>
                <w:rFonts w:ascii="Arial" w:eastAsia="Times New Roman" w:hAnsi="Arial"/>
                <w:sz w:val="18"/>
                <w:szCs w:val="18"/>
                <w:lang w:eastAsia="tr-TR"/>
              </w:rPr>
              <w:t>Matematik ödevi verildiği gibi hemen yapmaya başlarım.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1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18"/>
              </w:rPr>
            </w:pPr>
            <w:r w:rsidRPr="008C1D61">
              <w:rPr>
                <w:rFonts w:ascii="Arial" w:hAnsi="Arial"/>
                <w:sz w:val="20"/>
                <w:vertAlign w:val="subscript"/>
              </w:rPr>
              <w:t>2</w:t>
            </w:r>
            <w:r w:rsidRPr="008C1D61">
              <w:rPr>
                <w:rFonts w:ascii="Arial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3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hAnsi="Arial"/>
                <w:sz w:val="20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4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BF440A" w:rsidRPr="008C1D61" w:rsidRDefault="00BF440A" w:rsidP="005419D2">
            <w:pPr>
              <w:jc w:val="center"/>
              <w:rPr>
                <w:rFonts w:ascii="Arial" w:eastAsia="Arial Unicode MS" w:hAnsi="Arial"/>
                <w:sz w:val="20"/>
                <w:vertAlign w:val="subscript"/>
              </w:rPr>
            </w:pPr>
            <w:r w:rsidRPr="008C1D61">
              <w:rPr>
                <w:rFonts w:ascii="Arial" w:eastAsia="Arial Unicode MS" w:hAnsi="Arial"/>
                <w:sz w:val="20"/>
                <w:vertAlign w:val="subscript"/>
              </w:rPr>
              <w:t>5</w:t>
            </w:r>
            <w:r w:rsidRPr="008C1D61">
              <w:rPr>
                <w:rFonts w:ascii="Arial" w:eastAsia="Arial Unicode MS" w:hAnsi="Arial"/>
                <w:sz w:val="20"/>
              </w:rPr>
              <w:t xml:space="preserve"> </w:t>
            </w:r>
            <w:r w:rsidRPr="008C1D61">
              <w:rPr>
                <w:rFonts w:ascii="Courier New" w:eastAsia="Arial Unicode MS" w:hAnsi="Courier New"/>
              </w:rPr>
              <w:t>□</w:t>
            </w:r>
          </w:p>
        </w:tc>
      </w:tr>
    </w:tbl>
    <w:p w:rsidR="00BF440A" w:rsidRPr="008C1D61" w:rsidRDefault="00BF440A" w:rsidP="00BF440A">
      <w:pPr>
        <w:rPr>
          <w:sz w:val="12"/>
        </w:rPr>
      </w:pPr>
    </w:p>
    <w:p w:rsidR="00BF440A" w:rsidRDefault="00BF440A"/>
    <w:p w:rsidR="00BF440A" w:rsidRDefault="00BF440A">
      <w:r>
        <w:t>Avcı, S</w:t>
      </w:r>
      <w:proofErr w:type="gramStart"/>
      <w:r>
        <w:t>.,</w:t>
      </w:r>
      <w:proofErr w:type="gramEnd"/>
      <w:r>
        <w:t xml:space="preserve"> Özgenel, M., Avcu, A. </w:t>
      </w:r>
      <w:r>
        <w:rPr>
          <w:i/>
          <w:iCs/>
        </w:rPr>
        <w:t>et al.</w:t>
      </w:r>
      <w:r>
        <w:t xml:space="preserve"> </w:t>
      </w:r>
      <w:proofErr w:type="spellStart"/>
      <w:r>
        <w:t>Personal</w:t>
      </w:r>
      <w:proofErr w:type="spellEnd"/>
      <w:r>
        <w:t xml:space="preserve">, </w:t>
      </w:r>
      <w:proofErr w:type="spellStart"/>
      <w:r>
        <w:t>motivational</w:t>
      </w:r>
      <w:proofErr w:type="spellEnd"/>
      <w:r>
        <w:t xml:space="preserve">, </w:t>
      </w:r>
      <w:proofErr w:type="spellStart"/>
      <w:r>
        <w:t>volitional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contextual</w:t>
      </w:r>
      <w:proofErr w:type="spellEnd"/>
      <w:r>
        <w:t xml:space="preserve"> </w:t>
      </w:r>
      <w:proofErr w:type="spellStart"/>
      <w:r>
        <w:t>antecedents</w:t>
      </w:r>
      <w:proofErr w:type="spellEnd"/>
      <w:r>
        <w:t xml:space="preserve"> of </w:t>
      </w:r>
      <w:proofErr w:type="spellStart"/>
      <w:r>
        <w:t>procrastination</w:t>
      </w:r>
      <w:proofErr w:type="spellEnd"/>
      <w:r>
        <w:t xml:space="preserve"> in </w:t>
      </w:r>
      <w:proofErr w:type="spellStart"/>
      <w:r>
        <w:t>homework</w:t>
      </w:r>
      <w:proofErr w:type="spellEnd"/>
      <w:r>
        <w:t xml:space="preserve">. </w:t>
      </w:r>
      <w:proofErr w:type="spellStart"/>
      <w:r>
        <w:rPr>
          <w:i/>
          <w:iCs/>
        </w:rPr>
        <w:t>Soc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Psychol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Educ</w:t>
      </w:r>
      <w:proofErr w:type="spellEnd"/>
      <w:r>
        <w:t xml:space="preserve"> </w:t>
      </w:r>
      <w:r>
        <w:rPr>
          <w:b/>
          <w:bCs/>
        </w:rPr>
        <w:t>28</w:t>
      </w:r>
      <w:r>
        <w:t>, 170 (2025). https://doi.org/</w:t>
      </w:r>
      <w:proofErr w:type="gramStart"/>
      <w:r>
        <w:t>10.100</w:t>
      </w:r>
      <w:bookmarkStart w:id="0" w:name="_GoBack"/>
      <w:bookmarkEnd w:id="0"/>
      <w:r>
        <w:t>7</w:t>
      </w:r>
      <w:proofErr w:type="gramEnd"/>
      <w:r>
        <w:t>/s11218-025-10128-3</w:t>
      </w:r>
    </w:p>
    <w:sectPr w:rsidR="00BF4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F3F"/>
    <w:rsid w:val="003E3220"/>
    <w:rsid w:val="00416F3F"/>
    <w:rsid w:val="00BF440A"/>
    <w:rsid w:val="00C0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0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40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40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F440A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2026-06-06T18:09:00Z</dcterms:created>
  <dcterms:modified xsi:type="dcterms:W3CDTF">2026-06-06T18:14:00Z</dcterms:modified>
</cp:coreProperties>
</file>