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736D" w14:textId="4766B176" w:rsidR="00D10B00" w:rsidRPr="00D10B00" w:rsidRDefault="00D10B00" w:rsidP="0005557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0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SAHARA Kadına Yönelik Şiddet Tutum Ölçeği</w:t>
      </w:r>
    </w:p>
    <w:p w14:paraId="063B7AA7" w14:textId="593267B5" w:rsidR="00055576" w:rsidRDefault="00055576" w:rsidP="00055576">
      <w:pPr>
        <w:spacing w:line="360" w:lineRule="auto"/>
        <w:jc w:val="both"/>
        <w:rPr>
          <w:rStyle w:val="mord"/>
          <w:rFonts w:ascii="Times New Roman" w:hAnsi="Times New Roman" w:cs="Times New Roman"/>
          <w:sz w:val="24"/>
          <w:szCs w:val="24"/>
        </w:rPr>
      </w:pPr>
      <w:proofErr w:type="spellStart"/>
      <w:r w:rsidRPr="001E70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Ölçek</w:t>
      </w:r>
      <w:proofErr w:type="spellEnd"/>
      <w:r w:rsidRPr="001E70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Yönergesi</w:t>
      </w:r>
      <w:proofErr w:type="spellEnd"/>
      <w:r w:rsidRPr="001E70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405532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SAHARA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Kadına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Şiddet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Tutum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Ölçeği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yaş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üstü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popülasyonda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kadına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şiddet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tutum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düzeyini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belirlemek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amacıyla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geliştirilmiştir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>Açımlayıcı</w:t>
      </w:r>
      <w:proofErr w:type="spellEnd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>doğrulayıcı</w:t>
      </w:r>
      <w:proofErr w:type="spellEnd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>faktör</w:t>
      </w:r>
      <w:proofErr w:type="spellEnd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>analizleri</w:t>
      </w:r>
      <w:proofErr w:type="spellEnd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>sonucunda</w:t>
      </w:r>
      <w:proofErr w:type="spellEnd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>faktörlü</w:t>
      </w:r>
      <w:proofErr w:type="spellEnd"/>
      <w:r w:rsidRPr="00687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12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maddeli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yapı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edilmiştir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Ölçeğin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açıkladığı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varyans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%76.3, </w:t>
      </w:r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Cronbach 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.94, Gutman .95 ve </w:t>
      </w:r>
      <w:r w:rsidRPr="007E45F8">
        <w:rPr>
          <w:rFonts w:ascii="Times New Roman" w:hAnsi="Times New Roman" w:cs="Times New Roman"/>
          <w:color w:val="000000" w:themeColor="text1"/>
          <w:sz w:val="24"/>
          <w:szCs w:val="24"/>
        </w:rPr>
        <w:t>McDonald’s Omega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45F8">
        <w:rPr>
          <w:rStyle w:val="mord"/>
          <w:sz w:val="24"/>
          <w:szCs w:val="24"/>
        </w:rPr>
        <w:t>ω</w:t>
      </w:r>
      <w:r>
        <w:rPr>
          <w:rStyle w:val="mord"/>
          <w:sz w:val="24"/>
          <w:szCs w:val="24"/>
        </w:rPr>
        <w:t xml:space="preserve"> .</w:t>
      </w:r>
      <w:r w:rsidRPr="003E1F84">
        <w:rPr>
          <w:rStyle w:val="mord"/>
          <w:rFonts w:ascii="Times New Roman" w:hAnsi="Times New Roman" w:cs="Times New Roman"/>
          <w:sz w:val="24"/>
          <w:szCs w:val="24"/>
        </w:rPr>
        <w:t>9</w:t>
      </w:r>
      <w:r>
        <w:rPr>
          <w:rStyle w:val="mord"/>
          <w:rFonts w:ascii="Times New Roman" w:hAnsi="Times New Roman" w:cs="Times New Roman"/>
          <w:sz w:val="24"/>
          <w:szCs w:val="24"/>
        </w:rPr>
        <w:t>6’dır.</w:t>
      </w:r>
    </w:p>
    <w:p w14:paraId="32DD0FAB" w14:textId="77777777" w:rsidR="00055576" w:rsidRDefault="00055576" w:rsidP="00055576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Meşrulaştırma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faktörü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bireylerin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kadına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şiddet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taciz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kötü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muamele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gibi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eylemleri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çeşitli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gerekçelerle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meşru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anlaşılabilir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haklı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görme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eğilimlerini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yansıtır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Bu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faktörde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yer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alan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ifadeler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toplumsal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cinsiyet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kalıplarının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içselleştirildiğini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kadının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davranışlarının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şiddetin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sebebi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olarak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görüldüğünü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mağdurun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sorumlu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tutulduğunu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ortaya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koyar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Bu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tutum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kadına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şiddeti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bireysel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değil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kadının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sözde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yanlış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davranışları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üzerinden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açıklayan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zihniyetin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ürünüdür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tür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düşünceler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şiddetin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normalleşmesine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faillerin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cezasız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kalmasına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mağdurların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sessizliğe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itilmesine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neden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olabilir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Şiddeti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hafifse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mazur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görülür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şeklinde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tanımlayan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yaklaşımlar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bu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kapsamda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yer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alır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Bu alt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boyut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toplumsal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dönüşüm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farkındalık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çalışmalarının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çok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hedef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alması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gereken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inanç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örüntülerini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temsil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eder</w:t>
      </w:r>
      <w:proofErr w:type="spellEnd"/>
      <w:r w:rsidRPr="002710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faktör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maddelerden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oluşmakta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olup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açıkladığı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varyans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%63.2, </w:t>
      </w:r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Cronbach 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.94, Gutman .94 ve </w:t>
      </w:r>
      <w:r w:rsidRPr="007E45F8">
        <w:rPr>
          <w:rFonts w:ascii="Times New Roman" w:hAnsi="Times New Roman" w:cs="Times New Roman"/>
          <w:color w:val="000000" w:themeColor="text1"/>
          <w:sz w:val="24"/>
          <w:szCs w:val="24"/>
        </w:rPr>
        <w:t>McDonald’s Omega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45F8">
        <w:rPr>
          <w:rStyle w:val="mord"/>
          <w:sz w:val="24"/>
          <w:szCs w:val="24"/>
        </w:rPr>
        <w:t>ω</w:t>
      </w:r>
      <w:r>
        <w:rPr>
          <w:rStyle w:val="mord"/>
          <w:sz w:val="24"/>
          <w:szCs w:val="24"/>
        </w:rPr>
        <w:t xml:space="preserve"> .92’dir.</w:t>
      </w:r>
    </w:p>
    <w:p w14:paraId="65AED308" w14:textId="77777777" w:rsidR="00055576" w:rsidRPr="0033651C" w:rsidRDefault="00055576" w:rsidP="00055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faktörü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bireylerin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kadınların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yaşamlarını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davranışlarını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kıyafetlerini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harcamalarını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sosyal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rollerini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denetleme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sınırlandırma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eğilimlerini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ortaya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koyar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Kadının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özgürlük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alanını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daraltmayı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onun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üzerinde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hâkimiyet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kurmayı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hareketlerini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sürekli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gözetim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altında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tutmayı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haklı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gören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bakış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açısını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temsil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eder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kontrol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tutumu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kadını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itaatkâr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erkek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onayına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muhtaç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figür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olarak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görme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eğiliminden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beslenir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Kadının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geç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saatlerde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dışarı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çıkmasının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uygun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olmaması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çalışmasının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doğal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karşılanmaması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harcamalarının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erkek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onayıyla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yapılması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gerektiği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gibi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görüşler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bu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yapının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parçalarıdır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Bu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anlayış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toplumsal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cinsiyet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eşitliğine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aykırı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olduğu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gibi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kadının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birey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olarak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özerkliğini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reddeder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onun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toplumdaki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rolünü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sınırlandırır</w:t>
      </w:r>
      <w:proofErr w:type="spellEnd"/>
      <w:r w:rsidRPr="00D94B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faktör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7-12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maddelerden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oluşmakta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olup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açıkladığı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varyans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%13.1, </w:t>
      </w:r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Cronbach 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.91, Gutman .91 ve </w:t>
      </w:r>
      <w:r w:rsidRPr="007E45F8">
        <w:rPr>
          <w:rFonts w:ascii="Times New Roman" w:hAnsi="Times New Roman" w:cs="Times New Roman"/>
          <w:color w:val="000000" w:themeColor="text1"/>
          <w:sz w:val="24"/>
          <w:szCs w:val="24"/>
        </w:rPr>
        <w:t>McDonald’s Omega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45F8">
        <w:rPr>
          <w:rStyle w:val="mord"/>
          <w:sz w:val="24"/>
          <w:szCs w:val="24"/>
        </w:rPr>
        <w:t>ω</w:t>
      </w:r>
      <w:r>
        <w:rPr>
          <w:rStyle w:val="mord"/>
          <w:sz w:val="24"/>
          <w:szCs w:val="24"/>
        </w:rPr>
        <w:t xml:space="preserve"> .94’tür.</w:t>
      </w:r>
    </w:p>
    <w:p w14:paraId="7EE2D7C8" w14:textId="77777777" w:rsidR="00055576" w:rsidRDefault="00055576" w:rsidP="0005557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91670291"/>
      <w:bookmarkStart w:id="2" w:name="_Hlk192948002"/>
      <w:bookmarkStart w:id="3" w:name="_Hlk18567773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SAHARA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Kadına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Şiddet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Tutum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Ölçeği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5’li likert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tipte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</w:t>
      </w:r>
      <w:r w:rsidRPr="001E70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=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Hiç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Katılmıyorum</w:t>
      </w:r>
      <w:proofErr w:type="spellEnd"/>
      <w:r w:rsidRPr="001E70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4</w:t>
      </w:r>
      <w:r w:rsidRPr="001E70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=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Tamamen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Katılıyorum</w:t>
      </w:r>
      <w:proofErr w:type="spellEnd"/>
      <w:r w:rsidRPr="001E70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ölçektir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Ölçekte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ters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puanlanan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madde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bulunmamaktadır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Bütün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maddelerin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puanlarının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toplanmasıyla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ölçek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toplam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puanı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elde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edilmektedir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0-48</w:t>
      </w:r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puan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arası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değerdir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puanın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yönerge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doğrultusunda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0-100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standardize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edilmesi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gerekmektedir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Puan </w:t>
      </w:r>
      <w:proofErr w:type="spellStart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>artışı</w:t>
      </w:r>
      <w:proofErr w:type="spellEnd"/>
      <w:r w:rsidRPr="001E7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kadına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şiddet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tutumunun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arttığı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anlamına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gelmektedir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bookmarkEnd w:id="0"/>
    <w:bookmarkEnd w:id="1"/>
    <w:bookmarkEnd w:id="2"/>
    <w:p w14:paraId="5F7D19DA" w14:textId="77777777" w:rsidR="00055576" w:rsidRDefault="00055576" w:rsidP="00055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677C">
        <w:rPr>
          <w:rFonts w:ascii="Times New Roman" w:hAnsi="Times New Roman" w:cs="Times New Roman"/>
          <w:b/>
          <w:bCs/>
          <w:sz w:val="24"/>
          <w:szCs w:val="24"/>
        </w:rPr>
        <w:t>Standardizasyon</w:t>
      </w:r>
      <w:proofErr w:type="spellEnd"/>
      <w:r w:rsidRPr="0076677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Ölçeği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kullanarak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çalışmalarda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uyarlama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çalışmalarında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örneklemler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arası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karşılaştırmaların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kolay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tutarlı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yapılabilmesi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ölçeğin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puanlamasında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standardizasyon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yapılmıştır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>.</w:t>
      </w:r>
    </w:p>
    <w:p w14:paraId="5D55A652" w14:textId="77777777" w:rsidR="00055576" w:rsidRPr="00460D99" w:rsidRDefault="00055576" w:rsidP="000555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Ölçekten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alınan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puanları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100’e </w:t>
      </w:r>
      <w:proofErr w:type="spellStart"/>
      <w:r w:rsidRPr="00FD60CF">
        <w:rPr>
          <w:rFonts w:ascii="Times New Roman" w:hAnsi="Times New Roman" w:cs="Times New Roman"/>
          <w:color w:val="275317" w:themeColor="accent6" w:themeShade="80"/>
          <w:sz w:val="24"/>
          <w:szCs w:val="24"/>
          <w:shd w:val="clear" w:color="auto" w:fill="FFFFFF"/>
        </w:rPr>
        <w:t>standartlaştırmak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için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aşağıdaki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formül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kullanılmalıdır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39DA87BC" w14:textId="77777777" w:rsidR="00055576" w:rsidRPr="005100A9" w:rsidRDefault="00055576" w:rsidP="00055576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D0D0D"/>
          <w:shd w:val="clear" w:color="auto" w:fill="FFFFFF"/>
        </w:rPr>
      </w:pPr>
      <m:oMathPara>
        <m:oMathParaPr>
          <m:jc m:val="center"/>
        </m:oMathParaPr>
        <m:oMath>
          <m:r>
            <w:rPr>
              <w:rFonts w:ascii="Cambria Math" w:hAnsi="Cambria Math" w:cs="Segoe UI"/>
              <w:color w:val="275317" w:themeColor="accent6" w:themeShade="80"/>
              <w:shd w:val="clear" w:color="auto" w:fill="FFFFFF"/>
            </w:rPr>
            <m:t>Standartlaştırılmış Puan=</m:t>
          </m:r>
          <m:d>
            <m:dPr>
              <m:ctrlPr>
                <w:rPr>
                  <w:rFonts w:ascii="Cambria Math" w:hAnsi="Cambria Math" w:cs="Segoe UI"/>
                  <w:i/>
                  <w:color w:val="275317" w:themeColor="accent6" w:themeShade="80"/>
                  <w:shd w:val="clear" w:color="auto" w:fill="FFFFFF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egoe UI"/>
                      <w:i/>
                      <w:color w:val="275317" w:themeColor="accent6" w:themeShade="8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275317" w:themeColor="accent6" w:themeShade="80"/>
                      <w:shd w:val="clear" w:color="auto" w:fill="FFFFFF"/>
                    </w:rPr>
                    <m:t>Ham puan)</m:t>
                  </m:r>
                </m:num>
                <m:den>
                  <m:r>
                    <w:rPr>
                      <w:rFonts w:ascii="Cambria Math" w:hAnsi="Cambria Math" w:cs="Segoe UI"/>
                      <w:color w:val="275317" w:themeColor="accent6" w:themeShade="80"/>
                      <w:shd w:val="clear" w:color="auto" w:fill="FFFFFF"/>
                    </w:rPr>
                    <m:t>Ölçeğin Ranjı (48)</m:t>
                  </m:r>
                </m:den>
              </m:f>
            </m:e>
          </m:d>
          <m:r>
            <w:rPr>
              <w:rFonts w:ascii="Cambria Math" w:hAnsi="Cambria Math" w:cs="Segoe UI"/>
              <w:color w:val="275317" w:themeColor="accent6" w:themeShade="80"/>
              <w:shd w:val="clear" w:color="auto" w:fill="FFFFFF"/>
            </w:rPr>
            <m:t>×100</m:t>
          </m:r>
        </m:oMath>
      </m:oMathPara>
    </w:p>
    <w:p w14:paraId="0F95F903" w14:textId="77777777" w:rsidR="00055576" w:rsidRPr="008864FB" w:rsidRDefault="00055576" w:rsidP="000555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Örneğin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ölçekte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bir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kişi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24</w:t>
      </w:r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puan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aldıysa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bu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kişinin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standartlaştırılmış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puanı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şu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şekilde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hesaplanabilir</w:t>
      </w:r>
      <w:proofErr w:type="spellEnd"/>
      <w:r w:rsidRPr="008864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:</w:t>
      </w:r>
    </w:p>
    <w:p w14:paraId="077EA709" w14:textId="77777777" w:rsidR="00055576" w:rsidRPr="00FD60CF" w:rsidRDefault="00055576" w:rsidP="00055576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C00000"/>
          <w:shd w:val="clear" w:color="auto" w:fill="FFFFFF"/>
        </w:rPr>
      </w:pPr>
      <m:oMathPara>
        <m:oMathParaPr>
          <m:jc m:val="center"/>
        </m:oMathParaPr>
        <m:oMath>
          <m:r>
            <w:rPr>
              <w:rFonts w:ascii="Cambria Math" w:hAnsi="Cambria Math" w:cs="Segoe UI"/>
              <w:color w:val="275317" w:themeColor="accent6" w:themeShade="80"/>
              <w:shd w:val="clear" w:color="auto" w:fill="FFFFFF"/>
            </w:rPr>
            <m:t>Standartlaştırılmış Puan=</m:t>
          </m:r>
          <m:d>
            <m:dPr>
              <m:ctrlPr>
                <w:rPr>
                  <w:rFonts w:ascii="Cambria Math" w:hAnsi="Cambria Math" w:cs="Segoe UI"/>
                  <w:i/>
                  <w:color w:val="275317" w:themeColor="accent6" w:themeShade="80"/>
                  <w:shd w:val="clear" w:color="auto" w:fill="FFFFFF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egoe UI"/>
                      <w:i/>
                      <w:color w:val="275317" w:themeColor="accent6" w:themeShade="8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275317" w:themeColor="accent6" w:themeShade="80"/>
                      <w:shd w:val="clear" w:color="auto" w:fill="FFFFFF"/>
                    </w:rPr>
                    <m:t>24</m:t>
                  </m:r>
                </m:num>
                <m:den>
                  <m:r>
                    <w:rPr>
                      <w:rFonts w:ascii="Cambria Math" w:hAnsi="Cambria Math" w:cs="Segoe UI"/>
                      <w:color w:val="275317" w:themeColor="accent6" w:themeShade="80"/>
                      <w:shd w:val="clear" w:color="auto" w:fill="FFFFFF"/>
                    </w:rPr>
                    <m:t>48</m:t>
                  </m:r>
                </m:den>
              </m:f>
            </m:e>
          </m:d>
          <m:r>
            <w:rPr>
              <w:rFonts w:ascii="Cambria Math" w:hAnsi="Cambria Math" w:cs="Segoe UI"/>
              <w:color w:val="275317" w:themeColor="accent6" w:themeShade="80"/>
              <w:shd w:val="clear" w:color="auto" w:fill="FFFFFF"/>
            </w:rPr>
            <m:t>×100=50</m:t>
          </m:r>
        </m:oMath>
      </m:oMathPara>
    </w:p>
    <w:p w14:paraId="20DAA790" w14:textId="6690492A" w:rsidR="00055576" w:rsidRPr="00BE1250" w:rsidRDefault="00055576" w:rsidP="000555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E4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D646E4">
        <w:rPr>
          <w:rFonts w:ascii="Times New Roman" w:hAnsi="Times New Roman" w:cs="Times New Roman"/>
          <w:sz w:val="24"/>
          <w:szCs w:val="24"/>
        </w:rPr>
        <w:t>durumda</w:t>
      </w:r>
      <w:proofErr w:type="spellEnd"/>
      <w:r w:rsidRPr="00D6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6E4">
        <w:rPr>
          <w:rFonts w:ascii="Times New Roman" w:hAnsi="Times New Roman" w:cs="Times New Roman"/>
          <w:sz w:val="24"/>
          <w:szCs w:val="24"/>
        </w:rPr>
        <w:t>ölçekten</w:t>
      </w:r>
      <w:proofErr w:type="spellEnd"/>
      <w:r w:rsidRPr="00D64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6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6E4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Pr="00D6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6E4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6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6E4">
        <w:rPr>
          <w:rFonts w:ascii="Times New Roman" w:hAnsi="Times New Roman" w:cs="Times New Roman"/>
          <w:sz w:val="24"/>
          <w:szCs w:val="24"/>
        </w:rPr>
        <w:t>birinin</w:t>
      </w:r>
      <w:proofErr w:type="spellEnd"/>
      <w:r w:rsidRPr="00D6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6E4">
        <w:rPr>
          <w:rFonts w:ascii="Times New Roman" w:hAnsi="Times New Roman" w:cs="Times New Roman"/>
          <w:sz w:val="24"/>
          <w:szCs w:val="24"/>
        </w:rPr>
        <w:t>standartlaştırılmış</w:t>
      </w:r>
      <w:proofErr w:type="spellEnd"/>
      <w:r w:rsidRPr="00D6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6E4">
        <w:rPr>
          <w:rFonts w:ascii="Times New Roman" w:hAnsi="Times New Roman" w:cs="Times New Roman"/>
          <w:sz w:val="24"/>
          <w:szCs w:val="24"/>
        </w:rPr>
        <w:t>puanı</w:t>
      </w:r>
      <w:proofErr w:type="spellEnd"/>
      <w:r w:rsidRPr="00D64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D6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6E4">
        <w:rPr>
          <w:rFonts w:ascii="Times New Roman" w:hAnsi="Times New Roman" w:cs="Times New Roman"/>
          <w:sz w:val="24"/>
          <w:szCs w:val="24"/>
        </w:rPr>
        <w:t>puandır</w:t>
      </w:r>
      <w:proofErr w:type="spellEnd"/>
      <w:r w:rsidRPr="00D646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ölçekten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alınan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puanların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standartlaştırılmış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şeklinin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kullanılması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096">
        <w:rPr>
          <w:rFonts w:ascii="Times New Roman" w:hAnsi="Times New Roman" w:cs="Times New Roman"/>
          <w:sz w:val="24"/>
          <w:szCs w:val="24"/>
        </w:rPr>
        <w:t>önerilmektedir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7F5B07FD" w14:textId="77777777" w:rsidR="00055576" w:rsidRDefault="00055576" w:rsidP="00055576">
      <w:pPr>
        <w:spacing w:line="360" w:lineRule="auto"/>
        <w:rPr>
          <w:b/>
          <w:bCs/>
          <w:color w:val="000000" w:themeColor="text1"/>
          <w:sz w:val="24"/>
          <w:szCs w:val="24"/>
        </w:rPr>
      </w:pPr>
      <w:r w:rsidRPr="001E708E">
        <w:rPr>
          <w:b/>
          <w:bCs/>
          <w:color w:val="000000" w:themeColor="text1"/>
          <w:sz w:val="24"/>
          <w:szCs w:val="24"/>
        </w:rPr>
        <w:t xml:space="preserve">EK 1. </w:t>
      </w:r>
      <w:r>
        <w:rPr>
          <w:b/>
          <w:bCs/>
          <w:color w:val="000000" w:themeColor="text1"/>
          <w:sz w:val="24"/>
          <w:szCs w:val="24"/>
        </w:rPr>
        <w:t xml:space="preserve">SAHARA </w:t>
      </w:r>
      <w:proofErr w:type="spellStart"/>
      <w:r>
        <w:rPr>
          <w:b/>
          <w:bCs/>
          <w:color w:val="000000" w:themeColor="text1"/>
          <w:sz w:val="24"/>
          <w:szCs w:val="24"/>
        </w:rPr>
        <w:t>Kadına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Yönelik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Şİddet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Tutum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Ölçeği</w:t>
      </w:r>
      <w:proofErr w:type="spellEnd"/>
    </w:p>
    <w:tbl>
      <w:tblPr>
        <w:tblW w:w="8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5606"/>
        <w:gridCol w:w="698"/>
        <w:gridCol w:w="422"/>
        <w:gridCol w:w="698"/>
        <w:gridCol w:w="422"/>
        <w:gridCol w:w="698"/>
      </w:tblGrid>
      <w:tr w:rsidR="00055576" w:rsidRPr="00CF30B6" w14:paraId="0B18AE68" w14:textId="77777777" w:rsidTr="006060BD">
        <w:trPr>
          <w:trHeight w:val="178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7C74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5E9B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bookmarkStart w:id="4" w:name="_Hlk219305721"/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SAHARA Kadına Yönelik Şiddet Tutum Ölçeği</w:t>
            </w:r>
            <w:bookmarkEnd w:id="4"/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br/>
              <w:t>Aşağıda yer alan ifadelere katılma düzeyinizi belirtiniz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7F52CD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(0) Hiç</w:t>
            </w: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br/>
              <w:t>Katılmıyorum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984AEE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(1) Katılmıyorum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7F58BC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(2) Biraz</w:t>
            </w: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br/>
              <w:t>Katılıyorum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7C210E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(3) Katılıyorum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0CDA1F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(4) Tamamen</w:t>
            </w: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br/>
              <w:t>Katılıyorum</w:t>
            </w:r>
          </w:p>
        </w:tc>
      </w:tr>
      <w:tr w:rsidR="00055576" w:rsidRPr="00CF30B6" w14:paraId="08F9C50F" w14:textId="77777777" w:rsidTr="006060BD">
        <w:trPr>
          <w:trHeight w:val="28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88C6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1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E839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  <w:t>Bir kadın tacize uğruyorsa kabahati kendinde aramalıdır.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B7B9D0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6011A4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919972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B86E3A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69694F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55576" w:rsidRPr="00CF30B6" w14:paraId="2AE14799" w14:textId="77777777" w:rsidTr="006060BD">
        <w:trPr>
          <w:trHeight w:val="28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7D41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2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1848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  <w:t>Kadının açık giyinmesi tacize uğraması için bir sebeptir.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0B4AC3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3FF50E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A8E83D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E230F2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7C8404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55576" w:rsidRPr="00CF30B6" w14:paraId="3FCDB800" w14:textId="77777777" w:rsidTr="006060BD">
        <w:trPr>
          <w:trHeight w:val="28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90A0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3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0E03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  <w:t>Geç saatlerde dışarıda olan bir kadının tacize uğraması normaldir.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FF524B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04F2D7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E51C04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708D50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E9F0F6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55576" w:rsidRPr="00CF30B6" w14:paraId="216D6020" w14:textId="77777777" w:rsidTr="006060BD">
        <w:trPr>
          <w:trHeight w:val="28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BF66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4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9F5F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  <w:t>Şiddeti ağır olmadıkça kadına dayak mazur görülebilir.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B5C7E4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C26180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234604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41CB1D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19F232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55576" w:rsidRPr="00CF30B6" w14:paraId="41BBA6B4" w14:textId="77777777" w:rsidTr="006060BD">
        <w:trPr>
          <w:trHeight w:val="28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7E1E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5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4494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  <w:t>Bazı kadınların tacize uğraması kaçınılmazdır.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CFA905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941B0E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DEB3B0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A04B57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7731BB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55576" w:rsidRPr="00CF30B6" w14:paraId="744AC752" w14:textId="77777777" w:rsidTr="006060BD">
        <w:trPr>
          <w:trHeight w:val="28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2413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6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E130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  <w:t>Bir kadın dayak yiyorsa bunda kendisinin de kabahati vardır.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EEB0B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EBE175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3524E3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D4FB12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B0BCE1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55576" w:rsidRPr="00CF30B6" w14:paraId="4F0B16DF" w14:textId="77777777" w:rsidTr="006060BD">
        <w:trPr>
          <w:trHeight w:val="28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8ED9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7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078E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  <w:t>Bir kadının geç saatlere kadar dışarıda olması uygun değildir.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A49BA4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F3C03E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22BFF3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2A9450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887C08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55576" w:rsidRPr="00CF30B6" w14:paraId="5B3B0BAC" w14:textId="77777777" w:rsidTr="006060BD">
        <w:trPr>
          <w:trHeight w:val="28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4C4A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8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A693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  <w:t>Kadınların her sektörde çalışması uygun değildir.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B31A44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035368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A3992A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37DF09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7442FF" w14:textId="77777777" w:rsidR="00055576" w:rsidRPr="00CF30B6" w:rsidRDefault="00055576" w:rsidP="0060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55576" w:rsidRPr="00CF30B6" w14:paraId="021DEE34" w14:textId="77777777" w:rsidTr="006060BD">
        <w:trPr>
          <w:trHeight w:val="29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B9ED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9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76EA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Kadınların fazla özgür olması, aile düzenini bozabilir.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C33B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7F35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E6C0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2D11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C6E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55576" w:rsidRPr="00CF30B6" w14:paraId="2CABCA0E" w14:textId="77777777" w:rsidTr="006060BD">
        <w:trPr>
          <w:trHeight w:val="29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E647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10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2423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  <w:t>Kadının ne yaptığı, nereye gittiği ya da ne giydiği denetlenmelidir.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243C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039E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7493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23BD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D88F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55576" w:rsidRPr="00CF30B6" w14:paraId="1CD1CCC5" w14:textId="77777777" w:rsidTr="006060BD">
        <w:trPr>
          <w:trHeight w:val="29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4856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11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EF7F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  <w:t>Kadının harcamaları kontrol altında tutulmalıdır.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B653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A2B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A932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B823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C970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55576" w:rsidRPr="00CF30B6" w14:paraId="453E4A7D" w14:textId="77777777" w:rsidTr="006060BD">
        <w:trPr>
          <w:trHeight w:val="29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5771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b/>
                <w:bCs/>
                <w:kern w:val="0"/>
                <w:lang w:val="tr-TR" w:eastAsia="tr-TR"/>
                <w14:ligatures w14:val="none"/>
              </w:rPr>
              <w:t>12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5487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kern w:val="0"/>
                <w:lang w:val="tr-TR" w:eastAsia="tr-TR"/>
                <w14:ligatures w14:val="none"/>
              </w:rPr>
              <w:t>Kadın, ancak izin verildiği ölçüde harcama yapabilmelidir.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AE04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8361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F55C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968C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67AF" w14:textId="77777777" w:rsidR="00055576" w:rsidRPr="00CF30B6" w:rsidRDefault="00055576" w:rsidP="00606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</w:pPr>
            <w:r w:rsidRPr="00CF30B6">
              <w:rPr>
                <w:rFonts w:ascii="Calibri" w:eastAsia="Times New Roman" w:hAnsi="Calibri" w:cs="Calibri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</w:tbl>
    <w:p w14:paraId="7D2E7DD4" w14:textId="77777777" w:rsidR="0069681B" w:rsidRDefault="0069681B"/>
    <w:p w14:paraId="1B3807C9" w14:textId="25A9DCCC" w:rsidR="00CB6010" w:rsidRPr="002A7223" w:rsidRDefault="00CB6010" w:rsidP="002A7223">
      <w:pPr>
        <w:jc w:val="both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</w:p>
    <w:sectPr w:rsidR="00CB6010" w:rsidRPr="002A7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A2750"/>
    <w:multiLevelType w:val="hybridMultilevel"/>
    <w:tmpl w:val="B6902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2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17"/>
    <w:rsid w:val="00055576"/>
    <w:rsid w:val="00063B2A"/>
    <w:rsid w:val="000B4792"/>
    <w:rsid w:val="00260B54"/>
    <w:rsid w:val="002A7223"/>
    <w:rsid w:val="00381404"/>
    <w:rsid w:val="00476518"/>
    <w:rsid w:val="0069681B"/>
    <w:rsid w:val="00926F45"/>
    <w:rsid w:val="009D7D17"/>
    <w:rsid w:val="00A27FCF"/>
    <w:rsid w:val="00BA7469"/>
    <w:rsid w:val="00BB5096"/>
    <w:rsid w:val="00BB56E1"/>
    <w:rsid w:val="00BC5571"/>
    <w:rsid w:val="00CB6010"/>
    <w:rsid w:val="00D10B00"/>
    <w:rsid w:val="00F47820"/>
    <w:rsid w:val="00F61FB8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23F1"/>
  <w15:chartTrackingRefBased/>
  <w15:docId w15:val="{8DB3DD1B-910F-4D18-BCF9-99015594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76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9D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7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7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7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7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7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7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ESM">
    <w:name w:val="RESİM"/>
    <w:basedOn w:val="ResimYazs"/>
    <w:link w:val="RESMChar"/>
    <w:autoRedefine/>
    <w:qFormat/>
    <w:rsid w:val="00F47820"/>
    <w:pPr>
      <w:ind w:firstLine="709"/>
      <w:jc w:val="center"/>
    </w:pPr>
    <w:rPr>
      <w:sz w:val="20"/>
    </w:rPr>
  </w:style>
  <w:style w:type="character" w:customStyle="1" w:styleId="RESMChar">
    <w:name w:val="RESİM Char"/>
    <w:basedOn w:val="VarsaylanParagrafYazTipi"/>
    <w:link w:val="RESM"/>
    <w:rsid w:val="00F47820"/>
    <w:rPr>
      <w:i/>
      <w:iCs/>
      <w:color w:val="0E2841" w:themeColor="text2"/>
      <w:sz w:val="20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47820"/>
    <w:pPr>
      <w:spacing w:after="200" w:line="240" w:lineRule="auto"/>
    </w:pPr>
    <w:rPr>
      <w:i/>
      <w:iCs/>
      <w:color w:val="0E2841" w:themeColor="text2"/>
      <w:sz w:val="18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9D7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7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7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7D1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7D1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7D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7D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7D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7D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7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9D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7D17"/>
    <w:pPr>
      <w:spacing w:before="160"/>
      <w:jc w:val="center"/>
    </w:pPr>
    <w:rPr>
      <w:i/>
      <w:iCs/>
      <w:color w:val="404040" w:themeColor="text1" w:themeTint="BF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9D7D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7D17"/>
    <w:pPr>
      <w:ind w:left="720"/>
      <w:contextualSpacing/>
    </w:pPr>
    <w:rPr>
      <w:lang w:val="tr-TR"/>
    </w:rPr>
  </w:style>
  <w:style w:type="character" w:styleId="GlVurgulama">
    <w:name w:val="Intense Emphasis"/>
    <w:basedOn w:val="VarsaylanParagrafYazTipi"/>
    <w:uiPriority w:val="21"/>
    <w:qFormat/>
    <w:rsid w:val="009D7D1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7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7D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7D17"/>
    <w:rPr>
      <w:b/>
      <w:bCs/>
      <w:smallCaps/>
      <w:color w:val="0F4761" w:themeColor="accent1" w:themeShade="BF"/>
      <w:spacing w:val="5"/>
    </w:rPr>
  </w:style>
  <w:style w:type="character" w:customStyle="1" w:styleId="mord">
    <w:name w:val="mord"/>
    <w:basedOn w:val="VarsaylanParagrafYazTipi"/>
    <w:rsid w:val="0005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7</cp:revision>
  <dcterms:created xsi:type="dcterms:W3CDTF">2025-05-18T19:50:00Z</dcterms:created>
  <dcterms:modified xsi:type="dcterms:W3CDTF">2026-04-27T18:40:00Z</dcterms:modified>
</cp:coreProperties>
</file>