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493" w:type="dxa"/>
        <w:tblLook w:val="04A0" w:firstRow="1" w:lastRow="0" w:firstColumn="1" w:lastColumn="0" w:noHBand="0" w:noVBand="1"/>
      </w:tblPr>
      <w:tblGrid>
        <w:gridCol w:w="936"/>
        <w:gridCol w:w="4729"/>
        <w:gridCol w:w="516"/>
        <w:gridCol w:w="498"/>
        <w:gridCol w:w="503"/>
        <w:gridCol w:w="498"/>
        <w:gridCol w:w="561"/>
        <w:gridCol w:w="561"/>
        <w:gridCol w:w="691"/>
      </w:tblGrid>
      <w:tr w:rsidR="006C1727" w:rsidRPr="002C16E1" w:rsidTr="00731F74">
        <w:trPr>
          <w:cantSplit/>
          <w:trHeight w:val="2470"/>
        </w:trPr>
        <w:tc>
          <w:tcPr>
            <w:tcW w:w="9493" w:type="dxa"/>
            <w:gridSpan w:val="9"/>
          </w:tcPr>
          <w:p w:rsidR="006C1727" w:rsidRP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Size göre en uygun olan ifadeyi üzerine çarpı (x) koyarak işaretleyiz. </w:t>
            </w:r>
          </w:p>
          <w:p w:rsidR="006C1727" w:rsidRP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7= Tamamen Katılıyorum </w:t>
            </w:r>
          </w:p>
          <w:p w:rsidR="006C1727" w:rsidRP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6= Katılıyorum </w:t>
            </w:r>
          </w:p>
          <w:p w:rsid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5= Kısmen Katılıyorum </w:t>
            </w:r>
          </w:p>
          <w:p w:rsid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4= Kararsızım </w:t>
            </w:r>
          </w:p>
          <w:p w:rsid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3= Pek Katılmıyorum </w:t>
            </w:r>
          </w:p>
          <w:p w:rsidR="006C1727" w:rsidRPr="006C1727"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 xml:space="preserve">2= Katılmıyorum </w:t>
            </w:r>
          </w:p>
          <w:p w:rsidR="006C1727" w:rsidRPr="000670FC" w:rsidRDefault="006C1727" w:rsidP="006C1727">
            <w:pPr>
              <w:ind w:right="113"/>
              <w:rPr>
                <w:rFonts w:ascii="Times New Roman" w:eastAsia="Times New Roman" w:hAnsi="Times New Roman" w:cs="Times New Roman"/>
                <w:bCs/>
                <w:sz w:val="24"/>
                <w:szCs w:val="24"/>
                <w:lang w:eastAsia="tr-TR"/>
              </w:rPr>
            </w:pPr>
            <w:r w:rsidRPr="006C1727">
              <w:rPr>
                <w:rFonts w:ascii="Times New Roman" w:eastAsia="Times New Roman" w:hAnsi="Times New Roman" w:cs="Times New Roman"/>
                <w:bCs/>
                <w:sz w:val="24"/>
                <w:szCs w:val="24"/>
                <w:lang w:eastAsia="tr-TR"/>
              </w:rPr>
              <w:t>1= Kesinlikle Katılmıyorum</w:t>
            </w:r>
          </w:p>
        </w:tc>
      </w:tr>
      <w:tr w:rsidR="00731F74" w:rsidRPr="002C16E1" w:rsidTr="00731F74">
        <w:trPr>
          <w:cantSplit/>
          <w:trHeight w:val="2470"/>
        </w:trPr>
        <w:tc>
          <w:tcPr>
            <w:tcW w:w="936" w:type="dxa"/>
            <w:hideMark/>
          </w:tcPr>
          <w:p w:rsidR="002C16E1" w:rsidRPr="002C16E1" w:rsidRDefault="002C16E1" w:rsidP="002C16E1">
            <w:pPr>
              <w:jc w:val="center"/>
              <w:rPr>
                <w:rFonts w:ascii="Times New Roman" w:eastAsia="Times New Roman" w:hAnsi="Times New Roman" w:cs="Times New Roman"/>
                <w:b/>
                <w:bCs/>
                <w:sz w:val="24"/>
                <w:szCs w:val="24"/>
                <w:lang w:eastAsia="tr-TR"/>
              </w:rPr>
            </w:pPr>
            <w:r w:rsidRPr="002C16E1">
              <w:rPr>
                <w:rFonts w:ascii="Times New Roman" w:eastAsia="Times New Roman" w:hAnsi="Times New Roman" w:cs="Times New Roman"/>
                <w:b/>
                <w:bCs/>
                <w:sz w:val="24"/>
                <w:szCs w:val="24"/>
                <w:lang w:eastAsia="tr-TR"/>
              </w:rPr>
              <w:t>Madde No</w:t>
            </w:r>
          </w:p>
        </w:tc>
        <w:tc>
          <w:tcPr>
            <w:tcW w:w="4729" w:type="dxa"/>
            <w:hideMark/>
          </w:tcPr>
          <w:p w:rsidR="002C16E1" w:rsidRPr="002C16E1" w:rsidRDefault="002C16E1" w:rsidP="002C16E1">
            <w:pPr>
              <w:jc w:val="center"/>
              <w:rPr>
                <w:rFonts w:ascii="Times New Roman" w:eastAsia="Times New Roman" w:hAnsi="Times New Roman" w:cs="Times New Roman"/>
                <w:b/>
                <w:bCs/>
                <w:sz w:val="24"/>
                <w:szCs w:val="24"/>
                <w:lang w:eastAsia="tr-TR"/>
              </w:rPr>
            </w:pPr>
            <w:r w:rsidRPr="002C16E1">
              <w:rPr>
                <w:rFonts w:ascii="Times New Roman" w:eastAsia="Times New Roman" w:hAnsi="Times New Roman" w:cs="Times New Roman"/>
                <w:b/>
                <w:bCs/>
                <w:sz w:val="24"/>
                <w:szCs w:val="24"/>
                <w:lang w:eastAsia="tr-TR"/>
              </w:rPr>
              <w:t>Ölçek Maddeleri</w:t>
            </w:r>
          </w:p>
        </w:tc>
        <w:tc>
          <w:tcPr>
            <w:tcW w:w="516" w:type="dxa"/>
            <w:textDirection w:val="btLr"/>
            <w:hideMark/>
          </w:tcPr>
          <w:p w:rsidR="002C16E1" w:rsidRPr="002C16E1" w:rsidRDefault="000670FC" w:rsidP="00C65045">
            <w:pPr>
              <w:ind w:left="113" w:right="113"/>
              <w:jc w:val="center"/>
              <w:rPr>
                <w:rFonts w:ascii="Times New Roman" w:eastAsia="Times New Roman" w:hAnsi="Times New Roman" w:cs="Times New Roman"/>
                <w:b/>
                <w:bCs/>
                <w:sz w:val="24"/>
                <w:szCs w:val="24"/>
                <w:lang w:eastAsia="tr-TR"/>
              </w:rPr>
            </w:pPr>
            <w:r w:rsidRPr="000670FC">
              <w:rPr>
                <w:rFonts w:ascii="Times New Roman" w:eastAsia="Times New Roman" w:hAnsi="Times New Roman" w:cs="Times New Roman"/>
                <w:sz w:val="24"/>
                <w:szCs w:val="24"/>
                <w:lang w:eastAsia="tr-TR"/>
              </w:rPr>
              <w:t>Tamamen Katılıyorum</w:t>
            </w:r>
          </w:p>
        </w:tc>
        <w:tc>
          <w:tcPr>
            <w:tcW w:w="498" w:type="dxa"/>
            <w:textDirection w:val="btLr"/>
            <w:hideMark/>
          </w:tcPr>
          <w:p w:rsidR="002C16E1" w:rsidRPr="002C16E1" w:rsidRDefault="000670FC" w:rsidP="00C65045">
            <w:pPr>
              <w:ind w:left="113" w:right="113"/>
              <w:jc w:val="center"/>
              <w:rPr>
                <w:rFonts w:ascii="Times New Roman" w:eastAsia="Times New Roman" w:hAnsi="Times New Roman" w:cs="Times New Roman"/>
                <w:b/>
                <w:bCs/>
                <w:sz w:val="24"/>
                <w:szCs w:val="24"/>
                <w:lang w:eastAsia="tr-TR"/>
              </w:rPr>
            </w:pPr>
            <w:r w:rsidRPr="000670FC">
              <w:rPr>
                <w:rFonts w:ascii="Times New Roman" w:eastAsia="Times New Roman" w:hAnsi="Times New Roman" w:cs="Times New Roman"/>
                <w:sz w:val="24"/>
                <w:szCs w:val="24"/>
                <w:lang w:eastAsia="tr-TR"/>
              </w:rPr>
              <w:t>Katılıyorum</w:t>
            </w:r>
          </w:p>
        </w:tc>
        <w:tc>
          <w:tcPr>
            <w:tcW w:w="503" w:type="dxa"/>
            <w:textDirection w:val="btLr"/>
            <w:hideMark/>
          </w:tcPr>
          <w:p w:rsidR="002C16E1" w:rsidRPr="002C16E1" w:rsidRDefault="000670FC" w:rsidP="00C65045">
            <w:pPr>
              <w:ind w:left="113" w:right="113"/>
              <w:jc w:val="center"/>
              <w:rPr>
                <w:rFonts w:ascii="Times New Roman" w:eastAsia="Times New Roman" w:hAnsi="Times New Roman" w:cs="Times New Roman"/>
                <w:b/>
                <w:bCs/>
                <w:sz w:val="24"/>
                <w:szCs w:val="24"/>
                <w:lang w:eastAsia="tr-TR"/>
              </w:rPr>
            </w:pPr>
            <w:r w:rsidRPr="000670FC">
              <w:rPr>
                <w:rFonts w:ascii="Times New Roman" w:eastAsia="Times New Roman" w:hAnsi="Times New Roman" w:cs="Times New Roman"/>
                <w:sz w:val="24"/>
                <w:szCs w:val="24"/>
                <w:lang w:eastAsia="tr-TR"/>
              </w:rPr>
              <w:t>Kısmen Katılıyorum</w:t>
            </w:r>
          </w:p>
        </w:tc>
        <w:tc>
          <w:tcPr>
            <w:tcW w:w="498" w:type="dxa"/>
            <w:textDirection w:val="btLr"/>
            <w:hideMark/>
          </w:tcPr>
          <w:p w:rsidR="002C16E1" w:rsidRPr="002C16E1" w:rsidRDefault="002C16E1" w:rsidP="00C65045">
            <w:pPr>
              <w:ind w:left="113" w:right="113"/>
              <w:jc w:val="center"/>
              <w:rPr>
                <w:rFonts w:ascii="Times New Roman" w:eastAsia="Times New Roman" w:hAnsi="Times New Roman" w:cs="Times New Roman"/>
                <w:b/>
                <w:bCs/>
                <w:sz w:val="24"/>
                <w:szCs w:val="24"/>
                <w:lang w:eastAsia="tr-TR"/>
              </w:rPr>
            </w:pPr>
            <w:r w:rsidRPr="002C16E1">
              <w:rPr>
                <w:rFonts w:ascii="Times New Roman" w:eastAsia="Times New Roman" w:hAnsi="Times New Roman" w:cs="Times New Roman"/>
                <w:sz w:val="24"/>
                <w:szCs w:val="24"/>
                <w:lang w:eastAsia="tr-TR"/>
              </w:rPr>
              <w:t>Kararsızım</w:t>
            </w:r>
          </w:p>
        </w:tc>
        <w:tc>
          <w:tcPr>
            <w:tcW w:w="561" w:type="dxa"/>
            <w:textDirection w:val="btLr"/>
            <w:hideMark/>
          </w:tcPr>
          <w:p w:rsidR="002C16E1" w:rsidRPr="002C16E1" w:rsidRDefault="000670FC" w:rsidP="00C65045">
            <w:pPr>
              <w:ind w:left="113" w:right="113"/>
              <w:jc w:val="center"/>
              <w:rPr>
                <w:rFonts w:ascii="Times New Roman" w:eastAsia="Times New Roman" w:hAnsi="Times New Roman" w:cs="Times New Roman"/>
                <w:b/>
                <w:bCs/>
                <w:sz w:val="24"/>
                <w:szCs w:val="24"/>
                <w:lang w:eastAsia="tr-TR"/>
              </w:rPr>
            </w:pPr>
            <w:r w:rsidRPr="000670FC">
              <w:rPr>
                <w:rFonts w:ascii="Times New Roman" w:eastAsia="Times New Roman" w:hAnsi="Times New Roman" w:cs="Times New Roman"/>
                <w:sz w:val="24"/>
                <w:szCs w:val="24"/>
                <w:lang w:eastAsia="tr-TR"/>
              </w:rPr>
              <w:t>Pek Katılmıyorum</w:t>
            </w:r>
          </w:p>
        </w:tc>
        <w:tc>
          <w:tcPr>
            <w:tcW w:w="561" w:type="dxa"/>
            <w:textDirection w:val="btLr"/>
            <w:hideMark/>
          </w:tcPr>
          <w:p w:rsidR="000670FC" w:rsidRPr="002C16E1" w:rsidRDefault="000670FC" w:rsidP="00C65045">
            <w:pPr>
              <w:ind w:left="113" w:right="113"/>
              <w:jc w:val="center"/>
              <w:rPr>
                <w:rFonts w:ascii="Times New Roman" w:eastAsia="Times New Roman" w:hAnsi="Times New Roman" w:cs="Times New Roman"/>
                <w:bCs/>
                <w:sz w:val="24"/>
                <w:szCs w:val="24"/>
                <w:lang w:eastAsia="tr-TR"/>
              </w:rPr>
            </w:pPr>
            <w:r w:rsidRPr="000670FC">
              <w:rPr>
                <w:rFonts w:ascii="Times New Roman" w:eastAsia="Times New Roman" w:hAnsi="Times New Roman" w:cs="Times New Roman"/>
                <w:bCs/>
                <w:sz w:val="24"/>
                <w:szCs w:val="24"/>
                <w:lang w:eastAsia="tr-TR"/>
              </w:rPr>
              <w:t>Katılmıyorum</w:t>
            </w:r>
          </w:p>
        </w:tc>
        <w:tc>
          <w:tcPr>
            <w:tcW w:w="691" w:type="dxa"/>
            <w:textDirection w:val="btLr"/>
          </w:tcPr>
          <w:p w:rsidR="000670FC" w:rsidRPr="002C16E1" w:rsidRDefault="000670FC" w:rsidP="00C65045">
            <w:pPr>
              <w:ind w:left="113" w:right="113"/>
              <w:jc w:val="center"/>
              <w:rPr>
                <w:rFonts w:ascii="Times New Roman" w:eastAsia="Times New Roman" w:hAnsi="Times New Roman" w:cs="Times New Roman"/>
                <w:bCs/>
                <w:sz w:val="24"/>
                <w:szCs w:val="24"/>
                <w:lang w:eastAsia="tr-TR"/>
              </w:rPr>
            </w:pPr>
            <w:r w:rsidRPr="000670FC">
              <w:rPr>
                <w:rFonts w:ascii="Times New Roman" w:eastAsia="Times New Roman" w:hAnsi="Times New Roman" w:cs="Times New Roman"/>
                <w:bCs/>
                <w:sz w:val="24"/>
                <w:szCs w:val="24"/>
                <w:lang w:eastAsia="tr-TR"/>
              </w:rPr>
              <w:t>Kesinlikle Katılmıyorum</w:t>
            </w:r>
          </w:p>
        </w:tc>
      </w:tr>
      <w:tr w:rsidR="000B393A" w:rsidRPr="002C16E1" w:rsidTr="00731F74">
        <w:tc>
          <w:tcPr>
            <w:tcW w:w="936" w:type="dxa"/>
          </w:tcPr>
          <w:p w:rsidR="000B393A" w:rsidRPr="002C16E1" w:rsidRDefault="000B393A" w:rsidP="002C16E1">
            <w:pPr>
              <w:rPr>
                <w:rFonts w:ascii="Times New Roman" w:eastAsia="Times New Roman" w:hAnsi="Times New Roman" w:cs="Times New Roman"/>
                <w:sz w:val="24"/>
                <w:szCs w:val="24"/>
                <w:lang w:eastAsia="tr-TR"/>
              </w:rPr>
            </w:pPr>
          </w:p>
        </w:tc>
        <w:tc>
          <w:tcPr>
            <w:tcW w:w="4729" w:type="dxa"/>
          </w:tcPr>
          <w:p w:rsidR="000B393A" w:rsidRPr="000B393A" w:rsidRDefault="000B393A" w:rsidP="002C16E1">
            <w:pPr>
              <w:rPr>
                <w:rFonts w:ascii="Times New Roman" w:eastAsia="Times New Roman" w:hAnsi="Times New Roman" w:cs="Times New Roman"/>
                <w:b/>
                <w:sz w:val="24"/>
                <w:szCs w:val="24"/>
                <w:lang w:eastAsia="tr-TR"/>
              </w:rPr>
            </w:pPr>
            <w:r w:rsidRPr="000B393A">
              <w:rPr>
                <w:rFonts w:ascii="Times New Roman" w:eastAsia="Times New Roman" w:hAnsi="Times New Roman" w:cs="Times New Roman"/>
                <w:b/>
                <w:sz w:val="24"/>
                <w:szCs w:val="24"/>
                <w:lang w:eastAsia="tr-TR"/>
              </w:rPr>
              <w:t>Transfüzyon Reaksiyonu</w:t>
            </w:r>
          </w:p>
        </w:tc>
        <w:tc>
          <w:tcPr>
            <w:tcW w:w="516" w:type="dxa"/>
          </w:tcPr>
          <w:p w:rsidR="000B393A" w:rsidRDefault="000B393A" w:rsidP="002C16E1">
            <w:pPr>
              <w:rPr>
                <w:rFonts w:ascii="Times New Roman" w:eastAsia="Times New Roman" w:hAnsi="Times New Roman" w:cs="Times New Roman"/>
                <w:sz w:val="24"/>
                <w:szCs w:val="24"/>
                <w:lang w:eastAsia="tr-TR"/>
              </w:rPr>
            </w:pPr>
          </w:p>
        </w:tc>
        <w:tc>
          <w:tcPr>
            <w:tcW w:w="498" w:type="dxa"/>
          </w:tcPr>
          <w:p w:rsidR="000B393A" w:rsidRDefault="000B393A" w:rsidP="002C16E1">
            <w:pPr>
              <w:rPr>
                <w:rFonts w:ascii="Times New Roman" w:eastAsia="Times New Roman" w:hAnsi="Times New Roman" w:cs="Times New Roman"/>
                <w:sz w:val="24"/>
                <w:szCs w:val="24"/>
                <w:lang w:eastAsia="tr-TR"/>
              </w:rPr>
            </w:pPr>
          </w:p>
        </w:tc>
        <w:tc>
          <w:tcPr>
            <w:tcW w:w="503" w:type="dxa"/>
          </w:tcPr>
          <w:p w:rsidR="000B393A" w:rsidRDefault="000B393A" w:rsidP="002C16E1">
            <w:pPr>
              <w:rPr>
                <w:rFonts w:ascii="Times New Roman" w:eastAsia="Times New Roman" w:hAnsi="Times New Roman" w:cs="Times New Roman"/>
                <w:sz w:val="24"/>
                <w:szCs w:val="24"/>
                <w:lang w:eastAsia="tr-TR"/>
              </w:rPr>
            </w:pPr>
          </w:p>
        </w:tc>
        <w:tc>
          <w:tcPr>
            <w:tcW w:w="498" w:type="dxa"/>
          </w:tcPr>
          <w:p w:rsidR="000B393A" w:rsidRDefault="000B393A" w:rsidP="002C16E1">
            <w:pPr>
              <w:rPr>
                <w:rFonts w:ascii="Times New Roman" w:eastAsia="Times New Roman" w:hAnsi="Times New Roman" w:cs="Times New Roman"/>
                <w:sz w:val="24"/>
                <w:szCs w:val="24"/>
                <w:lang w:eastAsia="tr-TR"/>
              </w:rPr>
            </w:pPr>
          </w:p>
        </w:tc>
        <w:tc>
          <w:tcPr>
            <w:tcW w:w="561" w:type="dxa"/>
          </w:tcPr>
          <w:p w:rsidR="000B393A" w:rsidRDefault="000B393A" w:rsidP="002C16E1">
            <w:pPr>
              <w:rPr>
                <w:rFonts w:ascii="Times New Roman" w:eastAsia="Times New Roman" w:hAnsi="Times New Roman" w:cs="Times New Roman"/>
                <w:sz w:val="24"/>
                <w:szCs w:val="24"/>
                <w:lang w:eastAsia="tr-TR"/>
              </w:rPr>
            </w:pPr>
          </w:p>
        </w:tc>
        <w:tc>
          <w:tcPr>
            <w:tcW w:w="561" w:type="dxa"/>
          </w:tcPr>
          <w:p w:rsidR="000B393A" w:rsidRDefault="000B393A" w:rsidP="002C16E1">
            <w:pPr>
              <w:rPr>
                <w:rFonts w:ascii="Times New Roman" w:eastAsia="Times New Roman" w:hAnsi="Times New Roman" w:cs="Times New Roman"/>
                <w:sz w:val="24"/>
                <w:szCs w:val="24"/>
                <w:lang w:eastAsia="tr-TR"/>
              </w:rPr>
            </w:pPr>
          </w:p>
        </w:tc>
        <w:tc>
          <w:tcPr>
            <w:tcW w:w="691" w:type="dxa"/>
          </w:tcPr>
          <w:p w:rsidR="000B393A" w:rsidRDefault="000B393A" w:rsidP="002C16E1">
            <w:pPr>
              <w:rPr>
                <w:rFonts w:ascii="Times New Roman" w:eastAsia="Times New Roman" w:hAnsi="Times New Roman" w:cs="Times New Roman"/>
                <w:sz w:val="24"/>
                <w:szCs w:val="24"/>
                <w:lang w:eastAsia="tr-TR"/>
              </w:rPr>
            </w:pPr>
          </w:p>
        </w:tc>
      </w:tr>
      <w:tr w:rsidR="00731F74" w:rsidRPr="002C16E1" w:rsidTr="00731F74">
        <w:tc>
          <w:tcPr>
            <w:tcW w:w="936" w:type="dxa"/>
            <w:hideMark/>
          </w:tcPr>
          <w:p w:rsidR="002C16E1" w:rsidRPr="002C16E1" w:rsidRDefault="002C16E1" w:rsidP="002C16E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w:t>
            </w:r>
          </w:p>
        </w:tc>
        <w:tc>
          <w:tcPr>
            <w:tcW w:w="4729" w:type="dxa"/>
            <w:hideMark/>
          </w:tcPr>
          <w:p w:rsidR="002C16E1" w:rsidRPr="002C16E1" w:rsidRDefault="002C16E1" w:rsidP="002C16E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ile ilişkili istenmeyen reaksiyon gelişmesi durumunda yaşanan süreç ve yapılan uygulamalar transfüzyonu yapan tarafından kayıt altına alınır.</w:t>
            </w:r>
          </w:p>
        </w:tc>
        <w:tc>
          <w:tcPr>
            <w:tcW w:w="516"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hideMark/>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2C16E1" w:rsidRPr="002C16E1" w:rsidRDefault="00B92D71" w:rsidP="002C16E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2</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Kan ve kan ürünü transfüzyonun ilk 15 dakikasında akış hızı yavaş olacak şekilde ayarlanır.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3</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sırasında hasta, transfüzyon ile ilişkili istenmeyen reaksiyonlar yönünden gözlenir.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4</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ile ilişkili istenmeyen reaksiyon gelişmesi durumunda gözlemlenen reaksiyon, transfüzyonu yapan tarafından hastanın doktoruna bildirilir.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5</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Transfüzyonu yapan tarafından transfüzyonun başlama saati kayıt altına alınır.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0B393A" w:rsidRPr="002C16E1" w:rsidTr="00731F74">
        <w:tc>
          <w:tcPr>
            <w:tcW w:w="936" w:type="dxa"/>
          </w:tcPr>
          <w:p w:rsidR="000B393A" w:rsidRPr="002C16E1" w:rsidRDefault="000B393A" w:rsidP="00B92D71">
            <w:pPr>
              <w:rPr>
                <w:rFonts w:ascii="Times New Roman" w:eastAsia="Times New Roman" w:hAnsi="Times New Roman" w:cs="Times New Roman"/>
                <w:sz w:val="24"/>
                <w:szCs w:val="24"/>
                <w:lang w:eastAsia="tr-TR"/>
              </w:rPr>
            </w:pPr>
          </w:p>
        </w:tc>
        <w:tc>
          <w:tcPr>
            <w:tcW w:w="4729" w:type="dxa"/>
          </w:tcPr>
          <w:p w:rsidR="000B393A" w:rsidRPr="000B393A" w:rsidRDefault="000B393A" w:rsidP="00B92D71">
            <w:pPr>
              <w:rPr>
                <w:rFonts w:ascii="Times New Roman" w:eastAsia="Times New Roman" w:hAnsi="Times New Roman" w:cs="Times New Roman"/>
                <w:b/>
                <w:sz w:val="24"/>
                <w:szCs w:val="24"/>
                <w:lang w:eastAsia="tr-TR"/>
              </w:rPr>
            </w:pPr>
            <w:r w:rsidRPr="000B393A">
              <w:rPr>
                <w:rFonts w:ascii="Times New Roman" w:eastAsia="Times New Roman" w:hAnsi="Times New Roman" w:cs="Times New Roman"/>
                <w:b/>
                <w:sz w:val="24"/>
                <w:szCs w:val="24"/>
                <w:lang w:eastAsia="tr-TR"/>
              </w:rPr>
              <w:t>Transfüzyon Hazırlığı</w:t>
            </w:r>
          </w:p>
        </w:tc>
        <w:tc>
          <w:tcPr>
            <w:tcW w:w="516"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03"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691" w:type="dxa"/>
          </w:tcPr>
          <w:p w:rsidR="000B393A" w:rsidRDefault="000B393A" w:rsidP="00B92D71">
            <w:pPr>
              <w:rPr>
                <w:rFonts w:ascii="Times New Roman" w:eastAsia="Times New Roman" w:hAnsi="Times New Roman" w:cs="Times New Roman"/>
                <w:sz w:val="24"/>
                <w:szCs w:val="24"/>
                <w:lang w:eastAsia="tr-TR"/>
              </w:rPr>
            </w:pP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6</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öncesi kan bileşeni istemi doğrulanır.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7</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Kan bileşeni uygun koşullarda taşınır (kan taşıma kaplarında).</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8</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Transfüzyona başlanmadan önce bilgilendirilmiş onam formu kontrol edilir.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9</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Kan istem formuyla hastadan transfüzyon öncesi testler için kan örneği alınır.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0B393A" w:rsidRPr="002C16E1" w:rsidTr="00731F74">
        <w:tc>
          <w:tcPr>
            <w:tcW w:w="936" w:type="dxa"/>
          </w:tcPr>
          <w:p w:rsidR="000B393A" w:rsidRPr="002C16E1" w:rsidRDefault="000B393A" w:rsidP="00B92D71">
            <w:pPr>
              <w:rPr>
                <w:rFonts w:ascii="Times New Roman" w:eastAsia="Times New Roman" w:hAnsi="Times New Roman" w:cs="Times New Roman"/>
                <w:sz w:val="24"/>
                <w:szCs w:val="24"/>
                <w:lang w:eastAsia="tr-TR"/>
              </w:rPr>
            </w:pPr>
          </w:p>
        </w:tc>
        <w:tc>
          <w:tcPr>
            <w:tcW w:w="4729" w:type="dxa"/>
          </w:tcPr>
          <w:p w:rsidR="000B393A" w:rsidRPr="002C16E1" w:rsidRDefault="000B393A" w:rsidP="00B92D71">
            <w:pPr>
              <w:rPr>
                <w:rFonts w:ascii="Times New Roman" w:eastAsia="Times New Roman" w:hAnsi="Times New Roman" w:cs="Times New Roman"/>
                <w:sz w:val="24"/>
                <w:szCs w:val="24"/>
                <w:lang w:eastAsia="tr-TR"/>
              </w:rPr>
            </w:pPr>
            <w:r w:rsidRPr="000B393A">
              <w:rPr>
                <w:rFonts w:ascii="Times New Roman" w:eastAsia="Times New Roman" w:hAnsi="Times New Roman" w:cs="Times New Roman"/>
                <w:b/>
                <w:bCs/>
                <w:sz w:val="24"/>
                <w:szCs w:val="24"/>
                <w:lang w:eastAsia="tr-TR"/>
              </w:rPr>
              <w:t>Transfüzyon Öncesi</w:t>
            </w:r>
          </w:p>
        </w:tc>
        <w:tc>
          <w:tcPr>
            <w:tcW w:w="516"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03"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691" w:type="dxa"/>
          </w:tcPr>
          <w:p w:rsidR="000B393A" w:rsidRDefault="000B393A" w:rsidP="00B92D71">
            <w:pPr>
              <w:rPr>
                <w:rFonts w:ascii="Times New Roman" w:eastAsia="Times New Roman" w:hAnsi="Times New Roman" w:cs="Times New Roman"/>
                <w:sz w:val="24"/>
                <w:szCs w:val="24"/>
                <w:lang w:eastAsia="tr-TR"/>
              </w:rPr>
            </w:pP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10</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başlarken yapılan kimlik kontrolü hasta yatağının başında yapılır.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11</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 xml:space="preserve">İstem yapılan kan ve kan ürünü kullanılmayacaksa 30 </w:t>
            </w:r>
            <w:proofErr w:type="spellStart"/>
            <w:r w:rsidRPr="002C16E1">
              <w:rPr>
                <w:rFonts w:ascii="Times New Roman" w:eastAsia="Times New Roman" w:hAnsi="Times New Roman" w:cs="Times New Roman"/>
                <w:sz w:val="24"/>
                <w:szCs w:val="24"/>
                <w:lang w:eastAsia="tr-TR"/>
              </w:rPr>
              <w:t>dk</w:t>
            </w:r>
            <w:proofErr w:type="spellEnd"/>
            <w:r w:rsidRPr="002C16E1">
              <w:rPr>
                <w:rFonts w:ascii="Times New Roman" w:eastAsia="Times New Roman" w:hAnsi="Times New Roman" w:cs="Times New Roman"/>
                <w:sz w:val="24"/>
                <w:szCs w:val="24"/>
                <w:lang w:eastAsia="tr-TR"/>
              </w:rPr>
              <w:t xml:space="preserve"> içerisinde transfüzyon merkezine geri gönderilir.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lastRenderedPageBreak/>
              <w:t>12</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Birden fazla kan ve kan ürünü transfüzyonu yapılacaksa ürünlerin hepsi aynı anda hasta başına getirilmez.</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0B393A" w:rsidRPr="002C16E1" w:rsidTr="00731F74">
        <w:tc>
          <w:tcPr>
            <w:tcW w:w="936" w:type="dxa"/>
          </w:tcPr>
          <w:p w:rsidR="000B393A" w:rsidRPr="002C16E1" w:rsidRDefault="000B393A" w:rsidP="00B92D71">
            <w:pPr>
              <w:rPr>
                <w:rFonts w:ascii="Times New Roman" w:eastAsia="Times New Roman" w:hAnsi="Times New Roman" w:cs="Times New Roman"/>
                <w:sz w:val="24"/>
                <w:szCs w:val="24"/>
                <w:lang w:eastAsia="tr-TR"/>
              </w:rPr>
            </w:pPr>
          </w:p>
        </w:tc>
        <w:tc>
          <w:tcPr>
            <w:tcW w:w="4729" w:type="dxa"/>
          </w:tcPr>
          <w:p w:rsidR="000B393A" w:rsidRPr="002C16E1" w:rsidRDefault="000B393A" w:rsidP="00B92D71">
            <w:pPr>
              <w:rPr>
                <w:rFonts w:ascii="Times New Roman" w:eastAsia="Times New Roman" w:hAnsi="Times New Roman" w:cs="Times New Roman"/>
                <w:sz w:val="24"/>
                <w:szCs w:val="24"/>
                <w:lang w:eastAsia="tr-TR"/>
              </w:rPr>
            </w:pPr>
            <w:r w:rsidRPr="000B393A">
              <w:rPr>
                <w:rFonts w:ascii="Times New Roman" w:eastAsia="Times New Roman" w:hAnsi="Times New Roman" w:cs="Times New Roman"/>
                <w:b/>
                <w:bCs/>
                <w:sz w:val="24"/>
                <w:szCs w:val="24"/>
                <w:lang w:eastAsia="tr-TR"/>
              </w:rPr>
              <w:t>Transfüzyon Kontrol</w:t>
            </w:r>
          </w:p>
        </w:tc>
        <w:tc>
          <w:tcPr>
            <w:tcW w:w="516"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03" w:type="dxa"/>
          </w:tcPr>
          <w:p w:rsidR="000B393A" w:rsidRDefault="000B393A" w:rsidP="00B92D71">
            <w:pPr>
              <w:rPr>
                <w:rFonts w:ascii="Times New Roman" w:eastAsia="Times New Roman" w:hAnsi="Times New Roman" w:cs="Times New Roman"/>
                <w:sz w:val="24"/>
                <w:szCs w:val="24"/>
                <w:lang w:eastAsia="tr-TR"/>
              </w:rPr>
            </w:pPr>
          </w:p>
        </w:tc>
        <w:tc>
          <w:tcPr>
            <w:tcW w:w="498"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561" w:type="dxa"/>
          </w:tcPr>
          <w:p w:rsidR="000B393A" w:rsidRDefault="000B393A" w:rsidP="00B92D71">
            <w:pPr>
              <w:rPr>
                <w:rFonts w:ascii="Times New Roman" w:eastAsia="Times New Roman" w:hAnsi="Times New Roman" w:cs="Times New Roman"/>
                <w:sz w:val="24"/>
                <w:szCs w:val="24"/>
                <w:lang w:eastAsia="tr-TR"/>
              </w:rPr>
            </w:pPr>
          </w:p>
        </w:tc>
        <w:tc>
          <w:tcPr>
            <w:tcW w:w="691" w:type="dxa"/>
          </w:tcPr>
          <w:p w:rsidR="000B393A" w:rsidRDefault="000B393A" w:rsidP="00B92D71">
            <w:pPr>
              <w:rPr>
                <w:rFonts w:ascii="Times New Roman" w:eastAsia="Times New Roman" w:hAnsi="Times New Roman" w:cs="Times New Roman"/>
                <w:sz w:val="24"/>
                <w:szCs w:val="24"/>
                <w:lang w:eastAsia="tr-TR"/>
              </w:rPr>
            </w:pP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13</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başlarken yapılacak kontroller tedavi veya hemşire odasında yapılabilir.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14</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Yoğun iş yükü olması durumunda kontroller tek sağlık çalışanı tarafından yapılabilir.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731F74" w:rsidRPr="002C16E1" w:rsidTr="00731F74">
        <w:tc>
          <w:tcPr>
            <w:tcW w:w="936"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15</w:t>
            </w:r>
          </w:p>
        </w:tc>
        <w:tc>
          <w:tcPr>
            <w:tcW w:w="4729" w:type="dxa"/>
            <w:hideMark/>
          </w:tcPr>
          <w:p w:rsidR="00B92D71" w:rsidRPr="002C16E1" w:rsidRDefault="00B92D71" w:rsidP="00B92D71">
            <w:pPr>
              <w:rPr>
                <w:rFonts w:ascii="Times New Roman" w:eastAsia="Times New Roman" w:hAnsi="Times New Roman" w:cs="Times New Roman"/>
                <w:sz w:val="24"/>
                <w:szCs w:val="24"/>
                <w:lang w:eastAsia="tr-TR"/>
              </w:rPr>
            </w:pPr>
            <w:r w:rsidRPr="002C16E1">
              <w:rPr>
                <w:rFonts w:ascii="Times New Roman" w:eastAsia="Times New Roman" w:hAnsi="Times New Roman" w:cs="Times New Roman"/>
                <w:sz w:val="24"/>
                <w:szCs w:val="24"/>
                <w:lang w:eastAsia="tr-TR"/>
              </w:rPr>
              <w:t>Transfüzyon süresi 4 saati geçerse kan bitene kadar transfüzyona devam edilebilir.</w:t>
            </w:r>
          </w:p>
        </w:tc>
        <w:tc>
          <w:tcPr>
            <w:tcW w:w="516"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503"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498"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6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1" w:type="dxa"/>
          </w:tcPr>
          <w:p w:rsidR="00B92D71" w:rsidRPr="002C16E1" w:rsidRDefault="00B92D71" w:rsidP="00B92D7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bl>
    <w:p w:rsidR="003E4DBF" w:rsidRDefault="003E4DBF" w:rsidP="003E4DBF">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3E4DBF">
        <w:rPr>
          <w:rFonts w:ascii="Times New Roman" w:eastAsia="Times New Roman" w:hAnsi="Times New Roman" w:cs="Times New Roman"/>
          <w:b/>
          <w:bCs/>
          <w:sz w:val="24"/>
          <w:szCs w:val="24"/>
          <w:lang w:eastAsia="tr-TR"/>
        </w:rPr>
        <w:t xml:space="preserve">Kan ve Kan Ürünü Transfüzyon Güvenliğine Yönelik Hemşire Bilgi ve Tutum Ölçeği </w:t>
      </w:r>
    </w:p>
    <w:p w:rsidR="003E4DBF" w:rsidRPr="003E4DBF" w:rsidRDefault="003E4DBF" w:rsidP="003E4DB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E4DBF">
        <w:rPr>
          <w:rFonts w:ascii="Times New Roman" w:eastAsia="Times New Roman" w:hAnsi="Times New Roman" w:cs="Times New Roman"/>
          <w:sz w:val="24"/>
          <w:szCs w:val="24"/>
          <w:lang w:eastAsia="tr-TR"/>
        </w:rPr>
        <w:t xml:space="preserve">Ölçek, hemşirelerin kan ve kan ürünleri transfüzyon güvenliğine yönelik bilgi ve tutum düzeylerini değerlendirmek amacıyla geliştirilmiştir. Ölçek 7’li </w:t>
      </w:r>
      <w:proofErr w:type="spellStart"/>
      <w:r w:rsidRPr="003E4DBF">
        <w:rPr>
          <w:rFonts w:ascii="Times New Roman" w:eastAsia="Times New Roman" w:hAnsi="Times New Roman" w:cs="Times New Roman"/>
          <w:sz w:val="24"/>
          <w:szCs w:val="24"/>
          <w:lang w:eastAsia="tr-TR"/>
        </w:rPr>
        <w:t>Likert</w:t>
      </w:r>
      <w:proofErr w:type="spellEnd"/>
      <w:r w:rsidRPr="003E4DBF">
        <w:rPr>
          <w:rFonts w:ascii="Times New Roman" w:eastAsia="Times New Roman" w:hAnsi="Times New Roman" w:cs="Times New Roman"/>
          <w:sz w:val="24"/>
          <w:szCs w:val="24"/>
          <w:lang w:eastAsia="tr-TR"/>
        </w:rPr>
        <w:t xml:space="preserve"> tipindedir ve her madde “1 = Kesinlikle katılmıyorum” ile “7 = Tamamen katılıyorum” arasında puanlanmaktadır.</w:t>
      </w:r>
    </w:p>
    <w:p w:rsidR="003E4DBF" w:rsidRPr="003E4DBF" w:rsidRDefault="003E4DBF" w:rsidP="003E4DB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E4DBF">
        <w:rPr>
          <w:rFonts w:ascii="Times New Roman" w:eastAsia="Times New Roman" w:hAnsi="Times New Roman" w:cs="Times New Roman"/>
          <w:sz w:val="24"/>
          <w:szCs w:val="24"/>
          <w:lang w:eastAsia="tr-TR"/>
        </w:rPr>
        <w:t>Ölçek toplam 15 maddeden oluşmakta olup dört alt boyut içermektedir: Transfüzyon Reaksiyonu (5 madde), Transfüzyon Hazırlığı (4 madde), Transfüzyon Öncesi (3 madde) ve Transfüzyon Kontrol (3 madde). Ölçekte yer alan 13</w:t>
      </w:r>
      <w:proofErr w:type="gramStart"/>
      <w:r w:rsidRPr="003E4DBF">
        <w:rPr>
          <w:rFonts w:ascii="Times New Roman" w:eastAsia="Times New Roman" w:hAnsi="Times New Roman" w:cs="Times New Roman"/>
          <w:sz w:val="24"/>
          <w:szCs w:val="24"/>
          <w:lang w:eastAsia="tr-TR"/>
        </w:rPr>
        <w:t>.,</w:t>
      </w:r>
      <w:proofErr w:type="gramEnd"/>
      <w:r w:rsidRPr="003E4DBF">
        <w:rPr>
          <w:rFonts w:ascii="Times New Roman" w:eastAsia="Times New Roman" w:hAnsi="Times New Roman" w:cs="Times New Roman"/>
          <w:sz w:val="24"/>
          <w:szCs w:val="24"/>
          <w:lang w:eastAsia="tr-TR"/>
        </w:rPr>
        <w:t xml:space="preserve"> 14. ve 15. maddeler ters kodlanmaktadır.</w:t>
      </w:r>
    </w:p>
    <w:p w:rsidR="003E4DBF" w:rsidRPr="003E4DBF" w:rsidRDefault="003E4DBF" w:rsidP="003E4DB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E4DBF">
        <w:rPr>
          <w:rFonts w:ascii="Times New Roman" w:eastAsia="Times New Roman" w:hAnsi="Times New Roman" w:cs="Times New Roman"/>
          <w:sz w:val="24"/>
          <w:szCs w:val="24"/>
          <w:lang w:eastAsia="tr-TR"/>
        </w:rPr>
        <w:t>Alt boyut puanları ve toplam ölçek puanı, ilgili maddelerin ortalaması alınarak hesaplanmaktadır. Ölçekten ve alt boyutlardan elde edilen yüksek puanlar (7’ye yakın), bireylerin transfüzyon güvenliğine yönelik bilgi ve tutum düzeylerinin yüksek olduğunu; düşük puanlar (1’e yakın) ise düşük olduğunu göstermektedir. Ters maddeler analiz öncesinde ters kodlanarak değerlendirilmelidir.</w:t>
      </w:r>
    </w:p>
    <w:p w:rsidR="003E4DBF" w:rsidRPr="003E4DBF" w:rsidRDefault="003E4DBF" w:rsidP="003E4DB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E4DBF">
        <w:rPr>
          <w:rFonts w:ascii="Times New Roman" w:eastAsia="Times New Roman" w:hAnsi="Times New Roman" w:cs="Times New Roman"/>
          <w:sz w:val="24"/>
          <w:szCs w:val="24"/>
          <w:lang w:eastAsia="tr-TR"/>
        </w:rPr>
        <w:t xml:space="preserve">Ölçeğin iç tutarlılık güvenirliği </w:t>
      </w:r>
      <w:proofErr w:type="spellStart"/>
      <w:r w:rsidRPr="003E4DBF">
        <w:rPr>
          <w:rFonts w:ascii="Times New Roman" w:eastAsia="Times New Roman" w:hAnsi="Times New Roman" w:cs="Times New Roman"/>
          <w:sz w:val="24"/>
          <w:szCs w:val="24"/>
          <w:lang w:eastAsia="tr-TR"/>
        </w:rPr>
        <w:t>Cronbach</w:t>
      </w:r>
      <w:proofErr w:type="spellEnd"/>
      <w:r w:rsidRPr="003E4DBF">
        <w:rPr>
          <w:rFonts w:ascii="Times New Roman" w:eastAsia="Times New Roman" w:hAnsi="Times New Roman" w:cs="Times New Roman"/>
          <w:sz w:val="24"/>
          <w:szCs w:val="24"/>
          <w:lang w:eastAsia="tr-TR"/>
        </w:rPr>
        <w:t xml:space="preserve"> alfa katsayısı ile değerlendirilmiş olup kabul e</w:t>
      </w:r>
      <w:r>
        <w:rPr>
          <w:rFonts w:ascii="Times New Roman" w:eastAsia="Times New Roman" w:hAnsi="Times New Roman" w:cs="Times New Roman"/>
          <w:sz w:val="24"/>
          <w:szCs w:val="24"/>
          <w:lang w:eastAsia="tr-TR"/>
        </w:rPr>
        <w:t>dilebilir düzeydedir (α=0.786)</w:t>
      </w:r>
      <w:bookmarkStart w:id="0" w:name="_GoBack"/>
      <w:bookmarkEnd w:id="0"/>
      <w:r w:rsidRPr="003E4DBF">
        <w:rPr>
          <w:rFonts w:ascii="Times New Roman" w:eastAsia="Times New Roman" w:hAnsi="Times New Roman" w:cs="Times New Roman"/>
          <w:sz w:val="24"/>
          <w:szCs w:val="24"/>
          <w:lang w:eastAsia="tr-TR"/>
        </w:rPr>
        <w:t>.</w:t>
      </w:r>
    </w:p>
    <w:p w:rsidR="003E4DBF" w:rsidRPr="003E4DBF" w:rsidRDefault="003E4DBF" w:rsidP="003E4DBF"/>
    <w:p w:rsidR="003E4DBF" w:rsidRPr="003E4DBF" w:rsidRDefault="003E4DBF"/>
    <w:sectPr w:rsidR="003E4DBF" w:rsidRPr="003E4DBF" w:rsidSect="009726A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E1"/>
    <w:rsid w:val="000670FC"/>
    <w:rsid w:val="000B393A"/>
    <w:rsid w:val="002C16E1"/>
    <w:rsid w:val="002D3411"/>
    <w:rsid w:val="003E4DBF"/>
    <w:rsid w:val="006C1727"/>
    <w:rsid w:val="00731F74"/>
    <w:rsid w:val="009726A3"/>
    <w:rsid w:val="00A67D9E"/>
    <w:rsid w:val="00B92D71"/>
    <w:rsid w:val="00C65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30F2"/>
  <w15:chartTrackingRefBased/>
  <w15:docId w15:val="{ED0E50E8-55AB-41FF-8754-379742C3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C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77138">
      <w:bodyDiv w:val="1"/>
      <w:marLeft w:val="0"/>
      <w:marRight w:val="0"/>
      <w:marTop w:val="0"/>
      <w:marBottom w:val="0"/>
      <w:divBdr>
        <w:top w:val="none" w:sz="0" w:space="0" w:color="auto"/>
        <w:left w:val="none" w:sz="0" w:space="0" w:color="auto"/>
        <w:bottom w:val="none" w:sz="0" w:space="0" w:color="auto"/>
        <w:right w:val="none" w:sz="0" w:space="0" w:color="auto"/>
      </w:divBdr>
    </w:div>
    <w:div w:id="16860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9</cp:revision>
  <dcterms:created xsi:type="dcterms:W3CDTF">2026-04-29T18:27:00Z</dcterms:created>
  <dcterms:modified xsi:type="dcterms:W3CDTF">2026-04-29T19:17:00Z</dcterms:modified>
</cp:coreProperties>
</file>