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29E9" w14:textId="5952EDB7" w:rsidR="005E06DE" w:rsidRPr="005E06DE" w:rsidRDefault="005E06DE" w:rsidP="005E06DE">
      <w:pPr>
        <w:pStyle w:val="font-claude-response-body"/>
        <w:jc w:val="center"/>
        <w:rPr>
          <w:b/>
          <w:bCs/>
        </w:rPr>
      </w:pPr>
      <w:r w:rsidRPr="005E06DE">
        <w:rPr>
          <w:b/>
          <w:bCs/>
        </w:rPr>
        <w:t>ÖLÇEK</w:t>
      </w:r>
    </w:p>
    <w:tbl>
      <w:tblPr>
        <w:tblW w:w="5000" w:type="pct"/>
        <w:tblCellMar>
          <w:left w:w="70" w:type="dxa"/>
          <w:right w:w="70" w:type="dxa"/>
        </w:tblCellMar>
        <w:tblLook w:val="04A0" w:firstRow="1" w:lastRow="0" w:firstColumn="1" w:lastColumn="0" w:noHBand="0" w:noVBand="1"/>
      </w:tblPr>
      <w:tblGrid>
        <w:gridCol w:w="426"/>
        <w:gridCol w:w="3242"/>
        <w:gridCol w:w="829"/>
        <w:gridCol w:w="829"/>
        <w:gridCol w:w="831"/>
        <w:gridCol w:w="973"/>
        <w:gridCol w:w="688"/>
        <w:gridCol w:w="633"/>
        <w:gridCol w:w="621"/>
      </w:tblGrid>
      <w:tr w:rsidR="005E06DE" w14:paraId="2F59C506" w14:textId="77777777" w:rsidTr="007A7FA8">
        <w:trPr>
          <w:cantSplit/>
          <w:trHeight w:val="454"/>
        </w:trPr>
        <w:tc>
          <w:tcPr>
            <w:tcW w:w="5000" w:type="pct"/>
            <w:gridSpan w:val="9"/>
            <w:tcBorders>
              <w:top w:val="single" w:sz="4" w:space="0" w:color="auto"/>
              <w:left w:val="nil"/>
              <w:bottom w:val="single" w:sz="4" w:space="0" w:color="auto"/>
              <w:right w:val="nil"/>
            </w:tcBorders>
            <w:vAlign w:val="center"/>
            <w:hideMark/>
          </w:tcPr>
          <w:p w14:paraId="477D5CB1"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 xml:space="preserve">Sağlık Hizmeti Kullanımında Çoğaltıcı-Azaltıcı Eğilim Ölçeği </w:t>
            </w:r>
          </w:p>
        </w:tc>
      </w:tr>
      <w:tr w:rsidR="005E06DE" w14:paraId="086F5D0E" w14:textId="77777777" w:rsidTr="007A7FA8">
        <w:trPr>
          <w:cantSplit/>
          <w:trHeight w:val="2529"/>
        </w:trPr>
        <w:tc>
          <w:tcPr>
            <w:tcW w:w="2022" w:type="pct"/>
            <w:gridSpan w:val="2"/>
            <w:tcBorders>
              <w:top w:val="single" w:sz="4" w:space="0" w:color="auto"/>
              <w:left w:val="nil"/>
              <w:bottom w:val="single" w:sz="4" w:space="0" w:color="auto"/>
              <w:right w:val="nil"/>
            </w:tcBorders>
            <w:vAlign w:val="center"/>
            <w:hideMark/>
          </w:tcPr>
          <w:p w14:paraId="21E83F0A" w14:textId="77777777" w:rsidR="005E06DE" w:rsidRDefault="005E06DE" w:rsidP="007A7FA8">
            <w:pPr>
              <w:spacing w:after="0" w:line="240" w:lineRule="auto"/>
              <w:jc w:val="center"/>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Lütfen aşağıdaki sorular için kendi sağlık hizmeti kullanım</w:t>
            </w:r>
          </w:p>
          <w:p w14:paraId="65C71D86" w14:textId="77777777" w:rsidR="005E06DE" w:rsidRDefault="005E06DE" w:rsidP="007A7FA8">
            <w:pPr>
              <w:spacing w:after="0" w:line="240" w:lineRule="auto"/>
              <w:jc w:val="center"/>
              <w:rPr>
                <w:rFonts w:asciiTheme="minorBidi" w:eastAsia="Times New Roman" w:hAnsiTheme="minorBidi"/>
                <w:i/>
                <w:iCs/>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 xml:space="preserve">eğiliminizi düşünerek </w:t>
            </w:r>
            <w:r>
              <w:rPr>
                <w:rFonts w:asciiTheme="minorBidi" w:eastAsia="Times New Roman" w:hAnsiTheme="minorBidi"/>
                <w:i/>
                <w:iCs/>
                <w:color w:val="000000"/>
                <w:kern w:val="0"/>
                <w:sz w:val="20"/>
                <w:szCs w:val="20"/>
                <w:lang w:eastAsia="tr-TR"/>
                <w14:ligatures w14:val="none"/>
              </w:rPr>
              <w:t>“kesinlikle katılmıyorum, katılmıyorum, biraz</w:t>
            </w:r>
          </w:p>
          <w:p w14:paraId="22C4950B" w14:textId="77777777" w:rsidR="005E06DE" w:rsidRDefault="005E06DE" w:rsidP="007A7FA8">
            <w:pPr>
              <w:spacing w:after="0" w:line="240" w:lineRule="auto"/>
              <w:jc w:val="center"/>
              <w:rPr>
                <w:rFonts w:asciiTheme="minorBidi" w:eastAsia="Times New Roman" w:hAnsiTheme="minorBidi"/>
                <w:i/>
                <w:iCs/>
                <w:color w:val="000000"/>
                <w:kern w:val="0"/>
                <w:sz w:val="20"/>
                <w:szCs w:val="20"/>
                <w:lang w:eastAsia="tr-TR"/>
                <w14:ligatures w14:val="none"/>
              </w:rPr>
            </w:pPr>
            <w:r>
              <w:rPr>
                <w:rFonts w:asciiTheme="minorBidi" w:eastAsia="Times New Roman" w:hAnsiTheme="minorBidi"/>
                <w:i/>
                <w:iCs/>
                <w:color w:val="000000"/>
                <w:kern w:val="0"/>
                <w:sz w:val="20"/>
                <w:szCs w:val="20"/>
                <w:lang w:eastAsia="tr-TR"/>
                <w14:ligatures w14:val="none"/>
              </w:rPr>
              <w:t>katılıyorum, ne katılıyorum ne katılmıyorum, biraz katılıyorum,</w:t>
            </w:r>
          </w:p>
          <w:p w14:paraId="6A968808" w14:textId="77777777" w:rsidR="005E06DE" w:rsidRDefault="005E06DE" w:rsidP="007A7FA8">
            <w:pPr>
              <w:spacing w:after="0" w:line="240" w:lineRule="auto"/>
              <w:jc w:val="center"/>
              <w:rPr>
                <w:rFonts w:asciiTheme="minorBidi" w:eastAsia="Times New Roman" w:hAnsiTheme="minorBidi"/>
                <w:color w:val="000000"/>
                <w:kern w:val="0"/>
                <w:sz w:val="20"/>
                <w:szCs w:val="20"/>
                <w:lang w:eastAsia="tr-TR"/>
                <w14:ligatures w14:val="none"/>
              </w:rPr>
            </w:pPr>
            <w:r>
              <w:rPr>
                <w:rFonts w:asciiTheme="minorBidi" w:eastAsia="Times New Roman" w:hAnsiTheme="minorBidi"/>
                <w:i/>
                <w:iCs/>
                <w:color w:val="000000"/>
                <w:kern w:val="0"/>
                <w:sz w:val="20"/>
                <w:szCs w:val="20"/>
                <w:lang w:eastAsia="tr-TR"/>
                <w14:ligatures w14:val="none"/>
              </w:rPr>
              <w:t xml:space="preserve">katılıyorum, kesinlikle katılıyorum” </w:t>
            </w:r>
            <w:r>
              <w:rPr>
                <w:rFonts w:asciiTheme="minorBidi" w:eastAsia="Times New Roman" w:hAnsiTheme="minorBidi"/>
                <w:color w:val="000000"/>
                <w:kern w:val="0"/>
                <w:sz w:val="20"/>
                <w:szCs w:val="20"/>
                <w:lang w:eastAsia="tr-TR"/>
                <w14:ligatures w14:val="none"/>
              </w:rPr>
              <w:t>seçeneklerinden birini</w:t>
            </w:r>
          </w:p>
          <w:p w14:paraId="2BED8E39" w14:textId="77777777" w:rsidR="005E06DE" w:rsidRDefault="005E06DE" w:rsidP="007A7FA8">
            <w:pPr>
              <w:spacing w:after="0" w:line="240" w:lineRule="auto"/>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işaretleyin.</w:t>
            </w:r>
          </w:p>
        </w:tc>
        <w:tc>
          <w:tcPr>
            <w:tcW w:w="457" w:type="pct"/>
            <w:tcBorders>
              <w:top w:val="single" w:sz="4" w:space="0" w:color="auto"/>
              <w:left w:val="nil"/>
              <w:bottom w:val="single" w:sz="4" w:space="0" w:color="auto"/>
              <w:right w:val="nil"/>
            </w:tcBorders>
            <w:textDirection w:val="btLr"/>
            <w:vAlign w:val="center"/>
            <w:hideMark/>
          </w:tcPr>
          <w:p w14:paraId="5375E916"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Kesinlikle</w:t>
            </w:r>
          </w:p>
          <w:p w14:paraId="6D7BDCA9"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Katılmıyorum (1)</w:t>
            </w:r>
          </w:p>
        </w:tc>
        <w:tc>
          <w:tcPr>
            <w:tcW w:w="457" w:type="pct"/>
            <w:tcBorders>
              <w:top w:val="single" w:sz="4" w:space="0" w:color="auto"/>
              <w:left w:val="nil"/>
              <w:bottom w:val="single" w:sz="4" w:space="0" w:color="auto"/>
              <w:right w:val="nil"/>
            </w:tcBorders>
            <w:textDirection w:val="btLr"/>
            <w:vAlign w:val="center"/>
            <w:hideMark/>
          </w:tcPr>
          <w:p w14:paraId="43CD4045"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Katılmıyorum (2)</w:t>
            </w:r>
          </w:p>
        </w:tc>
        <w:tc>
          <w:tcPr>
            <w:tcW w:w="458" w:type="pct"/>
            <w:tcBorders>
              <w:top w:val="single" w:sz="4" w:space="0" w:color="auto"/>
              <w:left w:val="nil"/>
              <w:bottom w:val="single" w:sz="4" w:space="0" w:color="auto"/>
              <w:right w:val="nil"/>
            </w:tcBorders>
            <w:textDirection w:val="btLr"/>
            <w:vAlign w:val="center"/>
            <w:hideMark/>
          </w:tcPr>
          <w:p w14:paraId="34278117"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Biraz</w:t>
            </w:r>
          </w:p>
          <w:p w14:paraId="6A902A04"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Katılmıyorum (3)</w:t>
            </w:r>
          </w:p>
        </w:tc>
        <w:tc>
          <w:tcPr>
            <w:tcW w:w="536" w:type="pct"/>
            <w:tcBorders>
              <w:top w:val="single" w:sz="4" w:space="0" w:color="auto"/>
              <w:left w:val="nil"/>
              <w:bottom w:val="single" w:sz="4" w:space="0" w:color="auto"/>
              <w:right w:val="nil"/>
            </w:tcBorders>
            <w:textDirection w:val="btLr"/>
            <w:vAlign w:val="center"/>
            <w:hideMark/>
          </w:tcPr>
          <w:p w14:paraId="37A8D36A"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Ne Katılıyorum</w:t>
            </w:r>
          </w:p>
          <w:p w14:paraId="62C35BED"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Ne Katılmıyorum (4)</w:t>
            </w:r>
          </w:p>
        </w:tc>
        <w:tc>
          <w:tcPr>
            <w:tcW w:w="379" w:type="pct"/>
            <w:tcBorders>
              <w:top w:val="single" w:sz="4" w:space="0" w:color="auto"/>
              <w:left w:val="nil"/>
              <w:bottom w:val="single" w:sz="4" w:space="0" w:color="auto"/>
              <w:right w:val="nil"/>
            </w:tcBorders>
            <w:textDirection w:val="btLr"/>
            <w:vAlign w:val="center"/>
            <w:hideMark/>
          </w:tcPr>
          <w:p w14:paraId="7BAA8BCE"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Biraz</w:t>
            </w:r>
          </w:p>
          <w:p w14:paraId="58C24F93"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Katılıyorum (5)</w:t>
            </w:r>
          </w:p>
        </w:tc>
        <w:tc>
          <w:tcPr>
            <w:tcW w:w="349" w:type="pct"/>
            <w:tcBorders>
              <w:top w:val="single" w:sz="4" w:space="0" w:color="auto"/>
              <w:left w:val="nil"/>
              <w:bottom w:val="single" w:sz="4" w:space="0" w:color="auto"/>
              <w:right w:val="nil"/>
            </w:tcBorders>
            <w:textDirection w:val="btLr"/>
            <w:vAlign w:val="center"/>
            <w:hideMark/>
          </w:tcPr>
          <w:p w14:paraId="3173B06A"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Katılıyorum (6)</w:t>
            </w:r>
          </w:p>
        </w:tc>
        <w:tc>
          <w:tcPr>
            <w:tcW w:w="342" w:type="pct"/>
            <w:tcBorders>
              <w:top w:val="single" w:sz="4" w:space="0" w:color="auto"/>
              <w:left w:val="nil"/>
              <w:bottom w:val="single" w:sz="4" w:space="0" w:color="auto"/>
              <w:right w:val="nil"/>
            </w:tcBorders>
            <w:textDirection w:val="btLr"/>
            <w:vAlign w:val="center"/>
            <w:hideMark/>
          </w:tcPr>
          <w:p w14:paraId="3E43AF92"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eastAsia="tr-TR"/>
                <w14:ligatures w14:val="none"/>
              </w:rPr>
            </w:pPr>
            <w:r>
              <w:rPr>
                <w:rFonts w:asciiTheme="minorBidi" w:eastAsia="Times New Roman" w:hAnsiTheme="minorBidi"/>
                <w:b/>
                <w:bCs/>
                <w:color w:val="000000"/>
                <w:kern w:val="0"/>
                <w:sz w:val="20"/>
                <w:szCs w:val="20"/>
                <w:lang w:eastAsia="tr-TR"/>
                <w14:ligatures w14:val="none"/>
              </w:rPr>
              <w:t>Kesinlikle</w:t>
            </w:r>
          </w:p>
          <w:p w14:paraId="45B33E71" w14:textId="77777777" w:rsidR="005E06DE" w:rsidRDefault="005E06DE" w:rsidP="007A7FA8">
            <w:pPr>
              <w:spacing w:after="0" w:line="240" w:lineRule="auto"/>
              <w:ind w:left="113" w:right="113"/>
              <w:jc w:val="center"/>
              <w:rPr>
                <w:rFonts w:asciiTheme="minorBidi" w:eastAsia="Times New Roman" w:hAnsiTheme="minorBidi"/>
                <w:b/>
                <w:bCs/>
                <w:color w:val="000000"/>
                <w:kern w:val="0"/>
                <w:sz w:val="20"/>
                <w:szCs w:val="20"/>
                <w:lang w:val="en-US" w:eastAsia="tr-TR"/>
                <w14:ligatures w14:val="none"/>
              </w:rPr>
            </w:pPr>
            <w:r>
              <w:rPr>
                <w:rFonts w:asciiTheme="minorBidi" w:eastAsia="Times New Roman" w:hAnsiTheme="minorBidi"/>
                <w:b/>
                <w:bCs/>
                <w:color w:val="000000"/>
                <w:kern w:val="0"/>
                <w:sz w:val="20"/>
                <w:szCs w:val="20"/>
                <w:lang w:eastAsia="tr-TR"/>
                <w14:ligatures w14:val="none"/>
              </w:rPr>
              <w:t>Katılıyorum (7)</w:t>
            </w:r>
          </w:p>
        </w:tc>
      </w:tr>
      <w:tr w:rsidR="005E06DE" w14:paraId="2CBC3268" w14:textId="77777777" w:rsidTr="007A7FA8">
        <w:trPr>
          <w:trHeight w:val="20"/>
        </w:trPr>
        <w:tc>
          <w:tcPr>
            <w:tcW w:w="235" w:type="pct"/>
            <w:tcBorders>
              <w:top w:val="single" w:sz="4" w:space="0" w:color="auto"/>
              <w:left w:val="nil"/>
              <w:bottom w:val="nil"/>
              <w:right w:val="single" w:sz="4" w:space="0" w:color="auto"/>
            </w:tcBorders>
            <w:vAlign w:val="center"/>
            <w:hideMark/>
          </w:tcPr>
          <w:p w14:paraId="33519A0F"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1.</w:t>
            </w:r>
          </w:p>
        </w:tc>
        <w:tc>
          <w:tcPr>
            <w:tcW w:w="1787" w:type="pct"/>
            <w:tcBorders>
              <w:top w:val="single" w:sz="4" w:space="0" w:color="auto"/>
              <w:left w:val="single" w:sz="4" w:space="0" w:color="auto"/>
              <w:bottom w:val="nil"/>
              <w:right w:val="nil"/>
            </w:tcBorders>
            <w:vAlign w:val="center"/>
            <w:hideMark/>
          </w:tcPr>
          <w:p w14:paraId="5C8FFF39"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Hayatta kalmak açısından bir fark yaratmasa bile bir hastalığı tedavi etmek önemlidir.</w:t>
            </w:r>
          </w:p>
        </w:tc>
        <w:tc>
          <w:tcPr>
            <w:tcW w:w="457" w:type="pct"/>
            <w:tcBorders>
              <w:top w:val="single" w:sz="4" w:space="0" w:color="auto"/>
              <w:left w:val="nil"/>
              <w:bottom w:val="nil"/>
              <w:right w:val="nil"/>
            </w:tcBorders>
            <w:vAlign w:val="center"/>
            <w:hideMark/>
          </w:tcPr>
          <w:p w14:paraId="1B3F1C61"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tcBorders>
              <w:top w:val="single" w:sz="4" w:space="0" w:color="auto"/>
              <w:left w:val="nil"/>
              <w:bottom w:val="nil"/>
              <w:right w:val="nil"/>
            </w:tcBorders>
            <w:vAlign w:val="center"/>
            <w:hideMark/>
          </w:tcPr>
          <w:p w14:paraId="5F307394"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tcBorders>
              <w:top w:val="single" w:sz="4" w:space="0" w:color="auto"/>
              <w:left w:val="nil"/>
              <w:bottom w:val="nil"/>
              <w:right w:val="nil"/>
            </w:tcBorders>
            <w:vAlign w:val="center"/>
            <w:hideMark/>
          </w:tcPr>
          <w:p w14:paraId="60CED366"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tcBorders>
              <w:top w:val="single" w:sz="4" w:space="0" w:color="auto"/>
              <w:left w:val="nil"/>
              <w:bottom w:val="nil"/>
              <w:right w:val="nil"/>
            </w:tcBorders>
            <w:vAlign w:val="center"/>
            <w:hideMark/>
          </w:tcPr>
          <w:p w14:paraId="7990D9B3"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tcBorders>
              <w:top w:val="single" w:sz="4" w:space="0" w:color="auto"/>
              <w:left w:val="nil"/>
              <w:bottom w:val="nil"/>
              <w:right w:val="nil"/>
            </w:tcBorders>
            <w:vAlign w:val="center"/>
            <w:hideMark/>
          </w:tcPr>
          <w:p w14:paraId="44FCAC93"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tcBorders>
              <w:top w:val="single" w:sz="4" w:space="0" w:color="auto"/>
              <w:left w:val="nil"/>
              <w:bottom w:val="nil"/>
              <w:right w:val="nil"/>
            </w:tcBorders>
            <w:vAlign w:val="center"/>
            <w:hideMark/>
          </w:tcPr>
          <w:p w14:paraId="2C7569AE"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tcBorders>
              <w:top w:val="single" w:sz="4" w:space="0" w:color="auto"/>
              <w:left w:val="nil"/>
              <w:bottom w:val="nil"/>
              <w:right w:val="nil"/>
            </w:tcBorders>
            <w:vAlign w:val="center"/>
            <w:hideMark/>
          </w:tcPr>
          <w:p w14:paraId="2F640FBB"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r w:rsidR="005E06DE" w14:paraId="04A94D9A" w14:textId="77777777" w:rsidTr="007A7FA8">
        <w:trPr>
          <w:trHeight w:val="20"/>
        </w:trPr>
        <w:tc>
          <w:tcPr>
            <w:tcW w:w="235" w:type="pct"/>
            <w:tcBorders>
              <w:top w:val="nil"/>
              <w:left w:val="nil"/>
              <w:bottom w:val="nil"/>
              <w:right w:val="single" w:sz="4" w:space="0" w:color="auto"/>
            </w:tcBorders>
            <w:vAlign w:val="center"/>
            <w:hideMark/>
          </w:tcPr>
          <w:p w14:paraId="4AE67F78"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2.</w:t>
            </w:r>
          </w:p>
        </w:tc>
        <w:tc>
          <w:tcPr>
            <w:tcW w:w="1787" w:type="pct"/>
            <w:tcBorders>
              <w:top w:val="nil"/>
              <w:left w:val="single" w:sz="4" w:space="0" w:color="auto"/>
              <w:bottom w:val="nil"/>
              <w:right w:val="nil"/>
            </w:tcBorders>
            <w:vAlign w:val="center"/>
            <w:hideMark/>
          </w:tcPr>
          <w:p w14:paraId="07B50792"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Yaşam kalitesinde bir fark yaratmasa bile hastalığı tedavi etmek önemlidir.</w:t>
            </w:r>
          </w:p>
        </w:tc>
        <w:tc>
          <w:tcPr>
            <w:tcW w:w="457" w:type="pct"/>
            <w:vAlign w:val="center"/>
            <w:hideMark/>
          </w:tcPr>
          <w:p w14:paraId="46F031DF"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vAlign w:val="center"/>
            <w:hideMark/>
          </w:tcPr>
          <w:p w14:paraId="07B61CF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vAlign w:val="center"/>
            <w:hideMark/>
          </w:tcPr>
          <w:p w14:paraId="708116B9"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vAlign w:val="center"/>
            <w:hideMark/>
          </w:tcPr>
          <w:p w14:paraId="2351BAD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vAlign w:val="center"/>
            <w:hideMark/>
          </w:tcPr>
          <w:p w14:paraId="117A42F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vAlign w:val="center"/>
            <w:hideMark/>
          </w:tcPr>
          <w:p w14:paraId="1A66FA29"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vAlign w:val="center"/>
            <w:hideMark/>
          </w:tcPr>
          <w:p w14:paraId="7B97ABDE"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r w:rsidR="005E06DE" w14:paraId="1299DD3A" w14:textId="77777777" w:rsidTr="007A7FA8">
        <w:trPr>
          <w:trHeight w:val="20"/>
        </w:trPr>
        <w:tc>
          <w:tcPr>
            <w:tcW w:w="235" w:type="pct"/>
            <w:tcBorders>
              <w:top w:val="nil"/>
              <w:left w:val="nil"/>
              <w:bottom w:val="nil"/>
              <w:right w:val="single" w:sz="4" w:space="0" w:color="auto"/>
            </w:tcBorders>
            <w:vAlign w:val="center"/>
            <w:hideMark/>
          </w:tcPr>
          <w:p w14:paraId="6E12BA6D"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3.</w:t>
            </w:r>
          </w:p>
        </w:tc>
        <w:tc>
          <w:tcPr>
            <w:tcW w:w="1787" w:type="pct"/>
            <w:tcBorders>
              <w:top w:val="nil"/>
              <w:left w:val="single" w:sz="4" w:space="0" w:color="auto"/>
              <w:bottom w:val="nil"/>
              <w:right w:val="nil"/>
            </w:tcBorders>
            <w:vAlign w:val="center"/>
            <w:hideMark/>
          </w:tcPr>
          <w:p w14:paraId="5F86CB40"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Hastalıkla mücadele etmek için her şey yapılmalıdır.</w:t>
            </w:r>
          </w:p>
        </w:tc>
        <w:tc>
          <w:tcPr>
            <w:tcW w:w="457" w:type="pct"/>
            <w:vAlign w:val="center"/>
            <w:hideMark/>
          </w:tcPr>
          <w:p w14:paraId="51304691"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vAlign w:val="center"/>
            <w:hideMark/>
          </w:tcPr>
          <w:p w14:paraId="44100D3B"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vAlign w:val="center"/>
            <w:hideMark/>
          </w:tcPr>
          <w:p w14:paraId="36D8612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vAlign w:val="center"/>
            <w:hideMark/>
          </w:tcPr>
          <w:p w14:paraId="261320E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vAlign w:val="center"/>
            <w:hideMark/>
          </w:tcPr>
          <w:p w14:paraId="46E1352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vAlign w:val="center"/>
            <w:hideMark/>
          </w:tcPr>
          <w:p w14:paraId="48C1C63B"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vAlign w:val="center"/>
            <w:hideMark/>
          </w:tcPr>
          <w:p w14:paraId="4CDE98D4"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r w:rsidR="005E06DE" w14:paraId="16094314" w14:textId="77777777" w:rsidTr="007A7FA8">
        <w:trPr>
          <w:trHeight w:val="20"/>
        </w:trPr>
        <w:tc>
          <w:tcPr>
            <w:tcW w:w="235" w:type="pct"/>
            <w:tcBorders>
              <w:top w:val="nil"/>
              <w:left w:val="nil"/>
              <w:bottom w:val="nil"/>
              <w:right w:val="single" w:sz="4" w:space="0" w:color="auto"/>
            </w:tcBorders>
            <w:vAlign w:val="center"/>
            <w:hideMark/>
          </w:tcPr>
          <w:p w14:paraId="33C8B63D"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4.</w:t>
            </w:r>
          </w:p>
        </w:tc>
        <w:tc>
          <w:tcPr>
            <w:tcW w:w="1787" w:type="pct"/>
            <w:tcBorders>
              <w:top w:val="nil"/>
              <w:left w:val="single" w:sz="4" w:space="0" w:color="auto"/>
              <w:bottom w:val="nil"/>
              <w:right w:val="nil"/>
            </w:tcBorders>
            <w:vAlign w:val="center"/>
            <w:hideMark/>
          </w:tcPr>
          <w:p w14:paraId="36041688"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Sağlık söz konusu olduğunda yapılacak en sorumlu davranış aktif olarak tıbbi yardım almaktır.</w:t>
            </w:r>
          </w:p>
        </w:tc>
        <w:tc>
          <w:tcPr>
            <w:tcW w:w="457" w:type="pct"/>
            <w:vAlign w:val="center"/>
            <w:hideMark/>
          </w:tcPr>
          <w:p w14:paraId="55E1271D"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7" w:type="pct"/>
            <w:vAlign w:val="center"/>
            <w:hideMark/>
          </w:tcPr>
          <w:p w14:paraId="39A656DB"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8" w:type="pct"/>
            <w:vAlign w:val="center"/>
            <w:hideMark/>
          </w:tcPr>
          <w:p w14:paraId="3D5EE8CC"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536" w:type="pct"/>
            <w:vAlign w:val="center"/>
            <w:hideMark/>
          </w:tcPr>
          <w:p w14:paraId="7D15C0C2"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79" w:type="pct"/>
            <w:vAlign w:val="center"/>
            <w:hideMark/>
          </w:tcPr>
          <w:p w14:paraId="4690CCD6"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9" w:type="pct"/>
            <w:vAlign w:val="center"/>
            <w:hideMark/>
          </w:tcPr>
          <w:p w14:paraId="3C0EF90C"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2" w:type="pct"/>
            <w:vAlign w:val="center"/>
            <w:hideMark/>
          </w:tcPr>
          <w:p w14:paraId="257509E4"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r>
      <w:tr w:rsidR="005E06DE" w14:paraId="0350E75C" w14:textId="77777777" w:rsidTr="007A7FA8">
        <w:trPr>
          <w:trHeight w:val="20"/>
        </w:trPr>
        <w:tc>
          <w:tcPr>
            <w:tcW w:w="235" w:type="pct"/>
            <w:tcBorders>
              <w:top w:val="nil"/>
              <w:left w:val="nil"/>
              <w:bottom w:val="nil"/>
              <w:right w:val="single" w:sz="4" w:space="0" w:color="auto"/>
            </w:tcBorders>
            <w:vAlign w:val="center"/>
            <w:hideMark/>
          </w:tcPr>
          <w:p w14:paraId="7C5F022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5.</w:t>
            </w:r>
          </w:p>
        </w:tc>
        <w:tc>
          <w:tcPr>
            <w:tcW w:w="1787" w:type="pct"/>
            <w:tcBorders>
              <w:top w:val="nil"/>
              <w:left w:val="single" w:sz="4" w:space="0" w:color="auto"/>
              <w:bottom w:val="nil"/>
              <w:right w:val="nil"/>
            </w:tcBorders>
            <w:vAlign w:val="center"/>
            <w:hideMark/>
          </w:tcPr>
          <w:p w14:paraId="63E33CC1"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Kendimi sağlıklı hissetmediğimde yaptığım ilk iş doktora gidip reçete yazdırmaktır.</w:t>
            </w:r>
          </w:p>
        </w:tc>
        <w:tc>
          <w:tcPr>
            <w:tcW w:w="457" w:type="pct"/>
            <w:vAlign w:val="center"/>
            <w:hideMark/>
          </w:tcPr>
          <w:p w14:paraId="1F9EB22C"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7" w:type="pct"/>
            <w:vAlign w:val="center"/>
            <w:hideMark/>
          </w:tcPr>
          <w:p w14:paraId="262617B4"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8" w:type="pct"/>
            <w:vAlign w:val="center"/>
            <w:hideMark/>
          </w:tcPr>
          <w:p w14:paraId="1E682671"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536" w:type="pct"/>
            <w:vAlign w:val="center"/>
            <w:hideMark/>
          </w:tcPr>
          <w:p w14:paraId="1C976C8F"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79" w:type="pct"/>
            <w:vAlign w:val="center"/>
            <w:hideMark/>
          </w:tcPr>
          <w:p w14:paraId="782C6391"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9" w:type="pct"/>
            <w:vAlign w:val="center"/>
            <w:hideMark/>
          </w:tcPr>
          <w:p w14:paraId="59F4A5AA"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2" w:type="pct"/>
            <w:vAlign w:val="center"/>
            <w:hideMark/>
          </w:tcPr>
          <w:p w14:paraId="19844B7E"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r>
      <w:tr w:rsidR="005E06DE" w14:paraId="24C1F4D4" w14:textId="77777777" w:rsidTr="007A7FA8">
        <w:trPr>
          <w:trHeight w:val="20"/>
        </w:trPr>
        <w:tc>
          <w:tcPr>
            <w:tcW w:w="235" w:type="pct"/>
            <w:tcBorders>
              <w:top w:val="nil"/>
              <w:left w:val="nil"/>
              <w:bottom w:val="nil"/>
              <w:right w:val="single" w:sz="4" w:space="0" w:color="auto"/>
            </w:tcBorders>
            <w:vAlign w:val="center"/>
            <w:hideMark/>
          </w:tcPr>
          <w:p w14:paraId="51C86BF1"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6.</w:t>
            </w:r>
          </w:p>
        </w:tc>
        <w:tc>
          <w:tcPr>
            <w:tcW w:w="1787" w:type="pct"/>
            <w:tcBorders>
              <w:top w:val="nil"/>
              <w:left w:val="single" w:sz="4" w:space="0" w:color="auto"/>
              <w:bottom w:val="nil"/>
              <w:right w:val="nil"/>
            </w:tcBorders>
            <w:vAlign w:val="center"/>
            <w:hideMark/>
          </w:tcPr>
          <w:p w14:paraId="10E1ED40"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Sıklıkla aile ve arkadaşlarıma doktorlarıyla görüşmelerini öneririm.</w:t>
            </w:r>
          </w:p>
        </w:tc>
        <w:tc>
          <w:tcPr>
            <w:tcW w:w="457" w:type="pct"/>
            <w:vAlign w:val="center"/>
            <w:hideMark/>
          </w:tcPr>
          <w:p w14:paraId="46575B8F"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7" w:type="pct"/>
            <w:vAlign w:val="center"/>
            <w:hideMark/>
          </w:tcPr>
          <w:p w14:paraId="20605657"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458" w:type="pct"/>
            <w:vAlign w:val="center"/>
            <w:hideMark/>
          </w:tcPr>
          <w:p w14:paraId="2ADD15D5"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536" w:type="pct"/>
            <w:vAlign w:val="center"/>
            <w:hideMark/>
          </w:tcPr>
          <w:p w14:paraId="7E9B5821"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79" w:type="pct"/>
            <w:vAlign w:val="center"/>
            <w:hideMark/>
          </w:tcPr>
          <w:p w14:paraId="2890DC55"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9" w:type="pct"/>
            <w:vAlign w:val="center"/>
            <w:hideMark/>
          </w:tcPr>
          <w:p w14:paraId="5861638C"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c>
          <w:tcPr>
            <w:tcW w:w="342" w:type="pct"/>
            <w:vAlign w:val="center"/>
            <w:hideMark/>
          </w:tcPr>
          <w:p w14:paraId="2B34D451" w14:textId="77777777" w:rsidR="005E06DE" w:rsidRDefault="005E06DE" w:rsidP="007A7FA8">
            <w:pPr>
              <w:spacing w:after="0" w:line="240" w:lineRule="auto"/>
              <w:jc w:val="center"/>
              <w:rPr>
                <w:rFonts w:ascii="Wingdings 2" w:hAnsi="Wingdings 2" w:cs="Wingdings 2"/>
                <w:kern w:val="0"/>
                <w:sz w:val="32"/>
                <w:szCs w:val="32"/>
              </w:rPr>
            </w:pPr>
            <w:r>
              <w:rPr>
                <w:rFonts w:ascii="Wingdings 2" w:hAnsi="Wingdings 2" w:cs="Wingdings 2"/>
                <w:kern w:val="0"/>
                <w:sz w:val="32"/>
                <w:szCs w:val="32"/>
              </w:rPr>
              <w:t>£</w:t>
            </w:r>
          </w:p>
        </w:tc>
      </w:tr>
      <w:tr w:rsidR="005E06DE" w14:paraId="650A787D" w14:textId="77777777" w:rsidTr="007A7FA8">
        <w:trPr>
          <w:trHeight w:val="20"/>
        </w:trPr>
        <w:tc>
          <w:tcPr>
            <w:tcW w:w="235" w:type="pct"/>
            <w:tcBorders>
              <w:top w:val="nil"/>
              <w:left w:val="nil"/>
              <w:bottom w:val="nil"/>
              <w:right w:val="single" w:sz="4" w:space="0" w:color="auto"/>
            </w:tcBorders>
            <w:vAlign w:val="center"/>
            <w:hideMark/>
          </w:tcPr>
          <w:p w14:paraId="3FDA34D8"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7.</w:t>
            </w:r>
          </w:p>
        </w:tc>
        <w:tc>
          <w:tcPr>
            <w:tcW w:w="1787" w:type="pct"/>
            <w:tcBorders>
              <w:top w:val="nil"/>
              <w:left w:val="single" w:sz="4" w:space="0" w:color="auto"/>
              <w:bottom w:val="nil"/>
              <w:right w:val="nil"/>
            </w:tcBorders>
            <w:vAlign w:val="center"/>
            <w:hideMark/>
          </w:tcPr>
          <w:p w14:paraId="312A156A"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Konu sağlık olunca bekleyip görmek asla kabul edilebilir bir seçenek değildir.</w:t>
            </w:r>
          </w:p>
        </w:tc>
        <w:tc>
          <w:tcPr>
            <w:tcW w:w="457" w:type="pct"/>
            <w:vAlign w:val="center"/>
            <w:hideMark/>
          </w:tcPr>
          <w:p w14:paraId="36846045"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vAlign w:val="center"/>
            <w:hideMark/>
          </w:tcPr>
          <w:p w14:paraId="0F6E0BF7"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vAlign w:val="center"/>
            <w:hideMark/>
          </w:tcPr>
          <w:p w14:paraId="0BCDAE7E"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vAlign w:val="center"/>
            <w:hideMark/>
          </w:tcPr>
          <w:p w14:paraId="6CABCE3E"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vAlign w:val="center"/>
            <w:hideMark/>
          </w:tcPr>
          <w:p w14:paraId="161422C0"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vAlign w:val="center"/>
            <w:hideMark/>
          </w:tcPr>
          <w:p w14:paraId="1D85EDE7"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vAlign w:val="center"/>
            <w:hideMark/>
          </w:tcPr>
          <w:p w14:paraId="36047BB4"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r w:rsidR="005E06DE" w14:paraId="27EBC625" w14:textId="77777777" w:rsidTr="007A7FA8">
        <w:trPr>
          <w:trHeight w:val="20"/>
        </w:trPr>
        <w:tc>
          <w:tcPr>
            <w:tcW w:w="235" w:type="pct"/>
            <w:tcBorders>
              <w:top w:val="nil"/>
              <w:left w:val="nil"/>
              <w:bottom w:val="nil"/>
              <w:right w:val="single" w:sz="4" w:space="0" w:color="auto"/>
            </w:tcBorders>
            <w:vAlign w:val="center"/>
            <w:hideMark/>
          </w:tcPr>
          <w:p w14:paraId="5DBD33EB"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8.</w:t>
            </w:r>
          </w:p>
        </w:tc>
        <w:tc>
          <w:tcPr>
            <w:tcW w:w="1787" w:type="pct"/>
            <w:tcBorders>
              <w:top w:val="nil"/>
              <w:left w:val="single" w:sz="4" w:space="0" w:color="auto"/>
              <w:bottom w:val="nil"/>
              <w:right w:val="nil"/>
            </w:tcBorders>
            <w:vAlign w:val="center"/>
            <w:hideMark/>
          </w:tcPr>
          <w:p w14:paraId="3E7D966A"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Bir hastalığım olduğunda doğrudan doktora giderek görüşünü almayı tercih ederim.</w:t>
            </w:r>
          </w:p>
        </w:tc>
        <w:tc>
          <w:tcPr>
            <w:tcW w:w="457" w:type="pct"/>
            <w:vAlign w:val="center"/>
            <w:hideMark/>
          </w:tcPr>
          <w:p w14:paraId="73002464"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vAlign w:val="center"/>
            <w:hideMark/>
          </w:tcPr>
          <w:p w14:paraId="6780FFE5"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vAlign w:val="center"/>
            <w:hideMark/>
          </w:tcPr>
          <w:p w14:paraId="5AE5DFDD"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vAlign w:val="center"/>
            <w:hideMark/>
          </w:tcPr>
          <w:p w14:paraId="3FC9FBCD"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vAlign w:val="center"/>
            <w:hideMark/>
          </w:tcPr>
          <w:p w14:paraId="42CDAB2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vAlign w:val="center"/>
            <w:hideMark/>
          </w:tcPr>
          <w:p w14:paraId="672B1203"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vAlign w:val="center"/>
            <w:hideMark/>
          </w:tcPr>
          <w:p w14:paraId="7A5EF50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r w:rsidR="005E06DE" w14:paraId="5DBACE50" w14:textId="77777777" w:rsidTr="007A7FA8">
        <w:trPr>
          <w:trHeight w:val="20"/>
        </w:trPr>
        <w:tc>
          <w:tcPr>
            <w:tcW w:w="235" w:type="pct"/>
            <w:tcBorders>
              <w:top w:val="nil"/>
              <w:left w:val="nil"/>
              <w:bottom w:val="single" w:sz="4" w:space="0" w:color="auto"/>
              <w:right w:val="single" w:sz="4" w:space="0" w:color="auto"/>
            </w:tcBorders>
            <w:vAlign w:val="center"/>
            <w:hideMark/>
          </w:tcPr>
          <w:p w14:paraId="1B1D4BCA"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Theme="minorBidi" w:eastAsia="Times New Roman" w:hAnsiTheme="minorBidi"/>
                <w:color w:val="000000"/>
                <w:kern w:val="0"/>
                <w:sz w:val="20"/>
                <w:szCs w:val="20"/>
                <w:lang w:val="en-US" w:eastAsia="tr-TR"/>
                <w14:ligatures w14:val="none"/>
              </w:rPr>
              <w:t>9.</w:t>
            </w:r>
          </w:p>
        </w:tc>
        <w:tc>
          <w:tcPr>
            <w:tcW w:w="1787" w:type="pct"/>
            <w:tcBorders>
              <w:top w:val="nil"/>
              <w:left w:val="single" w:sz="4" w:space="0" w:color="auto"/>
              <w:bottom w:val="single" w:sz="4" w:space="0" w:color="auto"/>
              <w:right w:val="nil"/>
            </w:tcBorders>
            <w:vAlign w:val="center"/>
            <w:hideMark/>
          </w:tcPr>
          <w:p w14:paraId="4DF14FC3" w14:textId="77777777" w:rsidR="005E06DE" w:rsidRDefault="005E06DE" w:rsidP="007A7FA8">
            <w:pPr>
              <w:spacing w:after="0" w:line="240" w:lineRule="auto"/>
              <w:rPr>
                <w:rFonts w:asciiTheme="minorBidi" w:eastAsia="Times New Roman" w:hAnsiTheme="minorBidi"/>
                <w:color w:val="000000"/>
                <w:kern w:val="0"/>
                <w:sz w:val="20"/>
                <w:szCs w:val="20"/>
                <w:lang w:eastAsia="tr-TR"/>
                <w14:ligatures w14:val="none"/>
              </w:rPr>
            </w:pPr>
            <w:r>
              <w:rPr>
                <w:rFonts w:asciiTheme="minorBidi" w:eastAsia="Times New Roman" w:hAnsiTheme="minorBidi"/>
                <w:color w:val="000000"/>
                <w:kern w:val="0"/>
                <w:sz w:val="20"/>
                <w:szCs w:val="20"/>
                <w:lang w:eastAsia="tr-TR"/>
                <w14:ligatures w14:val="none"/>
              </w:rPr>
              <w:t>Konu tıbbi tedavi olduğunda daha fazla sağlık hizmeti almak daha iyidir.</w:t>
            </w:r>
          </w:p>
        </w:tc>
        <w:tc>
          <w:tcPr>
            <w:tcW w:w="457" w:type="pct"/>
            <w:tcBorders>
              <w:top w:val="nil"/>
              <w:left w:val="nil"/>
              <w:bottom w:val="single" w:sz="4" w:space="0" w:color="auto"/>
              <w:right w:val="nil"/>
            </w:tcBorders>
            <w:vAlign w:val="center"/>
            <w:hideMark/>
          </w:tcPr>
          <w:p w14:paraId="3D8DBB57"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7" w:type="pct"/>
            <w:tcBorders>
              <w:top w:val="nil"/>
              <w:left w:val="nil"/>
              <w:bottom w:val="single" w:sz="4" w:space="0" w:color="auto"/>
              <w:right w:val="nil"/>
            </w:tcBorders>
            <w:vAlign w:val="center"/>
            <w:hideMark/>
          </w:tcPr>
          <w:p w14:paraId="0158C7B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458" w:type="pct"/>
            <w:tcBorders>
              <w:top w:val="nil"/>
              <w:left w:val="nil"/>
              <w:bottom w:val="single" w:sz="4" w:space="0" w:color="auto"/>
              <w:right w:val="nil"/>
            </w:tcBorders>
            <w:vAlign w:val="center"/>
            <w:hideMark/>
          </w:tcPr>
          <w:p w14:paraId="45F32394"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536" w:type="pct"/>
            <w:tcBorders>
              <w:top w:val="nil"/>
              <w:left w:val="nil"/>
              <w:bottom w:val="single" w:sz="4" w:space="0" w:color="auto"/>
              <w:right w:val="nil"/>
            </w:tcBorders>
            <w:vAlign w:val="center"/>
            <w:hideMark/>
          </w:tcPr>
          <w:p w14:paraId="1BA8CC05"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79" w:type="pct"/>
            <w:tcBorders>
              <w:top w:val="nil"/>
              <w:left w:val="nil"/>
              <w:bottom w:val="single" w:sz="4" w:space="0" w:color="auto"/>
              <w:right w:val="nil"/>
            </w:tcBorders>
            <w:vAlign w:val="center"/>
            <w:hideMark/>
          </w:tcPr>
          <w:p w14:paraId="35A7A64C"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9" w:type="pct"/>
            <w:tcBorders>
              <w:top w:val="nil"/>
              <w:left w:val="nil"/>
              <w:bottom w:val="single" w:sz="4" w:space="0" w:color="auto"/>
              <w:right w:val="nil"/>
            </w:tcBorders>
            <w:vAlign w:val="center"/>
            <w:hideMark/>
          </w:tcPr>
          <w:p w14:paraId="7BA37A36"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c>
          <w:tcPr>
            <w:tcW w:w="342" w:type="pct"/>
            <w:tcBorders>
              <w:top w:val="nil"/>
              <w:left w:val="nil"/>
              <w:bottom w:val="single" w:sz="4" w:space="0" w:color="auto"/>
              <w:right w:val="nil"/>
            </w:tcBorders>
            <w:vAlign w:val="center"/>
            <w:hideMark/>
          </w:tcPr>
          <w:p w14:paraId="49946A32" w14:textId="77777777" w:rsidR="005E06DE" w:rsidRDefault="005E06DE" w:rsidP="007A7FA8">
            <w:pPr>
              <w:spacing w:after="0" w:line="240" w:lineRule="auto"/>
              <w:jc w:val="center"/>
              <w:rPr>
                <w:rFonts w:asciiTheme="minorBidi" w:eastAsia="Times New Roman" w:hAnsiTheme="minorBidi"/>
                <w:color w:val="000000"/>
                <w:kern w:val="0"/>
                <w:sz w:val="20"/>
                <w:szCs w:val="20"/>
                <w:lang w:val="en-US" w:eastAsia="tr-TR"/>
                <w14:ligatures w14:val="none"/>
              </w:rPr>
            </w:pPr>
            <w:r>
              <w:rPr>
                <w:rFonts w:ascii="Wingdings 2" w:hAnsi="Wingdings 2" w:cs="Wingdings 2"/>
                <w:kern w:val="0"/>
                <w:sz w:val="32"/>
                <w:szCs w:val="32"/>
              </w:rPr>
              <w:t>£</w:t>
            </w:r>
          </w:p>
        </w:tc>
      </w:tr>
    </w:tbl>
    <w:p w14:paraId="448899B4" w14:textId="77777777" w:rsidR="005E06DE" w:rsidRDefault="005E06DE" w:rsidP="009B4601">
      <w:pPr>
        <w:pStyle w:val="font-claude-response-body"/>
        <w:jc w:val="both"/>
      </w:pPr>
    </w:p>
    <w:p w14:paraId="70AB525E" w14:textId="77777777" w:rsidR="005E06DE" w:rsidRDefault="005E06DE" w:rsidP="009B4601">
      <w:pPr>
        <w:pStyle w:val="font-claude-response-body"/>
        <w:jc w:val="both"/>
      </w:pPr>
    </w:p>
    <w:p w14:paraId="223372F4" w14:textId="77777777" w:rsidR="005E06DE" w:rsidRDefault="005E06DE">
      <w:pPr>
        <w:spacing w:line="259" w:lineRule="auto"/>
        <w:rPr>
          <w:rFonts w:eastAsia="Times New Roman" w:cs="Times New Roman"/>
          <w:kern w:val="0"/>
          <w:sz w:val="24"/>
          <w:szCs w:val="24"/>
          <w:lang w:eastAsia="tr-TR"/>
          <w14:ligatures w14:val="none"/>
        </w:rPr>
      </w:pPr>
      <w:r>
        <w:br w:type="page"/>
      </w:r>
    </w:p>
    <w:p w14:paraId="74F0FDC1" w14:textId="5F4F7544" w:rsidR="005E06DE" w:rsidRPr="005E06DE" w:rsidRDefault="005E06DE" w:rsidP="005E06DE">
      <w:pPr>
        <w:pStyle w:val="font-claude-response-body"/>
        <w:jc w:val="center"/>
        <w:rPr>
          <w:b/>
          <w:bCs/>
        </w:rPr>
      </w:pPr>
      <w:r>
        <w:rPr>
          <w:b/>
          <w:bCs/>
        </w:rPr>
        <w:lastRenderedPageBreak/>
        <w:t>AÇIKLAMALAR</w:t>
      </w:r>
    </w:p>
    <w:p w14:paraId="2016F3F3" w14:textId="55067CDD" w:rsidR="009B4601" w:rsidRDefault="009B4601" w:rsidP="009B4601">
      <w:pPr>
        <w:pStyle w:val="font-claude-response-body"/>
        <w:jc w:val="both"/>
      </w:pPr>
      <w:r>
        <w:t>Sağlık Hizmeti Kullanımında Çoğaltıcı-Azaltıcı Eğilim Ölçeği (ÇAEÖ), bireylerin sağlık hizmetlerine yönelik genel tutum ve tercihlerini değerlendiren 9 maddelik bir öz bildirim aracıdır. Ölçek 7'li Likert tipinde (1 = Kesinlikle katılmıyorum, 7 = Kesinlikle katılıyorum) yanıtlanmakta olup puanlama maddelerin ortalaması üzerinden yapılması önerilmektedir.</w:t>
      </w:r>
    </w:p>
    <w:p w14:paraId="2B9970F8" w14:textId="6A16AC16" w:rsidR="009B4601" w:rsidRDefault="00837DF5" w:rsidP="009B4601">
      <w:pPr>
        <w:pStyle w:val="font-claude-response-body"/>
        <w:jc w:val="both"/>
      </w:pPr>
      <w:r w:rsidRPr="00837DF5">
        <w:rPr>
          <w:b/>
          <w:bCs/>
        </w:rPr>
        <w:t>Çoğaltıcı-Azaltıcı Genel Eğilim</w:t>
      </w:r>
      <w:r>
        <w:rPr>
          <w:rStyle w:val="Gl"/>
        </w:rPr>
        <w:t xml:space="preserve"> (Genel Skor)</w:t>
      </w:r>
      <w:r w:rsidR="009B4601">
        <w:rPr>
          <w:rStyle w:val="Gl"/>
        </w:rPr>
        <w:t xml:space="preserve"> (9 madde, Madde 1–9):</w:t>
      </w:r>
      <w:r w:rsidR="009B4601">
        <w:t xml:space="preserve"> Bireyin genel çoğaltıcı-azaltıcı eğilimini yansıtır. Genel skordan alınan puanın artması, bireyin sağlık hizmetlerini daha yoğun kullanma ve tıbbi müdahaleye yönelik daha güçlü bir tercih (çoğaltıcı eğilim) taşıdığını gösterir; düşük puanlar ise bireyin gereksiz tıbbi müdahaleden kaçınma ve beklemeyi tercih etme eğiliminde (azaltıcı eğilim) olduğunu ifade eder.</w:t>
      </w:r>
    </w:p>
    <w:p w14:paraId="388F9CB5" w14:textId="77777777" w:rsidR="009B4601" w:rsidRDefault="009B4601" w:rsidP="009B4601">
      <w:pPr>
        <w:pStyle w:val="font-claude-response-body"/>
        <w:jc w:val="both"/>
      </w:pPr>
      <w:r>
        <w:rPr>
          <w:rStyle w:val="Gl"/>
        </w:rPr>
        <w:t>Genelci Görüş Alt Boyutu (Madde 1–4):</w:t>
      </w:r>
      <w:r>
        <w:t xml:space="preserve"> Tıbbi müdahalenin içsel değerine yönelik soyut felsefi yönelimi ölçer. Bu alt boyuttan alınan puanın artması, bireyin yaşam süresine veya yaşam kalitesine kanıtlanmış katkısı olup olmadığından bağımsız olarak tıbbi tedavinin doğası gereği değerli olduğuna dair daha güçlü bir inanca sahip olduğunu gösterir. Bu alt boyut yeterli güvenirlik ve yapı tekrarlanabilirlik değerlerine sahip olup bağımsız bir gösterge olarak kullanılabilir.</w:t>
      </w:r>
    </w:p>
    <w:p w14:paraId="787B9195" w14:textId="42618E91" w:rsidR="009B4601" w:rsidRDefault="009B4601" w:rsidP="009B4601">
      <w:pPr>
        <w:pStyle w:val="font-claude-response-body"/>
        <w:jc w:val="both"/>
      </w:pPr>
      <w:r>
        <w:rPr>
          <w:rStyle w:val="Gl"/>
        </w:rPr>
        <w:t>Bireyci Görüş Alt Boyutu (Madde 5–9):</w:t>
      </w:r>
      <w:r>
        <w:t xml:space="preserve"> Bireyin somut ve eyleme dönük sağlık arama davranışı tercihlerini ölçer. Bu alt boyuttan alınan puanın artması, bireyin bir sağlık sorunu karşısında hızla reçete, tedavi veya hekim konsültasyonu arama eğiliminin daha güçlü olduğunu gösterir. Ancak bifaktör diagnostik değerleri (ωH-alt boyut = 0.287, H = 0.553) bu alt boyuttaki güvenilir varyansın büyük bölümünün genel faktöre ait olduğunu ortaya koymaktadır. Bu nedenle Bireyci Görüş alt boyutu tek başına bağımsız bir gösterge olarak kullanılmamalı, genel skorla birlikte yorumlanmalıdır.</w:t>
      </w:r>
    </w:p>
    <w:p w14:paraId="33A72D83" w14:textId="2D69A29C" w:rsidR="005E06DE" w:rsidRDefault="005E06DE" w:rsidP="009B4601">
      <w:pPr>
        <w:pStyle w:val="font-claude-response-body"/>
        <w:jc w:val="both"/>
      </w:pPr>
      <w:r>
        <w:t>Ölçeğin güvenilirlik skorları şu şekildedir: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977"/>
        <w:gridCol w:w="992"/>
        <w:gridCol w:w="993"/>
        <w:gridCol w:w="850"/>
        <w:gridCol w:w="987"/>
      </w:tblGrid>
      <w:tr w:rsidR="005E06DE" w14:paraId="142491A9" w14:textId="77777777" w:rsidTr="005E06DE">
        <w:tc>
          <w:tcPr>
            <w:tcW w:w="2263" w:type="dxa"/>
            <w:tcBorders>
              <w:bottom w:val="single" w:sz="4" w:space="0" w:color="auto"/>
            </w:tcBorders>
            <w:vAlign w:val="center"/>
          </w:tcPr>
          <w:p w14:paraId="1D8066B6" w14:textId="0C75DAA6" w:rsidR="005E06DE" w:rsidRPr="005E06DE" w:rsidRDefault="005E06DE" w:rsidP="005E06DE">
            <w:pPr>
              <w:pStyle w:val="font-claude-response-body"/>
              <w:jc w:val="center"/>
              <w:rPr>
                <w:sz w:val="16"/>
                <w:szCs w:val="16"/>
              </w:rPr>
            </w:pPr>
            <w:r w:rsidRPr="005E06DE">
              <w:rPr>
                <w:b/>
                <w:bCs/>
                <w:sz w:val="16"/>
                <w:szCs w:val="16"/>
              </w:rPr>
              <w:t>Boyut</w:t>
            </w:r>
          </w:p>
        </w:tc>
        <w:tc>
          <w:tcPr>
            <w:tcW w:w="2977" w:type="dxa"/>
            <w:tcBorders>
              <w:bottom w:val="single" w:sz="4" w:space="0" w:color="auto"/>
            </w:tcBorders>
            <w:vAlign w:val="center"/>
          </w:tcPr>
          <w:p w14:paraId="61F11860" w14:textId="03D9C927" w:rsidR="005E06DE" w:rsidRPr="005E06DE" w:rsidRDefault="005E06DE" w:rsidP="005E06DE">
            <w:pPr>
              <w:pStyle w:val="font-claude-response-body"/>
              <w:jc w:val="center"/>
              <w:rPr>
                <w:sz w:val="16"/>
                <w:szCs w:val="16"/>
              </w:rPr>
            </w:pPr>
            <w:r w:rsidRPr="005E06DE">
              <w:rPr>
                <w:b/>
                <w:bCs/>
                <w:sz w:val="16"/>
                <w:szCs w:val="16"/>
              </w:rPr>
              <w:t xml:space="preserve">Cronbach </w:t>
            </w:r>
            <w:r>
              <w:rPr>
                <w:b/>
                <w:bCs/>
                <w:sz w:val="16"/>
                <w:szCs w:val="16"/>
              </w:rPr>
              <w:t>Alpha</w:t>
            </w:r>
            <w:r w:rsidRPr="005E06DE">
              <w:rPr>
                <w:b/>
                <w:bCs/>
                <w:sz w:val="16"/>
                <w:szCs w:val="16"/>
              </w:rPr>
              <w:t xml:space="preserve"> </w:t>
            </w:r>
          </w:p>
        </w:tc>
        <w:tc>
          <w:tcPr>
            <w:tcW w:w="992" w:type="dxa"/>
            <w:tcBorders>
              <w:bottom w:val="single" w:sz="4" w:space="0" w:color="auto"/>
            </w:tcBorders>
            <w:vAlign w:val="center"/>
          </w:tcPr>
          <w:p w14:paraId="794106EB" w14:textId="7D3CCE64" w:rsidR="005E06DE" w:rsidRPr="005E06DE" w:rsidRDefault="005E06DE" w:rsidP="005E06DE">
            <w:pPr>
              <w:pStyle w:val="font-claude-response-body"/>
              <w:jc w:val="center"/>
              <w:rPr>
                <w:sz w:val="16"/>
                <w:szCs w:val="16"/>
              </w:rPr>
            </w:pPr>
            <w:r w:rsidRPr="005E06DE">
              <w:rPr>
                <w:b/>
                <w:bCs/>
                <w:sz w:val="16"/>
                <w:szCs w:val="16"/>
              </w:rPr>
              <w:t>CR</w:t>
            </w:r>
          </w:p>
        </w:tc>
        <w:tc>
          <w:tcPr>
            <w:tcW w:w="993" w:type="dxa"/>
            <w:tcBorders>
              <w:bottom w:val="single" w:sz="4" w:space="0" w:color="auto"/>
            </w:tcBorders>
            <w:vAlign w:val="center"/>
          </w:tcPr>
          <w:p w14:paraId="4EB362BA" w14:textId="20C6DBF9" w:rsidR="005E06DE" w:rsidRPr="005E06DE" w:rsidRDefault="005E06DE" w:rsidP="005E06DE">
            <w:pPr>
              <w:pStyle w:val="font-claude-response-body"/>
              <w:jc w:val="center"/>
              <w:rPr>
                <w:sz w:val="16"/>
                <w:szCs w:val="16"/>
              </w:rPr>
            </w:pPr>
            <w:r w:rsidRPr="005E06DE">
              <w:rPr>
                <w:b/>
                <w:bCs/>
                <w:sz w:val="16"/>
                <w:szCs w:val="16"/>
              </w:rPr>
              <w:t>AVE</w:t>
            </w:r>
          </w:p>
        </w:tc>
        <w:tc>
          <w:tcPr>
            <w:tcW w:w="850" w:type="dxa"/>
            <w:tcBorders>
              <w:bottom w:val="single" w:sz="4" w:space="0" w:color="auto"/>
            </w:tcBorders>
            <w:vAlign w:val="center"/>
          </w:tcPr>
          <w:p w14:paraId="52DF4F10" w14:textId="07F1ACDD" w:rsidR="005E06DE" w:rsidRPr="005E06DE" w:rsidRDefault="005E06DE" w:rsidP="005E06DE">
            <w:pPr>
              <w:pStyle w:val="font-claude-response-body"/>
              <w:jc w:val="center"/>
              <w:rPr>
                <w:sz w:val="16"/>
                <w:szCs w:val="16"/>
              </w:rPr>
            </w:pPr>
            <w:r w:rsidRPr="005E06DE">
              <w:rPr>
                <w:b/>
                <w:bCs/>
                <w:sz w:val="16"/>
                <w:szCs w:val="16"/>
              </w:rPr>
              <w:t>ω</w:t>
            </w:r>
          </w:p>
        </w:tc>
        <w:tc>
          <w:tcPr>
            <w:tcW w:w="987" w:type="dxa"/>
            <w:tcBorders>
              <w:bottom w:val="single" w:sz="4" w:space="0" w:color="auto"/>
            </w:tcBorders>
            <w:vAlign w:val="center"/>
          </w:tcPr>
          <w:p w14:paraId="5BE8FC51" w14:textId="5D813FBF" w:rsidR="005E06DE" w:rsidRPr="005E06DE" w:rsidRDefault="005E06DE" w:rsidP="005E06DE">
            <w:pPr>
              <w:pStyle w:val="font-claude-response-body"/>
              <w:jc w:val="center"/>
              <w:rPr>
                <w:sz w:val="16"/>
                <w:szCs w:val="16"/>
              </w:rPr>
            </w:pPr>
            <w:r w:rsidRPr="005E06DE">
              <w:rPr>
                <w:b/>
                <w:bCs/>
                <w:sz w:val="16"/>
                <w:szCs w:val="16"/>
              </w:rPr>
              <w:t>H İndeksi</w:t>
            </w:r>
          </w:p>
        </w:tc>
      </w:tr>
      <w:tr w:rsidR="005E06DE" w14:paraId="24271360" w14:textId="77777777" w:rsidTr="005E06DE">
        <w:tc>
          <w:tcPr>
            <w:tcW w:w="2263" w:type="dxa"/>
            <w:tcBorders>
              <w:top w:val="single" w:sz="4" w:space="0" w:color="auto"/>
            </w:tcBorders>
            <w:vAlign w:val="center"/>
          </w:tcPr>
          <w:p w14:paraId="59F4B8E4" w14:textId="42777BB2" w:rsidR="005E06DE" w:rsidRPr="005E06DE" w:rsidRDefault="005E06DE" w:rsidP="005E06DE">
            <w:pPr>
              <w:pStyle w:val="font-claude-response-body"/>
              <w:jc w:val="center"/>
              <w:rPr>
                <w:sz w:val="16"/>
                <w:szCs w:val="16"/>
              </w:rPr>
            </w:pPr>
            <w:r w:rsidRPr="005E06DE">
              <w:rPr>
                <w:rStyle w:val="Gl"/>
                <w:sz w:val="16"/>
                <w:szCs w:val="16"/>
              </w:rPr>
              <w:t>Genel Skor (9 madde)</w:t>
            </w:r>
          </w:p>
        </w:tc>
        <w:tc>
          <w:tcPr>
            <w:tcW w:w="2977" w:type="dxa"/>
            <w:tcBorders>
              <w:top w:val="single" w:sz="4" w:space="0" w:color="auto"/>
            </w:tcBorders>
            <w:vAlign w:val="center"/>
          </w:tcPr>
          <w:p w14:paraId="1C65DB05" w14:textId="5DC258E9" w:rsidR="005E06DE" w:rsidRPr="005E06DE" w:rsidRDefault="005E06DE" w:rsidP="005E06DE">
            <w:pPr>
              <w:pStyle w:val="font-claude-response-body"/>
              <w:jc w:val="center"/>
              <w:rPr>
                <w:sz w:val="16"/>
                <w:szCs w:val="16"/>
              </w:rPr>
            </w:pPr>
            <w:r w:rsidRPr="005E06DE">
              <w:rPr>
                <w:sz w:val="16"/>
                <w:szCs w:val="16"/>
              </w:rPr>
              <w:t>0.78</w:t>
            </w:r>
          </w:p>
        </w:tc>
        <w:tc>
          <w:tcPr>
            <w:tcW w:w="992" w:type="dxa"/>
            <w:tcBorders>
              <w:top w:val="single" w:sz="4" w:space="0" w:color="auto"/>
            </w:tcBorders>
            <w:vAlign w:val="center"/>
          </w:tcPr>
          <w:p w14:paraId="0A9020A4" w14:textId="016E827F" w:rsidR="005E06DE" w:rsidRPr="005E06DE" w:rsidRDefault="005E06DE" w:rsidP="005E06DE">
            <w:pPr>
              <w:pStyle w:val="font-claude-response-body"/>
              <w:jc w:val="center"/>
              <w:rPr>
                <w:sz w:val="16"/>
                <w:szCs w:val="16"/>
              </w:rPr>
            </w:pPr>
            <w:r w:rsidRPr="005E06DE">
              <w:rPr>
                <w:sz w:val="16"/>
                <w:szCs w:val="16"/>
              </w:rPr>
              <w:t>0.92</w:t>
            </w:r>
          </w:p>
        </w:tc>
        <w:tc>
          <w:tcPr>
            <w:tcW w:w="993" w:type="dxa"/>
            <w:tcBorders>
              <w:top w:val="single" w:sz="4" w:space="0" w:color="auto"/>
            </w:tcBorders>
            <w:vAlign w:val="center"/>
          </w:tcPr>
          <w:p w14:paraId="5640F48A" w14:textId="0790EDF9" w:rsidR="005E06DE" w:rsidRPr="005E06DE" w:rsidRDefault="005E06DE" w:rsidP="005E06DE">
            <w:pPr>
              <w:pStyle w:val="font-claude-response-body"/>
              <w:jc w:val="center"/>
              <w:rPr>
                <w:sz w:val="16"/>
                <w:szCs w:val="16"/>
              </w:rPr>
            </w:pPr>
            <w:r w:rsidRPr="005E06DE">
              <w:rPr>
                <w:sz w:val="16"/>
                <w:szCs w:val="16"/>
              </w:rPr>
              <w:t>0.55</w:t>
            </w:r>
          </w:p>
        </w:tc>
        <w:tc>
          <w:tcPr>
            <w:tcW w:w="850" w:type="dxa"/>
            <w:tcBorders>
              <w:top w:val="single" w:sz="4" w:space="0" w:color="auto"/>
            </w:tcBorders>
            <w:vAlign w:val="center"/>
          </w:tcPr>
          <w:p w14:paraId="14F23E7B" w14:textId="5E0626E6" w:rsidR="005E06DE" w:rsidRPr="005E06DE" w:rsidRDefault="005E06DE" w:rsidP="005E06DE">
            <w:pPr>
              <w:pStyle w:val="font-claude-response-body"/>
              <w:jc w:val="center"/>
              <w:rPr>
                <w:sz w:val="16"/>
                <w:szCs w:val="16"/>
              </w:rPr>
            </w:pPr>
            <w:r w:rsidRPr="005E06DE">
              <w:rPr>
                <w:sz w:val="16"/>
                <w:szCs w:val="16"/>
              </w:rPr>
              <w:t>0.535</w:t>
            </w:r>
          </w:p>
        </w:tc>
        <w:tc>
          <w:tcPr>
            <w:tcW w:w="987" w:type="dxa"/>
            <w:tcBorders>
              <w:top w:val="single" w:sz="4" w:space="0" w:color="auto"/>
            </w:tcBorders>
            <w:vAlign w:val="center"/>
          </w:tcPr>
          <w:p w14:paraId="2C53C130" w14:textId="2D0F28CC" w:rsidR="005E06DE" w:rsidRPr="005E06DE" w:rsidRDefault="005E06DE" w:rsidP="005E06DE">
            <w:pPr>
              <w:pStyle w:val="font-claude-response-body"/>
              <w:jc w:val="center"/>
              <w:rPr>
                <w:sz w:val="16"/>
                <w:szCs w:val="16"/>
              </w:rPr>
            </w:pPr>
            <w:r w:rsidRPr="005E06DE">
              <w:rPr>
                <w:sz w:val="16"/>
                <w:szCs w:val="16"/>
              </w:rPr>
              <w:t>0.722</w:t>
            </w:r>
          </w:p>
        </w:tc>
      </w:tr>
      <w:tr w:rsidR="005E06DE" w14:paraId="1AFEFA30" w14:textId="77777777" w:rsidTr="005E06DE">
        <w:tc>
          <w:tcPr>
            <w:tcW w:w="2263" w:type="dxa"/>
            <w:vAlign w:val="center"/>
          </w:tcPr>
          <w:p w14:paraId="0A1F018D" w14:textId="399CF72C" w:rsidR="005E06DE" w:rsidRPr="005E06DE" w:rsidRDefault="005E06DE" w:rsidP="005E06DE">
            <w:pPr>
              <w:pStyle w:val="font-claude-response-body"/>
              <w:jc w:val="center"/>
              <w:rPr>
                <w:sz w:val="16"/>
                <w:szCs w:val="16"/>
              </w:rPr>
            </w:pPr>
            <w:r w:rsidRPr="005E06DE">
              <w:rPr>
                <w:rStyle w:val="Gl"/>
                <w:sz w:val="16"/>
                <w:szCs w:val="16"/>
              </w:rPr>
              <w:t>Genelci Görüş (Madde 1–4)</w:t>
            </w:r>
          </w:p>
        </w:tc>
        <w:tc>
          <w:tcPr>
            <w:tcW w:w="2977" w:type="dxa"/>
            <w:vAlign w:val="center"/>
          </w:tcPr>
          <w:p w14:paraId="628B3020" w14:textId="55C31D63" w:rsidR="005E06DE" w:rsidRPr="005E06DE" w:rsidRDefault="005E06DE" w:rsidP="005E06DE">
            <w:pPr>
              <w:pStyle w:val="font-claude-response-body"/>
              <w:jc w:val="center"/>
              <w:rPr>
                <w:sz w:val="16"/>
                <w:szCs w:val="16"/>
              </w:rPr>
            </w:pPr>
            <w:r w:rsidRPr="005E06DE">
              <w:rPr>
                <w:sz w:val="16"/>
                <w:szCs w:val="16"/>
              </w:rPr>
              <w:t>0.81</w:t>
            </w:r>
          </w:p>
        </w:tc>
        <w:tc>
          <w:tcPr>
            <w:tcW w:w="992" w:type="dxa"/>
            <w:vAlign w:val="center"/>
          </w:tcPr>
          <w:p w14:paraId="10C2146B" w14:textId="394B46F7" w:rsidR="005E06DE" w:rsidRPr="005E06DE" w:rsidRDefault="005E06DE" w:rsidP="005E06DE">
            <w:pPr>
              <w:pStyle w:val="font-claude-response-body"/>
              <w:jc w:val="center"/>
              <w:rPr>
                <w:sz w:val="16"/>
                <w:szCs w:val="16"/>
              </w:rPr>
            </w:pPr>
            <w:r w:rsidRPr="005E06DE">
              <w:rPr>
                <w:sz w:val="16"/>
                <w:szCs w:val="16"/>
              </w:rPr>
              <w:t>0.87</w:t>
            </w:r>
          </w:p>
        </w:tc>
        <w:tc>
          <w:tcPr>
            <w:tcW w:w="993" w:type="dxa"/>
            <w:vAlign w:val="center"/>
          </w:tcPr>
          <w:p w14:paraId="009609B8" w14:textId="17EE5011" w:rsidR="005E06DE" w:rsidRPr="005E06DE" w:rsidRDefault="005E06DE" w:rsidP="005E06DE">
            <w:pPr>
              <w:pStyle w:val="font-claude-response-body"/>
              <w:jc w:val="center"/>
              <w:rPr>
                <w:sz w:val="16"/>
                <w:szCs w:val="16"/>
              </w:rPr>
            </w:pPr>
            <w:r w:rsidRPr="005E06DE">
              <w:rPr>
                <w:sz w:val="16"/>
                <w:szCs w:val="16"/>
              </w:rPr>
              <w:t>0.63</w:t>
            </w:r>
          </w:p>
        </w:tc>
        <w:tc>
          <w:tcPr>
            <w:tcW w:w="850" w:type="dxa"/>
            <w:vAlign w:val="center"/>
          </w:tcPr>
          <w:p w14:paraId="16FF77D7" w14:textId="2C8269F4" w:rsidR="005E06DE" w:rsidRPr="005E06DE" w:rsidRDefault="005E06DE" w:rsidP="005E06DE">
            <w:pPr>
              <w:pStyle w:val="font-claude-response-body"/>
              <w:jc w:val="center"/>
              <w:rPr>
                <w:sz w:val="16"/>
                <w:szCs w:val="16"/>
              </w:rPr>
            </w:pPr>
            <w:r w:rsidRPr="005E06DE">
              <w:rPr>
                <w:sz w:val="16"/>
                <w:szCs w:val="16"/>
              </w:rPr>
              <w:t>0.548</w:t>
            </w:r>
          </w:p>
        </w:tc>
        <w:tc>
          <w:tcPr>
            <w:tcW w:w="987" w:type="dxa"/>
            <w:vAlign w:val="center"/>
          </w:tcPr>
          <w:p w14:paraId="61A53C16" w14:textId="22277DF3" w:rsidR="005E06DE" w:rsidRPr="005E06DE" w:rsidRDefault="005E06DE" w:rsidP="005E06DE">
            <w:pPr>
              <w:pStyle w:val="font-claude-response-body"/>
              <w:jc w:val="center"/>
              <w:rPr>
                <w:sz w:val="16"/>
                <w:szCs w:val="16"/>
              </w:rPr>
            </w:pPr>
            <w:r w:rsidRPr="005E06DE">
              <w:rPr>
                <w:sz w:val="16"/>
                <w:szCs w:val="16"/>
              </w:rPr>
              <w:t>0.713</w:t>
            </w:r>
          </w:p>
        </w:tc>
      </w:tr>
      <w:tr w:rsidR="005E06DE" w14:paraId="73D8EFE1" w14:textId="77777777" w:rsidTr="005E06DE">
        <w:tc>
          <w:tcPr>
            <w:tcW w:w="2263" w:type="dxa"/>
            <w:tcBorders>
              <w:bottom w:val="single" w:sz="4" w:space="0" w:color="auto"/>
            </w:tcBorders>
            <w:vAlign w:val="center"/>
          </w:tcPr>
          <w:p w14:paraId="42D0CBAB" w14:textId="6017919E" w:rsidR="005E06DE" w:rsidRPr="005E06DE" w:rsidRDefault="005E06DE" w:rsidP="005E06DE">
            <w:pPr>
              <w:pStyle w:val="font-claude-response-body"/>
              <w:jc w:val="center"/>
              <w:rPr>
                <w:sz w:val="16"/>
                <w:szCs w:val="16"/>
              </w:rPr>
            </w:pPr>
            <w:r w:rsidRPr="005E06DE">
              <w:rPr>
                <w:rStyle w:val="Gl"/>
                <w:sz w:val="16"/>
                <w:szCs w:val="16"/>
              </w:rPr>
              <w:t>Bireyci Görüş (Madde 5–9)</w:t>
            </w:r>
          </w:p>
        </w:tc>
        <w:tc>
          <w:tcPr>
            <w:tcW w:w="2977" w:type="dxa"/>
            <w:tcBorders>
              <w:bottom w:val="single" w:sz="4" w:space="0" w:color="auto"/>
            </w:tcBorders>
            <w:vAlign w:val="center"/>
          </w:tcPr>
          <w:p w14:paraId="5F223CDB" w14:textId="033A3909" w:rsidR="005E06DE" w:rsidRPr="005E06DE" w:rsidRDefault="005E06DE" w:rsidP="005E06DE">
            <w:pPr>
              <w:pStyle w:val="font-claude-response-body"/>
              <w:jc w:val="center"/>
              <w:rPr>
                <w:sz w:val="16"/>
                <w:szCs w:val="16"/>
              </w:rPr>
            </w:pPr>
            <w:r w:rsidRPr="005E06DE">
              <w:rPr>
                <w:sz w:val="16"/>
                <w:szCs w:val="16"/>
              </w:rPr>
              <w:t>0.74</w:t>
            </w:r>
          </w:p>
        </w:tc>
        <w:tc>
          <w:tcPr>
            <w:tcW w:w="992" w:type="dxa"/>
            <w:tcBorders>
              <w:bottom w:val="single" w:sz="4" w:space="0" w:color="auto"/>
            </w:tcBorders>
            <w:vAlign w:val="center"/>
          </w:tcPr>
          <w:p w14:paraId="3F858050" w14:textId="6BAAD18E" w:rsidR="005E06DE" w:rsidRPr="005E06DE" w:rsidRDefault="005E06DE" w:rsidP="005E06DE">
            <w:pPr>
              <w:pStyle w:val="font-claude-response-body"/>
              <w:jc w:val="center"/>
              <w:rPr>
                <w:sz w:val="16"/>
                <w:szCs w:val="16"/>
              </w:rPr>
            </w:pPr>
            <w:r w:rsidRPr="005E06DE">
              <w:rPr>
                <w:sz w:val="16"/>
                <w:szCs w:val="16"/>
              </w:rPr>
              <w:t>0.83</w:t>
            </w:r>
          </w:p>
        </w:tc>
        <w:tc>
          <w:tcPr>
            <w:tcW w:w="993" w:type="dxa"/>
            <w:tcBorders>
              <w:bottom w:val="single" w:sz="4" w:space="0" w:color="auto"/>
            </w:tcBorders>
            <w:vAlign w:val="center"/>
          </w:tcPr>
          <w:p w14:paraId="7F986655" w14:textId="133612C7" w:rsidR="005E06DE" w:rsidRPr="005E06DE" w:rsidRDefault="005E06DE" w:rsidP="005E06DE">
            <w:pPr>
              <w:pStyle w:val="font-claude-response-body"/>
              <w:jc w:val="center"/>
              <w:rPr>
                <w:sz w:val="16"/>
                <w:szCs w:val="16"/>
              </w:rPr>
            </w:pPr>
            <w:r w:rsidRPr="005E06DE">
              <w:rPr>
                <w:sz w:val="16"/>
                <w:szCs w:val="16"/>
              </w:rPr>
              <w:t>0.49</w:t>
            </w:r>
          </w:p>
        </w:tc>
        <w:tc>
          <w:tcPr>
            <w:tcW w:w="850" w:type="dxa"/>
            <w:tcBorders>
              <w:bottom w:val="single" w:sz="4" w:space="0" w:color="auto"/>
            </w:tcBorders>
            <w:vAlign w:val="center"/>
          </w:tcPr>
          <w:p w14:paraId="149AD2F4" w14:textId="1C7B0CC6" w:rsidR="005E06DE" w:rsidRPr="005E06DE" w:rsidRDefault="005E06DE" w:rsidP="005E06DE">
            <w:pPr>
              <w:pStyle w:val="font-claude-response-body"/>
              <w:jc w:val="center"/>
              <w:rPr>
                <w:sz w:val="16"/>
                <w:szCs w:val="16"/>
              </w:rPr>
            </w:pPr>
            <w:r w:rsidRPr="005E06DE">
              <w:rPr>
                <w:sz w:val="16"/>
                <w:szCs w:val="16"/>
              </w:rPr>
              <w:t>0.287</w:t>
            </w:r>
          </w:p>
        </w:tc>
        <w:tc>
          <w:tcPr>
            <w:tcW w:w="987" w:type="dxa"/>
            <w:tcBorders>
              <w:bottom w:val="single" w:sz="4" w:space="0" w:color="auto"/>
            </w:tcBorders>
            <w:vAlign w:val="center"/>
          </w:tcPr>
          <w:p w14:paraId="129B88BA" w14:textId="37A5CF6A" w:rsidR="005E06DE" w:rsidRPr="005E06DE" w:rsidRDefault="005E06DE" w:rsidP="005E06DE">
            <w:pPr>
              <w:pStyle w:val="font-claude-response-body"/>
              <w:jc w:val="center"/>
              <w:rPr>
                <w:sz w:val="16"/>
                <w:szCs w:val="16"/>
              </w:rPr>
            </w:pPr>
            <w:r w:rsidRPr="005E06DE">
              <w:rPr>
                <w:sz w:val="16"/>
                <w:szCs w:val="16"/>
              </w:rPr>
              <w:t>0.553</w:t>
            </w:r>
          </w:p>
        </w:tc>
      </w:tr>
    </w:tbl>
    <w:p w14:paraId="4DB4B0B2" w14:textId="77777777" w:rsidR="005E06DE" w:rsidRDefault="005E06DE" w:rsidP="009B4601">
      <w:pPr>
        <w:pStyle w:val="font-claude-response-body"/>
        <w:jc w:val="both"/>
      </w:pPr>
    </w:p>
    <w:p w14:paraId="04C53F17" w14:textId="1BD4CC77" w:rsidR="005E06DE" w:rsidRDefault="005E06DE" w:rsidP="009B4601">
      <w:pPr>
        <w:pStyle w:val="font-claude-response-body"/>
        <w:jc w:val="both"/>
      </w:pPr>
      <w:r>
        <w:t>ÇAEÖ'nün puanlamasında maddelerin ortalaması üzerinden hesaplama yapılması önerilmektedir. Genel skor için 9 maddenin, Genelci Görüş alt boyutu için 1–4. maddelerin, Bireyci Görüş alt boyutu için 5–9. maddelerin aritmetik ortalaması alınır. Ortalama skor kullanımı sayesinde tüm boyutlar 1–7 aralığında değer almakta, bu durum farklı madde sayılarına sahip alt boyutlar ile genel skor arasında doğrudan karşılaştırma yapılmasına olanak tanımaktadır. Ölçeğin Türkçe geçerlik çalışmasında raporlanan betimleyici istatistikler (medyan değerleri: Genel Skor = 5.56, Genelci Görüş = 6.25, Bireyci Görüş = 5.00) ortalama skor üzerinden hesaplanmış olup araştırmacıların çalışmalar arası karşılaştırılabilirliği sağlamak amacıyla aynı puanlama yöntemini kullanmaları önerilir.</w:t>
      </w:r>
    </w:p>
    <w:p w14:paraId="4B068646" w14:textId="77777777" w:rsidR="005E06DE" w:rsidRDefault="005E06DE" w:rsidP="005E06DE">
      <w:pPr>
        <w:pStyle w:val="font-claude-response-body"/>
        <w:jc w:val="both"/>
        <w:rPr>
          <w:b/>
          <w:bCs/>
        </w:rPr>
      </w:pPr>
    </w:p>
    <w:p w14:paraId="1BBA030D" w14:textId="77777777" w:rsidR="005E06DE" w:rsidRDefault="005E06DE" w:rsidP="005E06DE">
      <w:pPr>
        <w:pStyle w:val="font-claude-response-body"/>
        <w:jc w:val="both"/>
        <w:rPr>
          <w:b/>
          <w:bCs/>
        </w:rPr>
      </w:pPr>
    </w:p>
    <w:p w14:paraId="776D5364" w14:textId="4A13D8EC" w:rsidR="005E06DE" w:rsidRDefault="005E06DE" w:rsidP="005E06DE">
      <w:pPr>
        <w:pStyle w:val="font-claude-response-body"/>
        <w:jc w:val="both"/>
        <w:rPr>
          <w:b/>
          <w:bCs/>
        </w:rPr>
      </w:pPr>
      <w:r w:rsidRPr="005E06DE">
        <w:rPr>
          <w:b/>
          <w:bCs/>
        </w:rPr>
        <w:lastRenderedPageBreak/>
        <w:t>Madde Sıralamasına İlişkin Not</w:t>
      </w:r>
    </w:p>
    <w:p w14:paraId="51F43084" w14:textId="36DA8000" w:rsidR="005E06DE" w:rsidRPr="005E06DE" w:rsidRDefault="005E06DE" w:rsidP="005E06DE">
      <w:pPr>
        <w:pStyle w:val="font-claude-response-body"/>
        <w:jc w:val="both"/>
      </w:pPr>
      <w:r>
        <w:rPr>
          <w:b/>
          <w:bCs/>
        </w:rPr>
        <w:t xml:space="preserve"> </w:t>
      </w:r>
      <w:r w:rsidRPr="005E06DE">
        <w:t>Orijinal İngilizce ölçekte 10 madde bulunmaktadır. Türkçe uyarlama sürecinde orijinal 5. madde ("Sağlık sorunum olduğunda, doktora gitmeden önce bekleyip bu sorunun kendi kendine iyileşip iyileşmediğini görmeyi tercih ederim") klasik madde analizi, doğrulayıcı faktör analizi ve bootstrap keşfedici grafik analizi bulgularının yakınsak kanıtlarına dayanarak ölçekten çıkarılmıştır. Bu maddenin düzeltilmiş madde-toplam korelasyonu (r = 0.105) kabul edilebilir eşiğin (0.30) çok altında kalmış, faktör yükü anlamsız bulunmuş (λ = 0.028, p = 0.691) ve bootstrap kararlılık katsayısı (0.688) diğer maddelere kıyasla belirgin şekilde düşük çıkmıştır. Maddenin çıkarılmasının ardından kalan 9 madde yeniden sıralanmıştır</w:t>
      </w:r>
      <w:r>
        <w:t xml:space="preserve"> ve ölçekte gördüğünüz 9 madde yeniden sıralanmış kullanıma uygun maddelerdir. D</w:t>
      </w:r>
      <w:r w:rsidRPr="005E06DE">
        <w:t>olayısıyla mevcut ölçekteki 5–9. maddeler, orijinal ölçeğin 6–10. maddelerine karşılık gelmektedir. Araştırmacıların orijinal ölçekle karşılaştırma yapa</w:t>
      </w:r>
      <w:r>
        <w:t>caksa ve makalede ifade edilen madde numaralarıyla kıyaslayacaksa</w:t>
      </w:r>
      <w:r w:rsidRPr="005E06DE">
        <w:t xml:space="preserve"> bu madde numarası farklılığını dikkate almaları önerilir.</w:t>
      </w:r>
    </w:p>
    <w:sectPr w:rsidR="005E06DE" w:rsidRPr="005E0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8C"/>
    <w:rsid w:val="000462A1"/>
    <w:rsid w:val="00253859"/>
    <w:rsid w:val="00395D8C"/>
    <w:rsid w:val="005E06DE"/>
    <w:rsid w:val="00837DF5"/>
    <w:rsid w:val="009B4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F895"/>
  <w15:chartTrackingRefBased/>
  <w15:docId w15:val="{D0EFBB8E-A42B-493C-899E-45E5187E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8C"/>
    <w:pPr>
      <w:spacing w:line="256" w:lineRule="auto"/>
    </w:pPr>
    <w:rPr>
      <w:rFonts w:ascii="Times New Roman" w:hAnsi="Times New Roman"/>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nt-claude-response-body">
    <w:name w:val="font-claude-response-body"/>
    <w:basedOn w:val="Normal"/>
    <w:rsid w:val="009B4601"/>
    <w:pPr>
      <w:spacing w:before="100" w:beforeAutospacing="1" w:after="100" w:afterAutospacing="1" w:line="240" w:lineRule="auto"/>
    </w:pPr>
    <w:rPr>
      <w:rFonts w:eastAsia="Times New Roman" w:cs="Times New Roman"/>
      <w:kern w:val="0"/>
      <w:sz w:val="24"/>
      <w:szCs w:val="24"/>
      <w:lang w:eastAsia="tr-TR"/>
      <w14:ligatures w14:val="none"/>
    </w:rPr>
  </w:style>
  <w:style w:type="character" w:styleId="Gl">
    <w:name w:val="Strong"/>
    <w:basedOn w:val="VarsaylanParagrafYazTipi"/>
    <w:uiPriority w:val="22"/>
    <w:qFormat/>
    <w:rsid w:val="009B4601"/>
    <w:rPr>
      <w:b/>
      <w:bCs/>
    </w:rPr>
  </w:style>
  <w:style w:type="table" w:styleId="TabloKlavuzu">
    <w:name w:val="Table Grid"/>
    <w:basedOn w:val="NormalTablo"/>
    <w:uiPriority w:val="39"/>
    <w:rsid w:val="005E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0182">
      <w:bodyDiv w:val="1"/>
      <w:marLeft w:val="0"/>
      <w:marRight w:val="0"/>
      <w:marTop w:val="0"/>
      <w:marBottom w:val="0"/>
      <w:divBdr>
        <w:top w:val="none" w:sz="0" w:space="0" w:color="auto"/>
        <w:left w:val="none" w:sz="0" w:space="0" w:color="auto"/>
        <w:bottom w:val="none" w:sz="0" w:space="0" w:color="auto"/>
        <w:right w:val="none" w:sz="0" w:space="0" w:color="auto"/>
      </w:divBdr>
      <w:divsChild>
        <w:div w:id="2055812553">
          <w:marLeft w:val="0"/>
          <w:marRight w:val="0"/>
          <w:marTop w:val="0"/>
          <w:marBottom w:val="0"/>
          <w:divBdr>
            <w:top w:val="none" w:sz="0" w:space="0" w:color="auto"/>
            <w:left w:val="none" w:sz="0" w:space="0" w:color="auto"/>
            <w:bottom w:val="none" w:sz="0" w:space="0" w:color="auto"/>
            <w:right w:val="none" w:sz="0" w:space="0" w:color="auto"/>
          </w:divBdr>
          <w:divsChild>
            <w:div w:id="253051765">
              <w:marLeft w:val="0"/>
              <w:marRight w:val="0"/>
              <w:marTop w:val="0"/>
              <w:marBottom w:val="0"/>
              <w:divBdr>
                <w:top w:val="none" w:sz="0" w:space="0" w:color="auto"/>
                <w:left w:val="none" w:sz="0" w:space="0" w:color="auto"/>
                <w:bottom w:val="none" w:sz="0" w:space="0" w:color="auto"/>
                <w:right w:val="none" w:sz="0" w:space="0" w:color="auto"/>
              </w:divBdr>
            </w:div>
          </w:divsChild>
        </w:div>
        <w:div w:id="432092941">
          <w:marLeft w:val="0"/>
          <w:marRight w:val="0"/>
          <w:marTop w:val="0"/>
          <w:marBottom w:val="0"/>
          <w:divBdr>
            <w:top w:val="none" w:sz="0" w:space="0" w:color="auto"/>
            <w:left w:val="none" w:sz="0" w:space="0" w:color="auto"/>
            <w:bottom w:val="none" w:sz="0" w:space="0" w:color="auto"/>
            <w:right w:val="none" w:sz="0" w:space="0" w:color="auto"/>
          </w:divBdr>
          <w:divsChild>
            <w:div w:id="1948922234">
              <w:marLeft w:val="0"/>
              <w:marRight w:val="0"/>
              <w:marTop w:val="0"/>
              <w:marBottom w:val="0"/>
              <w:divBdr>
                <w:top w:val="none" w:sz="0" w:space="0" w:color="auto"/>
                <w:left w:val="none" w:sz="0" w:space="0" w:color="auto"/>
                <w:bottom w:val="none" w:sz="0" w:space="0" w:color="auto"/>
                <w:right w:val="none" w:sz="0" w:space="0" w:color="auto"/>
              </w:divBdr>
            </w:div>
          </w:divsChild>
        </w:div>
        <w:div w:id="1316186029">
          <w:marLeft w:val="0"/>
          <w:marRight w:val="0"/>
          <w:marTop w:val="0"/>
          <w:marBottom w:val="0"/>
          <w:divBdr>
            <w:top w:val="none" w:sz="0" w:space="0" w:color="auto"/>
            <w:left w:val="none" w:sz="0" w:space="0" w:color="auto"/>
            <w:bottom w:val="none" w:sz="0" w:space="0" w:color="auto"/>
            <w:right w:val="none" w:sz="0" w:space="0" w:color="auto"/>
          </w:divBdr>
          <w:divsChild>
            <w:div w:id="414940958">
              <w:marLeft w:val="0"/>
              <w:marRight w:val="0"/>
              <w:marTop w:val="0"/>
              <w:marBottom w:val="0"/>
              <w:divBdr>
                <w:top w:val="none" w:sz="0" w:space="0" w:color="auto"/>
                <w:left w:val="none" w:sz="0" w:space="0" w:color="auto"/>
                <w:bottom w:val="none" w:sz="0" w:space="0" w:color="auto"/>
                <w:right w:val="none" w:sz="0" w:space="0" w:color="auto"/>
              </w:divBdr>
            </w:div>
          </w:divsChild>
        </w:div>
        <w:div w:id="1689017101">
          <w:marLeft w:val="0"/>
          <w:marRight w:val="0"/>
          <w:marTop w:val="0"/>
          <w:marBottom w:val="0"/>
          <w:divBdr>
            <w:top w:val="none" w:sz="0" w:space="0" w:color="auto"/>
            <w:left w:val="none" w:sz="0" w:space="0" w:color="auto"/>
            <w:bottom w:val="none" w:sz="0" w:space="0" w:color="auto"/>
            <w:right w:val="none" w:sz="0" w:space="0" w:color="auto"/>
          </w:divBdr>
          <w:divsChild>
            <w:div w:id="1061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4413">
      <w:bodyDiv w:val="1"/>
      <w:marLeft w:val="0"/>
      <w:marRight w:val="0"/>
      <w:marTop w:val="0"/>
      <w:marBottom w:val="0"/>
      <w:divBdr>
        <w:top w:val="none" w:sz="0" w:space="0" w:color="auto"/>
        <w:left w:val="none" w:sz="0" w:space="0" w:color="auto"/>
        <w:bottom w:val="none" w:sz="0" w:space="0" w:color="auto"/>
        <w:right w:val="none" w:sz="0" w:space="0" w:color="auto"/>
      </w:divBdr>
    </w:div>
    <w:div w:id="16745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Yılmaz</dc:creator>
  <cp:keywords/>
  <dc:description/>
  <cp:lastModifiedBy>Salim Yılmaz</cp:lastModifiedBy>
  <cp:revision>6</cp:revision>
  <dcterms:created xsi:type="dcterms:W3CDTF">2026-04-03T08:47:00Z</dcterms:created>
  <dcterms:modified xsi:type="dcterms:W3CDTF">2026-04-03T09:34:00Z</dcterms:modified>
</cp:coreProperties>
</file>