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423C" w14:textId="042AD294" w:rsidR="00161E23" w:rsidRPr="006E4945" w:rsidRDefault="007800B4" w:rsidP="006C7B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E4945">
        <w:rPr>
          <w:rFonts w:ascii="Times New Roman" w:hAnsi="Times New Roman" w:cs="Times New Roman"/>
          <w:b/>
          <w:bCs/>
        </w:rPr>
        <w:t>Anne Sütü Bankacılığına İlişkin Algı ve Tutumları Belirleme Ölçeği (ASBİATBÖ)</w:t>
      </w:r>
      <w:r w:rsidRPr="006E4945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2"/>
        <w:gridCol w:w="2564"/>
        <w:gridCol w:w="1617"/>
        <w:gridCol w:w="1481"/>
        <w:gridCol w:w="1236"/>
        <w:gridCol w:w="1314"/>
        <w:gridCol w:w="1406"/>
      </w:tblGrid>
      <w:tr w:rsidR="006E4945" w:rsidRPr="006E4945" w14:paraId="37091686" w14:textId="3D1C48C3" w:rsidTr="006E4945">
        <w:tc>
          <w:tcPr>
            <w:tcW w:w="0" w:type="auto"/>
            <w:vAlign w:val="center"/>
          </w:tcPr>
          <w:p w14:paraId="345FAAA9" w14:textId="159D38EC" w:rsidR="001A6CCC" w:rsidRPr="006E4945" w:rsidRDefault="001A6CCC" w:rsidP="006E4945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A1683A2" w14:textId="7EF91320" w:rsidR="001A6CCC" w:rsidRPr="006E4945" w:rsidRDefault="001A6CCC" w:rsidP="00501094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Madde</w:t>
            </w:r>
          </w:p>
        </w:tc>
        <w:tc>
          <w:tcPr>
            <w:tcW w:w="0" w:type="auto"/>
            <w:vAlign w:val="center"/>
          </w:tcPr>
          <w:p w14:paraId="4742F5ED" w14:textId="1E31AD0F" w:rsidR="001A6CCC" w:rsidRPr="006E4945" w:rsidRDefault="001A6CCC" w:rsidP="006E494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Katılmıyorum</w:t>
            </w:r>
            <w:r w:rsidRPr="006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vAlign w:val="center"/>
          </w:tcPr>
          <w:p w14:paraId="14FDEA7E" w14:textId="109A6A67" w:rsidR="001A6CCC" w:rsidRPr="006E4945" w:rsidRDefault="001A6CCC" w:rsidP="006E494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Katılmıyorum (2)</w:t>
            </w:r>
          </w:p>
        </w:tc>
        <w:tc>
          <w:tcPr>
            <w:tcW w:w="0" w:type="auto"/>
            <w:vAlign w:val="center"/>
          </w:tcPr>
          <w:p w14:paraId="7FE6CC99" w14:textId="48793C8B" w:rsidR="001A6CCC" w:rsidRPr="006E4945" w:rsidRDefault="001A6CCC" w:rsidP="006E494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Kararsızım (3)</w:t>
            </w:r>
          </w:p>
        </w:tc>
        <w:tc>
          <w:tcPr>
            <w:tcW w:w="0" w:type="auto"/>
            <w:vAlign w:val="center"/>
          </w:tcPr>
          <w:p w14:paraId="544404EA" w14:textId="04B0B252" w:rsidR="001A6CCC" w:rsidRPr="006E4945" w:rsidRDefault="001A6CCC" w:rsidP="006E494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Katılıyorum (4)</w:t>
            </w:r>
          </w:p>
        </w:tc>
        <w:tc>
          <w:tcPr>
            <w:tcW w:w="0" w:type="auto"/>
            <w:vAlign w:val="center"/>
          </w:tcPr>
          <w:p w14:paraId="012041BA" w14:textId="125A698F" w:rsidR="001A6CCC" w:rsidRPr="006E4945" w:rsidRDefault="001A6CCC" w:rsidP="006E494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Kesinlikle katılıyorum (5)</w:t>
            </w:r>
          </w:p>
        </w:tc>
      </w:tr>
      <w:tr w:rsidR="001A6CCC" w:rsidRPr="006E4945" w14:paraId="7ACC862B" w14:textId="4D862ABA" w:rsidTr="006E4945">
        <w:tc>
          <w:tcPr>
            <w:tcW w:w="0" w:type="auto"/>
            <w:gridSpan w:val="7"/>
            <w:vAlign w:val="center"/>
          </w:tcPr>
          <w:p w14:paraId="2F21F737" w14:textId="5522EEEF" w:rsidR="001A6CCC" w:rsidRPr="006E4945" w:rsidRDefault="001A6CCC" w:rsidP="006E4945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Faktör 1: Toplumsal Destek ve Davranışsal Niyet</w:t>
            </w: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E4945" w:rsidRPr="006E4945" w14:paraId="434C0E4C" w14:textId="4515CF86" w:rsidTr="006E4945">
        <w:tc>
          <w:tcPr>
            <w:tcW w:w="0" w:type="auto"/>
            <w:vAlign w:val="center"/>
          </w:tcPr>
          <w:p w14:paraId="3C0586F6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40753" w14:textId="4D7E68A4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Türk kültüründe süt bağışı toplum tarafından olumlu karşılanır.</w:t>
            </w:r>
          </w:p>
        </w:tc>
        <w:tc>
          <w:tcPr>
            <w:tcW w:w="0" w:type="auto"/>
          </w:tcPr>
          <w:p w14:paraId="251EC76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3009B63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27431C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EA6728A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0C719A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7496E8EF" w14:textId="212FEA92" w:rsidTr="006E4945">
        <w:tc>
          <w:tcPr>
            <w:tcW w:w="0" w:type="auto"/>
            <w:vAlign w:val="center"/>
          </w:tcPr>
          <w:p w14:paraId="0B9273EE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D406A" w14:textId="05813B91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Süt bankalarının kurulması toplum için faydalıdır.</w:t>
            </w:r>
          </w:p>
        </w:tc>
        <w:tc>
          <w:tcPr>
            <w:tcW w:w="0" w:type="auto"/>
          </w:tcPr>
          <w:p w14:paraId="26AEE85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6810F73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0215C32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ADA976C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646A0D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73B791FE" w14:textId="1E95C5C8" w:rsidTr="006E4945">
        <w:tc>
          <w:tcPr>
            <w:tcW w:w="0" w:type="auto"/>
            <w:vAlign w:val="center"/>
          </w:tcPr>
          <w:p w14:paraId="2B629DA3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3216B" w14:textId="49D6D0F0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Gerektiğinde ailemi ve arkadaşlarımı anne sütü bağışına yönlendirebilirim.</w:t>
            </w:r>
          </w:p>
        </w:tc>
        <w:tc>
          <w:tcPr>
            <w:tcW w:w="0" w:type="auto"/>
          </w:tcPr>
          <w:p w14:paraId="5B1CEA7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3BCC2D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264201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630562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2D1436C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776E413E" w14:textId="61148829" w:rsidTr="006E4945">
        <w:tc>
          <w:tcPr>
            <w:tcW w:w="0" w:type="auto"/>
            <w:vAlign w:val="center"/>
          </w:tcPr>
          <w:p w14:paraId="7F5D9311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8B156" w14:textId="7D118F50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Dinî açıdan gerekli önlemler alındığında süt bağışı yapılabilir.</w:t>
            </w:r>
          </w:p>
        </w:tc>
        <w:tc>
          <w:tcPr>
            <w:tcW w:w="0" w:type="auto"/>
          </w:tcPr>
          <w:p w14:paraId="5B26077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FBF1DD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F10CB88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25CE75E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BB86588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36525759" w14:textId="1C1C0E0A" w:rsidTr="006E4945">
        <w:tc>
          <w:tcPr>
            <w:tcW w:w="0" w:type="auto"/>
            <w:vAlign w:val="center"/>
          </w:tcPr>
          <w:p w14:paraId="0296E15F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9E806" w14:textId="25B3F450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 yapan anneler takdir edilmelidir.</w:t>
            </w:r>
          </w:p>
        </w:tc>
        <w:tc>
          <w:tcPr>
            <w:tcW w:w="0" w:type="auto"/>
          </w:tcPr>
          <w:p w14:paraId="7671162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DED101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8464EE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C4D63BC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B53646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5CA6CAF9" w14:textId="493ED9C5" w:rsidTr="006E4945">
        <w:tc>
          <w:tcPr>
            <w:tcW w:w="0" w:type="auto"/>
            <w:vAlign w:val="center"/>
          </w:tcPr>
          <w:p w14:paraId="3F4B549C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EDBD16" w14:textId="03B06B78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Kendi sütümü başka bir bebeğe bağışlamayı düşünürüm.</w:t>
            </w:r>
          </w:p>
        </w:tc>
        <w:tc>
          <w:tcPr>
            <w:tcW w:w="0" w:type="auto"/>
          </w:tcPr>
          <w:p w14:paraId="137BBF82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DACCDC3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65E08E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088817A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B35303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56843A54" w14:textId="128752B3" w:rsidTr="006E4945">
        <w:tc>
          <w:tcPr>
            <w:tcW w:w="0" w:type="auto"/>
            <w:vAlign w:val="center"/>
          </w:tcPr>
          <w:p w14:paraId="53BAF180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5AD58" w14:textId="7ED161C4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Kendi bebeğim için başka bir anneden bağışlanan sütü kullanmayı kabul ederim.</w:t>
            </w:r>
          </w:p>
        </w:tc>
        <w:tc>
          <w:tcPr>
            <w:tcW w:w="0" w:type="auto"/>
          </w:tcPr>
          <w:p w14:paraId="662EB42E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559067D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320F8DE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2F80F8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C7C50A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2817E91B" w14:textId="782EF646" w:rsidTr="006E4945">
        <w:tc>
          <w:tcPr>
            <w:tcW w:w="0" w:type="auto"/>
            <w:vAlign w:val="center"/>
          </w:tcPr>
          <w:p w14:paraId="4AC01853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E8282" w14:textId="41A09058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 destekleyen projelere gönüllü olarak katkı sağlamayı isterim.</w:t>
            </w:r>
          </w:p>
        </w:tc>
        <w:tc>
          <w:tcPr>
            <w:tcW w:w="0" w:type="auto"/>
          </w:tcPr>
          <w:p w14:paraId="65781A32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80A8D9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42D870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1A1CA5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CAAD2F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301BFD11" w14:textId="006B369B" w:rsidTr="006E4945">
        <w:tc>
          <w:tcPr>
            <w:tcW w:w="0" w:type="auto"/>
            <w:vAlign w:val="center"/>
          </w:tcPr>
          <w:p w14:paraId="1F7B36AC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67FC9" w14:textId="47CE486D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 insanî bir sorumluluktur.</w:t>
            </w:r>
          </w:p>
        </w:tc>
        <w:tc>
          <w:tcPr>
            <w:tcW w:w="0" w:type="auto"/>
          </w:tcPr>
          <w:p w14:paraId="380CDFD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102744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206AB8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4EF1CA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C1A7DA0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7434533F" w14:textId="0F522823" w:rsidTr="006E4945">
        <w:tc>
          <w:tcPr>
            <w:tcW w:w="0" w:type="auto"/>
            <w:vAlign w:val="center"/>
          </w:tcPr>
          <w:p w14:paraId="2763C28A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83371" w14:textId="4FBD49E0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bağışının yaygınlaştırılması için devlet politikaları geliştirilmelidir.</w:t>
            </w:r>
          </w:p>
        </w:tc>
        <w:tc>
          <w:tcPr>
            <w:tcW w:w="0" w:type="auto"/>
          </w:tcPr>
          <w:p w14:paraId="0CCEF0DE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043756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54BE93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C3EB02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DDA90D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628BDE23" w14:textId="24F4045B" w:rsidTr="006E4945">
        <w:tc>
          <w:tcPr>
            <w:tcW w:w="0" w:type="auto"/>
            <w:vAlign w:val="center"/>
          </w:tcPr>
          <w:p w14:paraId="40930F2A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A9C10" w14:textId="2BC7ECC5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 dinen caizdir.</w:t>
            </w:r>
          </w:p>
        </w:tc>
        <w:tc>
          <w:tcPr>
            <w:tcW w:w="0" w:type="auto"/>
          </w:tcPr>
          <w:p w14:paraId="351C4FD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E92539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2AFF03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2A0096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057CA4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19898057" w14:textId="02F91BD5" w:rsidTr="006E4945">
        <w:tc>
          <w:tcPr>
            <w:tcW w:w="0" w:type="auto"/>
            <w:gridSpan w:val="7"/>
            <w:vAlign w:val="center"/>
          </w:tcPr>
          <w:p w14:paraId="29AD79C5" w14:textId="64B9A3EF" w:rsidR="006E4945" w:rsidRPr="006E4945" w:rsidRDefault="006E4945" w:rsidP="006E4945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Faktör 2: Bilgi ve Güvenlik Farkındalığı </w:t>
            </w:r>
          </w:p>
        </w:tc>
      </w:tr>
      <w:tr w:rsidR="006E4945" w:rsidRPr="006E4945" w14:paraId="2BA2662D" w14:textId="7F2547AB" w:rsidTr="006E4945">
        <w:tc>
          <w:tcPr>
            <w:tcW w:w="0" w:type="auto"/>
            <w:vAlign w:val="center"/>
          </w:tcPr>
          <w:p w14:paraId="5E553C20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D5AAD" w14:textId="2FD3059A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bağışının güvenliği için tıbbi testlerin yapıldığından haberdarım.</w:t>
            </w:r>
          </w:p>
        </w:tc>
        <w:tc>
          <w:tcPr>
            <w:tcW w:w="0" w:type="auto"/>
          </w:tcPr>
          <w:p w14:paraId="1466FD1A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045F1B7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51FD80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1AF7DC8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43B587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2088297E" w14:textId="03BCC17E" w:rsidTr="006E4945">
        <w:tc>
          <w:tcPr>
            <w:tcW w:w="0" w:type="auto"/>
            <w:vAlign w:val="center"/>
          </w:tcPr>
          <w:p w14:paraId="52012B1B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6951B" w14:textId="4D8ABC16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 ile bulaşıcı hastalıkların kontrol altında tutulabileceğini biliyorum.</w:t>
            </w:r>
          </w:p>
        </w:tc>
        <w:tc>
          <w:tcPr>
            <w:tcW w:w="0" w:type="auto"/>
          </w:tcPr>
          <w:p w14:paraId="3916794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D31F450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3915202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903FF7A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B57BB76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2B8B78C6" w14:textId="6FBFA303" w:rsidTr="006E4945">
        <w:tc>
          <w:tcPr>
            <w:tcW w:w="0" w:type="auto"/>
            <w:vAlign w:val="center"/>
          </w:tcPr>
          <w:p w14:paraId="4ADEB8B6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C8C4F" w14:textId="5E5E7B58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bankacılığı kavramını daha önce duydum.</w:t>
            </w:r>
          </w:p>
        </w:tc>
        <w:tc>
          <w:tcPr>
            <w:tcW w:w="0" w:type="auto"/>
          </w:tcPr>
          <w:p w14:paraId="0F7A833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89E4C6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C788BB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794629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5DDA1C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20951EB6" w14:textId="42931FBC" w:rsidTr="006E4945">
        <w:tc>
          <w:tcPr>
            <w:tcW w:w="0" w:type="auto"/>
            <w:vAlign w:val="center"/>
          </w:tcPr>
          <w:p w14:paraId="6E5429CF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51FB8" w14:textId="73DFB639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bağışının anne sütü alamayan bebekler için hayati önemde olduğunu biliyorum.</w:t>
            </w:r>
          </w:p>
        </w:tc>
        <w:tc>
          <w:tcPr>
            <w:tcW w:w="0" w:type="auto"/>
          </w:tcPr>
          <w:p w14:paraId="702C3AA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53B66F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2FCB83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434A4D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135591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6CCC" w:rsidRPr="006E4945" w14:paraId="61A465D7" w14:textId="16A7D9D8" w:rsidTr="006E4945">
        <w:tc>
          <w:tcPr>
            <w:tcW w:w="0" w:type="auto"/>
            <w:gridSpan w:val="7"/>
            <w:vAlign w:val="center"/>
          </w:tcPr>
          <w:p w14:paraId="405CEB11" w14:textId="2DD4D75F" w:rsidR="001A6CCC" w:rsidRPr="006E4945" w:rsidRDefault="001A6CCC" w:rsidP="006E4945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Faktör 3: Bireysel Algı ve Tereddütler </w:t>
            </w:r>
          </w:p>
        </w:tc>
      </w:tr>
      <w:tr w:rsidR="006E4945" w:rsidRPr="006E4945" w14:paraId="2B99B8DC" w14:textId="47B2BC79" w:rsidTr="006E4945">
        <w:tc>
          <w:tcPr>
            <w:tcW w:w="0" w:type="auto"/>
            <w:vAlign w:val="center"/>
          </w:tcPr>
          <w:p w14:paraId="41EA1E00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3D4C6" w14:textId="685EA682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Donör anne sütü. </w:t>
            </w:r>
            <w:proofErr w:type="gramStart"/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formül</w:t>
            </w:r>
            <w:proofErr w:type="gramEnd"/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mamadan daha güvenlidir.</w:t>
            </w:r>
          </w:p>
        </w:tc>
        <w:tc>
          <w:tcPr>
            <w:tcW w:w="0" w:type="auto"/>
          </w:tcPr>
          <w:p w14:paraId="10E96509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8D0F5F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D62A07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BB268C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EF54ADF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26EF5AC7" w14:textId="1346097B" w:rsidTr="006E4945">
        <w:tc>
          <w:tcPr>
            <w:tcW w:w="0" w:type="auto"/>
            <w:vAlign w:val="center"/>
          </w:tcPr>
          <w:p w14:paraId="51CBEF5D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5AA96" w14:textId="1226C888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bağışının uygun saklama koşullarında güvenle yapılabileceğine inanıyorum.</w:t>
            </w:r>
          </w:p>
        </w:tc>
        <w:tc>
          <w:tcPr>
            <w:tcW w:w="0" w:type="auto"/>
          </w:tcPr>
          <w:p w14:paraId="785888FC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479F1E4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314CF4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05FB22D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0E67D91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4945" w:rsidRPr="006E4945" w14:paraId="1E443281" w14:textId="256BDAE6" w:rsidTr="006E4945">
        <w:tc>
          <w:tcPr>
            <w:tcW w:w="0" w:type="auto"/>
            <w:vAlign w:val="center"/>
          </w:tcPr>
          <w:p w14:paraId="0810AEBF" w14:textId="77777777" w:rsidR="001A6CCC" w:rsidRPr="006E4945" w:rsidRDefault="001A6CCC" w:rsidP="006E494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A56A4" w14:textId="74E7D42F" w:rsidR="001A6CCC" w:rsidRPr="006E4945" w:rsidRDefault="001A6CCC" w:rsidP="006E4945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E494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Anne sütü bağışının sadece prematüre ve hasta bebekler için gerekli olduğunu düşünüyorum.</w:t>
            </w:r>
          </w:p>
        </w:tc>
        <w:tc>
          <w:tcPr>
            <w:tcW w:w="0" w:type="auto"/>
          </w:tcPr>
          <w:p w14:paraId="565D832B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D701675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8F02160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F3D4E2C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5B97E60" w14:textId="77777777" w:rsidR="001A6CCC" w:rsidRPr="006E4945" w:rsidRDefault="001A6CCC" w:rsidP="00A53F82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9CD7FA" w14:textId="77777777" w:rsidR="00BC3DE7" w:rsidRPr="006E4945" w:rsidRDefault="00BC3DE7" w:rsidP="006C7B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83A24" w14:textId="761A7BA0" w:rsidR="001A6CCC" w:rsidRPr="006E4945" w:rsidRDefault="007800B4" w:rsidP="001A6CCC">
      <w:pPr>
        <w:pStyle w:val="dzyaz"/>
        <w:spacing w:before="0" w:after="0"/>
      </w:pPr>
      <w:r w:rsidRPr="006E4945">
        <w:rPr>
          <w:b/>
          <w:bCs/>
          <w:i/>
          <w:iCs/>
        </w:rPr>
        <w:t>Anne Sütü Bankacılığına İlişkin Algı ve Tutumlar Ölçeği (ASBİATBÖ):</w:t>
      </w:r>
      <w:r w:rsidRPr="006E4945">
        <w:t xml:space="preserve"> ASBİATBÖ, </w:t>
      </w:r>
      <w:r w:rsidR="001A6CCC" w:rsidRPr="006E4945">
        <w:t>a</w:t>
      </w:r>
      <w:r w:rsidR="001A6CCC" w:rsidRPr="006E4945">
        <w:t xml:space="preserve">nnelerin </w:t>
      </w:r>
      <w:r w:rsidR="006E4945" w:rsidRPr="006E4945">
        <w:t>anne sütü bankacılığına ilişkin algı ve tutumlarını belirlemek ama</w:t>
      </w:r>
      <w:r w:rsidR="001A6CCC" w:rsidRPr="006E4945">
        <w:t xml:space="preserve">cıyla geliştirilmiştir. Toplam 18 maddeden oluşan ölçekte üç alt boyut vardır. Bu alt boyutlar; </w:t>
      </w:r>
      <w:r w:rsidR="001A6CCC" w:rsidRPr="006E4945">
        <w:rPr>
          <w:kern w:val="0"/>
          <w14:ligatures w14:val="none"/>
        </w:rPr>
        <w:t>Toplumsal Destek ve Davranışsal Niyet</w:t>
      </w:r>
      <w:r w:rsidR="001A6CCC" w:rsidRPr="006E4945">
        <w:rPr>
          <w:kern w:val="0"/>
          <w14:ligatures w14:val="none"/>
        </w:rPr>
        <w:t xml:space="preserve"> (1-11. maddeler), </w:t>
      </w:r>
      <w:r w:rsidR="001A6CCC" w:rsidRPr="006E4945">
        <w:rPr>
          <w:kern w:val="0"/>
          <w14:ligatures w14:val="none"/>
        </w:rPr>
        <w:t>Bilgi ve Güvenlik Farkındalığı</w:t>
      </w:r>
      <w:r w:rsidR="001A6CCC" w:rsidRPr="006E4945">
        <w:rPr>
          <w:kern w:val="0"/>
          <w14:ligatures w14:val="none"/>
        </w:rPr>
        <w:t xml:space="preserve"> (12-15. Maddeler) ve </w:t>
      </w:r>
      <w:r w:rsidR="001A6CCC" w:rsidRPr="006E4945">
        <w:rPr>
          <w:kern w:val="0"/>
          <w14:ligatures w14:val="none"/>
        </w:rPr>
        <w:t>Bireysel Algı ve Tereddütler</w:t>
      </w:r>
      <w:r w:rsidR="001A6CCC" w:rsidRPr="006E4945">
        <w:rPr>
          <w:kern w:val="0"/>
          <w14:ligatures w14:val="none"/>
        </w:rPr>
        <w:t xml:space="preserve"> (16-18.maddeler)’</w:t>
      </w:r>
      <w:proofErr w:type="spellStart"/>
      <w:r w:rsidR="001A6CCC" w:rsidRPr="006E4945">
        <w:rPr>
          <w:kern w:val="0"/>
          <w14:ligatures w14:val="none"/>
        </w:rPr>
        <w:t>dir</w:t>
      </w:r>
      <w:proofErr w:type="spellEnd"/>
      <w:r w:rsidR="001A6CCC" w:rsidRPr="006E4945">
        <w:rPr>
          <w:kern w:val="0"/>
          <w14:ligatures w14:val="none"/>
        </w:rPr>
        <w:t>.</w:t>
      </w:r>
      <w:r w:rsidRPr="006E4945">
        <w:t xml:space="preserve"> Ölçek, 5'li </w:t>
      </w:r>
      <w:proofErr w:type="spellStart"/>
      <w:r w:rsidRPr="006E4945">
        <w:t>Likert</w:t>
      </w:r>
      <w:proofErr w:type="spellEnd"/>
      <w:r w:rsidRPr="006E4945">
        <w:t xml:space="preserve"> tipinde olup "Kesinlikle Katılmıyorum" (1), "Katılmıyorum" (2), "Kararsızım" (3), "Katılıyorum" (4) ve "Kesinlikle Katılıyorum" (5) şeklinde puanlanmaktadır. Ölçekte ters puanlanan madde bulunmamaktadır.</w:t>
      </w:r>
      <w:r w:rsidR="001A6CCC" w:rsidRPr="006E4945">
        <w:t xml:space="preserve"> </w:t>
      </w:r>
      <w:r w:rsidR="001A6CCC" w:rsidRPr="006E4945">
        <w:t>Her alt boyut için ilgili maddelerin puanları toplanarak alt boyut puanları elde edilmekte, tüm maddelerin puanlarının toplanmasıyla ölçek toplam puanı hesaplanmaktadır. Toplumsal destek ve davranışsal niyet</w:t>
      </w:r>
      <w:r w:rsidR="001A6CCC" w:rsidRPr="006E4945">
        <w:t xml:space="preserve"> alt boyutundan alınabilecek toplam puan 11-55 arasında, bilgi ve güvenlik farkındalığı alt boyutundan </w:t>
      </w:r>
      <w:r w:rsidR="001A6CCC" w:rsidRPr="006E4945">
        <w:t>alınabilecek toplam puan</w:t>
      </w:r>
      <w:r w:rsidR="001A6CCC" w:rsidRPr="006E4945">
        <w:t xml:space="preserve"> 4-20 </w:t>
      </w:r>
      <w:r w:rsidR="001A6CCC" w:rsidRPr="006E4945">
        <w:t>arasında</w:t>
      </w:r>
      <w:r w:rsidR="001A6CCC" w:rsidRPr="006E4945">
        <w:t xml:space="preserve"> ve bireysel algı ve tereddütler alt boyutundan </w:t>
      </w:r>
      <w:r w:rsidR="001A6CCC" w:rsidRPr="006E4945">
        <w:t>alınabilecek toplam puan</w:t>
      </w:r>
      <w:r w:rsidR="001A6CCC" w:rsidRPr="006E4945">
        <w:t xml:space="preserve"> 3-15 </w:t>
      </w:r>
      <w:r w:rsidR="001A6CCC" w:rsidRPr="006E4945">
        <w:t>arasında</w:t>
      </w:r>
      <w:r w:rsidR="001A6CCC" w:rsidRPr="006E4945">
        <w:t xml:space="preserve"> değişmektedir. </w:t>
      </w:r>
      <w:r w:rsidR="001A6CCC" w:rsidRPr="006E4945">
        <w:t>Ölçek</w:t>
      </w:r>
      <w:r w:rsidR="001A6CCC" w:rsidRPr="006E4945">
        <w:t xml:space="preserve"> toplamından</w:t>
      </w:r>
      <w:r w:rsidR="001A6CCC" w:rsidRPr="006E4945">
        <w:t xml:space="preserve"> alınabilecek toplam puan </w:t>
      </w:r>
      <w:r w:rsidR="001A6CCC" w:rsidRPr="006E4945">
        <w:t xml:space="preserve">ise </w:t>
      </w:r>
      <w:r w:rsidR="001A6CCC" w:rsidRPr="006E4945">
        <w:t>18 ile 90 arasında değişmekte olup, toplam puanın artması anne sütü bankacılığına ilişkin algı ve tutumların daha olumlu olduğunu göstermektedir.</w:t>
      </w:r>
      <w:r w:rsidR="001A6CCC" w:rsidRPr="006E4945">
        <w:t xml:space="preserve"> </w:t>
      </w:r>
      <w:r w:rsidR="006E4945" w:rsidRPr="006E4945">
        <w:t xml:space="preserve">Ölçeğin </w:t>
      </w:r>
      <w:r w:rsidR="006E4945">
        <w:t>t</w:t>
      </w:r>
      <w:r w:rsidR="006E4945" w:rsidRPr="006E4945">
        <w:t>oplumsal destek ve davranışsal niyet alt boyutun</w:t>
      </w:r>
      <w:r w:rsidR="006E4945" w:rsidRPr="006E4945">
        <w:t xml:space="preserve">un </w:t>
      </w:r>
      <w:r w:rsidR="006E4945" w:rsidRPr="006E4945">
        <w:t>Cronbach alfa</w:t>
      </w:r>
      <w:r w:rsidR="006E4945" w:rsidRPr="006E4945">
        <w:t xml:space="preserve"> değeri </w:t>
      </w:r>
      <w:r w:rsidR="006E4945" w:rsidRPr="006E4945">
        <w:t>0.943</w:t>
      </w:r>
      <w:r w:rsidR="006E4945" w:rsidRPr="006E4945">
        <w:t xml:space="preserve">, </w:t>
      </w:r>
      <w:r w:rsidR="006E4945" w:rsidRPr="006E4945">
        <w:t>bilgi ve güvenlik farkındalığı alt boyutun</w:t>
      </w:r>
      <w:r w:rsidR="006E4945" w:rsidRPr="006E4945">
        <w:t xml:space="preserve">un </w:t>
      </w:r>
      <w:r w:rsidR="006E4945" w:rsidRPr="006E4945">
        <w:t>Cronbach alfa değeri</w:t>
      </w:r>
      <w:r w:rsidR="006E4945" w:rsidRPr="006E4945">
        <w:t xml:space="preserve"> </w:t>
      </w:r>
      <w:r w:rsidR="006E4945" w:rsidRPr="006E4945">
        <w:t>0.874</w:t>
      </w:r>
      <w:r w:rsidR="006E4945" w:rsidRPr="006E4945">
        <w:t xml:space="preserve">, </w:t>
      </w:r>
      <w:r w:rsidR="006E4945" w:rsidRPr="006E4945">
        <w:t>bireysel algı ve tereddütler alt boyutun</w:t>
      </w:r>
      <w:r w:rsidR="006E4945" w:rsidRPr="006E4945">
        <w:t xml:space="preserve">un </w:t>
      </w:r>
      <w:r w:rsidR="006E4945" w:rsidRPr="006E4945">
        <w:t>Cronbach alfa değeri</w:t>
      </w:r>
      <w:r w:rsidR="006E4945" w:rsidRPr="006E4945">
        <w:t xml:space="preserve"> </w:t>
      </w:r>
      <w:r w:rsidR="006E4945" w:rsidRPr="006E4945">
        <w:t>0.655</w:t>
      </w:r>
      <w:r w:rsidR="006E4945" w:rsidRPr="006E4945">
        <w:t xml:space="preserve"> olup, ölçek toplamının </w:t>
      </w:r>
      <w:r w:rsidR="006E4945" w:rsidRPr="006E4945">
        <w:t>Cronbach alfa değeri</w:t>
      </w:r>
      <w:r w:rsidR="006E4945" w:rsidRPr="006E4945">
        <w:t xml:space="preserve"> </w:t>
      </w:r>
      <w:r w:rsidR="006E4945" w:rsidRPr="006E4945">
        <w:t>0.925</w:t>
      </w:r>
      <w:r w:rsidR="006E4945" w:rsidRPr="006E4945">
        <w:t xml:space="preserve">’tir. </w:t>
      </w:r>
    </w:p>
    <w:p w14:paraId="23D2EEA8" w14:textId="72E7E818" w:rsidR="00595E50" w:rsidRPr="006E4945" w:rsidRDefault="00595E50" w:rsidP="006E4945">
      <w:pPr>
        <w:pStyle w:val="dzyaz"/>
        <w:spacing w:after="0"/>
      </w:pPr>
      <w:r w:rsidRPr="006E4945">
        <w:rPr>
          <w:b/>
          <w:bCs/>
        </w:rPr>
        <w:t>Kaynak/Referans:</w:t>
      </w:r>
    </w:p>
    <w:p w14:paraId="6E1A5A07" w14:textId="480D5280" w:rsidR="00595E50" w:rsidRPr="006E4945" w:rsidRDefault="006E4945" w:rsidP="006C7B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94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ilci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Erciyas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, Ş., Muslu, A.,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Cirban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Ekrem, E., &amp;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Olukman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, Ö. (2026).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Mothers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E4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945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6E4945">
        <w:rPr>
          <w:rFonts w:ascii="Times New Roman" w:hAnsi="Times New Roman" w:cs="Times New Roman"/>
          <w:i/>
          <w:iCs/>
          <w:sz w:val="24"/>
          <w:szCs w:val="24"/>
        </w:rPr>
        <w:t xml:space="preserve"> of Dr. </w:t>
      </w:r>
      <w:proofErr w:type="spellStart"/>
      <w:r w:rsidRPr="006E4945">
        <w:rPr>
          <w:rFonts w:ascii="Times New Roman" w:hAnsi="Times New Roman" w:cs="Times New Roman"/>
          <w:i/>
          <w:iCs/>
          <w:sz w:val="24"/>
          <w:szCs w:val="24"/>
        </w:rPr>
        <w:t>Behcet</w:t>
      </w:r>
      <w:proofErr w:type="spellEnd"/>
      <w:r w:rsidRPr="006E4945">
        <w:rPr>
          <w:rFonts w:ascii="Times New Roman" w:hAnsi="Times New Roman" w:cs="Times New Roman"/>
          <w:i/>
          <w:iCs/>
          <w:sz w:val="24"/>
          <w:szCs w:val="24"/>
        </w:rPr>
        <w:t xml:space="preserve"> Uz </w:t>
      </w:r>
      <w:proofErr w:type="spellStart"/>
      <w:r w:rsidRPr="006E4945">
        <w:rPr>
          <w:rFonts w:ascii="Times New Roman" w:hAnsi="Times New Roman" w:cs="Times New Roman"/>
          <w:i/>
          <w:iCs/>
          <w:sz w:val="24"/>
          <w:szCs w:val="24"/>
        </w:rPr>
        <w:t>Children’s</w:t>
      </w:r>
      <w:proofErr w:type="spellEnd"/>
      <w:r w:rsidRPr="006E49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4945">
        <w:rPr>
          <w:rFonts w:ascii="Times New Roman" w:hAnsi="Times New Roman" w:cs="Times New Roman"/>
          <w:i/>
          <w:iCs/>
          <w:sz w:val="24"/>
          <w:szCs w:val="24"/>
        </w:rPr>
        <w:t>Hospital</w:t>
      </w:r>
      <w:proofErr w:type="spellEnd"/>
      <w:r w:rsidRPr="006E4945">
        <w:rPr>
          <w:rFonts w:ascii="Times New Roman" w:hAnsi="Times New Roman" w:cs="Times New Roman"/>
          <w:i/>
          <w:iCs/>
          <w:sz w:val="24"/>
          <w:szCs w:val="24"/>
        </w:rPr>
        <w:t>, 16</w:t>
      </w:r>
      <w:r w:rsidRPr="006E4945">
        <w:rPr>
          <w:rFonts w:ascii="Times New Roman" w:hAnsi="Times New Roman" w:cs="Times New Roman"/>
          <w:sz w:val="24"/>
          <w:szCs w:val="24"/>
        </w:rPr>
        <w:t xml:space="preserve">(1), 45–54. </w:t>
      </w:r>
      <w:hyperlink r:id="rId5" w:history="1">
        <w:r w:rsidRPr="009277FB">
          <w:rPr>
            <w:rStyle w:val="Kpr"/>
            <w:rFonts w:ascii="Times New Roman" w:hAnsi="Times New Roman" w:cs="Times New Roman"/>
            <w:sz w:val="24"/>
            <w:szCs w:val="24"/>
          </w:rPr>
          <w:t>https://doi.org/10.4274/jbuch.galenos.2026.56667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F291C" w14:textId="09CF21E0" w:rsidR="00595E50" w:rsidRPr="006E4945" w:rsidRDefault="00595E50" w:rsidP="006C7B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9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5E50" w:rsidRPr="006E4945" w:rsidSect="006E4945">
      <w:type w:val="continuous"/>
      <w:pgSz w:w="11530" w:h="15960"/>
      <w:pgMar w:top="720" w:right="720" w:bottom="720" w:left="720" w:header="0" w:footer="10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95297"/>
    <w:multiLevelType w:val="hybridMultilevel"/>
    <w:tmpl w:val="730AD6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F6357C"/>
    <w:multiLevelType w:val="hybridMultilevel"/>
    <w:tmpl w:val="17E293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300670">
    <w:abstractNumId w:val="0"/>
  </w:num>
  <w:num w:numId="2" w16cid:durableId="59709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1D"/>
    <w:rsid w:val="00161E23"/>
    <w:rsid w:val="001A6CCC"/>
    <w:rsid w:val="002E5CFB"/>
    <w:rsid w:val="00362257"/>
    <w:rsid w:val="00501094"/>
    <w:rsid w:val="005040B7"/>
    <w:rsid w:val="00595E50"/>
    <w:rsid w:val="00675219"/>
    <w:rsid w:val="006C7BD5"/>
    <w:rsid w:val="006E4945"/>
    <w:rsid w:val="007800B4"/>
    <w:rsid w:val="0087061D"/>
    <w:rsid w:val="00A24124"/>
    <w:rsid w:val="00A74991"/>
    <w:rsid w:val="00A9499D"/>
    <w:rsid w:val="00AA5C69"/>
    <w:rsid w:val="00BC3DE7"/>
    <w:rsid w:val="00C023C1"/>
    <w:rsid w:val="00C35FB8"/>
    <w:rsid w:val="00C50EEF"/>
    <w:rsid w:val="00D5223A"/>
    <w:rsid w:val="00D95D0E"/>
    <w:rsid w:val="00D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0D86"/>
  <w15:chartTrackingRefBased/>
  <w15:docId w15:val="{A5FC3871-7EB2-46BF-AD29-D66754C3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0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0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0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06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06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06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06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06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06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06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06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06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06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06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5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95E5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5E50"/>
    <w:rPr>
      <w:color w:val="605E5C"/>
      <w:shd w:val="clear" w:color="auto" w:fill="E1DFDD"/>
    </w:rPr>
  </w:style>
  <w:style w:type="paragraph" w:customStyle="1" w:styleId="dzyaz">
    <w:name w:val="düzyazı"/>
    <w:basedOn w:val="Normal"/>
    <w:link w:val="dzyazChar"/>
    <w:qFormat/>
    <w:rsid w:val="007800B4"/>
    <w:pPr>
      <w:widowControl w:val="0"/>
      <w:spacing w:before="360" w:after="360" w:line="360" w:lineRule="auto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tr-TR" w:bidi="en-US"/>
    </w:rPr>
  </w:style>
  <w:style w:type="character" w:customStyle="1" w:styleId="dzyazChar">
    <w:name w:val="düzyazı Char"/>
    <w:link w:val="dzyaz"/>
    <w:rsid w:val="007800B4"/>
    <w:rPr>
      <w:rFonts w:ascii="Times New Roman" w:eastAsia="Times New Roman" w:hAnsi="Times New Roman" w:cs="Times New Roman"/>
      <w:spacing w:val="-1"/>
      <w:sz w:val="24"/>
      <w:szCs w:val="24"/>
      <w:lang w:eastAsia="tr-T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274/jbuch.galenos.2026.56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462</Words>
  <Characters>3111</Characters>
  <Application>Microsoft Office Word</Application>
  <DocSecurity>0</DocSecurity>
  <Lines>222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16</cp:revision>
  <dcterms:created xsi:type="dcterms:W3CDTF">2025-11-05T13:27:00Z</dcterms:created>
  <dcterms:modified xsi:type="dcterms:W3CDTF">2026-04-15T11:56:00Z</dcterms:modified>
</cp:coreProperties>
</file>