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E3" w:rsidRPr="00EF5ED7" w:rsidRDefault="005529FD" w:rsidP="005529FD">
      <w:pPr>
        <w:jc w:val="center"/>
        <w:rPr>
          <w:rFonts w:ascii="Times New Roman" w:hAnsi="Times New Roman" w:cs="Times New Roman"/>
          <w:b/>
        </w:rPr>
      </w:pPr>
      <w:r w:rsidRPr="00EF5ED7">
        <w:rPr>
          <w:rFonts w:ascii="Times New Roman" w:hAnsi="Times New Roman" w:cs="Times New Roman"/>
          <w:b/>
        </w:rPr>
        <w:t>Ahlaki Uzaklaşma Zorbalık Davranışı Ölçeği</w:t>
      </w:r>
    </w:p>
    <w:tbl>
      <w:tblPr>
        <w:tblStyle w:val="TabloKlavuzu"/>
        <w:tblW w:w="8769" w:type="dxa"/>
        <w:tblInd w:w="156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1134"/>
        <w:gridCol w:w="1275"/>
        <w:gridCol w:w="1256"/>
      </w:tblGrid>
      <w:tr w:rsidR="004235A0" w:rsidRPr="00227A15" w:rsidTr="00181646">
        <w:trPr>
          <w:trHeight w:val="177"/>
        </w:trPr>
        <w:tc>
          <w:tcPr>
            <w:tcW w:w="2836" w:type="dxa"/>
          </w:tcPr>
          <w:p w:rsidR="004235A0" w:rsidRPr="00227A15" w:rsidRDefault="004235A0" w:rsidP="00552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27A15">
              <w:rPr>
                <w:rFonts w:ascii="Times New Roman" w:hAnsi="Times New Roman" w:cs="Times New Roman"/>
                <w:b/>
                <w:color w:val="000000" w:themeColor="text1"/>
              </w:rPr>
              <w:t>Sorular</w:t>
            </w:r>
          </w:p>
        </w:tc>
        <w:tc>
          <w:tcPr>
            <w:tcW w:w="1134" w:type="dxa"/>
          </w:tcPr>
          <w:p w:rsidR="004235A0" w:rsidRPr="00227A15" w:rsidRDefault="004235A0" w:rsidP="0055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4235A0" w:rsidRPr="00227A15" w:rsidRDefault="004235A0" w:rsidP="0055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35A0" w:rsidRPr="00227A15" w:rsidRDefault="004235A0" w:rsidP="0055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</w:tcPr>
          <w:p w:rsidR="004235A0" w:rsidRPr="00227A15" w:rsidRDefault="004235A0" w:rsidP="00552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6" w:type="dxa"/>
          </w:tcPr>
          <w:p w:rsidR="004235A0" w:rsidRPr="00227A15" w:rsidRDefault="004235A0" w:rsidP="00EF5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1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35A0" w:rsidRPr="00227A15" w:rsidTr="00181646">
        <w:trPr>
          <w:trHeight w:val="353"/>
        </w:trPr>
        <w:tc>
          <w:tcPr>
            <w:tcW w:w="2836" w:type="dxa"/>
          </w:tcPr>
          <w:p w:rsidR="004235A0" w:rsidRPr="00227A15" w:rsidRDefault="004235A0" w:rsidP="00552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7A15">
              <w:rPr>
                <w:rFonts w:ascii="Times New Roman" w:hAnsi="Times New Roman" w:cs="Times New Roman"/>
                <w:color w:val="000000" w:themeColor="text1"/>
              </w:rPr>
              <w:t xml:space="preserve">1. Sevmediğiniz biri zorbalığa uğradığında,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ona yapılan 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zorbalığı desteklemenizde bir sakınca yoktur</w:t>
            </w:r>
          </w:p>
        </w:tc>
        <w:tc>
          <w:tcPr>
            <w:tcW w:w="1134" w:type="dxa"/>
          </w:tcPr>
          <w:p w:rsidR="004235A0" w:rsidRPr="00227A15" w:rsidRDefault="00B2605D" w:rsidP="00EF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="004235A0"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4235A0" w:rsidRPr="00227A15" w:rsidRDefault="004235A0" w:rsidP="005529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="00B2605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4235A0" w:rsidRPr="00227A15" w:rsidRDefault="004235A0" w:rsidP="00EF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4235A0" w:rsidRPr="00227A15" w:rsidRDefault="00B2605D" w:rsidP="00EF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="004235A0"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4235A0" w:rsidRPr="00227A15" w:rsidRDefault="00B2605D" w:rsidP="00EF5E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="004235A0"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7A15">
              <w:rPr>
                <w:rFonts w:ascii="Times New Roman" w:hAnsi="Times New Roman" w:cs="Times New Roman"/>
                <w:color w:val="000000" w:themeColor="text1"/>
              </w:rPr>
              <w:t>2. Zorbalık, sorunları çözmenin iyi bir yolu olabilir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7A15">
              <w:rPr>
                <w:rFonts w:ascii="Times New Roman" w:hAnsi="Times New Roman" w:cs="Times New Roman"/>
                <w:color w:val="000000" w:themeColor="text1"/>
              </w:rPr>
              <w:t xml:space="preserve">3. Sınıf </w:t>
            </w:r>
            <w:r>
              <w:rPr>
                <w:rFonts w:ascii="Times New Roman" w:hAnsi="Times New Roman" w:cs="Times New Roman"/>
                <w:color w:val="000000" w:themeColor="text1"/>
              </w:rPr>
              <w:t>arkadaşlarımı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 xml:space="preserve"> lakap takarak çağırmak onları gerçek anlamda incitmez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7A15">
              <w:rPr>
                <w:rFonts w:ascii="Times New Roman" w:hAnsi="Times New Roman" w:cs="Times New Roman"/>
                <w:color w:val="000000" w:themeColor="text1"/>
              </w:rPr>
              <w:t>4. Başkalarının önünde diğer insanlar hakkında kötü şeyler söylemek kimseye zarar vermez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Eğer herkes yapıyorsa, senin de birine lakap takmanda bir sakınca yoktur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Başkalarına vuran bir kişi sadece "</w:t>
            </w:r>
            <w:r>
              <w:rPr>
                <w:rFonts w:ascii="Times New Roman" w:hAnsi="Times New Roman" w:cs="Times New Roman"/>
                <w:color w:val="000000" w:themeColor="text1"/>
              </w:rPr>
              <w:t>müsahamasız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 xml:space="preserve"> davranıyor" demektir.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Birini bir gruptan dışlamak sadece 'alay etmektir,'  daha fazlası değil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İnsanların yüzüne yumruk atıldığı bir ortamda birilerine çelme takmak önemli bir sorun değildir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Birinin zorbalığa uğramasını izlemek sorun değildir çünkü zorbalığı yapmak daha kötüdür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Bir kişi, başkalarının da zorbalık yaptığını görmüşse, kendisi zorbalık yaptığında suçlanmamalıdır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Eğer bir kişi ceza almıyorsa, başkalarına lakap taktığı için suçlanmamalıdır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Bazı insanlar hayvan gibi muamele görmeyi hak ediyor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  <w:tr w:rsidR="00B2605D" w:rsidRPr="00227A15" w:rsidTr="00181646">
        <w:tc>
          <w:tcPr>
            <w:tcW w:w="283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227A15">
              <w:rPr>
                <w:rFonts w:ascii="Times New Roman" w:hAnsi="Times New Roman" w:cs="Times New Roman"/>
                <w:color w:val="000000" w:themeColor="text1"/>
              </w:rPr>
              <w:t>. “Kaba” davranan birisine lakap takmak sorun değildir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Katılmı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134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Kısmen katılıyorum</w:t>
            </w:r>
          </w:p>
        </w:tc>
        <w:tc>
          <w:tcPr>
            <w:tcW w:w="1275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  <w:tc>
          <w:tcPr>
            <w:tcW w:w="1256" w:type="dxa"/>
          </w:tcPr>
          <w:p w:rsidR="00B2605D" w:rsidRPr="00227A15" w:rsidRDefault="00B2605D" w:rsidP="00B260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Kesinlikle Katıl</w:t>
            </w:r>
            <w:r w:rsidRPr="00227A15">
              <w:rPr>
                <w:rFonts w:ascii="Times New Roman" w:hAnsi="Times New Roman" w:cs="Times New Roman"/>
                <w:sz w:val="18"/>
                <w:szCs w:val="18"/>
              </w:rPr>
              <w:t>ıyorum</w:t>
            </w:r>
          </w:p>
        </w:tc>
      </w:tr>
    </w:tbl>
    <w:p w:rsidR="00181646" w:rsidRDefault="00181646" w:rsidP="00181646">
      <w:pPr>
        <w:jc w:val="both"/>
      </w:pPr>
    </w:p>
    <w:p w:rsidR="00181646" w:rsidRDefault="00181646" w:rsidP="00181646">
      <w:pPr>
        <w:jc w:val="both"/>
      </w:pPr>
      <w:proofErr w:type="spellStart"/>
      <w:r>
        <w:t>Jeong</w:t>
      </w:r>
      <w:proofErr w:type="spellEnd"/>
      <w:r>
        <w:t xml:space="preserve"> ve arkadaşları (2024) tarafından geliştirilen Ahlaki Uzaklaşma Zorbalık Davranışı </w:t>
      </w:r>
      <w:proofErr w:type="spellStart"/>
      <w:r>
        <w:t>Ölçeği'nin</w:t>
      </w:r>
      <w:proofErr w:type="spellEnd"/>
      <w:r>
        <w:t xml:space="preserve"> (AUZDÖ) Türkçeye uyarlanması ve </w:t>
      </w:r>
      <w:proofErr w:type="spellStart"/>
      <w:r>
        <w:t>psikometrik</w:t>
      </w:r>
      <w:proofErr w:type="spellEnd"/>
      <w:r>
        <w:t xml:space="preserve"> özelliklerinin incelenmesi </w:t>
      </w:r>
      <w:proofErr w:type="spellStart"/>
      <w:r>
        <w:t>Kuşci</w:t>
      </w:r>
      <w:proofErr w:type="spellEnd"/>
      <w:r>
        <w:t xml:space="preserve"> ve Bakır (2025) tarafından gerçekleştirilmiştir. Araştırma, iki farklı örneklemdeki toplam 510 üniversite öğrencisi üzerinde yürütülmüştür. Ölçeğin yapı geçerliği </w:t>
      </w:r>
      <w:proofErr w:type="spellStart"/>
      <w:r>
        <w:t>Açımlayıcı</w:t>
      </w:r>
      <w:proofErr w:type="spellEnd"/>
      <w:r>
        <w:t xml:space="preserve"> Faktör Analizi (AFA) ve</w:t>
      </w:r>
      <w:bookmarkStart w:id="0" w:name="_GoBack"/>
      <w:bookmarkEnd w:id="0"/>
      <w:r>
        <w:t xml:space="preserve"> Doğrulayıcı Faktör Analizi (DFA) ile incelenmiştir. AFA sonucunda, orijinal ölçekle tutarlı olarak tek faktörlü bir yapı elde </w:t>
      </w:r>
      <w:r>
        <w:lastRenderedPageBreak/>
        <w:t>edilmiş, 5. maddenin çıkarılmasıyla 13 maddelik bir form oluşturulmuştur. DFA sonuçları, tek faktörlü yapıyı doğrulamıştır (χ²/</w:t>
      </w:r>
      <w:proofErr w:type="spellStart"/>
      <w:r>
        <w:t>sd</w:t>
      </w:r>
      <w:proofErr w:type="spellEnd"/>
      <w:r>
        <w:t xml:space="preserve"> = 2.292, CFI = 0.959, RMSEA = 0.065). Ölçeğin </w:t>
      </w:r>
      <w:proofErr w:type="spellStart"/>
      <w:r>
        <w:t>Cronbach</w:t>
      </w:r>
      <w:proofErr w:type="spellEnd"/>
      <w:r>
        <w:t xml:space="preserve"> alfa </w:t>
      </w:r>
      <w:proofErr w:type="gramStart"/>
      <w:r>
        <w:t>katsayısı .901</w:t>
      </w:r>
      <w:proofErr w:type="gramEnd"/>
      <w:r>
        <w:t xml:space="preserve">, McDonald </w:t>
      </w:r>
      <w:proofErr w:type="spellStart"/>
      <w:r>
        <w:t>omega</w:t>
      </w:r>
      <w:proofErr w:type="spellEnd"/>
      <w:r>
        <w:t xml:space="preserve"> katsayısı .899 olarak bulunmuştur. Ölçüt geçerliği kapsamında, </w:t>
      </w:r>
      <w:proofErr w:type="spellStart"/>
      <w:r>
        <w:t>AUZDÖ'nün</w:t>
      </w:r>
      <w:proofErr w:type="spellEnd"/>
      <w:r>
        <w:t xml:space="preserve"> Ahlaki Uzaklaşma Ölçeği (r = 0.521), Siber Zorbalık (r = 0.323), Siber Mağduriyet (r = 0.297) ve Depresyon (r = 0.192) ile pozitif; Psikolojik İyi Oluş (r = - 0.294) ile negatif yönde anlamlı ilişkiler gösterdiği bulunmuştur. Bu bulgular, </w:t>
      </w:r>
      <w:proofErr w:type="spellStart"/>
      <w:r>
        <w:t>AUZDÖ'nün</w:t>
      </w:r>
      <w:proofErr w:type="spellEnd"/>
      <w:r>
        <w:t xml:space="preserve"> Türkçe formunun geçerli ve güvenilir bir ölçme aracı olduğunu göstermektedir. </w:t>
      </w:r>
      <w:proofErr w:type="spellStart"/>
      <w:r>
        <w:t>AUZDÖ'nün</w:t>
      </w:r>
      <w:proofErr w:type="spellEnd"/>
      <w:r>
        <w:t xml:space="preserve"> Türkçe uyarlaması, zorbalık ve ahlaki uzaklaşma alanındaki araştırmaların gelişimine katkı sağlayacak, ayrıca zorbalığı önleme ve müdahale programlarının geliştirilmesinde kullanılabilecek değerli bir araç sunmaktadır.</w:t>
      </w:r>
    </w:p>
    <w:p w:rsidR="00181646" w:rsidRDefault="00181646" w:rsidP="00181646">
      <w:pPr>
        <w:jc w:val="both"/>
      </w:pPr>
    </w:p>
    <w:p w:rsidR="00181646" w:rsidRDefault="00181646" w:rsidP="00181646">
      <w:pPr>
        <w:jc w:val="both"/>
      </w:pPr>
      <w:r>
        <w:t>Ayrıntılı bilgi için çalışmamanın künyesi</w:t>
      </w:r>
    </w:p>
    <w:p w:rsidR="00181646" w:rsidRPr="00EF5ED7" w:rsidRDefault="00181646" w:rsidP="00181646">
      <w:pPr>
        <w:jc w:val="both"/>
        <w:rPr>
          <w:rFonts w:ascii="Times New Roman" w:hAnsi="Times New Roman" w:cs="Times New Roman"/>
        </w:rPr>
      </w:pPr>
      <w:proofErr w:type="spellStart"/>
      <w:r w:rsidRPr="00181646">
        <w:rPr>
          <w:rFonts w:ascii="Times New Roman" w:hAnsi="Times New Roman" w:cs="Times New Roman"/>
        </w:rPr>
        <w:t>Kuşci</w:t>
      </w:r>
      <w:proofErr w:type="spellEnd"/>
      <w:r w:rsidRPr="00181646">
        <w:rPr>
          <w:rFonts w:ascii="Times New Roman" w:hAnsi="Times New Roman" w:cs="Times New Roman"/>
        </w:rPr>
        <w:t>, İ</w:t>
      </w:r>
      <w:proofErr w:type="gramStart"/>
      <w:r w:rsidRPr="00181646">
        <w:rPr>
          <w:rFonts w:ascii="Times New Roman" w:hAnsi="Times New Roman" w:cs="Times New Roman"/>
        </w:rPr>
        <w:t>.,</w:t>
      </w:r>
      <w:proofErr w:type="gramEnd"/>
      <w:r w:rsidRPr="00181646">
        <w:rPr>
          <w:rFonts w:ascii="Times New Roman" w:hAnsi="Times New Roman" w:cs="Times New Roman"/>
        </w:rPr>
        <w:t xml:space="preserve"> &amp; Bakır, V. (2025). Ahlaki uzaklaşma ve zorbalık davranışı: Türkiye örnekleminde yeni bir ölçeğin </w:t>
      </w:r>
      <w:proofErr w:type="spellStart"/>
      <w:r w:rsidRPr="00181646">
        <w:rPr>
          <w:rFonts w:ascii="Times New Roman" w:hAnsi="Times New Roman" w:cs="Times New Roman"/>
        </w:rPr>
        <w:t>psikometrik</w:t>
      </w:r>
      <w:proofErr w:type="spellEnd"/>
      <w:r w:rsidRPr="00181646">
        <w:rPr>
          <w:rFonts w:ascii="Times New Roman" w:hAnsi="Times New Roman" w:cs="Times New Roman"/>
        </w:rPr>
        <w:t xml:space="preserve"> incelenmesi. Mehmet Akif Ersoy Üniversitesi Eğitim Fakültesi Dergisi(73), 635-659. https://doi.org/10.21764/maeuefd.1547674</w:t>
      </w:r>
    </w:p>
    <w:sectPr w:rsidR="00181646" w:rsidRPr="00EF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EC"/>
    <w:rsid w:val="00181646"/>
    <w:rsid w:val="001A261E"/>
    <w:rsid w:val="00227A15"/>
    <w:rsid w:val="004235A0"/>
    <w:rsid w:val="005529FD"/>
    <w:rsid w:val="00646FE3"/>
    <w:rsid w:val="00AD32EC"/>
    <w:rsid w:val="00B2605D"/>
    <w:rsid w:val="00E67015"/>
    <w:rsid w:val="00E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62DB"/>
  <w15:docId w15:val="{15D7189C-477E-47DA-9F2C-FB7AC537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Kütüphane</cp:lastModifiedBy>
  <cp:revision>3</cp:revision>
  <dcterms:created xsi:type="dcterms:W3CDTF">2025-04-11T08:14:00Z</dcterms:created>
  <dcterms:modified xsi:type="dcterms:W3CDTF">2026-03-09T10:51:00Z</dcterms:modified>
</cp:coreProperties>
</file>