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72C2" w14:textId="4037B080" w:rsidR="00FA477C" w:rsidRPr="004E4788" w:rsidRDefault="00FA477C" w:rsidP="00FA47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788">
        <w:rPr>
          <w:rFonts w:ascii="Times New Roman" w:hAnsi="Times New Roman" w:cs="Times New Roman"/>
          <w:b/>
          <w:sz w:val="28"/>
          <w:szCs w:val="28"/>
        </w:rPr>
        <w:t xml:space="preserve">Ödüle Dayalı Yeme Dürtüsü </w:t>
      </w:r>
      <w:r w:rsidR="001F5A59" w:rsidRPr="004E4788">
        <w:rPr>
          <w:rFonts w:ascii="Times New Roman" w:hAnsi="Times New Roman" w:cs="Times New Roman"/>
          <w:b/>
          <w:sz w:val="28"/>
          <w:szCs w:val="28"/>
        </w:rPr>
        <w:t>(ÖDYD</w:t>
      </w:r>
      <w:r w:rsidR="005E1CBA" w:rsidRPr="004E478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E4788">
        <w:rPr>
          <w:rFonts w:ascii="Times New Roman" w:hAnsi="Times New Roman" w:cs="Times New Roman"/>
          <w:b/>
          <w:sz w:val="28"/>
          <w:szCs w:val="28"/>
        </w:rPr>
        <w:t xml:space="preserve">Ölçeği </w:t>
      </w:r>
    </w:p>
    <w:p w14:paraId="4DDA6163" w14:textId="1A0FC581" w:rsidR="005E6C41" w:rsidRPr="004E4788" w:rsidRDefault="008F2BF9" w:rsidP="00FA47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4788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4E4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C41" w:rsidRPr="004E4788">
        <w:rPr>
          <w:rFonts w:ascii="Times New Roman" w:hAnsi="Times New Roman" w:cs="Times New Roman"/>
          <w:b/>
          <w:sz w:val="28"/>
          <w:szCs w:val="28"/>
        </w:rPr>
        <w:t>Reward</w:t>
      </w:r>
      <w:proofErr w:type="spellEnd"/>
      <w:r w:rsidRPr="004E4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788">
        <w:rPr>
          <w:rFonts w:ascii="Times New Roman" w:hAnsi="Times New Roman" w:cs="Times New Roman"/>
          <w:b/>
          <w:sz w:val="28"/>
          <w:szCs w:val="28"/>
        </w:rPr>
        <w:t>Based</w:t>
      </w:r>
      <w:proofErr w:type="spellEnd"/>
      <w:r w:rsidRPr="004E4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C41" w:rsidRPr="004E4788">
        <w:rPr>
          <w:rFonts w:ascii="Times New Roman" w:hAnsi="Times New Roman" w:cs="Times New Roman"/>
          <w:b/>
          <w:sz w:val="28"/>
          <w:szCs w:val="28"/>
        </w:rPr>
        <w:t>Eating</w:t>
      </w:r>
      <w:proofErr w:type="spellEnd"/>
      <w:r w:rsidR="005E6C41" w:rsidRPr="004E4788">
        <w:rPr>
          <w:rFonts w:ascii="Times New Roman" w:hAnsi="Times New Roman" w:cs="Times New Roman"/>
          <w:b/>
          <w:sz w:val="28"/>
          <w:szCs w:val="28"/>
        </w:rPr>
        <w:t xml:space="preserve"> Drive</w:t>
      </w:r>
      <w:r w:rsidR="00A95D2A" w:rsidRPr="004E478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6C41" w:rsidRPr="004E4788">
        <w:rPr>
          <w:rFonts w:ascii="Times New Roman" w:hAnsi="Times New Roman" w:cs="Times New Roman"/>
          <w:b/>
          <w:sz w:val="28"/>
          <w:szCs w:val="28"/>
        </w:rPr>
        <w:t>RED</w:t>
      </w:r>
      <w:r w:rsidR="00A95D2A" w:rsidRPr="004E478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1B1905" w:rsidRPr="004E4788">
        <w:rPr>
          <w:rFonts w:ascii="Times New Roman" w:hAnsi="Times New Roman" w:cs="Times New Roman"/>
          <w:b/>
          <w:sz w:val="28"/>
          <w:szCs w:val="28"/>
        </w:rPr>
        <w:t>S</w:t>
      </w:r>
      <w:r w:rsidR="005E6C41" w:rsidRPr="004E4788">
        <w:rPr>
          <w:rFonts w:ascii="Times New Roman" w:hAnsi="Times New Roman" w:cs="Times New Roman"/>
          <w:b/>
          <w:sz w:val="28"/>
          <w:szCs w:val="28"/>
        </w:rPr>
        <w:t>cale</w:t>
      </w:r>
      <w:proofErr w:type="spellEnd"/>
    </w:p>
    <w:p w14:paraId="48CEB1F0" w14:textId="77777777" w:rsidR="000F3AD1" w:rsidRPr="004E4788" w:rsidRDefault="000F3AD1" w:rsidP="000F3A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8D3135" w14:textId="31A1E5C9" w:rsidR="00B6217C" w:rsidRPr="004E4788" w:rsidRDefault="00B6217C" w:rsidP="000F3A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4788">
        <w:rPr>
          <w:rFonts w:ascii="Times New Roman" w:hAnsi="Times New Roman" w:cs="Times New Roman"/>
          <w:sz w:val="20"/>
          <w:szCs w:val="20"/>
        </w:rPr>
        <w:t>Ödüle Dayalı Yeme Dürtüsü (RED) Ölçeği, ödüle dayalı beslenme riski olan bireyleri ödüle dayalı yemenin</w:t>
      </w:r>
      <w:r w:rsidR="000F3AD1" w:rsidRPr="004E4788">
        <w:rPr>
          <w:rFonts w:ascii="Times New Roman" w:hAnsi="Times New Roman" w:cs="Times New Roman"/>
          <w:sz w:val="20"/>
          <w:szCs w:val="20"/>
        </w:rPr>
        <w:t xml:space="preserve"> </w:t>
      </w:r>
      <w:r w:rsidRPr="004E4788">
        <w:rPr>
          <w:rFonts w:ascii="Times New Roman" w:hAnsi="Times New Roman" w:cs="Times New Roman"/>
          <w:sz w:val="20"/>
          <w:szCs w:val="20"/>
        </w:rPr>
        <w:t xml:space="preserve">yeme üzerinde kontrol eksikliği, doymama, sürekli yemekle meşgul olma gibi tüm alt boyutlarıyla incelemek amacıyla geliştirilmiştir. </w:t>
      </w:r>
    </w:p>
    <w:p w14:paraId="0FA5A31C" w14:textId="77777777" w:rsidR="00B6217C" w:rsidRPr="004E4788" w:rsidRDefault="00B6217C" w:rsidP="00911E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7"/>
        <w:gridCol w:w="5533"/>
        <w:gridCol w:w="622"/>
        <w:gridCol w:w="622"/>
        <w:gridCol w:w="623"/>
        <w:gridCol w:w="622"/>
        <w:gridCol w:w="623"/>
      </w:tblGrid>
      <w:tr w:rsidR="004E4788" w:rsidRPr="004E4788" w14:paraId="20075801" w14:textId="56C02770" w:rsidTr="00042B55">
        <w:trPr>
          <w:cantSplit/>
          <w:trHeight w:val="2795"/>
        </w:trPr>
        <w:tc>
          <w:tcPr>
            <w:tcW w:w="230" w:type="pct"/>
          </w:tcPr>
          <w:p w14:paraId="0FF4B94C" w14:textId="77777777" w:rsidR="0000229E" w:rsidRPr="004E4788" w:rsidRDefault="0000229E" w:rsidP="0000229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pct"/>
          </w:tcPr>
          <w:p w14:paraId="22FE4871" w14:textId="77777777" w:rsidR="0000229E" w:rsidRPr="004E4788" w:rsidRDefault="0000229E" w:rsidP="00002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TALİMATLAR: </w:t>
            </w: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Lütfen her soruyu okuyun ve ne kadar katılıp katılmadığınızı belirtin.</w:t>
            </w:r>
          </w:p>
          <w:p w14:paraId="10657A09" w14:textId="2B5797A8" w:rsidR="0000229E" w:rsidRPr="004E4788" w:rsidRDefault="0000229E" w:rsidP="0000229E">
            <w:pPr>
              <w:ind w:right="1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extDirection w:val="btLr"/>
          </w:tcPr>
          <w:p w14:paraId="5E4E4C10" w14:textId="6B11AD12" w:rsidR="0000229E" w:rsidRPr="004E4788" w:rsidRDefault="00517199" w:rsidP="0000229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0= </w:t>
            </w:r>
            <w:r w:rsidR="0000229E" w:rsidRPr="004E4788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343" w:type="pct"/>
            <w:textDirection w:val="btLr"/>
          </w:tcPr>
          <w:p w14:paraId="787E1FDA" w14:textId="60613F3C" w:rsidR="0000229E" w:rsidRPr="004E4788" w:rsidRDefault="00517199" w:rsidP="0000229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1= </w:t>
            </w:r>
            <w:r w:rsidR="0000229E" w:rsidRPr="004E4788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344" w:type="pct"/>
            <w:textDirection w:val="btLr"/>
          </w:tcPr>
          <w:p w14:paraId="53AE1780" w14:textId="58AAA803" w:rsidR="0000229E" w:rsidRPr="004E4788" w:rsidRDefault="00517199" w:rsidP="0000229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2= </w:t>
            </w:r>
            <w:r w:rsidR="0000229E" w:rsidRPr="004E4788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343" w:type="pct"/>
            <w:textDirection w:val="btLr"/>
          </w:tcPr>
          <w:p w14:paraId="46040172" w14:textId="0A5CF77E" w:rsidR="0000229E" w:rsidRPr="004E4788" w:rsidRDefault="00517199" w:rsidP="0000229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3= </w:t>
            </w:r>
            <w:r w:rsidR="0000229E" w:rsidRPr="004E4788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344" w:type="pct"/>
            <w:textDirection w:val="btLr"/>
          </w:tcPr>
          <w:p w14:paraId="24B5D805" w14:textId="6BF076BD" w:rsidR="0000229E" w:rsidRPr="004E4788" w:rsidRDefault="00517199" w:rsidP="0000229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4= </w:t>
            </w:r>
            <w:r w:rsidR="0000229E" w:rsidRPr="004E4788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4E4788" w:rsidRPr="004E4788" w14:paraId="4B5CB8E4" w14:textId="1E4C93B4" w:rsidTr="00042B55">
        <w:trPr>
          <w:trHeight w:val="460"/>
        </w:trPr>
        <w:tc>
          <w:tcPr>
            <w:tcW w:w="230" w:type="pct"/>
          </w:tcPr>
          <w:p w14:paraId="5EA16A3F" w14:textId="77777777" w:rsidR="0000229E" w:rsidRPr="004E4788" w:rsidRDefault="0000229E" w:rsidP="00BA0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53" w:type="pct"/>
          </w:tcPr>
          <w:p w14:paraId="53C518FE" w14:textId="26F83742" w:rsidR="0000229E" w:rsidRPr="004E4788" w:rsidRDefault="0000229E" w:rsidP="00456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Lezzetli yemeklerin karşısında kendimi kontrolden çıkmış hissediyorum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" w:type="pct"/>
          </w:tcPr>
          <w:p w14:paraId="689A02C3" w14:textId="6E65E76E" w:rsidR="0000229E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359EE356" w14:textId="566C4897" w:rsidR="0000229E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74AD7216" w14:textId="1329BCC6" w:rsidR="0000229E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1DC944E4" w14:textId="433BAB55" w:rsidR="0000229E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7ACB1271" w14:textId="6328A695" w:rsidR="0000229E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2F50C969" w14:textId="5B8F5FC7" w:rsidTr="00042B55">
        <w:trPr>
          <w:trHeight w:val="460"/>
        </w:trPr>
        <w:tc>
          <w:tcPr>
            <w:tcW w:w="230" w:type="pct"/>
          </w:tcPr>
          <w:p w14:paraId="3F2DDCE4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53" w:type="pct"/>
          </w:tcPr>
          <w:p w14:paraId="12294BD0" w14:textId="1B6CB8F8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 Yemek yemeye başladığımda kendimi durduramıyorum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4E138C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0FD38396" w14:textId="1265C067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0B2AABA8" w14:textId="6492FC98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0F1F9644" w14:textId="75F1308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28083818" w14:textId="40DEA42C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265A3055" w14:textId="384D079F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3CB7E178" w14:textId="6CFCFAF4" w:rsidTr="00042B55">
        <w:trPr>
          <w:trHeight w:val="460"/>
        </w:trPr>
        <w:tc>
          <w:tcPr>
            <w:tcW w:w="230" w:type="pct"/>
          </w:tcPr>
          <w:p w14:paraId="494B9C08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53" w:type="pct"/>
          </w:tcPr>
          <w:p w14:paraId="497B1334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 Tabağımda yemek bırakmak benim için zordur.</w:t>
            </w:r>
          </w:p>
          <w:p w14:paraId="119C8570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01D7AB1D" w14:textId="7E2A3E38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70D3908B" w14:textId="35A1D3EB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71F88534" w14:textId="1C4BB5AA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25A3465A" w14:textId="1F8505B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403446D2" w14:textId="4D37FCFD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4EFC9088" w14:textId="308DBA96" w:rsidTr="00042B55">
        <w:trPr>
          <w:trHeight w:val="460"/>
        </w:trPr>
        <w:tc>
          <w:tcPr>
            <w:tcW w:w="230" w:type="pct"/>
          </w:tcPr>
          <w:p w14:paraId="755192E1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53" w:type="pct"/>
          </w:tcPr>
          <w:p w14:paraId="2D73F45F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Sevdiğim yiyeceklere karşı irademi kaybediyorum.</w:t>
            </w:r>
          </w:p>
          <w:p w14:paraId="5472B0FC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394D1BBF" w14:textId="77F15DC2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309E1812" w14:textId="01A6D23E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34F2A5DB" w14:textId="77DC444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2B70EECF" w14:textId="58334023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483BCD3B" w14:textId="413071E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75A9E704" w14:textId="393D27E0" w:rsidTr="00042B55">
        <w:trPr>
          <w:trHeight w:val="460"/>
        </w:trPr>
        <w:tc>
          <w:tcPr>
            <w:tcW w:w="230" w:type="pct"/>
          </w:tcPr>
          <w:p w14:paraId="4A419B34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53" w:type="pct"/>
          </w:tcPr>
          <w:p w14:paraId="66AF7F0C" w14:textId="6FD6664E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O kadar acıkırım ki midem genellikle dipsiz bir kuyu gibi görünür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" w:type="pct"/>
          </w:tcPr>
          <w:p w14:paraId="302B4F87" w14:textId="7A8DA58B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0B5943CB" w14:textId="2714B969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10088DA8" w14:textId="6119CAFB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08C445F7" w14:textId="358CF738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7A2F953D" w14:textId="7BF4F8BB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3DF2B1FC" w14:textId="0E7D2F56" w:rsidTr="00042B55">
        <w:trPr>
          <w:trHeight w:val="460"/>
        </w:trPr>
        <w:tc>
          <w:tcPr>
            <w:tcW w:w="230" w:type="pct"/>
          </w:tcPr>
          <w:p w14:paraId="121087BB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53" w:type="pct"/>
          </w:tcPr>
          <w:p w14:paraId="215BB24D" w14:textId="0F1FBA33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Kolay kolay doymam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D3EB32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1B485D3C" w14:textId="7FF71285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2B764AEF" w14:textId="448E6A6F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32CCAC90" w14:textId="2695F06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232B15FA" w14:textId="61337AB9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738DB88D" w14:textId="0EF801F9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17A4BFCB" w14:textId="1EEDEFE9" w:rsidTr="00042B55">
        <w:trPr>
          <w:trHeight w:val="460"/>
        </w:trPr>
        <w:tc>
          <w:tcPr>
            <w:tcW w:w="230" w:type="pct"/>
          </w:tcPr>
          <w:p w14:paraId="22A2DBB4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53" w:type="pct"/>
          </w:tcPr>
          <w:p w14:paraId="2FBD9909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Uyanık olduğum saatlerin çoğunda yemek yeme veya yememe arasında gidip geliyorum.</w:t>
            </w:r>
          </w:p>
        </w:tc>
        <w:tc>
          <w:tcPr>
            <w:tcW w:w="343" w:type="pct"/>
          </w:tcPr>
          <w:p w14:paraId="65E3BF29" w14:textId="5B705D1C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5E16B880" w14:textId="00B0E919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605BFC98" w14:textId="1DEB031B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08404D7D" w14:textId="5BE2DDED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29198CB2" w14:textId="2968BE8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7E8EC44F" w14:textId="54375457" w:rsidTr="00042B55">
        <w:trPr>
          <w:trHeight w:val="460"/>
        </w:trPr>
        <w:tc>
          <w:tcPr>
            <w:tcW w:w="230" w:type="pct"/>
          </w:tcPr>
          <w:p w14:paraId="265E9A33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53" w:type="pct"/>
          </w:tcPr>
          <w:p w14:paraId="59B83DA4" w14:textId="4F36E44F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Yemekten başka bir şey düşünemediğim günler oluyor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218F9A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69C20202" w14:textId="32611E26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25982FE6" w14:textId="52CE75FD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58FA09CA" w14:textId="5591511D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04E490EB" w14:textId="42E19615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69AB78FA" w14:textId="63478795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4AD7D55C" w14:textId="724CF3D2" w:rsidTr="00042B55">
        <w:trPr>
          <w:trHeight w:val="460"/>
        </w:trPr>
        <w:tc>
          <w:tcPr>
            <w:tcW w:w="230" w:type="pct"/>
          </w:tcPr>
          <w:p w14:paraId="460E01D6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53" w:type="pct"/>
          </w:tcPr>
          <w:p w14:paraId="3AFE5A37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Yemek yeme düşüncesi hiçbir zaman aklımdan çıkmıyor. </w:t>
            </w:r>
          </w:p>
        </w:tc>
        <w:tc>
          <w:tcPr>
            <w:tcW w:w="343" w:type="pct"/>
          </w:tcPr>
          <w:p w14:paraId="26D65B47" w14:textId="4A2944CE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6ED62724" w14:textId="2C417F55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0D132797" w14:textId="67BEBA5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1EA0624C" w14:textId="1AFE987C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0D32B9CD" w14:textId="342C8578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2B9E03C1" w14:textId="6E0EA059" w:rsidTr="00042B55">
        <w:trPr>
          <w:trHeight w:val="460"/>
        </w:trPr>
        <w:tc>
          <w:tcPr>
            <w:tcW w:w="230" w:type="pct"/>
          </w:tcPr>
          <w:p w14:paraId="5520FB0B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53" w:type="pct"/>
          </w:tcPr>
          <w:p w14:paraId="0E0E7BEE" w14:textId="07E183DE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Her zaman aç hissediyorum</w:t>
            </w:r>
            <w:r w:rsidR="002338BE" w:rsidRPr="004E47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B5201E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14:paraId="129E4133" w14:textId="2B091DD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63248963" w14:textId="17C9B0DF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346A0681" w14:textId="2F931B9A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1D49F393" w14:textId="3996AC73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422A5CFC" w14:textId="646298E2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47DC173E" w14:textId="6E3E03B0" w:rsidTr="00042B55">
        <w:trPr>
          <w:trHeight w:val="460"/>
        </w:trPr>
        <w:tc>
          <w:tcPr>
            <w:tcW w:w="230" w:type="pct"/>
          </w:tcPr>
          <w:p w14:paraId="6802C952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53" w:type="pct"/>
          </w:tcPr>
          <w:p w14:paraId="5F2FCD19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Ne kadar denesem de yemek yeme fikrini aklımdan bir türlü atamıyorum. </w:t>
            </w:r>
          </w:p>
        </w:tc>
        <w:tc>
          <w:tcPr>
            <w:tcW w:w="343" w:type="pct"/>
          </w:tcPr>
          <w:p w14:paraId="6CB5D6E4" w14:textId="358FFF87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1BD748AB" w14:textId="704AA752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20D85F6A" w14:textId="7B01E75A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042C576A" w14:textId="13155D9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5C207677" w14:textId="35B30626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4788" w:rsidRPr="004E4788" w14:paraId="00509F93" w14:textId="646D9310" w:rsidTr="00042B55">
        <w:trPr>
          <w:trHeight w:val="460"/>
        </w:trPr>
        <w:tc>
          <w:tcPr>
            <w:tcW w:w="230" w:type="pct"/>
          </w:tcPr>
          <w:p w14:paraId="61747339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53" w:type="pct"/>
          </w:tcPr>
          <w:p w14:paraId="6B28339B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Tamamen tok olmama rağmen, bazı yemekleri yeme isteği duyuyorum. </w:t>
            </w:r>
          </w:p>
        </w:tc>
        <w:tc>
          <w:tcPr>
            <w:tcW w:w="343" w:type="pct"/>
          </w:tcPr>
          <w:p w14:paraId="3D33823A" w14:textId="2FFFB96C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2FDBA85D" w14:textId="0079210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1E9DEBDB" w14:textId="41F3E2C1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1C066485" w14:textId="444ED337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5AAFB2DD" w14:textId="1F09C6C4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B55" w:rsidRPr="004E4788" w14:paraId="68216D11" w14:textId="216DB143" w:rsidTr="00042B55">
        <w:trPr>
          <w:trHeight w:val="460"/>
        </w:trPr>
        <w:tc>
          <w:tcPr>
            <w:tcW w:w="230" w:type="pct"/>
          </w:tcPr>
          <w:p w14:paraId="30066AFF" w14:textId="77777777" w:rsidR="00517199" w:rsidRPr="004E4788" w:rsidRDefault="00517199" w:rsidP="005171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53" w:type="pct"/>
          </w:tcPr>
          <w:p w14:paraId="186B517A" w14:textId="77777777" w:rsidR="00517199" w:rsidRPr="004E4788" w:rsidRDefault="00517199" w:rsidP="0051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 xml:space="preserve"> Eğer yemeği beğenirsem, her zamankinden daha fazla yerim.</w:t>
            </w:r>
          </w:p>
        </w:tc>
        <w:tc>
          <w:tcPr>
            <w:tcW w:w="343" w:type="pct"/>
          </w:tcPr>
          <w:p w14:paraId="347FEC1F" w14:textId="551B024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</w:tcPr>
          <w:p w14:paraId="0168F901" w14:textId="0832422C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14:paraId="33646CD6" w14:textId="0B213B33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pct"/>
          </w:tcPr>
          <w:p w14:paraId="22AD3F74" w14:textId="14E8C342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14:paraId="08361D2D" w14:textId="40978980" w:rsidR="00517199" w:rsidRPr="004E4788" w:rsidRDefault="00517199" w:rsidP="00517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5620FE9" w14:textId="77777777" w:rsidR="005F31EA" w:rsidRPr="004E4788" w:rsidRDefault="005F31EA" w:rsidP="000F3AD1">
      <w:pPr>
        <w:rPr>
          <w:rFonts w:ascii="Times New Roman" w:hAnsi="Times New Roman" w:cs="Times New Roman"/>
          <w:sz w:val="24"/>
          <w:szCs w:val="24"/>
        </w:rPr>
      </w:pPr>
    </w:p>
    <w:p w14:paraId="3510B8A8" w14:textId="2D9454F3" w:rsidR="005E1CBA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Ödüle Dayalı Yeme Dürtüsü Ölçeği </w:t>
      </w:r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>Reward-based</w:t>
      </w:r>
      <w:proofErr w:type="spellEnd"/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>Eating</w:t>
      </w:r>
      <w:proofErr w:type="spellEnd"/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 Drive</w:t>
      </w:r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0229E" w:rsidRPr="004E4788">
        <w:rPr>
          <w:rFonts w:ascii="Times New Roman" w:hAnsi="Times New Roman" w:cs="Times New Roman"/>
          <w:b/>
          <w:bCs/>
          <w:sz w:val="24"/>
          <w:szCs w:val="24"/>
        </w:rPr>
        <w:t>RED-13):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Ashley E. Mason ve arkadaşları tarafından 2014 yılında 9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 xml:space="preserve">maddelik “Ödül İlişkili Yeme </w:t>
      </w:r>
      <w:r w:rsidR="006547AE" w:rsidRPr="004E4788">
        <w:rPr>
          <w:rFonts w:ascii="Times New Roman" w:hAnsi="Times New Roman" w:cs="Times New Roman"/>
          <w:sz w:val="24"/>
          <w:szCs w:val="24"/>
        </w:rPr>
        <w:t>Ölçeğini, (</w:t>
      </w:r>
      <w:proofErr w:type="spellStart"/>
      <w:r w:rsidR="006547AE" w:rsidRPr="004E4788">
        <w:rPr>
          <w:rFonts w:ascii="Times New Roman" w:hAnsi="Times New Roman" w:cs="Times New Roman"/>
          <w:sz w:val="24"/>
          <w:szCs w:val="24"/>
        </w:rPr>
        <w:t>Reward</w:t>
      </w:r>
      <w:proofErr w:type="spellEnd"/>
      <w:r w:rsidR="006547AE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7AE" w:rsidRPr="004E478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6547AE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7AE" w:rsidRPr="004E4788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="006547AE" w:rsidRPr="004E4788">
        <w:rPr>
          <w:rFonts w:ascii="Times New Roman" w:hAnsi="Times New Roman" w:cs="Times New Roman"/>
          <w:sz w:val="24"/>
          <w:szCs w:val="24"/>
        </w:rPr>
        <w:t>, RRE)</w:t>
      </w:r>
      <w:r w:rsidRPr="004E4788">
        <w:rPr>
          <w:rFonts w:ascii="Times New Roman" w:hAnsi="Times New Roman" w:cs="Times New Roman"/>
          <w:sz w:val="24"/>
          <w:szCs w:val="24"/>
        </w:rPr>
        <w:t>” genişletmek için mevcut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farklı ölçeklerdeki maddeler 4 çalışmadan oluşan bir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seride birleştirmeye çalışılmış ve 2017 yılında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 xml:space="preserve">13 maddeden oluşan 5’li </w:t>
      </w:r>
      <w:proofErr w:type="spellStart"/>
      <w:r w:rsidRPr="004E4788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4E4788">
        <w:rPr>
          <w:rFonts w:ascii="Times New Roman" w:hAnsi="Times New Roman" w:cs="Times New Roman"/>
          <w:sz w:val="24"/>
          <w:szCs w:val="24"/>
        </w:rPr>
        <w:t xml:space="preserve"> tipinde “Ödül</w:t>
      </w:r>
      <w:r w:rsidR="008F2BF9" w:rsidRPr="004E4788">
        <w:rPr>
          <w:rFonts w:ascii="Times New Roman" w:hAnsi="Times New Roman" w:cs="Times New Roman"/>
          <w:sz w:val="24"/>
          <w:szCs w:val="24"/>
        </w:rPr>
        <w:t>e Dayalı Yeme Dürtüsü Ölçeği/</w:t>
      </w:r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>Reward-based</w:t>
      </w:r>
      <w:proofErr w:type="spellEnd"/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>Eating</w:t>
      </w:r>
      <w:proofErr w:type="spellEnd"/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 Drive</w:t>
      </w:r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F2BF9" w:rsidRPr="004E4788">
        <w:rPr>
          <w:rFonts w:ascii="Times New Roman" w:hAnsi="Times New Roman" w:cs="Times New Roman"/>
          <w:b/>
          <w:bCs/>
          <w:sz w:val="24"/>
          <w:szCs w:val="24"/>
        </w:rPr>
        <w:t>RED-13</w:t>
      </w:r>
      <w:r w:rsidRPr="004E4788">
        <w:rPr>
          <w:rFonts w:ascii="Times New Roman" w:hAnsi="Times New Roman" w:cs="Times New Roman"/>
          <w:sz w:val="24"/>
          <w:szCs w:val="24"/>
        </w:rPr>
        <w:t xml:space="preserve">” oluşturulmuştur. </w:t>
      </w:r>
      <w:r w:rsidR="005E1CBA" w:rsidRPr="004E4788">
        <w:rPr>
          <w:rFonts w:ascii="Times New Roman" w:hAnsi="Times New Roman" w:cs="Times New Roman"/>
          <w:sz w:val="24"/>
          <w:szCs w:val="24"/>
        </w:rPr>
        <w:t xml:space="preserve">RED-13 ölçeği, ödüle dayalı yemenin tokluk eksikliği, yiyecekle meşgul olma </w:t>
      </w:r>
      <w:r w:rsidR="005E1CBA" w:rsidRPr="004E4788">
        <w:rPr>
          <w:rFonts w:ascii="Times New Roman" w:hAnsi="Times New Roman" w:cs="Times New Roman"/>
          <w:sz w:val="24"/>
          <w:szCs w:val="24"/>
        </w:rPr>
        <w:lastRenderedPageBreak/>
        <w:t>ve yeme üzerinde kontrol eksikliği olmak üzere üç alt boyutunu değerlendirmek amacıyla geliştirilmiştir (Mason vd., 2017).</w:t>
      </w:r>
    </w:p>
    <w:p w14:paraId="59D0BC7D" w14:textId="3F838EF9" w:rsidR="0000229E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sz w:val="24"/>
          <w:szCs w:val="24"/>
        </w:rPr>
        <w:t>Ölçek, ödüle dayalı beslenme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süreci boyunca değişkenliği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yakalayan kısa ve psikometrik açıdan güvenilir bir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ölçektir. RED-13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ölçeği 13 maddeden oluşmaktadır.</w:t>
      </w:r>
      <w:r w:rsidR="0000229E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 xml:space="preserve">Ölçek alt boyutları; </w:t>
      </w:r>
    </w:p>
    <w:p w14:paraId="7186A263" w14:textId="77777777" w:rsidR="0000229E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i/>
          <w:iCs/>
          <w:sz w:val="24"/>
          <w:szCs w:val="24"/>
        </w:rPr>
        <w:t>Kontrol kaybı (LOC/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Loss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control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>):</w:t>
      </w:r>
      <w:r w:rsidRPr="004E4788">
        <w:rPr>
          <w:rFonts w:ascii="Times New Roman" w:hAnsi="Times New Roman" w:cs="Times New Roman"/>
          <w:sz w:val="24"/>
          <w:szCs w:val="24"/>
        </w:rPr>
        <w:t xml:space="preserve">1,2,3,4,12,13. maddeler, </w:t>
      </w:r>
    </w:p>
    <w:p w14:paraId="19CAF2BB" w14:textId="33208875" w:rsidR="0000229E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i/>
          <w:iCs/>
          <w:sz w:val="24"/>
          <w:szCs w:val="24"/>
        </w:rPr>
        <w:t>Yiyecekle meşgul olma (PO/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Preoccupation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food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>):</w:t>
      </w:r>
      <w:r w:rsidRPr="004E4788">
        <w:rPr>
          <w:rFonts w:ascii="Times New Roman" w:hAnsi="Times New Roman" w:cs="Times New Roman"/>
          <w:sz w:val="24"/>
          <w:szCs w:val="24"/>
        </w:rPr>
        <w:t xml:space="preserve"> 5,6,10. </w:t>
      </w:r>
      <w:r w:rsidR="0000229E" w:rsidRPr="004E4788">
        <w:rPr>
          <w:rFonts w:ascii="Times New Roman" w:hAnsi="Times New Roman" w:cs="Times New Roman"/>
          <w:sz w:val="24"/>
          <w:szCs w:val="24"/>
        </w:rPr>
        <w:t>m</w:t>
      </w:r>
      <w:r w:rsidRPr="004E4788">
        <w:rPr>
          <w:rFonts w:ascii="Times New Roman" w:hAnsi="Times New Roman" w:cs="Times New Roman"/>
          <w:sz w:val="24"/>
          <w:szCs w:val="24"/>
        </w:rPr>
        <w:t>addeler</w:t>
      </w:r>
    </w:p>
    <w:p w14:paraId="390ACA2E" w14:textId="77777777" w:rsidR="0000229E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i/>
          <w:iCs/>
          <w:sz w:val="24"/>
          <w:szCs w:val="24"/>
        </w:rPr>
        <w:t xml:space="preserve">Tokluk eksikliği (LOS/ 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Lack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4E4788">
        <w:rPr>
          <w:rFonts w:ascii="Times New Roman" w:hAnsi="Times New Roman" w:cs="Times New Roman"/>
          <w:i/>
          <w:iCs/>
          <w:sz w:val="24"/>
          <w:szCs w:val="24"/>
        </w:rPr>
        <w:t>satiety</w:t>
      </w:r>
      <w:proofErr w:type="spellEnd"/>
      <w:r w:rsidRPr="004E4788">
        <w:rPr>
          <w:rFonts w:ascii="Times New Roman" w:hAnsi="Times New Roman" w:cs="Times New Roman"/>
          <w:i/>
          <w:iCs/>
          <w:sz w:val="24"/>
          <w:szCs w:val="24"/>
        </w:rPr>
        <w:t>): 7,8,9,11.</w:t>
      </w:r>
      <w:r w:rsidRPr="004E4788">
        <w:rPr>
          <w:rFonts w:ascii="Times New Roman" w:hAnsi="Times New Roman" w:cs="Times New Roman"/>
          <w:sz w:val="24"/>
          <w:szCs w:val="24"/>
        </w:rPr>
        <w:t xml:space="preserve"> maddelerinden oluşmaktadır. </w:t>
      </w:r>
    </w:p>
    <w:p w14:paraId="16B07D47" w14:textId="73E77AF0" w:rsidR="00042B55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sz w:val="24"/>
          <w:szCs w:val="24"/>
        </w:rPr>
        <w:t xml:space="preserve">Ölçek beşli </w:t>
      </w:r>
      <w:proofErr w:type="spellStart"/>
      <w:r w:rsidRPr="004E4788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517199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özellikte (0=kesinlikle katılmıyorum,1=katılmıyorum,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2=kararsızım,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3=katılıyorum, 4=kesinlikle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katılıyorum) olup toplam puan üzerinden hesaplanmaktadır.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Ölçekteki yüksek puanlar, zayıf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metabolik sağlığa işaret e</w:t>
      </w:r>
      <w:r w:rsidR="008F2BF9" w:rsidRPr="004E4788">
        <w:rPr>
          <w:rFonts w:ascii="Times New Roman" w:hAnsi="Times New Roman" w:cs="Times New Roman"/>
          <w:sz w:val="24"/>
          <w:szCs w:val="24"/>
        </w:rPr>
        <w:t xml:space="preserve">tmektedir. </w:t>
      </w:r>
      <w:r w:rsidRPr="004E4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511B7" w14:textId="0748419B" w:rsidR="00A84480" w:rsidRPr="004E4788" w:rsidRDefault="00A84480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sz w:val="24"/>
          <w:szCs w:val="24"/>
        </w:rPr>
        <w:t>R</w:t>
      </w:r>
      <w:r w:rsidR="00042B55" w:rsidRPr="004E4788">
        <w:rPr>
          <w:rFonts w:ascii="Times New Roman" w:hAnsi="Times New Roman" w:cs="Times New Roman"/>
          <w:sz w:val="24"/>
          <w:szCs w:val="24"/>
        </w:rPr>
        <w:t>ED</w:t>
      </w:r>
      <w:r w:rsidRPr="004E4788">
        <w:rPr>
          <w:rFonts w:ascii="Times New Roman" w:hAnsi="Times New Roman" w:cs="Times New Roman"/>
          <w:sz w:val="24"/>
          <w:szCs w:val="24"/>
        </w:rPr>
        <w:t>-13’te daha yüksek puanlar iştah ve tatlı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için daha fazla</w:t>
      </w:r>
      <w:r w:rsidR="005E1CBA" w:rsidRPr="004E4788">
        <w:rPr>
          <w:rFonts w:ascii="Times New Roman" w:hAnsi="Times New Roman" w:cs="Times New Roman"/>
          <w:sz w:val="24"/>
          <w:szCs w:val="24"/>
        </w:rPr>
        <w:t xml:space="preserve"> istekle ilişkilendirilmiştir. </w:t>
      </w:r>
      <w:r w:rsidRPr="004E4788">
        <w:rPr>
          <w:rFonts w:ascii="Times New Roman" w:hAnsi="Times New Roman" w:cs="Times New Roman"/>
          <w:sz w:val="24"/>
          <w:szCs w:val="24"/>
        </w:rPr>
        <w:t>Bu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araştırmada ölçeğin Cronbach α katsayısı 0.906 olarak</w:t>
      </w:r>
      <w:r w:rsidR="00042B55"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Pr="004E4788">
        <w:rPr>
          <w:rFonts w:ascii="Times New Roman" w:hAnsi="Times New Roman" w:cs="Times New Roman"/>
          <w:sz w:val="24"/>
          <w:szCs w:val="24"/>
        </w:rPr>
        <w:t>bulundu.</w:t>
      </w:r>
    </w:p>
    <w:p w14:paraId="1F576B94" w14:textId="4789E514" w:rsidR="00042B55" w:rsidRPr="004E4788" w:rsidRDefault="00042B55" w:rsidP="0000229E">
      <w:pPr>
        <w:jc w:val="both"/>
        <w:rPr>
          <w:rFonts w:ascii="Times New Roman" w:hAnsi="Times New Roman" w:cs="Times New Roman"/>
          <w:sz w:val="24"/>
          <w:szCs w:val="24"/>
        </w:rPr>
      </w:pPr>
      <w:r w:rsidRPr="004E4788">
        <w:rPr>
          <w:rFonts w:ascii="Times New Roman" w:hAnsi="Times New Roman" w:cs="Times New Roman"/>
          <w:b/>
          <w:bCs/>
          <w:sz w:val="24"/>
          <w:szCs w:val="24"/>
        </w:rPr>
        <w:t>Atıf için:</w:t>
      </w:r>
      <w:r w:rsidRPr="004E4788">
        <w:rPr>
          <w:rFonts w:ascii="Times New Roman" w:hAnsi="Times New Roman" w:cs="Times New Roman"/>
          <w:sz w:val="24"/>
          <w:szCs w:val="24"/>
        </w:rPr>
        <w:t xml:space="preserve"> </w:t>
      </w:r>
      <w:r w:rsidR="006F5FE9" w:rsidRPr="004E4788">
        <w:rPr>
          <w:rFonts w:ascii="Times New Roman" w:hAnsi="Times New Roman" w:cs="Times New Roman"/>
          <w:sz w:val="24"/>
          <w:szCs w:val="24"/>
        </w:rPr>
        <w:t xml:space="preserve">Yilmaz Yavuz A,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Altinsoy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C, Toraman MN, Karabulut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Musdal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N (2025)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Reward-Based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Drive (RED-13)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5FE9" w:rsidRPr="004E4788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="006F5FE9" w:rsidRPr="004E4788">
        <w:rPr>
          <w:rFonts w:ascii="Times New Roman" w:hAnsi="Times New Roman" w:cs="Times New Roman"/>
          <w:sz w:val="24"/>
          <w:szCs w:val="24"/>
        </w:rPr>
        <w:t xml:space="preserve"> ONE 20(4): e0322097. https://doi.org/10.1371/journal.pone.0322097</w:t>
      </w:r>
    </w:p>
    <w:sectPr w:rsidR="00042B55" w:rsidRPr="004E4788" w:rsidSect="000F3A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4AAF"/>
    <w:multiLevelType w:val="hybridMultilevel"/>
    <w:tmpl w:val="A330D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58D1"/>
    <w:multiLevelType w:val="hybridMultilevel"/>
    <w:tmpl w:val="EC52A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9846">
    <w:abstractNumId w:val="1"/>
  </w:num>
  <w:num w:numId="2" w16cid:durableId="212271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EA"/>
    <w:rsid w:val="0000229E"/>
    <w:rsid w:val="00006868"/>
    <w:rsid w:val="0003210E"/>
    <w:rsid w:val="00042B55"/>
    <w:rsid w:val="00046959"/>
    <w:rsid w:val="000720F8"/>
    <w:rsid w:val="000F3AD1"/>
    <w:rsid w:val="00117DF0"/>
    <w:rsid w:val="001B1905"/>
    <w:rsid w:val="001B4929"/>
    <w:rsid w:val="001E4AD0"/>
    <w:rsid w:val="001F5A59"/>
    <w:rsid w:val="002338BE"/>
    <w:rsid w:val="002929F3"/>
    <w:rsid w:val="002934C5"/>
    <w:rsid w:val="00313F0E"/>
    <w:rsid w:val="00320E23"/>
    <w:rsid w:val="00393F99"/>
    <w:rsid w:val="00415DED"/>
    <w:rsid w:val="004563B9"/>
    <w:rsid w:val="004E4788"/>
    <w:rsid w:val="00517199"/>
    <w:rsid w:val="00552E3B"/>
    <w:rsid w:val="005539AD"/>
    <w:rsid w:val="00560267"/>
    <w:rsid w:val="00592377"/>
    <w:rsid w:val="005E1CBA"/>
    <w:rsid w:val="005E6C41"/>
    <w:rsid w:val="005E747B"/>
    <w:rsid w:val="005F31EA"/>
    <w:rsid w:val="00642722"/>
    <w:rsid w:val="0064635B"/>
    <w:rsid w:val="006547AE"/>
    <w:rsid w:val="006600A5"/>
    <w:rsid w:val="006C6D98"/>
    <w:rsid w:val="006F5FE9"/>
    <w:rsid w:val="0071508B"/>
    <w:rsid w:val="007B7188"/>
    <w:rsid w:val="00826E2A"/>
    <w:rsid w:val="00860B2F"/>
    <w:rsid w:val="0088271C"/>
    <w:rsid w:val="008E54BB"/>
    <w:rsid w:val="008F2BF9"/>
    <w:rsid w:val="00911E80"/>
    <w:rsid w:val="009368BD"/>
    <w:rsid w:val="00956C34"/>
    <w:rsid w:val="009C1E0B"/>
    <w:rsid w:val="009D1554"/>
    <w:rsid w:val="00A050BA"/>
    <w:rsid w:val="00A203C1"/>
    <w:rsid w:val="00A4349D"/>
    <w:rsid w:val="00A6655F"/>
    <w:rsid w:val="00A84480"/>
    <w:rsid w:val="00A95D2A"/>
    <w:rsid w:val="00A977FE"/>
    <w:rsid w:val="00B60A61"/>
    <w:rsid w:val="00B6217C"/>
    <w:rsid w:val="00BE7CD4"/>
    <w:rsid w:val="00C04BA0"/>
    <w:rsid w:val="00C50EA4"/>
    <w:rsid w:val="00C63E29"/>
    <w:rsid w:val="00CC7B7F"/>
    <w:rsid w:val="00D12D25"/>
    <w:rsid w:val="00D4395F"/>
    <w:rsid w:val="00D86593"/>
    <w:rsid w:val="00DA0023"/>
    <w:rsid w:val="00E02DEA"/>
    <w:rsid w:val="00E82DB0"/>
    <w:rsid w:val="00E9164A"/>
    <w:rsid w:val="00ED5A44"/>
    <w:rsid w:val="00F573D6"/>
    <w:rsid w:val="00FA477C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A316D"/>
  <w15:docId w15:val="{2E3AA10F-BFEB-4C9A-8DC7-C6F9D3D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74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2338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338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338B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38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38B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2338B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5D9C-ECD9-421A-931B-5F4D1598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Ayten Yilmaz Yavuz</cp:lastModifiedBy>
  <cp:revision>19</cp:revision>
  <dcterms:created xsi:type="dcterms:W3CDTF">2023-05-14T14:55:00Z</dcterms:created>
  <dcterms:modified xsi:type="dcterms:W3CDTF">2025-09-20T12:55:00Z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b0599939-70f3-4e1e-bcac-47c68e34ff6c</vt:lpwstr>
  </property>
</Properties>
</file>