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8F3BE" w14:textId="77777777" w:rsidR="00093723" w:rsidRDefault="00000000">
      <w:pPr>
        <w:spacing w:before="200" w:after="60"/>
        <w:jc w:val="center"/>
      </w:pPr>
      <w:proofErr w:type="spellStart"/>
      <w:r>
        <w:rPr>
          <w:b/>
          <w:bCs/>
          <w:sz w:val="28"/>
          <w:szCs w:val="28"/>
        </w:rPr>
        <w:t>Erişkin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Onkoloji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Hastalarında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Düşme</w:t>
      </w:r>
      <w:proofErr w:type="spellEnd"/>
      <w:r>
        <w:rPr>
          <w:b/>
          <w:bCs/>
          <w:sz w:val="28"/>
          <w:szCs w:val="28"/>
        </w:rPr>
        <w:t xml:space="preserve"> Riski </w:t>
      </w:r>
      <w:proofErr w:type="spellStart"/>
      <w:r>
        <w:rPr>
          <w:b/>
          <w:bCs/>
          <w:sz w:val="28"/>
          <w:szCs w:val="28"/>
        </w:rPr>
        <w:t>Değerlendirme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Ölçeği</w:t>
      </w:r>
      <w:proofErr w:type="spellEnd"/>
    </w:p>
    <w:p w14:paraId="125BB6B7" w14:textId="77777777" w:rsidR="00093723" w:rsidRDefault="00000000">
      <w:pPr>
        <w:spacing w:after="60"/>
        <w:jc w:val="center"/>
      </w:pPr>
      <w:r>
        <w:rPr>
          <w:b/>
          <w:bCs/>
          <w:color w:val="333333"/>
          <w:sz w:val="26"/>
          <w:szCs w:val="26"/>
        </w:rPr>
        <w:t>Fall Risk Assessment Scale for Oncology Patients (FRAS-OP)</w:t>
      </w:r>
    </w:p>
    <w:p w14:paraId="637D332A" w14:textId="77777777" w:rsidR="00093723" w:rsidRDefault="00000000">
      <w:pPr>
        <w:spacing w:after="200"/>
        <w:jc w:val="center"/>
      </w:pPr>
      <w:proofErr w:type="spellStart"/>
      <w:r>
        <w:rPr>
          <w:i/>
          <w:iCs/>
          <w:color w:val="444444"/>
          <w:sz w:val="20"/>
          <w:szCs w:val="20"/>
        </w:rPr>
        <w:t>Serçe</w:t>
      </w:r>
      <w:proofErr w:type="spellEnd"/>
      <w:r>
        <w:rPr>
          <w:i/>
          <w:iCs/>
          <w:color w:val="444444"/>
          <w:sz w:val="20"/>
          <w:szCs w:val="20"/>
        </w:rPr>
        <w:t xml:space="preserve">, S., </w:t>
      </w:r>
      <w:proofErr w:type="spellStart"/>
      <w:r>
        <w:rPr>
          <w:i/>
          <w:iCs/>
          <w:color w:val="444444"/>
          <w:sz w:val="20"/>
          <w:szCs w:val="20"/>
        </w:rPr>
        <w:t>Berşe</w:t>
      </w:r>
      <w:proofErr w:type="spellEnd"/>
      <w:r>
        <w:rPr>
          <w:i/>
          <w:iCs/>
          <w:color w:val="444444"/>
          <w:sz w:val="20"/>
          <w:szCs w:val="20"/>
        </w:rPr>
        <w:t xml:space="preserve">, S., </w:t>
      </w:r>
      <w:proofErr w:type="spellStart"/>
      <w:r>
        <w:rPr>
          <w:i/>
          <w:iCs/>
          <w:color w:val="444444"/>
          <w:sz w:val="20"/>
          <w:szCs w:val="20"/>
        </w:rPr>
        <w:t>Ovayolu</w:t>
      </w:r>
      <w:proofErr w:type="spellEnd"/>
      <w:r>
        <w:rPr>
          <w:i/>
          <w:iCs/>
          <w:color w:val="444444"/>
          <w:sz w:val="20"/>
          <w:szCs w:val="20"/>
        </w:rPr>
        <w:t xml:space="preserve">, Ö., &amp; </w:t>
      </w:r>
      <w:proofErr w:type="spellStart"/>
      <w:r>
        <w:rPr>
          <w:i/>
          <w:iCs/>
          <w:color w:val="444444"/>
          <w:sz w:val="20"/>
          <w:szCs w:val="20"/>
        </w:rPr>
        <w:t>Ovayolu</w:t>
      </w:r>
      <w:proofErr w:type="spellEnd"/>
      <w:r>
        <w:rPr>
          <w:i/>
          <w:iCs/>
          <w:color w:val="444444"/>
          <w:sz w:val="20"/>
          <w:szCs w:val="20"/>
        </w:rPr>
        <w:t>, N. (2026)</w:t>
      </w:r>
    </w:p>
    <w:p w14:paraId="5520C44C" w14:textId="77777777" w:rsidR="00093723" w:rsidRDefault="00093723">
      <w:pPr>
        <w:pBdr>
          <w:bottom w:val="single" w:sz="8" w:space="6" w:color="000000"/>
        </w:pBdr>
        <w:spacing w:after="200"/>
      </w:pPr>
    </w:p>
    <w:p w14:paraId="651782FB" w14:textId="77777777" w:rsidR="00093723" w:rsidRDefault="00000000">
      <w:pPr>
        <w:pStyle w:val="Heading2"/>
      </w:pPr>
      <w:r>
        <w:t>Kaynak / Reference</w:t>
      </w:r>
    </w:p>
    <w:p w14:paraId="5208BC30" w14:textId="77777777" w:rsidR="00093723" w:rsidRDefault="00000000">
      <w:pPr>
        <w:spacing w:after="60"/>
      </w:pPr>
      <w:proofErr w:type="spellStart"/>
      <w:r>
        <w:rPr>
          <w:sz w:val="19"/>
          <w:szCs w:val="19"/>
        </w:rPr>
        <w:t>Serçe</w:t>
      </w:r>
      <w:proofErr w:type="spellEnd"/>
      <w:r>
        <w:rPr>
          <w:sz w:val="19"/>
          <w:szCs w:val="19"/>
        </w:rPr>
        <w:t xml:space="preserve">, S., </w:t>
      </w:r>
      <w:proofErr w:type="spellStart"/>
      <w:r>
        <w:rPr>
          <w:sz w:val="19"/>
          <w:szCs w:val="19"/>
        </w:rPr>
        <w:t>Berşe</w:t>
      </w:r>
      <w:proofErr w:type="spellEnd"/>
      <w:r>
        <w:rPr>
          <w:sz w:val="19"/>
          <w:szCs w:val="19"/>
        </w:rPr>
        <w:t xml:space="preserve">, S., </w:t>
      </w:r>
      <w:proofErr w:type="spellStart"/>
      <w:r>
        <w:rPr>
          <w:sz w:val="19"/>
          <w:szCs w:val="19"/>
        </w:rPr>
        <w:t>Ovayolu</w:t>
      </w:r>
      <w:proofErr w:type="spellEnd"/>
      <w:r>
        <w:rPr>
          <w:sz w:val="19"/>
          <w:szCs w:val="19"/>
        </w:rPr>
        <w:t xml:space="preserve">, Ö., &amp; </w:t>
      </w:r>
      <w:proofErr w:type="spellStart"/>
      <w:r>
        <w:rPr>
          <w:sz w:val="19"/>
          <w:szCs w:val="19"/>
        </w:rPr>
        <w:t>Ovayolu</w:t>
      </w:r>
      <w:proofErr w:type="spellEnd"/>
      <w:r>
        <w:rPr>
          <w:sz w:val="19"/>
          <w:szCs w:val="19"/>
        </w:rPr>
        <w:t xml:space="preserve">, N. (2026). Assessment of Fall Risk in Oncology Patients: A Scale Development Study. </w:t>
      </w:r>
      <w:r>
        <w:rPr>
          <w:i/>
          <w:iCs/>
          <w:sz w:val="19"/>
          <w:szCs w:val="19"/>
        </w:rPr>
        <w:t>Scandinavian Journal of Caring Sciences, 40</w:t>
      </w:r>
      <w:r>
        <w:rPr>
          <w:sz w:val="19"/>
          <w:szCs w:val="19"/>
        </w:rPr>
        <w:t>, e70221. https://doi.org/10.1111/scs.70221</w:t>
      </w:r>
    </w:p>
    <w:p w14:paraId="34285195" w14:textId="77777777" w:rsidR="00093723" w:rsidRDefault="00093723">
      <w:pPr>
        <w:spacing w:after="200"/>
      </w:pPr>
    </w:p>
    <w:p w14:paraId="09CE9A4C" w14:textId="77777777" w:rsidR="00093723" w:rsidRDefault="00000000">
      <w:pPr>
        <w:pStyle w:val="Heading2"/>
      </w:pPr>
      <w:proofErr w:type="spellStart"/>
      <w:r>
        <w:t>Ölçek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/ About the Scale</w:t>
      </w:r>
    </w:p>
    <w:p w14:paraId="56020EEE" w14:textId="77777777" w:rsidR="00093723" w:rsidRDefault="00000000">
      <w:pPr>
        <w:spacing w:after="80"/>
      </w:pPr>
      <w:r>
        <w:rPr>
          <w:sz w:val="19"/>
          <w:szCs w:val="19"/>
        </w:rPr>
        <w:t xml:space="preserve">Bu </w:t>
      </w:r>
      <w:proofErr w:type="spellStart"/>
      <w:r>
        <w:rPr>
          <w:sz w:val="19"/>
          <w:szCs w:val="19"/>
        </w:rPr>
        <w:t>ölçek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erişkin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onkoloji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hastalarında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düşme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riskini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değerlendirmek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amacıyla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geliştirilmiş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geçerlik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ve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güvenirliği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kanıtlanmış</w:t>
      </w:r>
      <w:proofErr w:type="spellEnd"/>
      <w:r>
        <w:rPr>
          <w:sz w:val="19"/>
          <w:szCs w:val="19"/>
        </w:rPr>
        <w:t xml:space="preserve"> 19 </w:t>
      </w:r>
      <w:proofErr w:type="spellStart"/>
      <w:r>
        <w:rPr>
          <w:sz w:val="19"/>
          <w:szCs w:val="19"/>
        </w:rPr>
        <w:t>maddelik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tek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boyutlu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bir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ölçme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aracıdır</w:t>
      </w:r>
      <w:proofErr w:type="spellEnd"/>
      <w:r>
        <w:rPr>
          <w:sz w:val="19"/>
          <w:szCs w:val="19"/>
        </w:rPr>
        <w:t xml:space="preserve">. </w:t>
      </w:r>
      <w:proofErr w:type="spellStart"/>
      <w:r>
        <w:rPr>
          <w:sz w:val="19"/>
          <w:szCs w:val="19"/>
        </w:rPr>
        <w:t>Ölçek</w:t>
      </w:r>
      <w:proofErr w:type="spellEnd"/>
      <w:r>
        <w:rPr>
          <w:sz w:val="19"/>
          <w:szCs w:val="19"/>
        </w:rPr>
        <w:t xml:space="preserve">, “Evet” (2 </w:t>
      </w:r>
      <w:proofErr w:type="spellStart"/>
      <w:r>
        <w:rPr>
          <w:sz w:val="19"/>
          <w:szCs w:val="19"/>
        </w:rPr>
        <w:t>puan</w:t>
      </w:r>
      <w:proofErr w:type="spellEnd"/>
      <w:r>
        <w:rPr>
          <w:sz w:val="19"/>
          <w:szCs w:val="19"/>
        </w:rPr>
        <w:t xml:space="preserve">) </w:t>
      </w:r>
      <w:proofErr w:type="spellStart"/>
      <w:r>
        <w:rPr>
          <w:sz w:val="19"/>
          <w:szCs w:val="19"/>
        </w:rPr>
        <w:t>ve</w:t>
      </w:r>
      <w:proofErr w:type="spellEnd"/>
      <w:r>
        <w:rPr>
          <w:sz w:val="19"/>
          <w:szCs w:val="19"/>
        </w:rPr>
        <w:t xml:space="preserve"> “</w:t>
      </w:r>
      <w:proofErr w:type="spellStart"/>
      <w:r>
        <w:rPr>
          <w:sz w:val="19"/>
          <w:szCs w:val="19"/>
        </w:rPr>
        <w:t>Hayır</w:t>
      </w:r>
      <w:proofErr w:type="spellEnd"/>
      <w:r>
        <w:rPr>
          <w:sz w:val="19"/>
          <w:szCs w:val="19"/>
        </w:rPr>
        <w:t xml:space="preserve">” (1 </w:t>
      </w:r>
      <w:proofErr w:type="spellStart"/>
      <w:r>
        <w:rPr>
          <w:sz w:val="19"/>
          <w:szCs w:val="19"/>
        </w:rPr>
        <w:t>puan</w:t>
      </w:r>
      <w:proofErr w:type="spellEnd"/>
      <w:r>
        <w:rPr>
          <w:sz w:val="19"/>
          <w:szCs w:val="19"/>
        </w:rPr>
        <w:t xml:space="preserve">) </w:t>
      </w:r>
      <w:proofErr w:type="spellStart"/>
      <w:r>
        <w:rPr>
          <w:sz w:val="19"/>
          <w:szCs w:val="19"/>
        </w:rPr>
        <w:t>şeklinde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yanıtlanan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ikili</w:t>
      </w:r>
      <w:proofErr w:type="spellEnd"/>
      <w:r>
        <w:rPr>
          <w:sz w:val="19"/>
          <w:szCs w:val="19"/>
        </w:rPr>
        <w:t xml:space="preserve"> (dichotomous) </w:t>
      </w:r>
      <w:proofErr w:type="spellStart"/>
      <w:r>
        <w:rPr>
          <w:sz w:val="19"/>
          <w:szCs w:val="19"/>
        </w:rPr>
        <w:t>yapıdadır</w:t>
      </w:r>
      <w:proofErr w:type="spellEnd"/>
      <w:r>
        <w:rPr>
          <w:sz w:val="19"/>
          <w:szCs w:val="19"/>
        </w:rPr>
        <w:t xml:space="preserve">. </w:t>
      </w:r>
      <w:proofErr w:type="spellStart"/>
      <w:r>
        <w:rPr>
          <w:sz w:val="19"/>
          <w:szCs w:val="19"/>
        </w:rPr>
        <w:t>Toplam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puan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aralığı</w:t>
      </w:r>
      <w:proofErr w:type="spellEnd"/>
      <w:r>
        <w:rPr>
          <w:sz w:val="19"/>
          <w:szCs w:val="19"/>
        </w:rPr>
        <w:t xml:space="preserve"> 19–38 </w:t>
      </w:r>
      <w:proofErr w:type="spellStart"/>
      <w:r>
        <w:rPr>
          <w:sz w:val="19"/>
          <w:szCs w:val="19"/>
        </w:rPr>
        <w:t>arasında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olup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puan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arttıkça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düşme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riski</w:t>
      </w:r>
      <w:proofErr w:type="spellEnd"/>
      <w:r>
        <w:rPr>
          <w:sz w:val="19"/>
          <w:szCs w:val="19"/>
        </w:rPr>
        <w:t xml:space="preserve"> de </w:t>
      </w:r>
      <w:proofErr w:type="spellStart"/>
      <w:r>
        <w:rPr>
          <w:sz w:val="19"/>
          <w:szCs w:val="19"/>
        </w:rPr>
        <w:t>artmaktadır</w:t>
      </w:r>
      <w:proofErr w:type="spellEnd"/>
      <w:r>
        <w:rPr>
          <w:sz w:val="19"/>
          <w:szCs w:val="19"/>
        </w:rPr>
        <w:t>.</w:t>
      </w:r>
    </w:p>
    <w:p w14:paraId="28039894" w14:textId="77777777" w:rsidR="00093723" w:rsidRDefault="00000000">
      <w:pPr>
        <w:spacing w:after="200"/>
      </w:pPr>
      <w:r>
        <w:rPr>
          <w:i/>
          <w:iCs/>
          <w:color w:val="444444"/>
          <w:sz w:val="19"/>
          <w:szCs w:val="19"/>
        </w:rPr>
        <w:t>This is a 19-item, unidimensional scale developed to assess fall risk in adult oncology patients, with established validity and reliability. The scale uses a dichotomous response format: “Yes” (2 points) and “No” (1 point). Total scores range from 19 to 38, with higher scores indicating greater fall risk.</w:t>
      </w:r>
    </w:p>
    <w:p w14:paraId="2D01309F" w14:textId="77777777" w:rsidR="00093723" w:rsidRDefault="00000000">
      <w:pPr>
        <w:pStyle w:val="Heading2"/>
      </w:pPr>
      <w:proofErr w:type="spellStart"/>
      <w:r>
        <w:t>Psikometrik</w:t>
      </w:r>
      <w:proofErr w:type="spellEnd"/>
      <w:r>
        <w:t xml:space="preserve"> Özellikler / Psychometric Properties</w:t>
      </w:r>
    </w:p>
    <w:p w14:paraId="21B308D9" w14:textId="77777777" w:rsidR="00093723" w:rsidRDefault="00000000">
      <w:pPr>
        <w:spacing w:after="40"/>
      </w:pPr>
      <w:r>
        <w:rPr>
          <w:b/>
          <w:bCs/>
          <w:sz w:val="19"/>
          <w:szCs w:val="19"/>
        </w:rPr>
        <w:t xml:space="preserve">KMO: </w:t>
      </w:r>
      <w:r>
        <w:rPr>
          <w:sz w:val="19"/>
          <w:szCs w:val="19"/>
        </w:rPr>
        <w:t xml:space="preserve">0.943   |   </w:t>
      </w:r>
      <w:r>
        <w:rPr>
          <w:b/>
          <w:bCs/>
          <w:sz w:val="19"/>
          <w:szCs w:val="19"/>
        </w:rPr>
        <w:t xml:space="preserve">KR-20: </w:t>
      </w:r>
      <w:r>
        <w:rPr>
          <w:sz w:val="19"/>
          <w:szCs w:val="19"/>
        </w:rPr>
        <w:t xml:space="preserve">0.964   |   </w:t>
      </w:r>
      <w:proofErr w:type="spellStart"/>
      <w:r>
        <w:rPr>
          <w:b/>
          <w:bCs/>
          <w:sz w:val="19"/>
          <w:szCs w:val="19"/>
        </w:rPr>
        <w:t>Açıklanan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Varyans</w:t>
      </w:r>
      <w:proofErr w:type="spellEnd"/>
      <w:r>
        <w:rPr>
          <w:b/>
          <w:bCs/>
          <w:sz w:val="19"/>
          <w:szCs w:val="19"/>
        </w:rPr>
        <w:t xml:space="preserve"> / Explained Variance: </w:t>
      </w:r>
      <w:r>
        <w:rPr>
          <w:sz w:val="19"/>
          <w:szCs w:val="19"/>
        </w:rPr>
        <w:t>%79.34</w:t>
      </w:r>
    </w:p>
    <w:p w14:paraId="6C673270" w14:textId="77777777" w:rsidR="00093723" w:rsidRDefault="00000000">
      <w:pPr>
        <w:spacing w:after="40"/>
      </w:pPr>
      <w:proofErr w:type="spellStart"/>
      <w:r>
        <w:rPr>
          <w:b/>
          <w:bCs/>
          <w:sz w:val="19"/>
          <w:szCs w:val="19"/>
        </w:rPr>
        <w:t>Faktör</w:t>
      </w:r>
      <w:proofErr w:type="spellEnd"/>
      <w:r>
        <w:rPr>
          <w:b/>
          <w:bCs/>
          <w:sz w:val="19"/>
          <w:szCs w:val="19"/>
        </w:rPr>
        <w:t xml:space="preserve"> </w:t>
      </w:r>
      <w:proofErr w:type="spellStart"/>
      <w:r>
        <w:rPr>
          <w:b/>
          <w:bCs/>
          <w:sz w:val="19"/>
          <w:szCs w:val="19"/>
        </w:rPr>
        <w:t>Yükleri</w:t>
      </w:r>
      <w:proofErr w:type="spellEnd"/>
      <w:r>
        <w:rPr>
          <w:b/>
          <w:bCs/>
          <w:sz w:val="19"/>
          <w:szCs w:val="19"/>
        </w:rPr>
        <w:t xml:space="preserve"> / Factor Loadings: </w:t>
      </w:r>
      <w:r>
        <w:rPr>
          <w:sz w:val="19"/>
          <w:szCs w:val="19"/>
        </w:rPr>
        <w:t xml:space="preserve">0.666 – 0.951   |   </w:t>
      </w:r>
      <w:r>
        <w:rPr>
          <w:b/>
          <w:bCs/>
          <w:sz w:val="19"/>
          <w:szCs w:val="19"/>
        </w:rPr>
        <w:t xml:space="preserve">CR: </w:t>
      </w:r>
      <w:r>
        <w:rPr>
          <w:sz w:val="19"/>
          <w:szCs w:val="19"/>
        </w:rPr>
        <w:t xml:space="preserve">0.96   |   </w:t>
      </w:r>
      <w:r>
        <w:rPr>
          <w:b/>
          <w:bCs/>
          <w:sz w:val="19"/>
          <w:szCs w:val="19"/>
        </w:rPr>
        <w:t xml:space="preserve">AVE: </w:t>
      </w:r>
      <w:r>
        <w:rPr>
          <w:sz w:val="19"/>
          <w:szCs w:val="19"/>
        </w:rPr>
        <w:t>0.567</w:t>
      </w:r>
    </w:p>
    <w:p w14:paraId="4E06E913" w14:textId="77777777" w:rsidR="00093723" w:rsidRDefault="00093723">
      <w:pPr>
        <w:spacing w:after="200"/>
      </w:pPr>
    </w:p>
    <w:p w14:paraId="7A285770" w14:textId="77777777" w:rsidR="00093723" w:rsidRDefault="00000000">
      <w:pPr>
        <w:pStyle w:val="Heading2"/>
      </w:pPr>
      <w:proofErr w:type="spellStart"/>
      <w:r>
        <w:t>Ölçek</w:t>
      </w:r>
      <w:proofErr w:type="spellEnd"/>
      <w:r>
        <w:t xml:space="preserve"> </w:t>
      </w:r>
      <w:proofErr w:type="spellStart"/>
      <w:r>
        <w:t>Maddeleri</w:t>
      </w:r>
      <w:proofErr w:type="spellEnd"/>
      <w:r>
        <w:t xml:space="preserve"> / Scale Items</w:t>
      </w:r>
    </w:p>
    <w:p w14:paraId="78AF6636" w14:textId="77777777" w:rsidR="00093723" w:rsidRDefault="00093723">
      <w:pPr>
        <w:spacing w:after="10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3200"/>
        <w:gridCol w:w="3200"/>
        <w:gridCol w:w="1100"/>
        <w:gridCol w:w="1100"/>
      </w:tblGrid>
      <w:tr w:rsidR="00093723" w14:paraId="7D0175D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F10F7D" w14:textId="77777777" w:rsidR="00093723" w:rsidRDefault="00000000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No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EC2193" w14:textId="77777777" w:rsidR="00093723" w:rsidRDefault="00000000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Madde (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Türkçe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D0E549" w14:textId="77777777" w:rsidR="00093723" w:rsidRDefault="00000000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Item (English)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F8F60A" w14:textId="77777777" w:rsidR="00093723" w:rsidRDefault="00000000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Evet / Yes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03B346" w14:textId="77777777" w:rsidR="00093723" w:rsidRDefault="00000000">
            <w:pPr>
              <w:spacing w:before="40" w:after="40"/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Hayır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/ No</w:t>
            </w:r>
          </w:p>
        </w:tc>
      </w:tr>
      <w:tr w:rsidR="00093723" w14:paraId="6C8F950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13C600" w14:textId="77777777" w:rsidR="00093723" w:rsidRDefault="00000000">
            <w:pPr>
              <w:spacing w:before="30" w:after="30"/>
              <w:jc w:val="center"/>
            </w:pPr>
            <w:r>
              <w:rPr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9FCDAF" w14:textId="77777777" w:rsidR="00093723" w:rsidRDefault="00000000">
            <w:pPr>
              <w:spacing w:before="30" w:after="30"/>
            </w:pPr>
            <w:proofErr w:type="spellStart"/>
            <w:r>
              <w:rPr>
                <w:sz w:val="19"/>
                <w:szCs w:val="19"/>
              </w:rPr>
              <w:t>Evde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yalnız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yaşıyor</w:t>
            </w:r>
            <w:proofErr w:type="spellEnd"/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A28AB0" w14:textId="77777777" w:rsidR="00093723" w:rsidRDefault="00000000">
            <w:pPr>
              <w:spacing w:before="30" w:after="30"/>
            </w:pPr>
            <w:r>
              <w:rPr>
                <w:sz w:val="19"/>
                <w:szCs w:val="19"/>
              </w:rPr>
              <w:t>Lives alone at home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AF7328" w14:textId="77777777" w:rsidR="00093723" w:rsidRDefault="00000000">
            <w:pPr>
              <w:jc w:val="center"/>
            </w:pPr>
            <w:r>
              <w:t>□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E18A9D" w14:textId="77777777" w:rsidR="00093723" w:rsidRDefault="00000000">
            <w:pPr>
              <w:jc w:val="center"/>
            </w:pPr>
            <w:r>
              <w:t>□</w:t>
            </w:r>
          </w:p>
        </w:tc>
      </w:tr>
      <w:tr w:rsidR="00093723" w14:paraId="382A758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543DC0" w14:textId="77777777" w:rsidR="00093723" w:rsidRDefault="00000000">
            <w:pPr>
              <w:spacing w:before="30" w:after="30"/>
              <w:jc w:val="center"/>
            </w:pPr>
            <w:r>
              <w:rPr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D1C84A" w14:textId="77777777" w:rsidR="00093723" w:rsidRDefault="00000000">
            <w:pPr>
              <w:spacing w:before="30" w:after="30"/>
            </w:pPr>
            <w:proofErr w:type="spellStart"/>
            <w:r>
              <w:rPr>
                <w:sz w:val="19"/>
                <w:szCs w:val="19"/>
              </w:rPr>
              <w:t>Zayıf</w:t>
            </w:r>
            <w:proofErr w:type="spellEnd"/>
            <w:r>
              <w:rPr>
                <w:sz w:val="19"/>
                <w:szCs w:val="19"/>
              </w:rPr>
              <w:t xml:space="preserve"> (Beden </w:t>
            </w:r>
            <w:proofErr w:type="spellStart"/>
            <w:r>
              <w:rPr>
                <w:sz w:val="19"/>
                <w:szCs w:val="19"/>
              </w:rPr>
              <w:t>kütle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indeksi</w:t>
            </w:r>
            <w:proofErr w:type="spellEnd"/>
            <w:r>
              <w:rPr>
                <w:sz w:val="19"/>
                <w:szCs w:val="19"/>
              </w:rPr>
              <w:t xml:space="preserve"> &lt;18.5 kg/m²)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FD9B0C" w14:textId="77777777" w:rsidR="00093723" w:rsidRDefault="00000000">
            <w:pPr>
              <w:spacing w:before="30" w:after="30"/>
            </w:pPr>
            <w:r>
              <w:rPr>
                <w:sz w:val="19"/>
                <w:szCs w:val="19"/>
              </w:rPr>
              <w:t>Underweight (Body Mass Index &lt;18.5 kg/m²)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31DEE0" w14:textId="77777777" w:rsidR="00093723" w:rsidRDefault="00000000">
            <w:pPr>
              <w:jc w:val="center"/>
            </w:pPr>
            <w:r>
              <w:t>□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3FDDBE" w14:textId="77777777" w:rsidR="00093723" w:rsidRDefault="00000000">
            <w:pPr>
              <w:jc w:val="center"/>
            </w:pPr>
            <w:r>
              <w:t>□</w:t>
            </w:r>
          </w:p>
        </w:tc>
      </w:tr>
      <w:tr w:rsidR="00093723" w14:paraId="32F3619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EA812C" w14:textId="77777777" w:rsidR="00093723" w:rsidRDefault="00000000">
            <w:pPr>
              <w:spacing w:before="30" w:after="30"/>
              <w:jc w:val="center"/>
            </w:pPr>
            <w:r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6A4E5F" w14:textId="77777777" w:rsidR="00093723" w:rsidRDefault="00000000">
            <w:pPr>
              <w:spacing w:before="30" w:after="30"/>
            </w:pPr>
            <w:proofErr w:type="spellStart"/>
            <w:r>
              <w:rPr>
                <w:sz w:val="19"/>
                <w:szCs w:val="19"/>
              </w:rPr>
              <w:t>Kilolu</w:t>
            </w:r>
            <w:proofErr w:type="spellEnd"/>
            <w:r>
              <w:rPr>
                <w:sz w:val="19"/>
                <w:szCs w:val="19"/>
              </w:rPr>
              <w:t xml:space="preserve"> (Beden </w:t>
            </w:r>
            <w:proofErr w:type="spellStart"/>
            <w:r>
              <w:rPr>
                <w:sz w:val="19"/>
                <w:szCs w:val="19"/>
              </w:rPr>
              <w:t>kütle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indeksi</w:t>
            </w:r>
            <w:proofErr w:type="spellEnd"/>
            <w:r>
              <w:rPr>
                <w:sz w:val="19"/>
                <w:szCs w:val="19"/>
              </w:rPr>
              <w:t xml:space="preserve"> &gt;25 kg/m²)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4D8719" w14:textId="77777777" w:rsidR="00093723" w:rsidRDefault="00000000">
            <w:pPr>
              <w:spacing w:before="30" w:after="30"/>
            </w:pPr>
            <w:r>
              <w:rPr>
                <w:sz w:val="19"/>
                <w:szCs w:val="19"/>
              </w:rPr>
              <w:t>Overweight (Body Mass Index &gt;25 kg/m²)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44BC34" w14:textId="77777777" w:rsidR="00093723" w:rsidRDefault="00000000">
            <w:pPr>
              <w:jc w:val="center"/>
            </w:pPr>
            <w:r>
              <w:t>□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F4BC94" w14:textId="77777777" w:rsidR="00093723" w:rsidRDefault="00000000">
            <w:pPr>
              <w:jc w:val="center"/>
            </w:pPr>
            <w:r>
              <w:t>□</w:t>
            </w:r>
          </w:p>
        </w:tc>
      </w:tr>
      <w:tr w:rsidR="00093723" w14:paraId="702C173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F4C92F" w14:textId="77777777" w:rsidR="00093723" w:rsidRDefault="00000000">
            <w:pPr>
              <w:spacing w:before="30" w:after="30"/>
              <w:jc w:val="center"/>
            </w:pPr>
            <w:r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D6E14B" w14:textId="77777777" w:rsidR="00093723" w:rsidRDefault="00000000">
            <w:pPr>
              <w:spacing w:before="30" w:after="30"/>
            </w:pPr>
            <w:proofErr w:type="spellStart"/>
            <w:r>
              <w:rPr>
                <w:sz w:val="19"/>
                <w:szCs w:val="19"/>
              </w:rPr>
              <w:t>Alkol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tüketimi</w:t>
            </w:r>
            <w:proofErr w:type="spellEnd"/>
            <w:r>
              <w:rPr>
                <w:sz w:val="19"/>
                <w:szCs w:val="19"/>
              </w:rPr>
              <w:t xml:space="preserve"> var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8DF68E" w14:textId="77777777" w:rsidR="00093723" w:rsidRDefault="00000000">
            <w:pPr>
              <w:spacing w:before="30" w:after="30"/>
            </w:pPr>
            <w:r>
              <w:rPr>
                <w:sz w:val="19"/>
                <w:szCs w:val="19"/>
              </w:rPr>
              <w:t>Alcohol consumption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386640" w14:textId="77777777" w:rsidR="00093723" w:rsidRDefault="00000000">
            <w:pPr>
              <w:jc w:val="center"/>
            </w:pPr>
            <w:r>
              <w:t>□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B775B9" w14:textId="77777777" w:rsidR="00093723" w:rsidRDefault="00000000">
            <w:pPr>
              <w:jc w:val="center"/>
            </w:pPr>
            <w:r>
              <w:t>□</w:t>
            </w:r>
          </w:p>
        </w:tc>
      </w:tr>
      <w:tr w:rsidR="00093723" w14:paraId="1C0E43E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829C99" w14:textId="77777777" w:rsidR="00093723" w:rsidRDefault="00000000">
            <w:pPr>
              <w:spacing w:before="30" w:after="30"/>
              <w:jc w:val="center"/>
            </w:pPr>
            <w:r>
              <w:rPr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BE85B4" w14:textId="77777777" w:rsidR="00093723" w:rsidRDefault="00000000">
            <w:pPr>
              <w:spacing w:before="30" w:after="30"/>
            </w:pPr>
            <w:proofErr w:type="spellStart"/>
            <w:r>
              <w:rPr>
                <w:sz w:val="19"/>
                <w:szCs w:val="19"/>
              </w:rPr>
              <w:t>Sigara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tüketimi</w:t>
            </w:r>
            <w:proofErr w:type="spellEnd"/>
            <w:r>
              <w:rPr>
                <w:sz w:val="19"/>
                <w:szCs w:val="19"/>
              </w:rPr>
              <w:t xml:space="preserve"> var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1C285B" w14:textId="77777777" w:rsidR="00093723" w:rsidRDefault="00000000">
            <w:pPr>
              <w:spacing w:before="30" w:after="30"/>
            </w:pPr>
            <w:r>
              <w:rPr>
                <w:sz w:val="19"/>
                <w:szCs w:val="19"/>
              </w:rPr>
              <w:t>Smoking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44D5FE" w14:textId="77777777" w:rsidR="00093723" w:rsidRDefault="00000000">
            <w:pPr>
              <w:jc w:val="center"/>
            </w:pPr>
            <w:r>
              <w:t>□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D24E30" w14:textId="77777777" w:rsidR="00093723" w:rsidRDefault="00000000">
            <w:pPr>
              <w:jc w:val="center"/>
            </w:pPr>
            <w:r>
              <w:t>□</w:t>
            </w:r>
          </w:p>
        </w:tc>
      </w:tr>
      <w:tr w:rsidR="00093723" w14:paraId="3E60FBA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4FE529" w14:textId="77777777" w:rsidR="00093723" w:rsidRDefault="00000000">
            <w:pPr>
              <w:spacing w:before="30" w:after="30"/>
              <w:jc w:val="center"/>
            </w:pPr>
            <w:r>
              <w:rPr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17337C" w14:textId="77777777" w:rsidR="00093723" w:rsidRDefault="00000000">
            <w:pPr>
              <w:spacing w:before="30" w:after="30"/>
            </w:pPr>
            <w:proofErr w:type="spellStart"/>
            <w:r>
              <w:rPr>
                <w:sz w:val="19"/>
                <w:szCs w:val="19"/>
              </w:rPr>
              <w:t>Gözlük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kullanıyor</w:t>
            </w:r>
            <w:proofErr w:type="spellEnd"/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1ECA81" w14:textId="77777777" w:rsidR="00093723" w:rsidRDefault="00000000">
            <w:pPr>
              <w:spacing w:before="30" w:after="30"/>
            </w:pPr>
            <w:r>
              <w:rPr>
                <w:sz w:val="19"/>
                <w:szCs w:val="19"/>
              </w:rPr>
              <w:t>Wears glasses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4B8205" w14:textId="77777777" w:rsidR="00093723" w:rsidRDefault="00000000">
            <w:pPr>
              <w:jc w:val="center"/>
            </w:pPr>
            <w:r>
              <w:t>□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C7B469" w14:textId="77777777" w:rsidR="00093723" w:rsidRDefault="00000000">
            <w:pPr>
              <w:jc w:val="center"/>
            </w:pPr>
            <w:r>
              <w:t>□</w:t>
            </w:r>
          </w:p>
        </w:tc>
      </w:tr>
      <w:tr w:rsidR="00093723" w14:paraId="521F952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A24760" w14:textId="77777777" w:rsidR="00093723" w:rsidRDefault="00000000">
            <w:pPr>
              <w:spacing w:before="30" w:after="30"/>
              <w:jc w:val="center"/>
            </w:pPr>
            <w:r>
              <w:rPr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98F954" w14:textId="77777777" w:rsidR="00093723" w:rsidRDefault="00000000">
            <w:pPr>
              <w:spacing w:before="30" w:after="30"/>
            </w:pPr>
            <w:r>
              <w:rPr>
                <w:sz w:val="19"/>
                <w:szCs w:val="19"/>
              </w:rPr>
              <w:t xml:space="preserve">Daha </w:t>
            </w:r>
            <w:proofErr w:type="spellStart"/>
            <w:r>
              <w:rPr>
                <w:sz w:val="19"/>
                <w:szCs w:val="19"/>
              </w:rPr>
              <w:t>önceden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geçirilmiş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serebrovasküler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hastalık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öyküsü</w:t>
            </w:r>
            <w:proofErr w:type="spellEnd"/>
            <w:r>
              <w:rPr>
                <w:sz w:val="19"/>
                <w:szCs w:val="19"/>
              </w:rPr>
              <w:t xml:space="preserve"> var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A1E1FB" w14:textId="77777777" w:rsidR="00093723" w:rsidRDefault="00000000">
            <w:pPr>
              <w:spacing w:before="30" w:after="30"/>
            </w:pPr>
            <w:r>
              <w:rPr>
                <w:sz w:val="19"/>
                <w:szCs w:val="19"/>
              </w:rPr>
              <w:t>History of cerebrovascular disease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674B8E" w14:textId="77777777" w:rsidR="00093723" w:rsidRDefault="00000000">
            <w:pPr>
              <w:jc w:val="center"/>
            </w:pPr>
            <w:r>
              <w:t>□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CA3351" w14:textId="77777777" w:rsidR="00093723" w:rsidRDefault="00000000">
            <w:pPr>
              <w:jc w:val="center"/>
            </w:pPr>
            <w:r>
              <w:t>□</w:t>
            </w:r>
          </w:p>
        </w:tc>
      </w:tr>
      <w:tr w:rsidR="00093723" w14:paraId="6E7360B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A8C4D1" w14:textId="77777777" w:rsidR="00093723" w:rsidRDefault="00000000">
            <w:pPr>
              <w:spacing w:before="30" w:after="30"/>
              <w:jc w:val="center"/>
            </w:pPr>
            <w:r>
              <w:rPr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9357C0" w14:textId="77777777" w:rsidR="00093723" w:rsidRDefault="00000000">
            <w:pPr>
              <w:spacing w:before="30" w:after="30"/>
            </w:pPr>
            <w:proofErr w:type="spellStart"/>
            <w:r>
              <w:rPr>
                <w:sz w:val="19"/>
                <w:szCs w:val="19"/>
              </w:rPr>
              <w:t>Evre</w:t>
            </w:r>
            <w:proofErr w:type="spellEnd"/>
            <w:r>
              <w:rPr>
                <w:sz w:val="19"/>
                <w:szCs w:val="19"/>
              </w:rPr>
              <w:t xml:space="preserve"> 1–2 </w:t>
            </w:r>
            <w:proofErr w:type="spellStart"/>
            <w:r>
              <w:rPr>
                <w:sz w:val="19"/>
                <w:szCs w:val="19"/>
              </w:rPr>
              <w:t>kanser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hastası</w:t>
            </w:r>
            <w:proofErr w:type="spellEnd"/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9A21B8" w14:textId="77777777" w:rsidR="00093723" w:rsidRDefault="00000000">
            <w:pPr>
              <w:spacing w:before="30" w:after="30"/>
            </w:pPr>
            <w:r>
              <w:rPr>
                <w:sz w:val="19"/>
                <w:szCs w:val="19"/>
              </w:rPr>
              <w:t>Stage 1–2 cancer patient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0C2F77" w14:textId="77777777" w:rsidR="00093723" w:rsidRDefault="00000000">
            <w:pPr>
              <w:jc w:val="center"/>
            </w:pPr>
            <w:r>
              <w:t>□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85B4BC" w14:textId="77777777" w:rsidR="00093723" w:rsidRDefault="00000000">
            <w:pPr>
              <w:jc w:val="center"/>
            </w:pPr>
            <w:r>
              <w:t>□</w:t>
            </w:r>
          </w:p>
        </w:tc>
      </w:tr>
      <w:tr w:rsidR="00093723" w14:paraId="17AB9B1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52D2A7" w14:textId="77777777" w:rsidR="00093723" w:rsidRDefault="00000000">
            <w:pPr>
              <w:spacing w:before="30" w:after="30"/>
              <w:jc w:val="center"/>
            </w:pPr>
            <w:r>
              <w:rPr>
                <w:b/>
                <w:bCs/>
                <w:sz w:val="19"/>
                <w:szCs w:val="19"/>
              </w:rPr>
              <w:t>9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684017" w14:textId="77777777" w:rsidR="00093723" w:rsidRDefault="00000000">
            <w:pPr>
              <w:spacing w:before="30" w:after="30"/>
            </w:pPr>
            <w:proofErr w:type="spellStart"/>
            <w:r>
              <w:rPr>
                <w:sz w:val="19"/>
                <w:szCs w:val="19"/>
              </w:rPr>
              <w:t>Kemik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metastazı</w:t>
            </w:r>
            <w:proofErr w:type="spellEnd"/>
            <w:r>
              <w:rPr>
                <w:sz w:val="19"/>
                <w:szCs w:val="19"/>
              </w:rPr>
              <w:t xml:space="preserve"> var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6F69A8" w14:textId="77777777" w:rsidR="00093723" w:rsidRDefault="00000000">
            <w:pPr>
              <w:spacing w:before="30" w:after="30"/>
            </w:pPr>
            <w:r>
              <w:rPr>
                <w:sz w:val="19"/>
                <w:szCs w:val="19"/>
              </w:rPr>
              <w:t>Presence of bone metastasis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350774" w14:textId="77777777" w:rsidR="00093723" w:rsidRDefault="00000000">
            <w:pPr>
              <w:jc w:val="center"/>
            </w:pPr>
            <w:r>
              <w:t>□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6BDA89" w14:textId="77777777" w:rsidR="00093723" w:rsidRDefault="00000000">
            <w:pPr>
              <w:jc w:val="center"/>
            </w:pPr>
            <w:r>
              <w:t>□</w:t>
            </w:r>
          </w:p>
        </w:tc>
      </w:tr>
      <w:tr w:rsidR="00093723" w14:paraId="401084E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6A0C7D" w14:textId="77777777" w:rsidR="00093723" w:rsidRDefault="00000000">
            <w:pPr>
              <w:spacing w:before="30" w:after="30"/>
              <w:jc w:val="center"/>
            </w:pPr>
            <w:r>
              <w:rPr>
                <w:b/>
                <w:bCs/>
                <w:sz w:val="19"/>
                <w:szCs w:val="19"/>
              </w:rPr>
              <w:t>10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6DDB4B" w14:textId="77777777" w:rsidR="00093723" w:rsidRDefault="00000000">
            <w:pPr>
              <w:spacing w:before="30" w:after="30"/>
            </w:pPr>
            <w:proofErr w:type="spellStart"/>
            <w:r>
              <w:rPr>
                <w:sz w:val="19"/>
                <w:szCs w:val="19"/>
              </w:rPr>
              <w:t>Önceden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düşme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öyküsü</w:t>
            </w:r>
            <w:proofErr w:type="spellEnd"/>
            <w:r>
              <w:rPr>
                <w:sz w:val="19"/>
                <w:szCs w:val="19"/>
              </w:rPr>
              <w:t xml:space="preserve"> var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82BBD1" w14:textId="77777777" w:rsidR="00093723" w:rsidRDefault="00000000">
            <w:pPr>
              <w:spacing w:before="30" w:after="30"/>
            </w:pPr>
            <w:r>
              <w:rPr>
                <w:sz w:val="19"/>
                <w:szCs w:val="19"/>
              </w:rPr>
              <w:t>Previous fall history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6C0628" w14:textId="77777777" w:rsidR="00093723" w:rsidRDefault="00000000">
            <w:pPr>
              <w:jc w:val="center"/>
            </w:pPr>
            <w:r>
              <w:t>□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352672" w14:textId="77777777" w:rsidR="00093723" w:rsidRDefault="00000000">
            <w:pPr>
              <w:jc w:val="center"/>
            </w:pPr>
            <w:r>
              <w:t>□</w:t>
            </w:r>
          </w:p>
        </w:tc>
      </w:tr>
      <w:tr w:rsidR="00093723" w14:paraId="190AF67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C7998A" w14:textId="77777777" w:rsidR="00093723" w:rsidRDefault="00000000">
            <w:pPr>
              <w:spacing w:before="30" w:after="30"/>
              <w:jc w:val="center"/>
            </w:pPr>
            <w:r>
              <w:rPr>
                <w:b/>
                <w:bCs/>
                <w:sz w:val="19"/>
                <w:szCs w:val="19"/>
              </w:rPr>
              <w:t>11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5A1422" w14:textId="77777777" w:rsidR="00093723" w:rsidRDefault="00000000">
            <w:pPr>
              <w:spacing w:before="30" w:after="30"/>
            </w:pPr>
            <w:proofErr w:type="spellStart"/>
            <w:r>
              <w:rPr>
                <w:sz w:val="19"/>
                <w:szCs w:val="19"/>
              </w:rPr>
              <w:t>Dört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ve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daha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fazla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sayıda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ilaç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kullanıyor</w:t>
            </w:r>
            <w:proofErr w:type="spellEnd"/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C31D65" w14:textId="77777777" w:rsidR="00093723" w:rsidRDefault="00000000">
            <w:pPr>
              <w:spacing w:before="30" w:after="30"/>
            </w:pPr>
            <w:r>
              <w:rPr>
                <w:sz w:val="19"/>
                <w:szCs w:val="19"/>
              </w:rPr>
              <w:t>Takes four or more medications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4B5248" w14:textId="77777777" w:rsidR="00093723" w:rsidRDefault="00000000">
            <w:pPr>
              <w:jc w:val="center"/>
            </w:pPr>
            <w:r>
              <w:t>□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A05C89" w14:textId="77777777" w:rsidR="00093723" w:rsidRDefault="00000000">
            <w:pPr>
              <w:jc w:val="center"/>
            </w:pPr>
            <w:r>
              <w:t>□</w:t>
            </w:r>
          </w:p>
        </w:tc>
      </w:tr>
      <w:tr w:rsidR="00093723" w14:paraId="0E28F0A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9D44DC" w14:textId="77777777" w:rsidR="00093723" w:rsidRDefault="00000000">
            <w:pPr>
              <w:spacing w:before="30" w:after="30"/>
              <w:jc w:val="center"/>
            </w:pPr>
            <w:r>
              <w:rPr>
                <w:b/>
                <w:bCs/>
                <w:sz w:val="19"/>
                <w:szCs w:val="19"/>
              </w:rPr>
              <w:t>12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6796C5" w14:textId="77777777" w:rsidR="00093723" w:rsidRDefault="00000000">
            <w:pPr>
              <w:spacing w:before="30" w:after="30"/>
            </w:pPr>
            <w:proofErr w:type="spellStart"/>
            <w:r>
              <w:rPr>
                <w:sz w:val="19"/>
                <w:szCs w:val="19"/>
              </w:rPr>
              <w:t>Kemoterapi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sonrası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denge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problemi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yaşıyor</w:t>
            </w:r>
            <w:proofErr w:type="spellEnd"/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0FDE28" w14:textId="77777777" w:rsidR="00093723" w:rsidRDefault="00000000">
            <w:pPr>
              <w:spacing w:before="30" w:after="30"/>
            </w:pPr>
            <w:r>
              <w:rPr>
                <w:sz w:val="19"/>
                <w:szCs w:val="19"/>
              </w:rPr>
              <w:t>Balance issues post-chemotherapy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CA6F29" w14:textId="77777777" w:rsidR="00093723" w:rsidRDefault="00000000">
            <w:pPr>
              <w:jc w:val="center"/>
            </w:pPr>
            <w:r>
              <w:t>□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174E6F" w14:textId="77777777" w:rsidR="00093723" w:rsidRDefault="00000000">
            <w:pPr>
              <w:jc w:val="center"/>
            </w:pPr>
            <w:r>
              <w:t>□</w:t>
            </w:r>
          </w:p>
        </w:tc>
      </w:tr>
      <w:tr w:rsidR="00093723" w14:paraId="0E612D4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A5524B" w14:textId="77777777" w:rsidR="00093723" w:rsidRDefault="00000000">
            <w:pPr>
              <w:spacing w:before="30" w:after="30"/>
              <w:jc w:val="center"/>
            </w:pPr>
            <w:r>
              <w:rPr>
                <w:b/>
                <w:bCs/>
                <w:sz w:val="19"/>
                <w:szCs w:val="19"/>
              </w:rPr>
              <w:lastRenderedPageBreak/>
              <w:t>13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52EB5B" w14:textId="77777777" w:rsidR="00093723" w:rsidRDefault="00000000">
            <w:pPr>
              <w:spacing w:before="30" w:after="30"/>
            </w:pPr>
            <w:proofErr w:type="spellStart"/>
            <w:r>
              <w:rPr>
                <w:sz w:val="19"/>
                <w:szCs w:val="19"/>
              </w:rPr>
              <w:t>Evde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uygun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çevre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düzenlemesi</w:t>
            </w:r>
            <w:proofErr w:type="spellEnd"/>
            <w:r>
              <w:rPr>
                <w:sz w:val="19"/>
                <w:szCs w:val="19"/>
              </w:rPr>
              <w:t xml:space="preserve"> var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1BA8F2" w14:textId="77777777" w:rsidR="00093723" w:rsidRDefault="00000000">
            <w:pPr>
              <w:spacing w:before="30" w:after="30"/>
            </w:pPr>
            <w:r>
              <w:rPr>
                <w:sz w:val="19"/>
                <w:szCs w:val="19"/>
              </w:rPr>
              <w:t>Appropriate home environment adjustments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2D302A" w14:textId="77777777" w:rsidR="00093723" w:rsidRDefault="00000000">
            <w:pPr>
              <w:jc w:val="center"/>
            </w:pPr>
            <w:r>
              <w:t>□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9DBCD0" w14:textId="77777777" w:rsidR="00093723" w:rsidRDefault="00000000">
            <w:pPr>
              <w:jc w:val="center"/>
            </w:pPr>
            <w:r>
              <w:t>□</w:t>
            </w:r>
          </w:p>
        </w:tc>
      </w:tr>
      <w:tr w:rsidR="00093723" w14:paraId="46E8E0D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132C6D" w14:textId="77777777" w:rsidR="00093723" w:rsidRDefault="00000000">
            <w:pPr>
              <w:spacing w:before="30" w:after="30"/>
              <w:jc w:val="center"/>
            </w:pPr>
            <w:r>
              <w:rPr>
                <w:b/>
                <w:bCs/>
                <w:sz w:val="19"/>
                <w:szCs w:val="19"/>
              </w:rPr>
              <w:t>14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9C2273" w14:textId="77777777" w:rsidR="00093723" w:rsidRDefault="00000000">
            <w:pPr>
              <w:spacing w:before="30" w:after="30"/>
            </w:pPr>
            <w:proofErr w:type="spellStart"/>
            <w:r>
              <w:rPr>
                <w:sz w:val="19"/>
                <w:szCs w:val="19"/>
              </w:rPr>
              <w:t>Bakım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veren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birey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hastalık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hakkında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yeterli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bilgi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düzeyine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sahip</w:t>
            </w:r>
            <w:proofErr w:type="spellEnd"/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E248E1" w14:textId="77777777" w:rsidR="00093723" w:rsidRDefault="00000000">
            <w:pPr>
              <w:spacing w:before="30" w:after="30"/>
            </w:pPr>
            <w:r>
              <w:rPr>
                <w:sz w:val="19"/>
                <w:szCs w:val="19"/>
              </w:rPr>
              <w:t>Caregiver has adequate knowledge of the disease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12B4EF" w14:textId="77777777" w:rsidR="00093723" w:rsidRDefault="00000000">
            <w:pPr>
              <w:jc w:val="center"/>
            </w:pPr>
            <w:r>
              <w:t>□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B3FC74" w14:textId="77777777" w:rsidR="00093723" w:rsidRDefault="00000000">
            <w:pPr>
              <w:jc w:val="center"/>
            </w:pPr>
            <w:r>
              <w:t>□</w:t>
            </w:r>
          </w:p>
        </w:tc>
      </w:tr>
      <w:tr w:rsidR="00093723" w14:paraId="34F04D0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070EEB" w14:textId="77777777" w:rsidR="00093723" w:rsidRDefault="00000000">
            <w:pPr>
              <w:spacing w:before="30" w:after="30"/>
              <w:jc w:val="center"/>
            </w:pPr>
            <w:r>
              <w:rPr>
                <w:b/>
                <w:bCs/>
                <w:sz w:val="19"/>
                <w:szCs w:val="19"/>
              </w:rPr>
              <w:t>15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D433A5" w14:textId="77777777" w:rsidR="00093723" w:rsidRDefault="00000000">
            <w:pPr>
              <w:spacing w:before="30" w:after="30"/>
            </w:pPr>
            <w:r>
              <w:rPr>
                <w:sz w:val="19"/>
                <w:szCs w:val="19"/>
              </w:rPr>
              <w:t xml:space="preserve">Banyo </w:t>
            </w:r>
            <w:proofErr w:type="spellStart"/>
            <w:r>
              <w:rPr>
                <w:sz w:val="19"/>
                <w:szCs w:val="19"/>
              </w:rPr>
              <w:t>ihtiyacı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için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refakatçı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eşlik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ediyor</w:t>
            </w:r>
            <w:proofErr w:type="spellEnd"/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CE3EE5" w14:textId="77777777" w:rsidR="00093723" w:rsidRDefault="00000000">
            <w:pPr>
              <w:spacing w:before="30" w:after="30"/>
            </w:pPr>
            <w:r>
              <w:rPr>
                <w:sz w:val="19"/>
                <w:szCs w:val="19"/>
              </w:rPr>
              <w:t>Assistance with bathing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4FBE11" w14:textId="77777777" w:rsidR="00093723" w:rsidRDefault="00000000">
            <w:pPr>
              <w:jc w:val="center"/>
            </w:pPr>
            <w:r>
              <w:t>□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3B7B26" w14:textId="77777777" w:rsidR="00093723" w:rsidRDefault="00000000">
            <w:pPr>
              <w:jc w:val="center"/>
            </w:pPr>
            <w:r>
              <w:t>□</w:t>
            </w:r>
          </w:p>
        </w:tc>
      </w:tr>
      <w:tr w:rsidR="00093723" w14:paraId="03F4B4A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C6DDEF" w14:textId="77777777" w:rsidR="00093723" w:rsidRDefault="00000000">
            <w:pPr>
              <w:spacing w:before="30" w:after="30"/>
              <w:jc w:val="center"/>
            </w:pPr>
            <w:r>
              <w:rPr>
                <w:b/>
                <w:bCs/>
                <w:sz w:val="19"/>
                <w:szCs w:val="19"/>
              </w:rPr>
              <w:t>16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3CC0A3" w14:textId="77777777" w:rsidR="00093723" w:rsidRDefault="00000000">
            <w:pPr>
              <w:spacing w:before="30" w:after="30"/>
            </w:pPr>
            <w:proofErr w:type="spellStart"/>
            <w:r>
              <w:rPr>
                <w:sz w:val="19"/>
                <w:szCs w:val="19"/>
              </w:rPr>
              <w:t>Emosyonel</w:t>
            </w:r>
            <w:proofErr w:type="spellEnd"/>
            <w:r>
              <w:rPr>
                <w:sz w:val="19"/>
                <w:szCs w:val="19"/>
              </w:rPr>
              <w:t xml:space="preserve"> durum </w:t>
            </w:r>
            <w:proofErr w:type="spellStart"/>
            <w:r>
              <w:rPr>
                <w:sz w:val="19"/>
                <w:szCs w:val="19"/>
              </w:rPr>
              <w:t>değişiklikleri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yaşıyor</w:t>
            </w:r>
            <w:proofErr w:type="spellEnd"/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B70A81" w14:textId="77777777" w:rsidR="00093723" w:rsidRDefault="00000000">
            <w:pPr>
              <w:spacing w:before="30" w:after="30"/>
            </w:pPr>
            <w:r>
              <w:rPr>
                <w:sz w:val="19"/>
                <w:szCs w:val="19"/>
              </w:rPr>
              <w:t>Experiences emotional changes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1AC6CF" w14:textId="77777777" w:rsidR="00093723" w:rsidRDefault="00000000">
            <w:pPr>
              <w:jc w:val="center"/>
            </w:pPr>
            <w:r>
              <w:t>□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49EC22" w14:textId="77777777" w:rsidR="00093723" w:rsidRDefault="00000000">
            <w:pPr>
              <w:jc w:val="center"/>
            </w:pPr>
            <w:r>
              <w:t>□</w:t>
            </w:r>
          </w:p>
        </w:tc>
      </w:tr>
      <w:tr w:rsidR="00093723" w14:paraId="40AD685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C29459" w14:textId="77777777" w:rsidR="00093723" w:rsidRDefault="00000000">
            <w:pPr>
              <w:spacing w:before="30" w:after="30"/>
              <w:jc w:val="center"/>
            </w:pPr>
            <w:r>
              <w:rPr>
                <w:b/>
                <w:bCs/>
                <w:sz w:val="19"/>
                <w:szCs w:val="19"/>
              </w:rPr>
              <w:t>17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C210F2" w14:textId="77777777" w:rsidR="00093723" w:rsidRDefault="00000000">
            <w:pPr>
              <w:spacing w:before="30" w:after="30"/>
            </w:pPr>
            <w:r>
              <w:rPr>
                <w:sz w:val="19"/>
                <w:szCs w:val="19"/>
              </w:rPr>
              <w:t xml:space="preserve">Baş </w:t>
            </w:r>
            <w:proofErr w:type="spellStart"/>
            <w:r>
              <w:rPr>
                <w:sz w:val="19"/>
                <w:szCs w:val="19"/>
              </w:rPr>
              <w:t>dönmesi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yaşıyor</w:t>
            </w:r>
            <w:proofErr w:type="spellEnd"/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10DC00" w14:textId="77777777" w:rsidR="00093723" w:rsidRDefault="00000000">
            <w:pPr>
              <w:spacing w:before="30" w:after="30"/>
            </w:pPr>
            <w:r>
              <w:rPr>
                <w:sz w:val="19"/>
                <w:szCs w:val="19"/>
              </w:rPr>
              <w:t>Experiences dizziness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D4956F" w14:textId="77777777" w:rsidR="00093723" w:rsidRDefault="00000000">
            <w:pPr>
              <w:jc w:val="center"/>
            </w:pPr>
            <w:r>
              <w:t>□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75AE52" w14:textId="77777777" w:rsidR="00093723" w:rsidRDefault="00000000">
            <w:pPr>
              <w:jc w:val="center"/>
            </w:pPr>
            <w:r>
              <w:t>□</w:t>
            </w:r>
          </w:p>
        </w:tc>
      </w:tr>
      <w:tr w:rsidR="00093723" w14:paraId="6E1E971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87ADD0" w14:textId="77777777" w:rsidR="00093723" w:rsidRDefault="00000000">
            <w:pPr>
              <w:spacing w:before="30" w:after="30"/>
              <w:jc w:val="center"/>
            </w:pPr>
            <w:r>
              <w:rPr>
                <w:b/>
                <w:bCs/>
                <w:sz w:val="19"/>
                <w:szCs w:val="19"/>
              </w:rPr>
              <w:t>18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23DBDC" w14:textId="77777777" w:rsidR="00093723" w:rsidRDefault="00000000">
            <w:pPr>
              <w:spacing w:before="30" w:after="30"/>
            </w:pPr>
            <w:proofErr w:type="spellStart"/>
            <w:r>
              <w:rPr>
                <w:sz w:val="19"/>
                <w:szCs w:val="19"/>
              </w:rPr>
              <w:t>Ellerde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titreme</w:t>
            </w:r>
            <w:proofErr w:type="spellEnd"/>
            <w:r>
              <w:rPr>
                <w:sz w:val="19"/>
                <w:szCs w:val="19"/>
              </w:rPr>
              <w:t xml:space="preserve"> var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B62B7C" w14:textId="77777777" w:rsidR="00093723" w:rsidRDefault="00000000">
            <w:pPr>
              <w:spacing w:before="30" w:after="30"/>
            </w:pPr>
            <w:r>
              <w:rPr>
                <w:sz w:val="19"/>
                <w:szCs w:val="19"/>
              </w:rPr>
              <w:t>Hand tremors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AF2676" w14:textId="77777777" w:rsidR="00093723" w:rsidRDefault="00000000">
            <w:pPr>
              <w:jc w:val="center"/>
            </w:pPr>
            <w:r>
              <w:t>□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6364CB" w14:textId="77777777" w:rsidR="00093723" w:rsidRDefault="00000000">
            <w:pPr>
              <w:jc w:val="center"/>
            </w:pPr>
            <w:r>
              <w:t>□</w:t>
            </w:r>
          </w:p>
        </w:tc>
      </w:tr>
      <w:tr w:rsidR="00093723" w14:paraId="457BFA2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98056F" w14:textId="77777777" w:rsidR="00093723" w:rsidRDefault="00000000">
            <w:pPr>
              <w:spacing w:before="30" w:after="30"/>
              <w:jc w:val="center"/>
            </w:pPr>
            <w:r>
              <w:rPr>
                <w:b/>
                <w:bCs/>
                <w:sz w:val="19"/>
                <w:szCs w:val="19"/>
              </w:rPr>
              <w:t>19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153B55" w14:textId="77777777" w:rsidR="00093723" w:rsidRDefault="00000000">
            <w:pPr>
              <w:spacing w:before="30" w:after="30"/>
            </w:pPr>
            <w:proofErr w:type="spellStart"/>
            <w:r>
              <w:rPr>
                <w:sz w:val="19"/>
                <w:szCs w:val="19"/>
              </w:rPr>
              <w:t>Uyku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hali</w:t>
            </w:r>
            <w:proofErr w:type="spellEnd"/>
            <w:r>
              <w:rPr>
                <w:sz w:val="19"/>
                <w:szCs w:val="19"/>
              </w:rPr>
              <w:t xml:space="preserve"> var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91F4B6" w14:textId="77777777" w:rsidR="00093723" w:rsidRDefault="00000000">
            <w:pPr>
              <w:spacing w:before="30" w:after="30"/>
            </w:pPr>
            <w:r>
              <w:rPr>
                <w:sz w:val="19"/>
                <w:szCs w:val="19"/>
              </w:rPr>
              <w:t>Experiences drowsiness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65B2DF" w14:textId="77777777" w:rsidR="00093723" w:rsidRDefault="00000000">
            <w:pPr>
              <w:jc w:val="center"/>
            </w:pPr>
            <w:r>
              <w:t>□</w:t>
            </w:r>
          </w:p>
        </w:tc>
        <w:tc>
          <w:tcPr>
            <w:tcW w:w="1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8BFD29" w14:textId="77777777" w:rsidR="00093723" w:rsidRDefault="00000000">
            <w:pPr>
              <w:jc w:val="center"/>
            </w:pPr>
            <w:r>
              <w:t>□</w:t>
            </w:r>
          </w:p>
        </w:tc>
      </w:tr>
    </w:tbl>
    <w:p w14:paraId="4039093B" w14:textId="77777777" w:rsidR="00093723" w:rsidRDefault="00093723">
      <w:pPr>
        <w:spacing w:after="200"/>
      </w:pPr>
    </w:p>
    <w:p w14:paraId="6723EC74" w14:textId="77777777" w:rsidR="00093723" w:rsidRDefault="00000000">
      <w:pPr>
        <w:pStyle w:val="Heading2"/>
      </w:pPr>
      <w:proofErr w:type="spellStart"/>
      <w:r>
        <w:t>Puanlama</w:t>
      </w:r>
      <w:proofErr w:type="spellEnd"/>
      <w:r>
        <w:t xml:space="preserve"> / Scoring</w:t>
      </w:r>
    </w:p>
    <w:p w14:paraId="68331E0B" w14:textId="77777777" w:rsidR="00093723" w:rsidRDefault="00000000">
      <w:pPr>
        <w:spacing w:after="60"/>
      </w:pPr>
      <w:r>
        <w:rPr>
          <w:b/>
          <w:bCs/>
          <w:sz w:val="19"/>
          <w:szCs w:val="19"/>
        </w:rPr>
        <w:t xml:space="preserve">Evet / Yes = 2 </w:t>
      </w:r>
      <w:proofErr w:type="spellStart"/>
      <w:r>
        <w:rPr>
          <w:b/>
          <w:bCs/>
          <w:sz w:val="19"/>
          <w:szCs w:val="19"/>
        </w:rPr>
        <w:t>puan</w:t>
      </w:r>
      <w:proofErr w:type="spellEnd"/>
      <w:r>
        <w:rPr>
          <w:b/>
          <w:bCs/>
          <w:sz w:val="19"/>
          <w:szCs w:val="19"/>
        </w:rPr>
        <w:t xml:space="preserve">/points   |   </w:t>
      </w:r>
      <w:proofErr w:type="spellStart"/>
      <w:r>
        <w:rPr>
          <w:b/>
          <w:bCs/>
          <w:sz w:val="19"/>
          <w:szCs w:val="19"/>
        </w:rPr>
        <w:t>Hayır</w:t>
      </w:r>
      <w:proofErr w:type="spellEnd"/>
      <w:r>
        <w:rPr>
          <w:b/>
          <w:bCs/>
          <w:sz w:val="19"/>
          <w:szCs w:val="19"/>
        </w:rPr>
        <w:t xml:space="preserve"> / No = 1 </w:t>
      </w:r>
      <w:proofErr w:type="spellStart"/>
      <w:r>
        <w:rPr>
          <w:b/>
          <w:bCs/>
          <w:sz w:val="19"/>
          <w:szCs w:val="19"/>
        </w:rPr>
        <w:t>puan</w:t>
      </w:r>
      <w:proofErr w:type="spellEnd"/>
      <w:r>
        <w:rPr>
          <w:b/>
          <w:bCs/>
          <w:sz w:val="19"/>
          <w:szCs w:val="19"/>
        </w:rPr>
        <w:t>/point</w:t>
      </w:r>
    </w:p>
    <w:p w14:paraId="0C146829" w14:textId="77777777" w:rsidR="00093723" w:rsidRDefault="00000000">
      <w:pPr>
        <w:spacing w:after="60"/>
      </w:pPr>
      <w:proofErr w:type="spellStart"/>
      <w:r>
        <w:rPr>
          <w:b/>
          <w:bCs/>
          <w:sz w:val="19"/>
          <w:szCs w:val="19"/>
        </w:rPr>
        <w:t>Toplam</w:t>
      </w:r>
      <w:proofErr w:type="spellEnd"/>
      <w:r>
        <w:rPr>
          <w:b/>
          <w:bCs/>
          <w:sz w:val="19"/>
          <w:szCs w:val="19"/>
        </w:rPr>
        <w:t xml:space="preserve"> Puan </w:t>
      </w:r>
      <w:proofErr w:type="spellStart"/>
      <w:r>
        <w:rPr>
          <w:b/>
          <w:bCs/>
          <w:sz w:val="19"/>
          <w:szCs w:val="19"/>
        </w:rPr>
        <w:t>Aralığı</w:t>
      </w:r>
      <w:proofErr w:type="spellEnd"/>
      <w:r>
        <w:rPr>
          <w:b/>
          <w:bCs/>
          <w:sz w:val="19"/>
          <w:szCs w:val="19"/>
        </w:rPr>
        <w:t xml:space="preserve"> / Total Score Range: </w:t>
      </w:r>
      <w:r>
        <w:rPr>
          <w:sz w:val="19"/>
          <w:szCs w:val="19"/>
        </w:rPr>
        <w:t>19 – 38</w:t>
      </w:r>
    </w:p>
    <w:p w14:paraId="05ECB069" w14:textId="77777777" w:rsidR="00093723" w:rsidRDefault="00000000">
      <w:pPr>
        <w:spacing w:after="200"/>
      </w:pPr>
      <w:r>
        <w:rPr>
          <w:i/>
          <w:iCs/>
          <w:color w:val="444444"/>
          <w:sz w:val="19"/>
          <w:szCs w:val="19"/>
        </w:rPr>
        <w:t xml:space="preserve">Yüksek </w:t>
      </w:r>
      <w:proofErr w:type="spellStart"/>
      <w:r>
        <w:rPr>
          <w:i/>
          <w:iCs/>
          <w:color w:val="444444"/>
          <w:sz w:val="19"/>
          <w:szCs w:val="19"/>
        </w:rPr>
        <w:t>puan</w:t>
      </w:r>
      <w:proofErr w:type="spellEnd"/>
      <w:r>
        <w:rPr>
          <w:i/>
          <w:iCs/>
          <w:color w:val="444444"/>
          <w:sz w:val="19"/>
          <w:szCs w:val="19"/>
        </w:rPr>
        <w:t xml:space="preserve">, </w:t>
      </w:r>
      <w:proofErr w:type="spellStart"/>
      <w:r>
        <w:rPr>
          <w:i/>
          <w:iCs/>
          <w:color w:val="444444"/>
          <w:sz w:val="19"/>
          <w:szCs w:val="19"/>
        </w:rPr>
        <w:t>yüksek</w:t>
      </w:r>
      <w:proofErr w:type="spellEnd"/>
      <w:r>
        <w:rPr>
          <w:i/>
          <w:iCs/>
          <w:color w:val="444444"/>
          <w:sz w:val="19"/>
          <w:szCs w:val="19"/>
        </w:rPr>
        <w:t xml:space="preserve"> </w:t>
      </w:r>
      <w:proofErr w:type="spellStart"/>
      <w:r>
        <w:rPr>
          <w:i/>
          <w:iCs/>
          <w:color w:val="444444"/>
          <w:sz w:val="19"/>
          <w:szCs w:val="19"/>
        </w:rPr>
        <w:t>düşme</w:t>
      </w:r>
      <w:proofErr w:type="spellEnd"/>
      <w:r>
        <w:rPr>
          <w:i/>
          <w:iCs/>
          <w:color w:val="444444"/>
          <w:sz w:val="19"/>
          <w:szCs w:val="19"/>
        </w:rPr>
        <w:t xml:space="preserve"> </w:t>
      </w:r>
      <w:proofErr w:type="spellStart"/>
      <w:r>
        <w:rPr>
          <w:i/>
          <w:iCs/>
          <w:color w:val="444444"/>
          <w:sz w:val="19"/>
          <w:szCs w:val="19"/>
        </w:rPr>
        <w:t>riskini</w:t>
      </w:r>
      <w:proofErr w:type="spellEnd"/>
      <w:r>
        <w:rPr>
          <w:i/>
          <w:iCs/>
          <w:color w:val="444444"/>
          <w:sz w:val="19"/>
          <w:szCs w:val="19"/>
        </w:rPr>
        <w:t xml:space="preserve"> </w:t>
      </w:r>
      <w:proofErr w:type="spellStart"/>
      <w:r>
        <w:rPr>
          <w:i/>
          <w:iCs/>
          <w:color w:val="444444"/>
          <w:sz w:val="19"/>
          <w:szCs w:val="19"/>
        </w:rPr>
        <w:t>gösterir</w:t>
      </w:r>
      <w:proofErr w:type="spellEnd"/>
      <w:r>
        <w:rPr>
          <w:i/>
          <w:iCs/>
          <w:color w:val="444444"/>
          <w:sz w:val="19"/>
          <w:szCs w:val="19"/>
        </w:rPr>
        <w:t>. / Higher scores indicate higher fall risk.</w:t>
      </w:r>
    </w:p>
    <w:p w14:paraId="64385282" w14:textId="77777777" w:rsidR="00093723" w:rsidRDefault="00093723">
      <w:pPr>
        <w:pBdr>
          <w:top w:val="single" w:sz="8" w:space="8" w:color="000000"/>
        </w:pBdr>
        <w:spacing w:before="200"/>
      </w:pPr>
    </w:p>
    <w:p w14:paraId="5FC21F10" w14:textId="77777777" w:rsidR="00093723" w:rsidRDefault="00000000">
      <w:pPr>
        <w:pStyle w:val="Heading2"/>
      </w:pPr>
      <w:proofErr w:type="spellStart"/>
      <w:r>
        <w:t>Ölçek</w:t>
      </w:r>
      <w:proofErr w:type="spellEnd"/>
      <w:r>
        <w:t xml:space="preserve">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İzni</w:t>
      </w:r>
      <w:proofErr w:type="spellEnd"/>
      <w:r>
        <w:t xml:space="preserve"> / Scale Usage Permission</w:t>
      </w:r>
    </w:p>
    <w:p w14:paraId="352EA0D9" w14:textId="77777777" w:rsidR="00093723" w:rsidRDefault="00000000">
      <w:pPr>
        <w:spacing w:after="80"/>
      </w:pPr>
      <w:r>
        <w:rPr>
          <w:sz w:val="19"/>
          <w:szCs w:val="19"/>
        </w:rPr>
        <w:t xml:space="preserve">Bu </w:t>
      </w:r>
      <w:proofErr w:type="spellStart"/>
      <w:r>
        <w:rPr>
          <w:sz w:val="19"/>
          <w:szCs w:val="19"/>
        </w:rPr>
        <w:t>ölçeği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araştırma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veya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klinik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uygulamalarınızda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kullanmak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istiyorsanız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lütfen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aşağıdaki</w:t>
      </w:r>
      <w:proofErr w:type="spellEnd"/>
      <w:r>
        <w:rPr>
          <w:sz w:val="19"/>
          <w:szCs w:val="19"/>
        </w:rPr>
        <w:t xml:space="preserve"> web </w:t>
      </w:r>
      <w:proofErr w:type="spellStart"/>
      <w:r>
        <w:rPr>
          <w:sz w:val="19"/>
          <w:szCs w:val="19"/>
        </w:rPr>
        <w:t>sitesi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üzerinden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izin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başvurusunda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bulununuz</w:t>
      </w:r>
      <w:proofErr w:type="spellEnd"/>
      <w:r>
        <w:rPr>
          <w:sz w:val="19"/>
          <w:szCs w:val="19"/>
        </w:rPr>
        <w:t>:</w:t>
      </w:r>
    </w:p>
    <w:p w14:paraId="58DD7E38" w14:textId="77777777" w:rsidR="00093723" w:rsidRDefault="00000000">
      <w:pPr>
        <w:spacing w:after="80"/>
      </w:pPr>
      <w:r>
        <w:rPr>
          <w:i/>
          <w:iCs/>
          <w:color w:val="444444"/>
          <w:sz w:val="19"/>
          <w:szCs w:val="19"/>
        </w:rPr>
        <w:t>If you wish to use this scale in your research or clinical practice, please apply for permission through the following website:</w:t>
      </w:r>
    </w:p>
    <w:p w14:paraId="44401EEF" w14:textId="77777777" w:rsidR="00093723" w:rsidRDefault="00000000">
      <w:pPr>
        <w:spacing w:before="120" w:after="120"/>
        <w:jc w:val="center"/>
      </w:pPr>
      <w:hyperlink r:id="rId7" w:history="1">
        <w:r>
          <w:rPr>
            <w:b/>
            <w:bCs/>
            <w:sz w:val="26"/>
            <w:szCs w:val="26"/>
            <w:u w:val="single"/>
          </w:rPr>
          <w:t>sonerberse.com</w:t>
        </w:r>
      </w:hyperlink>
    </w:p>
    <w:p w14:paraId="6AEF8293" w14:textId="77777777" w:rsidR="00093723" w:rsidRDefault="00000000">
      <w:pPr>
        <w:spacing w:after="40"/>
        <w:jc w:val="center"/>
      </w:pPr>
      <w:proofErr w:type="spellStart"/>
      <w:r>
        <w:rPr>
          <w:b/>
          <w:bCs/>
          <w:sz w:val="20"/>
          <w:szCs w:val="20"/>
        </w:rPr>
        <w:t>Doç</w:t>
      </w:r>
      <w:proofErr w:type="spellEnd"/>
      <w:r>
        <w:rPr>
          <w:b/>
          <w:bCs/>
          <w:sz w:val="20"/>
          <w:szCs w:val="20"/>
        </w:rPr>
        <w:t>. Dr. Soner Berşe</w:t>
      </w:r>
    </w:p>
    <w:p w14:paraId="017133BF" w14:textId="77777777" w:rsidR="00093723" w:rsidRDefault="00000000">
      <w:pPr>
        <w:spacing w:after="40"/>
        <w:jc w:val="center"/>
      </w:pPr>
      <w:r>
        <w:rPr>
          <w:color w:val="444444"/>
          <w:sz w:val="18"/>
          <w:szCs w:val="18"/>
        </w:rPr>
        <w:t xml:space="preserve">Gaziantep </w:t>
      </w:r>
      <w:proofErr w:type="spellStart"/>
      <w:r>
        <w:rPr>
          <w:color w:val="444444"/>
          <w:sz w:val="18"/>
          <w:szCs w:val="18"/>
        </w:rPr>
        <w:t>Üniversitesi</w:t>
      </w:r>
      <w:proofErr w:type="spellEnd"/>
      <w:r>
        <w:rPr>
          <w:color w:val="444444"/>
          <w:sz w:val="18"/>
          <w:szCs w:val="18"/>
        </w:rPr>
        <w:t xml:space="preserve"> • </w:t>
      </w:r>
      <w:proofErr w:type="spellStart"/>
      <w:r>
        <w:rPr>
          <w:color w:val="444444"/>
          <w:sz w:val="18"/>
          <w:szCs w:val="18"/>
        </w:rPr>
        <w:t>Sağlık</w:t>
      </w:r>
      <w:proofErr w:type="spellEnd"/>
      <w:r>
        <w:rPr>
          <w:color w:val="444444"/>
          <w:sz w:val="18"/>
          <w:szCs w:val="18"/>
        </w:rPr>
        <w:t xml:space="preserve"> </w:t>
      </w:r>
      <w:proofErr w:type="spellStart"/>
      <w:r>
        <w:rPr>
          <w:color w:val="444444"/>
          <w:sz w:val="18"/>
          <w:szCs w:val="18"/>
        </w:rPr>
        <w:t>Bilimleri</w:t>
      </w:r>
      <w:proofErr w:type="spellEnd"/>
      <w:r>
        <w:rPr>
          <w:color w:val="444444"/>
          <w:sz w:val="18"/>
          <w:szCs w:val="18"/>
        </w:rPr>
        <w:t xml:space="preserve"> </w:t>
      </w:r>
      <w:proofErr w:type="spellStart"/>
      <w:r>
        <w:rPr>
          <w:color w:val="444444"/>
          <w:sz w:val="18"/>
          <w:szCs w:val="18"/>
        </w:rPr>
        <w:t>Fakültesi</w:t>
      </w:r>
      <w:proofErr w:type="spellEnd"/>
      <w:r>
        <w:rPr>
          <w:color w:val="444444"/>
          <w:sz w:val="18"/>
          <w:szCs w:val="18"/>
        </w:rPr>
        <w:t xml:space="preserve"> • </w:t>
      </w:r>
      <w:proofErr w:type="spellStart"/>
      <w:r>
        <w:rPr>
          <w:color w:val="444444"/>
          <w:sz w:val="18"/>
          <w:szCs w:val="18"/>
        </w:rPr>
        <w:t>Hemşirelik</w:t>
      </w:r>
      <w:proofErr w:type="spellEnd"/>
      <w:r>
        <w:rPr>
          <w:color w:val="444444"/>
          <w:sz w:val="18"/>
          <w:szCs w:val="18"/>
        </w:rPr>
        <w:t xml:space="preserve"> Bölümü</w:t>
      </w:r>
    </w:p>
    <w:p w14:paraId="6EDAE0E7" w14:textId="77777777" w:rsidR="00093723" w:rsidRDefault="00000000">
      <w:pPr>
        <w:spacing w:after="80"/>
        <w:jc w:val="center"/>
      </w:pPr>
      <w:proofErr w:type="spellStart"/>
      <w:r>
        <w:rPr>
          <w:b/>
          <w:bCs/>
          <w:sz w:val="19"/>
          <w:szCs w:val="19"/>
        </w:rPr>
        <w:t>İletişim</w:t>
      </w:r>
      <w:proofErr w:type="spellEnd"/>
      <w:r>
        <w:rPr>
          <w:b/>
          <w:bCs/>
          <w:sz w:val="19"/>
          <w:szCs w:val="19"/>
        </w:rPr>
        <w:t xml:space="preserve"> / Contact: </w:t>
      </w:r>
      <w:proofErr w:type="gramStart"/>
      <w:r>
        <w:rPr>
          <w:sz w:val="19"/>
          <w:szCs w:val="19"/>
        </w:rPr>
        <w:t>sonerberse@gmail.com  |</w:t>
      </w:r>
      <w:proofErr w:type="gramEnd"/>
      <w:r>
        <w:rPr>
          <w:sz w:val="19"/>
          <w:szCs w:val="19"/>
        </w:rPr>
        <w:t xml:space="preserve">  sonerberse@gantep.edu.tr</w:t>
      </w:r>
    </w:p>
    <w:p w14:paraId="5DF2F8CD" w14:textId="77777777" w:rsidR="00093723" w:rsidRDefault="00093723">
      <w:pPr>
        <w:spacing w:after="120"/>
      </w:pPr>
    </w:p>
    <w:p w14:paraId="4D3FB1A7" w14:textId="77777777" w:rsidR="00093723" w:rsidRDefault="00000000">
      <w:pPr>
        <w:spacing w:after="60"/>
      </w:pPr>
      <w:proofErr w:type="spellStart"/>
      <w:r>
        <w:rPr>
          <w:color w:val="666666"/>
          <w:sz w:val="18"/>
          <w:szCs w:val="18"/>
        </w:rPr>
        <w:t>Ölçek</w:t>
      </w:r>
      <w:proofErr w:type="spellEnd"/>
      <w:r>
        <w:rPr>
          <w:color w:val="666666"/>
          <w:sz w:val="18"/>
          <w:szCs w:val="18"/>
        </w:rPr>
        <w:t xml:space="preserve">, </w:t>
      </w:r>
      <w:proofErr w:type="spellStart"/>
      <w:r>
        <w:rPr>
          <w:color w:val="666666"/>
          <w:sz w:val="18"/>
          <w:szCs w:val="18"/>
        </w:rPr>
        <w:t>yazarların</w:t>
      </w:r>
      <w:proofErr w:type="spellEnd"/>
      <w:r>
        <w:rPr>
          <w:color w:val="666666"/>
          <w:sz w:val="18"/>
          <w:szCs w:val="18"/>
        </w:rPr>
        <w:t xml:space="preserve"> </w:t>
      </w:r>
      <w:proofErr w:type="spellStart"/>
      <w:r>
        <w:rPr>
          <w:color w:val="666666"/>
          <w:sz w:val="18"/>
          <w:szCs w:val="18"/>
        </w:rPr>
        <w:t>yazılı</w:t>
      </w:r>
      <w:proofErr w:type="spellEnd"/>
      <w:r>
        <w:rPr>
          <w:color w:val="666666"/>
          <w:sz w:val="18"/>
          <w:szCs w:val="18"/>
        </w:rPr>
        <w:t xml:space="preserve"> </w:t>
      </w:r>
      <w:proofErr w:type="spellStart"/>
      <w:r>
        <w:rPr>
          <w:color w:val="666666"/>
          <w:sz w:val="18"/>
          <w:szCs w:val="18"/>
        </w:rPr>
        <w:t>izni</w:t>
      </w:r>
      <w:proofErr w:type="spellEnd"/>
      <w:r>
        <w:rPr>
          <w:color w:val="666666"/>
          <w:sz w:val="18"/>
          <w:szCs w:val="18"/>
        </w:rPr>
        <w:t xml:space="preserve"> </w:t>
      </w:r>
      <w:proofErr w:type="spellStart"/>
      <w:r>
        <w:rPr>
          <w:color w:val="666666"/>
          <w:sz w:val="18"/>
          <w:szCs w:val="18"/>
        </w:rPr>
        <w:t>olmaksızın</w:t>
      </w:r>
      <w:proofErr w:type="spellEnd"/>
      <w:r>
        <w:rPr>
          <w:color w:val="666666"/>
          <w:sz w:val="18"/>
          <w:szCs w:val="18"/>
        </w:rPr>
        <w:t xml:space="preserve"> </w:t>
      </w:r>
      <w:proofErr w:type="spellStart"/>
      <w:r>
        <w:rPr>
          <w:color w:val="666666"/>
          <w:sz w:val="18"/>
          <w:szCs w:val="18"/>
        </w:rPr>
        <w:t>çoğaltılamaz</w:t>
      </w:r>
      <w:proofErr w:type="spellEnd"/>
      <w:r>
        <w:rPr>
          <w:color w:val="666666"/>
          <w:sz w:val="18"/>
          <w:szCs w:val="18"/>
        </w:rPr>
        <w:t xml:space="preserve">, </w:t>
      </w:r>
      <w:proofErr w:type="spellStart"/>
      <w:r>
        <w:rPr>
          <w:color w:val="666666"/>
          <w:sz w:val="18"/>
          <w:szCs w:val="18"/>
        </w:rPr>
        <w:t>değiştirilemez</w:t>
      </w:r>
      <w:proofErr w:type="spellEnd"/>
      <w:r>
        <w:rPr>
          <w:color w:val="666666"/>
          <w:sz w:val="18"/>
          <w:szCs w:val="18"/>
        </w:rPr>
        <w:t xml:space="preserve"> </w:t>
      </w:r>
      <w:proofErr w:type="spellStart"/>
      <w:r>
        <w:rPr>
          <w:color w:val="666666"/>
          <w:sz w:val="18"/>
          <w:szCs w:val="18"/>
        </w:rPr>
        <w:t>veya</w:t>
      </w:r>
      <w:proofErr w:type="spellEnd"/>
      <w:r>
        <w:rPr>
          <w:color w:val="666666"/>
          <w:sz w:val="18"/>
          <w:szCs w:val="18"/>
        </w:rPr>
        <w:t xml:space="preserve"> </w:t>
      </w:r>
      <w:proofErr w:type="spellStart"/>
      <w:r>
        <w:rPr>
          <w:color w:val="666666"/>
          <w:sz w:val="18"/>
          <w:szCs w:val="18"/>
        </w:rPr>
        <w:t>ticari</w:t>
      </w:r>
      <w:proofErr w:type="spellEnd"/>
      <w:r>
        <w:rPr>
          <w:color w:val="666666"/>
          <w:sz w:val="18"/>
          <w:szCs w:val="18"/>
        </w:rPr>
        <w:t xml:space="preserve"> </w:t>
      </w:r>
      <w:proofErr w:type="spellStart"/>
      <w:r>
        <w:rPr>
          <w:color w:val="666666"/>
          <w:sz w:val="18"/>
          <w:szCs w:val="18"/>
        </w:rPr>
        <w:t>amaçla</w:t>
      </w:r>
      <w:proofErr w:type="spellEnd"/>
      <w:r>
        <w:rPr>
          <w:color w:val="666666"/>
          <w:sz w:val="18"/>
          <w:szCs w:val="18"/>
        </w:rPr>
        <w:t xml:space="preserve"> </w:t>
      </w:r>
      <w:proofErr w:type="spellStart"/>
      <w:r>
        <w:rPr>
          <w:color w:val="666666"/>
          <w:sz w:val="18"/>
          <w:szCs w:val="18"/>
        </w:rPr>
        <w:t>kullanılamaz</w:t>
      </w:r>
      <w:proofErr w:type="spellEnd"/>
      <w:r>
        <w:rPr>
          <w:color w:val="666666"/>
          <w:sz w:val="18"/>
          <w:szCs w:val="18"/>
        </w:rPr>
        <w:t>.</w:t>
      </w:r>
    </w:p>
    <w:p w14:paraId="1F8F4410" w14:textId="77777777" w:rsidR="00093723" w:rsidRDefault="00000000">
      <w:pPr>
        <w:spacing w:after="100"/>
      </w:pPr>
      <w:r>
        <w:rPr>
          <w:i/>
          <w:iCs/>
          <w:color w:val="666666"/>
          <w:sz w:val="18"/>
          <w:szCs w:val="18"/>
        </w:rPr>
        <w:t>This scale may not be reproduced, modified, or used for commercial purposes without the written permission of the authors.</w:t>
      </w:r>
    </w:p>
    <w:sectPr w:rsidR="00093723">
      <w:headerReference w:type="default" r:id="rId8"/>
      <w:footerReference w:type="default" r:id="rId9"/>
      <w:pgSz w:w="11906" w:h="16838"/>
      <w:pgMar w:top="1200" w:right="1000" w:bottom="12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AE3E7" w14:textId="77777777" w:rsidR="00957F1D" w:rsidRDefault="00957F1D">
      <w:r>
        <w:separator/>
      </w:r>
    </w:p>
  </w:endnote>
  <w:endnote w:type="continuationSeparator" w:id="0">
    <w:p w14:paraId="4CE0B446" w14:textId="77777777" w:rsidR="00957F1D" w:rsidRDefault="0095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89EB" w14:textId="77777777" w:rsidR="00093723" w:rsidRDefault="00000000">
    <w:pPr>
      <w:pBdr>
        <w:top w:val="single" w:sz="4" w:space="4" w:color="000000"/>
      </w:pBdr>
      <w:spacing w:before="100"/>
      <w:jc w:val="center"/>
    </w:pPr>
    <w:r>
      <w:rPr>
        <w:color w:val="666666"/>
        <w:sz w:val="15"/>
        <w:szCs w:val="15"/>
      </w:rPr>
      <w:t xml:space="preserve">© </w:t>
    </w:r>
    <w:proofErr w:type="spellStart"/>
    <w:r>
      <w:rPr>
        <w:color w:val="666666"/>
        <w:sz w:val="15"/>
        <w:szCs w:val="15"/>
      </w:rPr>
      <w:t>Serçe</w:t>
    </w:r>
    <w:proofErr w:type="spellEnd"/>
    <w:r>
      <w:rPr>
        <w:color w:val="666666"/>
        <w:sz w:val="15"/>
        <w:szCs w:val="15"/>
      </w:rPr>
      <w:t xml:space="preserve">, </w:t>
    </w:r>
    <w:proofErr w:type="spellStart"/>
    <w:r>
      <w:rPr>
        <w:color w:val="666666"/>
        <w:sz w:val="15"/>
        <w:szCs w:val="15"/>
      </w:rPr>
      <w:t>Berşe</w:t>
    </w:r>
    <w:proofErr w:type="spellEnd"/>
    <w:r>
      <w:rPr>
        <w:color w:val="666666"/>
        <w:sz w:val="15"/>
        <w:szCs w:val="15"/>
      </w:rPr>
      <w:t xml:space="preserve">, </w:t>
    </w:r>
    <w:proofErr w:type="spellStart"/>
    <w:r>
      <w:rPr>
        <w:color w:val="666666"/>
        <w:sz w:val="15"/>
        <w:szCs w:val="15"/>
      </w:rPr>
      <w:t>Ovayolu</w:t>
    </w:r>
    <w:proofErr w:type="spellEnd"/>
    <w:r>
      <w:rPr>
        <w:color w:val="666666"/>
        <w:sz w:val="15"/>
        <w:szCs w:val="15"/>
      </w:rPr>
      <w:t xml:space="preserve"> &amp; </w:t>
    </w:r>
    <w:proofErr w:type="spellStart"/>
    <w:r>
      <w:rPr>
        <w:color w:val="666666"/>
        <w:sz w:val="15"/>
        <w:szCs w:val="15"/>
      </w:rPr>
      <w:t>Ovayolu</w:t>
    </w:r>
    <w:proofErr w:type="spellEnd"/>
    <w:r>
      <w:rPr>
        <w:color w:val="666666"/>
        <w:sz w:val="15"/>
        <w:szCs w:val="15"/>
      </w:rPr>
      <w:t xml:space="preserve"> (2026</w:t>
    </w:r>
    <w:proofErr w:type="gramStart"/>
    <w:r>
      <w:rPr>
        <w:color w:val="666666"/>
        <w:sz w:val="15"/>
        <w:szCs w:val="15"/>
      </w:rPr>
      <w:t>)  |</w:t>
    </w:r>
    <w:proofErr w:type="gramEnd"/>
    <w:r>
      <w:rPr>
        <w:color w:val="666666"/>
        <w:sz w:val="15"/>
        <w:szCs w:val="15"/>
      </w:rPr>
      <w:t xml:space="preserve">  </w:t>
    </w:r>
    <w:r>
      <w:rPr>
        <w:b/>
        <w:bCs/>
        <w:sz w:val="15"/>
        <w:szCs w:val="15"/>
      </w:rPr>
      <w:t>sonerberse.com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B66C1" w14:textId="77777777" w:rsidR="00957F1D" w:rsidRDefault="00957F1D">
      <w:r>
        <w:separator/>
      </w:r>
    </w:p>
  </w:footnote>
  <w:footnote w:type="continuationSeparator" w:id="0">
    <w:p w14:paraId="4F489D9A" w14:textId="77777777" w:rsidR="00957F1D" w:rsidRDefault="00957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6A208" w14:textId="77777777" w:rsidR="00093723" w:rsidRDefault="00000000">
    <w:pPr>
      <w:pBdr>
        <w:bottom w:val="single" w:sz="6" w:space="4" w:color="000000"/>
      </w:pBdr>
      <w:spacing w:after="100"/>
      <w:jc w:val="center"/>
    </w:pPr>
    <w:r>
      <w:rPr>
        <w:i/>
        <w:iCs/>
        <w:color w:val="666666"/>
        <w:sz w:val="16"/>
        <w:szCs w:val="16"/>
      </w:rPr>
      <w:t>FRAS-</w:t>
    </w:r>
    <w:proofErr w:type="gramStart"/>
    <w:r>
      <w:rPr>
        <w:i/>
        <w:iCs/>
        <w:color w:val="666666"/>
        <w:sz w:val="16"/>
        <w:szCs w:val="16"/>
      </w:rPr>
      <w:t>OP  |</w:t>
    </w:r>
    <w:proofErr w:type="gramEnd"/>
    <w:r>
      <w:rPr>
        <w:i/>
        <w:iCs/>
        <w:color w:val="666666"/>
        <w:sz w:val="16"/>
        <w:szCs w:val="16"/>
      </w:rPr>
      <w:t xml:space="preserve">  Fall Risk Assessment Scale for Oncology Patients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B3D8C"/>
    <w:multiLevelType w:val="hybridMultilevel"/>
    <w:tmpl w:val="D6EA7D46"/>
    <w:lvl w:ilvl="0" w:tplc="7F0A07C6">
      <w:start w:val="1"/>
      <w:numFmt w:val="bullet"/>
      <w:lvlText w:val="●"/>
      <w:lvlJc w:val="left"/>
      <w:pPr>
        <w:ind w:left="720" w:hanging="360"/>
      </w:pPr>
    </w:lvl>
    <w:lvl w:ilvl="1" w:tplc="A502C15E">
      <w:start w:val="1"/>
      <w:numFmt w:val="bullet"/>
      <w:lvlText w:val="○"/>
      <w:lvlJc w:val="left"/>
      <w:pPr>
        <w:ind w:left="1440" w:hanging="360"/>
      </w:pPr>
    </w:lvl>
    <w:lvl w:ilvl="2" w:tplc="BE900EF4">
      <w:start w:val="1"/>
      <w:numFmt w:val="bullet"/>
      <w:lvlText w:val="■"/>
      <w:lvlJc w:val="left"/>
      <w:pPr>
        <w:ind w:left="2160" w:hanging="360"/>
      </w:pPr>
    </w:lvl>
    <w:lvl w:ilvl="3" w:tplc="E36C3BDA">
      <w:start w:val="1"/>
      <w:numFmt w:val="bullet"/>
      <w:lvlText w:val="●"/>
      <w:lvlJc w:val="left"/>
      <w:pPr>
        <w:ind w:left="2880" w:hanging="360"/>
      </w:pPr>
    </w:lvl>
    <w:lvl w:ilvl="4" w:tplc="6290C8C4">
      <w:start w:val="1"/>
      <w:numFmt w:val="bullet"/>
      <w:lvlText w:val="○"/>
      <w:lvlJc w:val="left"/>
      <w:pPr>
        <w:ind w:left="3600" w:hanging="360"/>
      </w:pPr>
    </w:lvl>
    <w:lvl w:ilvl="5" w:tplc="9B883006">
      <w:start w:val="1"/>
      <w:numFmt w:val="bullet"/>
      <w:lvlText w:val="■"/>
      <w:lvlJc w:val="left"/>
      <w:pPr>
        <w:ind w:left="4320" w:hanging="360"/>
      </w:pPr>
    </w:lvl>
    <w:lvl w:ilvl="6" w:tplc="C43E1D30">
      <w:start w:val="1"/>
      <w:numFmt w:val="bullet"/>
      <w:lvlText w:val="●"/>
      <w:lvlJc w:val="left"/>
      <w:pPr>
        <w:ind w:left="5040" w:hanging="360"/>
      </w:pPr>
    </w:lvl>
    <w:lvl w:ilvl="7" w:tplc="26B69A9A">
      <w:start w:val="1"/>
      <w:numFmt w:val="bullet"/>
      <w:lvlText w:val="●"/>
      <w:lvlJc w:val="left"/>
      <w:pPr>
        <w:ind w:left="5760" w:hanging="360"/>
      </w:pPr>
    </w:lvl>
    <w:lvl w:ilvl="8" w:tplc="9C2CB832">
      <w:start w:val="1"/>
      <w:numFmt w:val="bullet"/>
      <w:lvlText w:val="●"/>
      <w:lvlJc w:val="left"/>
      <w:pPr>
        <w:ind w:left="6480" w:hanging="360"/>
      </w:pPr>
    </w:lvl>
  </w:abstractNum>
  <w:num w:numId="1" w16cid:durableId="14490084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723"/>
    <w:rsid w:val="00093723"/>
    <w:rsid w:val="00957F1D"/>
    <w:rsid w:val="00E92C67"/>
    <w:rsid w:val="00F6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3A4D93"/>
  <w15:docId w15:val="{EC615951-D091-9B40-9398-714FE537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sz w:val="28"/>
      <w:szCs w:val="28"/>
    </w:rPr>
  </w:style>
  <w:style w:type="paragraph" w:styleId="Heading2">
    <w:name w:val="heading 2"/>
    <w:uiPriority w:val="9"/>
    <w:unhideWhenUsed/>
    <w:qFormat/>
    <w:pPr>
      <w:spacing w:before="200" w:after="100"/>
      <w:outlineLvl w:val="1"/>
    </w:pPr>
    <w:rPr>
      <w:b/>
      <w:bCs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onerbers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3009</Characters>
  <Application>Microsoft Office Word</Application>
  <DocSecurity>0</DocSecurity>
  <Lines>155</Lines>
  <Paragraphs>125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Ferdiye Çobanoğulları</cp:lastModifiedBy>
  <cp:revision>2</cp:revision>
  <dcterms:created xsi:type="dcterms:W3CDTF">2026-03-23T17:13:00Z</dcterms:created>
  <dcterms:modified xsi:type="dcterms:W3CDTF">2026-03-23T17:24:00Z</dcterms:modified>
</cp:coreProperties>
</file>