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84EB" w14:textId="28E3C2A7" w:rsidR="00E669D7" w:rsidRDefault="00183F3B" w:rsidP="00B344B2">
      <w:pPr>
        <w:spacing w:line="360" w:lineRule="auto"/>
        <w:jc w:val="center"/>
      </w:pPr>
      <w:r>
        <w:t>Bireysel Afet Dirençlili</w:t>
      </w:r>
      <w:r w:rsidR="00551BD2">
        <w:t>ği</w:t>
      </w:r>
      <w:r>
        <w:t xml:space="preserve"> Ölçeği Kısa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851"/>
        <w:gridCol w:w="850"/>
        <w:gridCol w:w="992"/>
        <w:gridCol w:w="851"/>
        <w:gridCol w:w="845"/>
      </w:tblGrid>
      <w:tr w:rsidR="00B344B2" w:rsidRPr="00B344B2" w14:paraId="607493A3" w14:textId="77777777" w:rsidTr="00532E78">
        <w:trPr>
          <w:cantSplit/>
          <w:trHeight w:val="182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C23" w14:textId="77777777" w:rsidR="00B46C15" w:rsidRDefault="00B344B2" w:rsidP="00B46C15">
            <w:pPr>
              <w:spacing w:after="0" w:line="240" w:lineRule="auto"/>
              <w:ind w:firstLine="314"/>
              <w:jc w:val="both"/>
              <w:rPr>
                <w:sz w:val="20"/>
                <w:szCs w:val="20"/>
              </w:rPr>
            </w:pPr>
            <w:r w:rsidRPr="00B344B2">
              <w:rPr>
                <w:sz w:val="20"/>
                <w:szCs w:val="20"/>
              </w:rPr>
              <w:t>Lütfen aşağıdaki ifadelerle ne ölçüde hemfikir</w:t>
            </w:r>
          </w:p>
          <w:p w14:paraId="0BCA4082" w14:textId="57615CB2" w:rsidR="00B344B2" w:rsidRPr="00B344B2" w:rsidRDefault="00B344B2" w:rsidP="00B46C15">
            <w:pPr>
              <w:spacing w:after="0" w:line="240" w:lineRule="auto"/>
              <w:ind w:firstLine="314"/>
              <w:jc w:val="both"/>
              <w:rPr>
                <w:sz w:val="20"/>
                <w:szCs w:val="20"/>
              </w:rPr>
            </w:pPr>
            <w:r w:rsidRPr="00B344B2">
              <w:rPr>
                <w:sz w:val="20"/>
                <w:szCs w:val="20"/>
              </w:rPr>
              <w:t>olduğunuzu belirtin.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49625A" w14:textId="77777777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Kesinlikle</w:t>
            </w:r>
            <w:r w:rsidRPr="00B344B2">
              <w:rPr>
                <w:b w:val="0"/>
                <w:bCs/>
                <w:sz w:val="20"/>
                <w:szCs w:val="20"/>
              </w:rPr>
              <w:t xml:space="preserve"> Katılmıyorum</w:t>
            </w:r>
          </w:p>
          <w:p w14:paraId="69195F7D" w14:textId="53A58474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A8A5B" w14:textId="77777777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Katılmıyorum</w:t>
            </w:r>
          </w:p>
          <w:p w14:paraId="0D713B52" w14:textId="34E75D6C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D6466" w14:textId="4A718871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Ne katılıyorum ne de katılmıyorum</w:t>
            </w:r>
            <w:r w:rsidRPr="00B344B2">
              <w:rPr>
                <w:b w:val="0"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1C7BF5" w14:textId="77777777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Katılıyorum</w:t>
            </w:r>
          </w:p>
          <w:p w14:paraId="53016BF4" w14:textId="69AF75B5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(4)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776B3A" w14:textId="77777777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Kesinlikle</w:t>
            </w:r>
            <w:r w:rsidRPr="00B344B2">
              <w:rPr>
                <w:b w:val="0"/>
                <w:bCs/>
                <w:sz w:val="20"/>
                <w:szCs w:val="20"/>
              </w:rPr>
              <w:t xml:space="preserve"> Katılıyorum</w:t>
            </w:r>
          </w:p>
          <w:p w14:paraId="789753BE" w14:textId="40343537" w:rsidR="00B344B2" w:rsidRPr="00B344B2" w:rsidRDefault="00B344B2" w:rsidP="00B344B2">
            <w:pPr>
              <w:spacing w:after="0" w:line="240" w:lineRule="auto"/>
              <w:ind w:left="113" w:right="113"/>
              <w:jc w:val="center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(5)</w:t>
            </w:r>
          </w:p>
        </w:tc>
      </w:tr>
      <w:tr w:rsidR="00B344B2" w:rsidRPr="00B344B2" w14:paraId="714C7C2D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B88B" w14:textId="0413D8CD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Bir afet durumunda, tehlike veya risk haritalarına bakarak tehlikeli alanların nereler olduğunu anlayabilirim.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8EA6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74B5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E15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8570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12A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6D6C766F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4F9" w14:textId="0870D065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Afet öncesi dönemde toplumsal dayanışmanın güçlendirilmesi, afet sonrası iyileşme sürecine katkı sağlar.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7A37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DF1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7D8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6CBE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7DA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08033B85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846B" w14:textId="4A5B90E5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Bir afet olması durumunda ne yapılması gerektiğini ailemle ve yakın çevremle konuşurum.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610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421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A8B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0758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46F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6947596B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4F2" w14:textId="6AF774B3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Afet zamanları için içme suyu ve acil durum gıdası stoklarım.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4AA2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DFED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DFB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8095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AB46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48CBD6C4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5887" w14:textId="2F53941C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Sahip olduğum afet sigortası veya aile ya da sivil toplumdan alabileceğim destekler, bir afet sonrası hayatımı yeniden kurmam için yeterli olabilir.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1A24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D4E1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BB0B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5FD9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F347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6C26C415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ED3A" w14:textId="4EA2485B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Afet sırasında hayat kurtarmaya yönelik hemen harekete geçebilirim.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A39D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73D6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C40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3658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171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048A2057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5989" w14:textId="3244F834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Afet sonrası zamanlarda geçici barınma alanında kalırsam çeşitli görevler üstlenmekten kaçınmam.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92A5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8E6C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8DD6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4B53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6F0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344B2" w:rsidRPr="00B344B2" w14:paraId="0E186F00" w14:textId="77777777" w:rsidTr="00532E78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5357" w14:textId="492A5F99" w:rsidR="00B344B2" w:rsidRPr="00B344B2" w:rsidRDefault="00B344B2" w:rsidP="00B344B2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14" w:hanging="284"/>
              <w:jc w:val="both"/>
              <w:rPr>
                <w:b w:val="0"/>
                <w:bCs/>
                <w:sz w:val="20"/>
                <w:szCs w:val="20"/>
              </w:rPr>
            </w:pPr>
            <w:r w:rsidRPr="00B344B2">
              <w:rPr>
                <w:b w:val="0"/>
                <w:bCs/>
                <w:sz w:val="20"/>
                <w:szCs w:val="20"/>
              </w:rPr>
              <w:t>Bir afet sonrası mahalle veya şehir görünümünün değişebileceğini kabul ediyorum.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111D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5D93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BAA6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6206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35A" w14:textId="77777777" w:rsidR="00B344B2" w:rsidRPr="00B344B2" w:rsidRDefault="00B344B2" w:rsidP="00B34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C725EA5" w14:textId="77777777" w:rsidR="00183F3B" w:rsidRDefault="00183F3B" w:rsidP="00B344B2">
      <w:pPr>
        <w:spacing w:line="360" w:lineRule="auto"/>
      </w:pPr>
    </w:p>
    <w:p w14:paraId="11790DA4" w14:textId="77777777" w:rsidR="00183F3B" w:rsidRDefault="00183F3B" w:rsidP="00B344B2">
      <w:pPr>
        <w:spacing w:line="360" w:lineRule="auto"/>
      </w:pPr>
    </w:p>
    <w:p w14:paraId="5E6E3206" w14:textId="77777777" w:rsidR="00183F3B" w:rsidRDefault="00183F3B" w:rsidP="00B344B2">
      <w:pPr>
        <w:spacing w:line="360" w:lineRule="auto"/>
      </w:pPr>
    </w:p>
    <w:p w14:paraId="478B4D06" w14:textId="77777777" w:rsidR="00183F3B" w:rsidRDefault="00183F3B" w:rsidP="00B344B2">
      <w:pPr>
        <w:spacing w:line="360" w:lineRule="auto"/>
      </w:pPr>
    </w:p>
    <w:p w14:paraId="6F757C93" w14:textId="77777777" w:rsidR="00183F3B" w:rsidRDefault="00183F3B" w:rsidP="00B344B2">
      <w:pPr>
        <w:spacing w:line="360" w:lineRule="auto"/>
      </w:pPr>
    </w:p>
    <w:p w14:paraId="6C1CA55D" w14:textId="77777777" w:rsidR="00183F3B" w:rsidRDefault="00183F3B" w:rsidP="00B344B2">
      <w:pPr>
        <w:spacing w:line="360" w:lineRule="auto"/>
      </w:pPr>
    </w:p>
    <w:p w14:paraId="4995CBE8" w14:textId="77777777" w:rsidR="00183F3B" w:rsidRDefault="00183F3B" w:rsidP="00B344B2">
      <w:pPr>
        <w:spacing w:line="360" w:lineRule="auto"/>
      </w:pPr>
    </w:p>
    <w:p w14:paraId="5DCEF122" w14:textId="77777777" w:rsidR="00183F3B" w:rsidRDefault="00183F3B" w:rsidP="00B344B2">
      <w:pPr>
        <w:spacing w:line="360" w:lineRule="auto"/>
      </w:pPr>
    </w:p>
    <w:p w14:paraId="5A829A3D" w14:textId="77777777" w:rsidR="00183F3B" w:rsidRDefault="00183F3B" w:rsidP="00B344B2">
      <w:pPr>
        <w:spacing w:line="360" w:lineRule="auto"/>
      </w:pPr>
    </w:p>
    <w:p w14:paraId="17122C26" w14:textId="77777777" w:rsidR="00183F3B" w:rsidRDefault="00183F3B" w:rsidP="00B344B2">
      <w:pPr>
        <w:spacing w:line="360" w:lineRule="auto"/>
      </w:pPr>
    </w:p>
    <w:p w14:paraId="0B7B8B2E" w14:textId="77777777" w:rsidR="00183F3B" w:rsidRDefault="00183F3B" w:rsidP="00B344B2">
      <w:pPr>
        <w:spacing w:line="360" w:lineRule="auto"/>
      </w:pPr>
    </w:p>
    <w:p w14:paraId="48C5F995" w14:textId="77777777" w:rsidR="00183F3B" w:rsidRDefault="00183F3B" w:rsidP="00B344B2">
      <w:pPr>
        <w:spacing w:line="360" w:lineRule="auto"/>
      </w:pPr>
    </w:p>
    <w:p w14:paraId="5EA090BD" w14:textId="12AC38BF" w:rsidR="00183F3B" w:rsidRPr="00183F3B" w:rsidRDefault="00183F3B" w:rsidP="00B344B2">
      <w:pPr>
        <w:spacing w:line="360" w:lineRule="auto"/>
        <w:jc w:val="center"/>
      </w:pPr>
      <w:r w:rsidRPr="00183F3B">
        <w:t>Bireysel Afet Dirençlili</w:t>
      </w:r>
      <w:r w:rsidR="00551BD2">
        <w:t>ği</w:t>
      </w:r>
      <w:r w:rsidRPr="00183F3B">
        <w:t xml:space="preserve"> Ölçeği Kısa Formu</w:t>
      </w:r>
      <w:r w:rsidRPr="00183F3B">
        <w:t xml:space="preserve"> </w:t>
      </w:r>
      <w:r w:rsidRPr="00183F3B">
        <w:t>Kullanım Yönergesi ve Genel Bilgiler</w:t>
      </w:r>
    </w:p>
    <w:p w14:paraId="50DD82DE" w14:textId="24F82252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>Öncelikle Bireysel Afet Dirençlili</w:t>
      </w:r>
      <w:r w:rsidR="008C6D52">
        <w:rPr>
          <w:b w:val="0"/>
          <w:bCs/>
        </w:rPr>
        <w:t>ği</w:t>
      </w:r>
      <w:r w:rsidRPr="00183F3B">
        <w:rPr>
          <w:b w:val="0"/>
          <w:bCs/>
        </w:rPr>
        <w:t xml:space="preserve"> Ölçeği Kısa </w:t>
      </w:r>
      <w:r w:rsidRPr="00183F3B">
        <w:rPr>
          <w:b w:val="0"/>
          <w:bCs/>
        </w:rPr>
        <w:t>Formu</w:t>
      </w:r>
      <w:r>
        <w:rPr>
          <w:b w:val="0"/>
          <w:bCs/>
        </w:rPr>
        <w:t>nu</w:t>
      </w:r>
      <w:r w:rsidRPr="00183F3B">
        <w:rPr>
          <w:b w:val="0"/>
          <w:bCs/>
        </w:rPr>
        <w:t xml:space="preserve"> çalışmalarınızda kullanmak istemenizden memnuniyet duyduğumu belirtmek isteri</w:t>
      </w:r>
      <w:r>
        <w:rPr>
          <w:b w:val="0"/>
          <w:bCs/>
        </w:rPr>
        <w:t>m</w:t>
      </w:r>
      <w:r w:rsidRPr="00183F3B">
        <w:rPr>
          <w:b w:val="0"/>
          <w:bCs/>
        </w:rPr>
        <w:t xml:space="preserve">. Ölçeğin kullanımına, çalışmalarınızın sonuçları yayınlandığında ilgili yayının bizimle paylaşılması ve aşağıda belirtilen </w:t>
      </w:r>
      <w:proofErr w:type="spellStart"/>
      <w:r w:rsidRPr="00183F3B">
        <w:rPr>
          <w:b w:val="0"/>
          <w:bCs/>
        </w:rPr>
        <w:t>atıfın</w:t>
      </w:r>
      <w:proofErr w:type="spellEnd"/>
      <w:r w:rsidRPr="00183F3B">
        <w:rPr>
          <w:b w:val="0"/>
          <w:bCs/>
        </w:rPr>
        <w:t xml:space="preserve"> yapılması koşuluyla izin verilmektedir.</w:t>
      </w:r>
    </w:p>
    <w:p w14:paraId="5CF2612D" w14:textId="77777777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>Ayrıca, ölçek yazarlardan ek bir izin alınmaksızın, aşağıda belirtilen kaynakça bilgisi kullanılarak bilimsel çalışmalarda kullanılabilir:</w:t>
      </w:r>
    </w:p>
    <w:p w14:paraId="03A3ABEF" w14:textId="77777777" w:rsidR="00183F3B" w:rsidRPr="00183F3B" w:rsidRDefault="00183F3B" w:rsidP="00B344B2">
      <w:pPr>
        <w:spacing w:line="360" w:lineRule="auto"/>
        <w:ind w:left="851" w:hanging="851"/>
        <w:jc w:val="both"/>
        <w:rPr>
          <w:b w:val="0"/>
          <w:bCs/>
          <w:i/>
          <w:iCs/>
          <w:lang w:val="en-US"/>
        </w:rPr>
      </w:pPr>
      <w:r w:rsidRPr="00183F3B">
        <w:rPr>
          <w:b w:val="0"/>
          <w:bCs/>
          <w:i/>
          <w:iCs/>
          <w:lang w:val="en-US"/>
        </w:rPr>
        <w:t xml:space="preserve">Doğru, S. (2026). Psychometric validation of the Turkish Short form of the disaster resilience scale for individuals. Safety Science, 199, 107173. </w:t>
      </w:r>
      <w:proofErr w:type="spellStart"/>
      <w:r w:rsidRPr="00183F3B">
        <w:rPr>
          <w:b w:val="0"/>
          <w:bCs/>
          <w:i/>
          <w:iCs/>
          <w:lang w:val="en-US"/>
        </w:rPr>
        <w:t>doi:https</w:t>
      </w:r>
      <w:proofErr w:type="spellEnd"/>
      <w:r w:rsidRPr="00183F3B">
        <w:rPr>
          <w:b w:val="0"/>
          <w:bCs/>
          <w:i/>
          <w:iCs/>
          <w:lang w:val="en-US"/>
        </w:rPr>
        <w:t>://doi.org/10.1016/j.ssci.2026.107173</w:t>
      </w:r>
    </w:p>
    <w:p w14:paraId="299B4B56" w14:textId="77777777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>Puanlama ve Hesaplama:</w:t>
      </w:r>
    </w:p>
    <w:p w14:paraId="45A5F590" w14:textId="2627DBF3" w:rsidR="00183F3B" w:rsidRPr="00183F3B" w:rsidRDefault="00691EAD" w:rsidP="00B344B2">
      <w:pPr>
        <w:spacing w:line="360" w:lineRule="auto"/>
        <w:ind w:firstLine="708"/>
        <w:jc w:val="both"/>
        <w:rPr>
          <w:b w:val="0"/>
          <w:bCs/>
        </w:rPr>
      </w:pPr>
      <w:r w:rsidRPr="00691EAD">
        <w:rPr>
          <w:b w:val="0"/>
          <w:bCs/>
        </w:rPr>
        <w:t xml:space="preserve">Ölçek 5'li </w:t>
      </w:r>
      <w:proofErr w:type="spellStart"/>
      <w:r w:rsidRPr="00691EAD">
        <w:rPr>
          <w:b w:val="0"/>
          <w:bCs/>
        </w:rPr>
        <w:t>Likert</w:t>
      </w:r>
      <w:proofErr w:type="spellEnd"/>
      <w:r w:rsidRPr="00691EAD">
        <w:rPr>
          <w:b w:val="0"/>
          <w:bCs/>
        </w:rPr>
        <w:t xml:space="preserve"> tipinde (1=Kesinlikle Katılmıyorum, 5=Kesinlikle Katılıyorum) değerlendirilmekte olup, alınabilecek toplam puan 8 ile 40 arasında değişmektedir. Ölçekten alınan toplam puan arttıkça bireysel afet dirençliliği seviyesi de yükselmektedir.</w:t>
      </w:r>
      <w:r>
        <w:rPr>
          <w:b w:val="0"/>
          <w:bCs/>
        </w:rPr>
        <w:t xml:space="preserve"> </w:t>
      </w:r>
      <w:r w:rsidR="00183F3B" w:rsidRPr="00183F3B">
        <w:rPr>
          <w:b w:val="0"/>
          <w:bCs/>
        </w:rPr>
        <w:t xml:space="preserve">Ölçekte ters kodlama yapılmamıştır. </w:t>
      </w:r>
    </w:p>
    <w:p w14:paraId="0ACA6E8E" w14:textId="77777777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>Geçerlilik ve Güvenilirlik:</w:t>
      </w:r>
    </w:p>
    <w:p w14:paraId="12FFFDE1" w14:textId="77777777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>Ölçeğin kapsam geçerliliği, yapı geçerliliği ve iç tutarlılığına ilişkin detaylı bilgiler, yukarıda belirtilen makalede sunulmuştur. Ölçek, geçerli ve güvenilir bir ölçme aracı olarak geliştirilmiştir.</w:t>
      </w:r>
    </w:p>
    <w:p w14:paraId="01BB4E60" w14:textId="77777777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>Alt Faktörler ve Soru Dağılımı:</w:t>
      </w:r>
    </w:p>
    <w:p w14:paraId="09BA5DBE" w14:textId="79D3D79C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 xml:space="preserve">Ölçek toplam </w:t>
      </w:r>
      <w:r>
        <w:rPr>
          <w:b w:val="0"/>
          <w:bCs/>
        </w:rPr>
        <w:t>8</w:t>
      </w:r>
      <w:r w:rsidRPr="00183F3B">
        <w:rPr>
          <w:b w:val="0"/>
          <w:bCs/>
        </w:rPr>
        <w:t xml:space="preserve"> maddeden oluşmaktadır ve </w:t>
      </w:r>
      <w:r>
        <w:rPr>
          <w:b w:val="0"/>
          <w:bCs/>
        </w:rPr>
        <w:t>3</w:t>
      </w:r>
      <w:r w:rsidRPr="00183F3B">
        <w:rPr>
          <w:b w:val="0"/>
          <w:bCs/>
        </w:rPr>
        <w:t xml:space="preserve"> alt faktöre sahiptir:</w:t>
      </w:r>
    </w:p>
    <w:p w14:paraId="4DAB0396" w14:textId="59383C1D" w:rsidR="00183F3B" w:rsidRPr="00183F3B" w:rsidRDefault="00183F3B" w:rsidP="00B344B2">
      <w:pPr>
        <w:pStyle w:val="ListeParagraf"/>
        <w:numPr>
          <w:ilvl w:val="0"/>
          <w:numId w:val="2"/>
        </w:numPr>
        <w:spacing w:after="160" w:line="360" w:lineRule="auto"/>
        <w:jc w:val="both"/>
        <w:rPr>
          <w:b w:val="0"/>
          <w:bCs/>
        </w:rPr>
      </w:pPr>
      <w:r>
        <w:rPr>
          <w:b w:val="0"/>
          <w:bCs/>
        </w:rPr>
        <w:t>Bilgi</w:t>
      </w:r>
      <w:r w:rsidR="00597DF8">
        <w:rPr>
          <w:b w:val="0"/>
          <w:bCs/>
        </w:rPr>
        <w:tab/>
      </w:r>
      <w:r w:rsidR="00597DF8">
        <w:rPr>
          <w:b w:val="0"/>
          <w:bCs/>
        </w:rPr>
        <w:tab/>
      </w:r>
      <w:r w:rsidRPr="00183F3B">
        <w:rPr>
          <w:b w:val="0"/>
          <w:bCs/>
        </w:rPr>
        <w:t>: 1, 2, 3. sorular</w:t>
      </w:r>
    </w:p>
    <w:p w14:paraId="34B57FDA" w14:textId="52F02415" w:rsidR="00183F3B" w:rsidRPr="00183F3B" w:rsidRDefault="00183F3B" w:rsidP="00B344B2">
      <w:pPr>
        <w:pStyle w:val="ListeParagraf"/>
        <w:numPr>
          <w:ilvl w:val="0"/>
          <w:numId w:val="2"/>
        </w:numPr>
        <w:spacing w:after="160" w:line="360" w:lineRule="auto"/>
        <w:jc w:val="both"/>
        <w:rPr>
          <w:b w:val="0"/>
          <w:bCs/>
        </w:rPr>
      </w:pPr>
      <w:r>
        <w:rPr>
          <w:b w:val="0"/>
          <w:bCs/>
        </w:rPr>
        <w:t>Hazırlık</w:t>
      </w:r>
      <w:r w:rsidR="00597DF8">
        <w:rPr>
          <w:b w:val="0"/>
          <w:bCs/>
        </w:rPr>
        <w:tab/>
      </w:r>
      <w:r w:rsidRPr="00183F3B">
        <w:rPr>
          <w:b w:val="0"/>
          <w:bCs/>
        </w:rPr>
        <w:t>:</w:t>
      </w:r>
      <w:r w:rsidR="00597DF8">
        <w:rPr>
          <w:b w:val="0"/>
          <w:bCs/>
        </w:rPr>
        <w:t xml:space="preserve"> </w:t>
      </w:r>
      <w:r>
        <w:rPr>
          <w:b w:val="0"/>
          <w:bCs/>
        </w:rPr>
        <w:t>4, 5, 6</w:t>
      </w:r>
      <w:r w:rsidRPr="00183F3B">
        <w:rPr>
          <w:b w:val="0"/>
          <w:bCs/>
        </w:rPr>
        <w:t>. sorular</w:t>
      </w:r>
    </w:p>
    <w:p w14:paraId="31F6AE1B" w14:textId="29F263EC" w:rsidR="00183F3B" w:rsidRPr="00183F3B" w:rsidRDefault="007A55D3" w:rsidP="00B344B2">
      <w:pPr>
        <w:pStyle w:val="ListeParagraf"/>
        <w:numPr>
          <w:ilvl w:val="0"/>
          <w:numId w:val="2"/>
        </w:numPr>
        <w:spacing w:after="160" w:line="360" w:lineRule="auto"/>
        <w:jc w:val="both"/>
        <w:rPr>
          <w:b w:val="0"/>
          <w:bCs/>
        </w:rPr>
      </w:pPr>
      <w:r>
        <w:rPr>
          <w:b w:val="0"/>
          <w:bCs/>
        </w:rPr>
        <w:t>Eylem</w:t>
      </w:r>
      <w:r w:rsidR="00597DF8">
        <w:rPr>
          <w:b w:val="0"/>
          <w:bCs/>
        </w:rPr>
        <w:tab/>
      </w:r>
      <w:r w:rsidR="00597DF8">
        <w:rPr>
          <w:b w:val="0"/>
          <w:bCs/>
        </w:rPr>
        <w:tab/>
      </w:r>
      <w:r w:rsidR="00183F3B" w:rsidRPr="00183F3B">
        <w:rPr>
          <w:b w:val="0"/>
          <w:bCs/>
        </w:rPr>
        <w:t xml:space="preserve">: </w:t>
      </w:r>
      <w:r>
        <w:rPr>
          <w:b w:val="0"/>
          <w:bCs/>
        </w:rPr>
        <w:t>7</w:t>
      </w:r>
      <w:r w:rsidR="00183F3B" w:rsidRPr="00183F3B">
        <w:rPr>
          <w:b w:val="0"/>
          <w:bCs/>
        </w:rPr>
        <w:t xml:space="preserve">, </w:t>
      </w:r>
      <w:r>
        <w:rPr>
          <w:b w:val="0"/>
          <w:bCs/>
        </w:rPr>
        <w:t>8</w:t>
      </w:r>
      <w:r w:rsidR="00183F3B" w:rsidRPr="00183F3B">
        <w:rPr>
          <w:b w:val="0"/>
          <w:bCs/>
        </w:rPr>
        <w:t>. sorular</w:t>
      </w:r>
    </w:p>
    <w:p w14:paraId="79D5EC32" w14:textId="699E8909" w:rsidR="00183F3B" w:rsidRPr="00183F3B" w:rsidRDefault="00183F3B" w:rsidP="00B344B2">
      <w:pPr>
        <w:spacing w:line="360" w:lineRule="auto"/>
        <w:ind w:firstLine="708"/>
        <w:jc w:val="both"/>
        <w:rPr>
          <w:b w:val="0"/>
          <w:bCs/>
        </w:rPr>
      </w:pPr>
      <w:r w:rsidRPr="00183F3B">
        <w:rPr>
          <w:b w:val="0"/>
          <w:bCs/>
        </w:rPr>
        <w:t xml:space="preserve">Bu yapı doğrultusunda, araştırmacılar hem alt faktörler hem de toplam </w:t>
      </w:r>
      <w:r w:rsidR="007A55D3">
        <w:rPr>
          <w:b w:val="0"/>
          <w:bCs/>
        </w:rPr>
        <w:t>bireysel afet dirençliliği</w:t>
      </w:r>
      <w:r w:rsidRPr="00183F3B">
        <w:rPr>
          <w:b w:val="0"/>
          <w:bCs/>
        </w:rPr>
        <w:t xml:space="preserve"> düzeyi ile ilgili analizlerini gerçekleştirebilirler. </w:t>
      </w:r>
    </w:p>
    <w:sectPr w:rsidR="00183F3B" w:rsidRPr="00183F3B" w:rsidSect="001B5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DCE"/>
    <w:multiLevelType w:val="hybridMultilevel"/>
    <w:tmpl w:val="096A63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01A9D"/>
    <w:multiLevelType w:val="multilevel"/>
    <w:tmpl w:val="522A9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6F73C9"/>
    <w:multiLevelType w:val="hybridMultilevel"/>
    <w:tmpl w:val="821E5B5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418805">
    <w:abstractNumId w:val="1"/>
  </w:num>
  <w:num w:numId="2" w16cid:durableId="146252915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40618978">
    <w:abstractNumId w:val="2"/>
  </w:num>
  <w:num w:numId="4" w16cid:durableId="187546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3C"/>
    <w:rsid w:val="00183F3B"/>
    <w:rsid w:val="001B5164"/>
    <w:rsid w:val="00276A69"/>
    <w:rsid w:val="00353AFA"/>
    <w:rsid w:val="0039667F"/>
    <w:rsid w:val="00442D9C"/>
    <w:rsid w:val="00532E78"/>
    <w:rsid w:val="00551BD2"/>
    <w:rsid w:val="00597DF8"/>
    <w:rsid w:val="00691EAD"/>
    <w:rsid w:val="007A55D3"/>
    <w:rsid w:val="008C6D52"/>
    <w:rsid w:val="008D0A4E"/>
    <w:rsid w:val="0094464F"/>
    <w:rsid w:val="00991772"/>
    <w:rsid w:val="00A76B0A"/>
    <w:rsid w:val="00B2663C"/>
    <w:rsid w:val="00B344B2"/>
    <w:rsid w:val="00B35A9B"/>
    <w:rsid w:val="00B410BE"/>
    <w:rsid w:val="00B46C15"/>
    <w:rsid w:val="00CA0AEA"/>
    <w:rsid w:val="00E6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7A21"/>
  <w15:chartTrackingRefBased/>
  <w15:docId w15:val="{1569A24D-A790-4F1F-AC99-1A9820AC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A BAŞLIK"/>
    <w:qFormat/>
    <w:rsid w:val="00B410BE"/>
    <w:pPr>
      <w:spacing w:after="200" w:line="276" w:lineRule="auto"/>
    </w:pPr>
    <w:rPr>
      <w:rFonts w:ascii="Times New Roman" w:hAnsi="Times New Roman" w:cs="Times New Roman"/>
      <w:b/>
      <w:sz w:val="24"/>
      <w:lang w:val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2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66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66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66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66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66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66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66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yener">
    <w:name w:val="yener"/>
    <w:basedOn w:val="Normal"/>
    <w:qFormat/>
    <w:rsid w:val="008D0A4E"/>
    <w:pPr>
      <w:spacing w:after="0" w:line="360" w:lineRule="auto"/>
      <w:ind w:firstLine="709"/>
    </w:pPr>
    <w:rPr>
      <w:b w:val="0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B2663C"/>
    <w:rPr>
      <w:rFonts w:asciiTheme="majorHAnsi" w:eastAsiaTheme="majorEastAsia" w:hAnsiTheme="majorHAnsi" w:cstheme="majorBidi"/>
      <w:b/>
      <w:color w:val="2F5496" w:themeColor="accent1" w:themeShade="BF"/>
      <w:sz w:val="40"/>
      <w:szCs w:val="40"/>
      <w:lang w:val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663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663C"/>
    <w:rPr>
      <w:rFonts w:eastAsiaTheme="majorEastAsia" w:cstheme="majorBidi"/>
      <w:b/>
      <w:color w:val="2F5496" w:themeColor="accent1" w:themeShade="BF"/>
      <w:sz w:val="28"/>
      <w:szCs w:val="28"/>
      <w:lang w:val="tr-TR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663C"/>
    <w:rPr>
      <w:rFonts w:eastAsiaTheme="majorEastAsia" w:cstheme="majorBidi"/>
      <w:b/>
      <w:i/>
      <w:iCs/>
      <w:color w:val="2F5496" w:themeColor="accent1" w:themeShade="BF"/>
      <w:sz w:val="24"/>
      <w:lang w:val="tr-TR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663C"/>
    <w:rPr>
      <w:rFonts w:eastAsiaTheme="majorEastAsia" w:cstheme="majorBidi"/>
      <w:b/>
      <w:color w:val="2F5496" w:themeColor="accent1" w:themeShade="BF"/>
      <w:sz w:val="24"/>
      <w:lang w:val="tr-TR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663C"/>
    <w:rPr>
      <w:rFonts w:eastAsiaTheme="majorEastAsia" w:cstheme="majorBidi"/>
      <w:b/>
      <w:i/>
      <w:iCs/>
      <w:color w:val="595959" w:themeColor="text1" w:themeTint="A6"/>
      <w:sz w:val="24"/>
      <w:lang w:val="tr-TR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663C"/>
    <w:rPr>
      <w:rFonts w:eastAsiaTheme="majorEastAsia" w:cstheme="majorBidi"/>
      <w:b/>
      <w:color w:val="595959" w:themeColor="text1" w:themeTint="A6"/>
      <w:sz w:val="24"/>
      <w:lang w:val="tr-TR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663C"/>
    <w:rPr>
      <w:rFonts w:eastAsiaTheme="majorEastAsia" w:cstheme="majorBidi"/>
      <w:b/>
      <w:i/>
      <w:iCs/>
      <w:color w:val="272727" w:themeColor="text1" w:themeTint="D8"/>
      <w:sz w:val="24"/>
      <w:lang w:val="tr-TR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663C"/>
    <w:rPr>
      <w:rFonts w:eastAsiaTheme="majorEastAsia" w:cstheme="majorBidi"/>
      <w:b/>
      <w:color w:val="272727" w:themeColor="text1" w:themeTint="D8"/>
      <w:sz w:val="24"/>
      <w:lang w:val="tr-TR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B2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663C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tr-TR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B2663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663C"/>
    <w:rPr>
      <w:rFonts w:eastAsiaTheme="majorEastAsia" w:cstheme="majorBidi"/>
      <w:b/>
      <w:color w:val="595959" w:themeColor="text1" w:themeTint="A6"/>
      <w:spacing w:val="15"/>
      <w:sz w:val="28"/>
      <w:szCs w:val="28"/>
      <w:lang w:val="tr-TR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B26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663C"/>
    <w:rPr>
      <w:rFonts w:ascii="Times New Roman" w:hAnsi="Times New Roman" w:cs="Times New Roman"/>
      <w:b/>
      <w:i/>
      <w:iCs/>
      <w:color w:val="404040" w:themeColor="text1" w:themeTint="BF"/>
      <w:sz w:val="24"/>
      <w:lang w:val="tr-TR"/>
      <w14:ligatures w14:val="none"/>
    </w:rPr>
  </w:style>
  <w:style w:type="paragraph" w:styleId="ListeParagraf">
    <w:name w:val="List Paragraph"/>
    <w:basedOn w:val="Normal"/>
    <w:uiPriority w:val="34"/>
    <w:qFormat/>
    <w:rsid w:val="00B266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663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6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663C"/>
    <w:rPr>
      <w:rFonts w:ascii="Times New Roman" w:hAnsi="Times New Roman" w:cs="Times New Roman"/>
      <w:b/>
      <w:i/>
      <w:iCs/>
      <w:color w:val="2F5496" w:themeColor="accent1" w:themeShade="BF"/>
      <w:sz w:val="24"/>
      <w:lang w:val="tr-TR"/>
      <w14:ligatures w14:val="none"/>
    </w:rPr>
  </w:style>
  <w:style w:type="character" w:styleId="GlBavuru">
    <w:name w:val="Intense Reference"/>
    <w:basedOn w:val="VarsaylanParagrafYazTipi"/>
    <w:uiPriority w:val="32"/>
    <w:qFormat/>
    <w:rsid w:val="00B2663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183F3B"/>
    <w:pPr>
      <w:spacing w:after="0" w:line="240" w:lineRule="auto"/>
    </w:pPr>
    <w:rPr>
      <w:kern w:val="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99">
    <w:name w:val="citation-99"/>
    <w:basedOn w:val="VarsaylanParagrafYazTipi"/>
    <w:rsid w:val="00B344B2"/>
  </w:style>
  <w:style w:type="character" w:customStyle="1" w:styleId="citation-98">
    <w:name w:val="citation-98"/>
    <w:basedOn w:val="VarsaylanParagrafYazTipi"/>
    <w:rsid w:val="00B344B2"/>
  </w:style>
  <w:style w:type="character" w:customStyle="1" w:styleId="citation-97">
    <w:name w:val="citation-97"/>
    <w:basedOn w:val="VarsaylanParagrafYazTipi"/>
    <w:rsid w:val="00B344B2"/>
  </w:style>
  <w:style w:type="character" w:customStyle="1" w:styleId="citation-96">
    <w:name w:val="citation-96"/>
    <w:basedOn w:val="VarsaylanParagrafYazTipi"/>
    <w:rsid w:val="00B344B2"/>
  </w:style>
  <w:style w:type="character" w:customStyle="1" w:styleId="citation-95">
    <w:name w:val="citation-95"/>
    <w:basedOn w:val="VarsaylanParagrafYazTipi"/>
    <w:rsid w:val="00B344B2"/>
  </w:style>
  <w:style w:type="character" w:customStyle="1" w:styleId="citation-94">
    <w:name w:val="citation-94"/>
    <w:basedOn w:val="VarsaylanParagrafYazTipi"/>
    <w:rsid w:val="00B344B2"/>
  </w:style>
  <w:style w:type="character" w:customStyle="1" w:styleId="citation-93">
    <w:name w:val="citation-93"/>
    <w:basedOn w:val="VarsaylanParagrafYazTipi"/>
    <w:rsid w:val="00B344B2"/>
  </w:style>
  <w:style w:type="character" w:customStyle="1" w:styleId="citation-92">
    <w:name w:val="citation-92"/>
    <w:basedOn w:val="VarsaylanParagrafYazTipi"/>
    <w:rsid w:val="00B3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doğru</dc:creator>
  <cp:keywords/>
  <dc:description/>
  <cp:lastModifiedBy>salih doğru</cp:lastModifiedBy>
  <cp:revision>12</cp:revision>
  <dcterms:created xsi:type="dcterms:W3CDTF">2026-03-07T19:26:00Z</dcterms:created>
  <dcterms:modified xsi:type="dcterms:W3CDTF">2026-03-07T19:52:00Z</dcterms:modified>
</cp:coreProperties>
</file>