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256C" w14:textId="77777777" w:rsidR="008437C7" w:rsidRDefault="008437C7" w:rsidP="000746DE">
      <w:pPr>
        <w:rPr>
          <w:b/>
        </w:rPr>
      </w:pPr>
    </w:p>
    <w:p w14:paraId="3EE0F359" w14:textId="1E65CD41" w:rsidR="00AE3113" w:rsidRDefault="00B52226" w:rsidP="00E254C7">
      <w:pPr>
        <w:jc w:val="center"/>
        <w:rPr>
          <w:b/>
        </w:rPr>
      </w:pPr>
      <w:bookmarkStart w:id="0" w:name="_Hlk212057110"/>
      <w:r>
        <w:rPr>
          <w:b/>
        </w:rPr>
        <w:t>KNKÖ-</w:t>
      </w:r>
      <w:r w:rsidR="00866FE9">
        <w:rPr>
          <w:b/>
        </w:rPr>
        <w:t>7</w:t>
      </w:r>
    </w:p>
    <w:p w14:paraId="56DCA93C" w14:textId="4583DF9F" w:rsidR="000746DE" w:rsidRPr="000746DE" w:rsidRDefault="000746DE" w:rsidP="000746DE">
      <w:pPr>
        <w:jc w:val="both"/>
        <w:rPr>
          <w:b/>
        </w:rPr>
      </w:pPr>
      <w:r w:rsidRPr="000746DE">
        <w:rPr>
          <w:b/>
        </w:rPr>
        <w:t xml:space="preserve">Aşağıda </w:t>
      </w:r>
      <w:r w:rsidRPr="000746DE">
        <w:rPr>
          <w:b/>
        </w:rPr>
        <w:t>kanser tekrarlaması</w:t>
      </w:r>
      <w:r w:rsidRPr="000746DE">
        <w:rPr>
          <w:b/>
        </w:rPr>
        <w:t>/nüks korkusuna yönelik</w:t>
      </w:r>
      <w:r w:rsidRPr="000746DE">
        <w:rPr>
          <w:b/>
        </w:rPr>
        <w:t xml:space="preserve"> </w:t>
      </w:r>
      <w:r w:rsidRPr="000746DE">
        <w:rPr>
          <w:b/>
        </w:rPr>
        <w:t>bazı maddeler yer almaktadır. Lütfen her bir maddeyi okuyarak size uygun olan seçeneği işaretleyiniz.</w:t>
      </w:r>
    </w:p>
    <w:tbl>
      <w:tblPr>
        <w:tblStyle w:val="TabloKlavuzu"/>
        <w:tblW w:w="10461" w:type="dxa"/>
        <w:tblInd w:w="-5" w:type="dxa"/>
        <w:tblLayout w:type="fixed"/>
        <w:tblLook w:val="04A0" w:firstRow="1" w:lastRow="0" w:firstColumn="1" w:lastColumn="0" w:noHBand="0" w:noVBand="1"/>
      </w:tblPr>
      <w:tblGrid>
        <w:gridCol w:w="5441"/>
        <w:gridCol w:w="1007"/>
        <w:gridCol w:w="951"/>
        <w:gridCol w:w="955"/>
        <w:gridCol w:w="973"/>
        <w:gridCol w:w="1134"/>
      </w:tblGrid>
      <w:tr w:rsidR="00866FE9" w14:paraId="7BA50F2B" w14:textId="77777777" w:rsidTr="009D71A1">
        <w:trPr>
          <w:cantSplit/>
          <w:trHeight w:val="1400"/>
        </w:trPr>
        <w:tc>
          <w:tcPr>
            <w:tcW w:w="5441" w:type="dxa"/>
          </w:tcPr>
          <w:p w14:paraId="708E9241" w14:textId="77777777" w:rsidR="00866FE9" w:rsidRPr="00F532FC" w:rsidRDefault="00866FE9" w:rsidP="00D667D1">
            <w:pPr>
              <w:rPr>
                <w:sz w:val="22"/>
                <w:szCs w:val="22"/>
              </w:rPr>
            </w:pPr>
          </w:p>
          <w:p w14:paraId="56E483AF" w14:textId="74B9D3A9" w:rsidR="00866FE9" w:rsidRPr="00F532FC" w:rsidRDefault="00866FE9" w:rsidP="000746DE">
            <w:pPr>
              <w:adjustRightInd w:val="0"/>
              <w:snapToGrid w:val="0"/>
              <w:spacing w:line="25" w:lineRule="atLeast"/>
              <w:rPr>
                <w:sz w:val="22"/>
                <w:szCs w:val="22"/>
              </w:rPr>
            </w:pPr>
          </w:p>
        </w:tc>
        <w:tc>
          <w:tcPr>
            <w:tcW w:w="1007" w:type="dxa"/>
          </w:tcPr>
          <w:p w14:paraId="17F9F834" w14:textId="77777777" w:rsidR="00866FE9" w:rsidRDefault="00866FE9" w:rsidP="00866FE9">
            <w:pPr>
              <w:jc w:val="center"/>
              <w:rPr>
                <w:b/>
                <w:sz w:val="21"/>
                <w:szCs w:val="21"/>
              </w:rPr>
            </w:pPr>
          </w:p>
          <w:p w14:paraId="6BB39577" w14:textId="77777777" w:rsidR="00866FE9" w:rsidRDefault="00866FE9" w:rsidP="00866FE9">
            <w:pPr>
              <w:jc w:val="center"/>
              <w:rPr>
                <w:b/>
                <w:sz w:val="21"/>
                <w:szCs w:val="21"/>
              </w:rPr>
            </w:pPr>
          </w:p>
          <w:p w14:paraId="179CAF10" w14:textId="7F65F30D" w:rsidR="00866FE9" w:rsidRPr="00866FE9" w:rsidRDefault="00866FE9" w:rsidP="00866FE9">
            <w:pPr>
              <w:jc w:val="center"/>
              <w:rPr>
                <w:b/>
                <w:sz w:val="22"/>
                <w:szCs w:val="22"/>
              </w:rPr>
            </w:pPr>
            <w:r w:rsidRPr="00866FE9">
              <w:rPr>
                <w:b/>
                <w:sz w:val="21"/>
                <w:szCs w:val="21"/>
              </w:rPr>
              <w:t>Hiçbir zaman</w:t>
            </w:r>
          </w:p>
        </w:tc>
        <w:tc>
          <w:tcPr>
            <w:tcW w:w="951" w:type="dxa"/>
          </w:tcPr>
          <w:p w14:paraId="6379E75F" w14:textId="77777777" w:rsidR="00866FE9" w:rsidRDefault="00866FE9" w:rsidP="00866FE9">
            <w:pPr>
              <w:jc w:val="center"/>
              <w:rPr>
                <w:b/>
                <w:sz w:val="21"/>
                <w:szCs w:val="21"/>
              </w:rPr>
            </w:pPr>
          </w:p>
          <w:p w14:paraId="56AE0BFD" w14:textId="77777777" w:rsidR="00866FE9" w:rsidRDefault="00866FE9" w:rsidP="00866FE9">
            <w:pPr>
              <w:jc w:val="center"/>
              <w:rPr>
                <w:b/>
                <w:sz w:val="21"/>
                <w:szCs w:val="21"/>
              </w:rPr>
            </w:pPr>
          </w:p>
          <w:p w14:paraId="5A374545" w14:textId="052A44A5" w:rsidR="00866FE9" w:rsidRPr="00866FE9" w:rsidRDefault="00866FE9" w:rsidP="00866FE9">
            <w:pPr>
              <w:jc w:val="center"/>
              <w:rPr>
                <w:b/>
                <w:sz w:val="22"/>
              </w:rPr>
            </w:pPr>
            <w:r w:rsidRPr="00866FE9">
              <w:rPr>
                <w:b/>
                <w:sz w:val="21"/>
                <w:szCs w:val="21"/>
              </w:rPr>
              <w:t>Nadiren</w:t>
            </w:r>
          </w:p>
        </w:tc>
        <w:tc>
          <w:tcPr>
            <w:tcW w:w="955" w:type="dxa"/>
          </w:tcPr>
          <w:p w14:paraId="6E0ED900" w14:textId="77777777" w:rsidR="00866FE9" w:rsidRDefault="00866FE9" w:rsidP="00866FE9">
            <w:pPr>
              <w:jc w:val="center"/>
              <w:rPr>
                <w:b/>
                <w:sz w:val="21"/>
                <w:szCs w:val="21"/>
              </w:rPr>
            </w:pPr>
          </w:p>
          <w:p w14:paraId="4AA7CB03" w14:textId="77777777" w:rsidR="00866FE9" w:rsidRDefault="00866FE9" w:rsidP="00866FE9">
            <w:pPr>
              <w:jc w:val="center"/>
              <w:rPr>
                <w:b/>
                <w:sz w:val="21"/>
                <w:szCs w:val="21"/>
              </w:rPr>
            </w:pPr>
          </w:p>
          <w:p w14:paraId="70F4AE29" w14:textId="02E82753" w:rsidR="00866FE9" w:rsidRPr="00866FE9" w:rsidRDefault="00866FE9" w:rsidP="00866FE9">
            <w:pPr>
              <w:jc w:val="center"/>
              <w:rPr>
                <w:b/>
                <w:sz w:val="22"/>
                <w:szCs w:val="22"/>
              </w:rPr>
            </w:pPr>
            <w:r w:rsidRPr="00866FE9">
              <w:rPr>
                <w:b/>
                <w:sz w:val="21"/>
                <w:szCs w:val="21"/>
              </w:rPr>
              <w:t>Bazen</w:t>
            </w:r>
          </w:p>
        </w:tc>
        <w:tc>
          <w:tcPr>
            <w:tcW w:w="973" w:type="dxa"/>
          </w:tcPr>
          <w:p w14:paraId="22240F3A" w14:textId="77777777" w:rsidR="00866FE9" w:rsidRDefault="00866FE9" w:rsidP="00866FE9">
            <w:pPr>
              <w:jc w:val="center"/>
              <w:rPr>
                <w:b/>
                <w:sz w:val="21"/>
                <w:szCs w:val="21"/>
              </w:rPr>
            </w:pPr>
          </w:p>
          <w:p w14:paraId="5C68F571" w14:textId="77777777" w:rsidR="00866FE9" w:rsidRDefault="00866FE9" w:rsidP="00866FE9">
            <w:pPr>
              <w:jc w:val="center"/>
              <w:rPr>
                <w:b/>
                <w:sz w:val="21"/>
                <w:szCs w:val="21"/>
              </w:rPr>
            </w:pPr>
          </w:p>
          <w:p w14:paraId="75CA4152" w14:textId="751441F4" w:rsidR="00866FE9" w:rsidRPr="00866FE9" w:rsidRDefault="00866FE9" w:rsidP="00866FE9">
            <w:pPr>
              <w:jc w:val="center"/>
              <w:rPr>
                <w:b/>
                <w:sz w:val="22"/>
                <w:szCs w:val="22"/>
              </w:rPr>
            </w:pPr>
            <w:r w:rsidRPr="00866FE9">
              <w:rPr>
                <w:b/>
                <w:sz w:val="21"/>
                <w:szCs w:val="21"/>
              </w:rPr>
              <w:t>Sıklıkla</w:t>
            </w:r>
          </w:p>
        </w:tc>
        <w:tc>
          <w:tcPr>
            <w:tcW w:w="1134" w:type="dxa"/>
          </w:tcPr>
          <w:p w14:paraId="419CD3EE" w14:textId="77777777" w:rsidR="00866FE9" w:rsidRDefault="00866FE9" w:rsidP="00866FE9">
            <w:pPr>
              <w:jc w:val="center"/>
              <w:rPr>
                <w:b/>
                <w:sz w:val="21"/>
                <w:szCs w:val="21"/>
              </w:rPr>
            </w:pPr>
          </w:p>
          <w:p w14:paraId="387B302C" w14:textId="77777777" w:rsidR="00866FE9" w:rsidRDefault="00866FE9" w:rsidP="00866FE9">
            <w:pPr>
              <w:jc w:val="center"/>
              <w:rPr>
                <w:b/>
                <w:sz w:val="21"/>
                <w:szCs w:val="21"/>
              </w:rPr>
            </w:pPr>
          </w:p>
          <w:p w14:paraId="6B38CC51" w14:textId="342E0EC7" w:rsidR="00866FE9" w:rsidRPr="00866FE9" w:rsidRDefault="00866FE9" w:rsidP="00866FE9">
            <w:pPr>
              <w:jc w:val="center"/>
              <w:rPr>
                <w:b/>
                <w:sz w:val="22"/>
                <w:szCs w:val="22"/>
              </w:rPr>
            </w:pPr>
            <w:r w:rsidRPr="00866FE9">
              <w:rPr>
                <w:b/>
                <w:sz w:val="21"/>
                <w:szCs w:val="21"/>
              </w:rPr>
              <w:t>Her zaman</w:t>
            </w:r>
          </w:p>
        </w:tc>
      </w:tr>
      <w:tr w:rsidR="00866FE9" w14:paraId="5B4FCBA4" w14:textId="77777777" w:rsidTr="009D71A1">
        <w:trPr>
          <w:trHeight w:val="260"/>
        </w:trPr>
        <w:tc>
          <w:tcPr>
            <w:tcW w:w="5441" w:type="dxa"/>
          </w:tcPr>
          <w:p w14:paraId="0643F037" w14:textId="2BD3A6EC" w:rsidR="00866FE9" w:rsidRPr="0096385E" w:rsidRDefault="00866FE9" w:rsidP="00866FE9">
            <w:pPr>
              <w:spacing w:line="276" w:lineRule="auto"/>
              <w:rPr>
                <w:sz w:val="22"/>
                <w:szCs w:val="22"/>
              </w:rPr>
            </w:pPr>
            <w:r w:rsidRPr="0096385E">
              <w:rPr>
                <w:sz w:val="22"/>
                <w:szCs w:val="22"/>
              </w:rPr>
              <w:t xml:space="preserve">1. </w:t>
            </w:r>
            <w:r w:rsidRPr="000B6C35">
              <w:rPr>
                <w:sz w:val="21"/>
                <w:szCs w:val="21"/>
              </w:rPr>
              <w:t>Kanser hastalığımın tekrarlamasından korkuyorum</w:t>
            </w:r>
            <w:r w:rsidR="00E170CD">
              <w:rPr>
                <w:sz w:val="21"/>
                <w:szCs w:val="21"/>
              </w:rPr>
              <w:t>.</w:t>
            </w:r>
          </w:p>
        </w:tc>
        <w:tc>
          <w:tcPr>
            <w:tcW w:w="1007" w:type="dxa"/>
            <w:vAlign w:val="center"/>
          </w:tcPr>
          <w:p w14:paraId="776330BD" w14:textId="7A85B46E" w:rsidR="00866FE9" w:rsidRPr="0096385E" w:rsidRDefault="00B52226" w:rsidP="000746DE">
            <w:pPr>
              <w:spacing w:line="276" w:lineRule="auto"/>
              <w:jc w:val="center"/>
              <w:rPr>
                <w:sz w:val="22"/>
                <w:szCs w:val="22"/>
              </w:rPr>
            </w:pPr>
            <w:r>
              <w:rPr>
                <w:sz w:val="22"/>
                <w:szCs w:val="22"/>
              </w:rPr>
              <w:t>1</w:t>
            </w:r>
          </w:p>
        </w:tc>
        <w:tc>
          <w:tcPr>
            <w:tcW w:w="951" w:type="dxa"/>
          </w:tcPr>
          <w:p w14:paraId="0622C424" w14:textId="7667E7E1" w:rsidR="00866FE9" w:rsidRPr="0096385E" w:rsidRDefault="00B52226" w:rsidP="000746DE">
            <w:pPr>
              <w:spacing w:line="276" w:lineRule="auto"/>
              <w:jc w:val="center"/>
              <w:rPr>
                <w:sz w:val="22"/>
              </w:rPr>
            </w:pPr>
            <w:r>
              <w:rPr>
                <w:sz w:val="22"/>
              </w:rPr>
              <w:t>2</w:t>
            </w:r>
          </w:p>
        </w:tc>
        <w:tc>
          <w:tcPr>
            <w:tcW w:w="955" w:type="dxa"/>
            <w:vAlign w:val="center"/>
          </w:tcPr>
          <w:p w14:paraId="3351BCCB" w14:textId="0B378F9D" w:rsidR="00866FE9" w:rsidRPr="0096385E" w:rsidRDefault="00B52226" w:rsidP="000746DE">
            <w:pPr>
              <w:spacing w:line="276" w:lineRule="auto"/>
              <w:jc w:val="center"/>
              <w:rPr>
                <w:sz w:val="22"/>
                <w:szCs w:val="22"/>
              </w:rPr>
            </w:pPr>
            <w:r>
              <w:rPr>
                <w:sz w:val="22"/>
                <w:szCs w:val="22"/>
              </w:rPr>
              <w:t>3</w:t>
            </w:r>
          </w:p>
        </w:tc>
        <w:tc>
          <w:tcPr>
            <w:tcW w:w="973" w:type="dxa"/>
            <w:vAlign w:val="center"/>
          </w:tcPr>
          <w:p w14:paraId="61C49495" w14:textId="6D8D2AA9" w:rsidR="00866FE9" w:rsidRPr="0096385E" w:rsidRDefault="00B52226" w:rsidP="000746DE">
            <w:pPr>
              <w:spacing w:line="276" w:lineRule="auto"/>
              <w:jc w:val="center"/>
              <w:rPr>
                <w:sz w:val="22"/>
                <w:szCs w:val="22"/>
              </w:rPr>
            </w:pPr>
            <w:r>
              <w:rPr>
                <w:sz w:val="22"/>
                <w:szCs w:val="22"/>
              </w:rPr>
              <w:t>4</w:t>
            </w:r>
          </w:p>
        </w:tc>
        <w:tc>
          <w:tcPr>
            <w:tcW w:w="1134" w:type="dxa"/>
            <w:vAlign w:val="center"/>
          </w:tcPr>
          <w:p w14:paraId="4D84F3FE" w14:textId="5BAA912D" w:rsidR="00866FE9" w:rsidRPr="0096385E" w:rsidRDefault="00B52226" w:rsidP="000746DE">
            <w:pPr>
              <w:spacing w:line="276" w:lineRule="auto"/>
              <w:jc w:val="center"/>
              <w:rPr>
                <w:sz w:val="22"/>
                <w:szCs w:val="22"/>
              </w:rPr>
            </w:pPr>
            <w:r>
              <w:rPr>
                <w:sz w:val="22"/>
                <w:szCs w:val="22"/>
              </w:rPr>
              <w:t>5</w:t>
            </w:r>
          </w:p>
        </w:tc>
      </w:tr>
      <w:tr w:rsidR="00B52226" w14:paraId="1CA8484B" w14:textId="77777777" w:rsidTr="009D71A1">
        <w:trPr>
          <w:trHeight w:val="245"/>
        </w:trPr>
        <w:tc>
          <w:tcPr>
            <w:tcW w:w="5441" w:type="dxa"/>
          </w:tcPr>
          <w:p w14:paraId="1F442AEC" w14:textId="4470860E" w:rsidR="00B52226" w:rsidRPr="0096385E" w:rsidRDefault="00B52226" w:rsidP="00866FE9">
            <w:pPr>
              <w:spacing w:line="276" w:lineRule="auto"/>
              <w:rPr>
                <w:sz w:val="22"/>
                <w:szCs w:val="22"/>
              </w:rPr>
            </w:pPr>
            <w:r w:rsidRPr="0096385E">
              <w:rPr>
                <w:sz w:val="22"/>
                <w:szCs w:val="22"/>
              </w:rPr>
              <w:t xml:space="preserve">2. </w:t>
            </w:r>
            <w:r>
              <w:rPr>
                <w:sz w:val="21"/>
                <w:szCs w:val="21"/>
              </w:rPr>
              <w:t xml:space="preserve">Kanserin </w:t>
            </w:r>
            <w:r w:rsidRPr="000B6C35">
              <w:rPr>
                <w:sz w:val="21"/>
                <w:szCs w:val="21"/>
              </w:rPr>
              <w:t xml:space="preserve">tekrarlama olasılığı </w:t>
            </w:r>
            <w:r>
              <w:rPr>
                <w:sz w:val="21"/>
                <w:szCs w:val="21"/>
              </w:rPr>
              <w:t>konusunda</w:t>
            </w:r>
            <w:r w:rsidRPr="000B6C35">
              <w:rPr>
                <w:sz w:val="21"/>
                <w:szCs w:val="21"/>
              </w:rPr>
              <w:t xml:space="preserve"> endişeli veya kaygılıyım</w:t>
            </w:r>
            <w:r w:rsidR="00E170CD">
              <w:rPr>
                <w:sz w:val="21"/>
                <w:szCs w:val="21"/>
              </w:rPr>
              <w:t>.</w:t>
            </w:r>
          </w:p>
        </w:tc>
        <w:tc>
          <w:tcPr>
            <w:tcW w:w="1007" w:type="dxa"/>
            <w:vAlign w:val="center"/>
          </w:tcPr>
          <w:p w14:paraId="152F6499" w14:textId="2A57B397" w:rsidR="00B52226" w:rsidRPr="0096385E" w:rsidRDefault="00B52226" w:rsidP="000746DE">
            <w:pPr>
              <w:spacing w:line="276" w:lineRule="auto"/>
              <w:jc w:val="center"/>
              <w:rPr>
                <w:sz w:val="22"/>
                <w:szCs w:val="22"/>
              </w:rPr>
            </w:pPr>
            <w:r>
              <w:rPr>
                <w:sz w:val="22"/>
                <w:szCs w:val="22"/>
              </w:rPr>
              <w:t>1</w:t>
            </w:r>
          </w:p>
        </w:tc>
        <w:tc>
          <w:tcPr>
            <w:tcW w:w="951" w:type="dxa"/>
          </w:tcPr>
          <w:p w14:paraId="58DA2E88" w14:textId="019161A1" w:rsidR="00B52226" w:rsidRPr="0096385E" w:rsidRDefault="00B52226" w:rsidP="000746DE">
            <w:pPr>
              <w:spacing w:line="276" w:lineRule="auto"/>
              <w:jc w:val="center"/>
              <w:rPr>
                <w:sz w:val="22"/>
              </w:rPr>
            </w:pPr>
            <w:r>
              <w:rPr>
                <w:sz w:val="22"/>
              </w:rPr>
              <w:t>2</w:t>
            </w:r>
          </w:p>
        </w:tc>
        <w:tc>
          <w:tcPr>
            <w:tcW w:w="955" w:type="dxa"/>
            <w:vAlign w:val="center"/>
          </w:tcPr>
          <w:p w14:paraId="5632F249" w14:textId="415B12B0" w:rsidR="00B52226" w:rsidRPr="0096385E" w:rsidRDefault="00B52226" w:rsidP="000746DE">
            <w:pPr>
              <w:spacing w:line="276" w:lineRule="auto"/>
              <w:jc w:val="center"/>
              <w:rPr>
                <w:sz w:val="22"/>
                <w:szCs w:val="22"/>
              </w:rPr>
            </w:pPr>
            <w:r>
              <w:rPr>
                <w:sz w:val="22"/>
                <w:szCs w:val="22"/>
              </w:rPr>
              <w:t>3</w:t>
            </w:r>
          </w:p>
        </w:tc>
        <w:tc>
          <w:tcPr>
            <w:tcW w:w="973" w:type="dxa"/>
            <w:vAlign w:val="center"/>
          </w:tcPr>
          <w:p w14:paraId="7B85B6E7" w14:textId="5DE8C26D" w:rsidR="00B52226" w:rsidRPr="0096385E" w:rsidRDefault="00B52226" w:rsidP="000746DE">
            <w:pPr>
              <w:spacing w:line="276" w:lineRule="auto"/>
              <w:jc w:val="center"/>
              <w:rPr>
                <w:sz w:val="22"/>
                <w:szCs w:val="22"/>
              </w:rPr>
            </w:pPr>
            <w:r>
              <w:rPr>
                <w:sz w:val="22"/>
                <w:szCs w:val="22"/>
              </w:rPr>
              <w:t>4</w:t>
            </w:r>
          </w:p>
        </w:tc>
        <w:tc>
          <w:tcPr>
            <w:tcW w:w="1134" w:type="dxa"/>
            <w:vAlign w:val="center"/>
          </w:tcPr>
          <w:p w14:paraId="53C6BAB2" w14:textId="4577C8C2" w:rsidR="00B52226" w:rsidRPr="0096385E" w:rsidRDefault="00B52226" w:rsidP="000746DE">
            <w:pPr>
              <w:spacing w:line="276" w:lineRule="auto"/>
              <w:jc w:val="center"/>
              <w:rPr>
                <w:sz w:val="22"/>
                <w:szCs w:val="22"/>
              </w:rPr>
            </w:pPr>
            <w:r>
              <w:rPr>
                <w:sz w:val="22"/>
                <w:szCs w:val="22"/>
              </w:rPr>
              <w:t>5</w:t>
            </w:r>
          </w:p>
        </w:tc>
      </w:tr>
      <w:tr w:rsidR="00B52226" w14:paraId="036BBAFD" w14:textId="77777777" w:rsidTr="009D71A1">
        <w:trPr>
          <w:trHeight w:val="260"/>
        </w:trPr>
        <w:tc>
          <w:tcPr>
            <w:tcW w:w="5441" w:type="dxa"/>
          </w:tcPr>
          <w:p w14:paraId="7EEA2C59" w14:textId="057E0A48" w:rsidR="00B52226" w:rsidRPr="0096385E" w:rsidRDefault="00B52226" w:rsidP="00866FE9">
            <w:pPr>
              <w:spacing w:line="276" w:lineRule="auto"/>
              <w:rPr>
                <w:sz w:val="22"/>
                <w:szCs w:val="22"/>
              </w:rPr>
            </w:pPr>
            <w:r w:rsidRPr="0096385E">
              <w:rPr>
                <w:sz w:val="22"/>
                <w:szCs w:val="22"/>
              </w:rPr>
              <w:t xml:space="preserve">3. </w:t>
            </w:r>
            <w:r w:rsidRPr="009C7A49">
              <w:rPr>
                <w:sz w:val="21"/>
                <w:szCs w:val="21"/>
              </w:rPr>
              <w:t>Ne sıklıkla tekrar kansere yakalanma olasılığı hakkında endişelenirsiniz</w:t>
            </w:r>
            <w:r w:rsidR="00E170CD">
              <w:rPr>
                <w:sz w:val="21"/>
                <w:szCs w:val="21"/>
              </w:rPr>
              <w:t>?</w:t>
            </w:r>
          </w:p>
        </w:tc>
        <w:tc>
          <w:tcPr>
            <w:tcW w:w="1007" w:type="dxa"/>
            <w:vAlign w:val="center"/>
          </w:tcPr>
          <w:p w14:paraId="78B460FE" w14:textId="6B21DB0D" w:rsidR="00B52226" w:rsidRPr="0096385E" w:rsidRDefault="00B52226" w:rsidP="000746DE">
            <w:pPr>
              <w:spacing w:line="276" w:lineRule="auto"/>
              <w:jc w:val="center"/>
              <w:rPr>
                <w:sz w:val="22"/>
                <w:szCs w:val="22"/>
              </w:rPr>
            </w:pPr>
            <w:r>
              <w:rPr>
                <w:sz w:val="22"/>
                <w:szCs w:val="22"/>
              </w:rPr>
              <w:t>1</w:t>
            </w:r>
          </w:p>
        </w:tc>
        <w:tc>
          <w:tcPr>
            <w:tcW w:w="951" w:type="dxa"/>
          </w:tcPr>
          <w:p w14:paraId="107EF4EC" w14:textId="0CDD72B8" w:rsidR="00B52226" w:rsidRPr="0096385E" w:rsidRDefault="00B52226" w:rsidP="000746DE">
            <w:pPr>
              <w:spacing w:line="276" w:lineRule="auto"/>
              <w:jc w:val="center"/>
              <w:rPr>
                <w:sz w:val="22"/>
              </w:rPr>
            </w:pPr>
            <w:r>
              <w:rPr>
                <w:sz w:val="22"/>
              </w:rPr>
              <w:t>2</w:t>
            </w:r>
          </w:p>
        </w:tc>
        <w:tc>
          <w:tcPr>
            <w:tcW w:w="955" w:type="dxa"/>
            <w:vAlign w:val="center"/>
          </w:tcPr>
          <w:p w14:paraId="3AF9EA7B" w14:textId="2686AD06" w:rsidR="00B52226" w:rsidRPr="0096385E" w:rsidRDefault="00B52226" w:rsidP="000746DE">
            <w:pPr>
              <w:spacing w:line="276" w:lineRule="auto"/>
              <w:jc w:val="center"/>
              <w:rPr>
                <w:sz w:val="22"/>
                <w:szCs w:val="22"/>
              </w:rPr>
            </w:pPr>
            <w:r>
              <w:rPr>
                <w:sz w:val="22"/>
                <w:szCs w:val="22"/>
              </w:rPr>
              <w:t>3</w:t>
            </w:r>
          </w:p>
        </w:tc>
        <w:tc>
          <w:tcPr>
            <w:tcW w:w="973" w:type="dxa"/>
            <w:vAlign w:val="center"/>
          </w:tcPr>
          <w:p w14:paraId="20A5546A" w14:textId="17A89127" w:rsidR="00B52226" w:rsidRPr="0096385E" w:rsidRDefault="00B52226" w:rsidP="000746DE">
            <w:pPr>
              <w:spacing w:line="276" w:lineRule="auto"/>
              <w:jc w:val="center"/>
              <w:rPr>
                <w:sz w:val="22"/>
                <w:szCs w:val="22"/>
              </w:rPr>
            </w:pPr>
            <w:r>
              <w:rPr>
                <w:sz w:val="22"/>
                <w:szCs w:val="22"/>
              </w:rPr>
              <w:t>4</w:t>
            </w:r>
          </w:p>
        </w:tc>
        <w:tc>
          <w:tcPr>
            <w:tcW w:w="1134" w:type="dxa"/>
            <w:vAlign w:val="center"/>
          </w:tcPr>
          <w:p w14:paraId="01A43749" w14:textId="38D55411" w:rsidR="00B52226" w:rsidRPr="0096385E" w:rsidRDefault="00B52226" w:rsidP="000746DE">
            <w:pPr>
              <w:spacing w:line="276" w:lineRule="auto"/>
              <w:jc w:val="center"/>
              <w:rPr>
                <w:sz w:val="22"/>
                <w:szCs w:val="22"/>
              </w:rPr>
            </w:pPr>
            <w:r>
              <w:rPr>
                <w:sz w:val="22"/>
                <w:szCs w:val="22"/>
              </w:rPr>
              <w:t>5</w:t>
            </w:r>
          </w:p>
        </w:tc>
      </w:tr>
      <w:tr w:rsidR="00B52226" w14:paraId="366F5F0A" w14:textId="77777777" w:rsidTr="009D71A1">
        <w:trPr>
          <w:trHeight w:val="245"/>
        </w:trPr>
        <w:tc>
          <w:tcPr>
            <w:tcW w:w="5441" w:type="dxa"/>
          </w:tcPr>
          <w:p w14:paraId="56F1284E" w14:textId="71B76B6C" w:rsidR="00B52226" w:rsidRPr="0096385E" w:rsidRDefault="00B52226" w:rsidP="00866FE9">
            <w:pPr>
              <w:spacing w:line="276" w:lineRule="auto"/>
              <w:rPr>
                <w:sz w:val="22"/>
                <w:szCs w:val="22"/>
              </w:rPr>
            </w:pPr>
            <w:r w:rsidRPr="0096385E">
              <w:rPr>
                <w:sz w:val="22"/>
                <w:szCs w:val="22"/>
              </w:rPr>
              <w:t xml:space="preserve">4. </w:t>
            </w:r>
            <w:r>
              <w:rPr>
                <w:sz w:val="21"/>
                <w:szCs w:val="21"/>
              </w:rPr>
              <w:t xml:space="preserve">Kanserin tekrarlamasıyla </w:t>
            </w:r>
            <w:r w:rsidRPr="000B6C35">
              <w:rPr>
                <w:sz w:val="21"/>
                <w:szCs w:val="21"/>
              </w:rPr>
              <w:t xml:space="preserve">ilgili </w:t>
            </w:r>
            <w:r>
              <w:rPr>
                <w:sz w:val="21"/>
                <w:szCs w:val="21"/>
              </w:rPr>
              <w:t xml:space="preserve">yoğun </w:t>
            </w:r>
            <w:r w:rsidRPr="000B6C35">
              <w:rPr>
                <w:sz w:val="21"/>
                <w:szCs w:val="21"/>
              </w:rPr>
              <w:t>olumsuz</w:t>
            </w:r>
            <w:r>
              <w:rPr>
                <w:sz w:val="21"/>
                <w:szCs w:val="21"/>
              </w:rPr>
              <w:t xml:space="preserve"> duygular (ör., korku, kaygı, endişe, öfke) yaşıyorum</w:t>
            </w:r>
            <w:r w:rsidR="00E170CD">
              <w:rPr>
                <w:sz w:val="21"/>
                <w:szCs w:val="21"/>
              </w:rPr>
              <w:t>.</w:t>
            </w:r>
          </w:p>
        </w:tc>
        <w:tc>
          <w:tcPr>
            <w:tcW w:w="1007" w:type="dxa"/>
            <w:vAlign w:val="center"/>
          </w:tcPr>
          <w:p w14:paraId="7CA416DB" w14:textId="65FAA368" w:rsidR="00B52226" w:rsidRPr="0096385E" w:rsidRDefault="00B52226" w:rsidP="000746DE">
            <w:pPr>
              <w:spacing w:line="276" w:lineRule="auto"/>
              <w:jc w:val="center"/>
              <w:rPr>
                <w:sz w:val="22"/>
                <w:szCs w:val="22"/>
              </w:rPr>
            </w:pPr>
            <w:r>
              <w:rPr>
                <w:sz w:val="22"/>
                <w:szCs w:val="22"/>
              </w:rPr>
              <w:t>1</w:t>
            </w:r>
          </w:p>
        </w:tc>
        <w:tc>
          <w:tcPr>
            <w:tcW w:w="951" w:type="dxa"/>
          </w:tcPr>
          <w:p w14:paraId="5713B399" w14:textId="5B5BA917" w:rsidR="00B52226" w:rsidRPr="0096385E" w:rsidRDefault="00B52226" w:rsidP="000746DE">
            <w:pPr>
              <w:spacing w:line="276" w:lineRule="auto"/>
              <w:jc w:val="center"/>
              <w:rPr>
                <w:sz w:val="22"/>
              </w:rPr>
            </w:pPr>
            <w:r>
              <w:rPr>
                <w:sz w:val="22"/>
              </w:rPr>
              <w:t>2</w:t>
            </w:r>
          </w:p>
        </w:tc>
        <w:tc>
          <w:tcPr>
            <w:tcW w:w="955" w:type="dxa"/>
            <w:vAlign w:val="center"/>
          </w:tcPr>
          <w:p w14:paraId="3E0DC1E6" w14:textId="6672CF2A" w:rsidR="00B52226" w:rsidRPr="0096385E" w:rsidRDefault="00B52226" w:rsidP="000746DE">
            <w:pPr>
              <w:spacing w:line="276" w:lineRule="auto"/>
              <w:jc w:val="center"/>
              <w:rPr>
                <w:sz w:val="22"/>
                <w:szCs w:val="22"/>
              </w:rPr>
            </w:pPr>
            <w:r>
              <w:rPr>
                <w:sz w:val="22"/>
                <w:szCs w:val="22"/>
              </w:rPr>
              <w:t>3</w:t>
            </w:r>
          </w:p>
        </w:tc>
        <w:tc>
          <w:tcPr>
            <w:tcW w:w="973" w:type="dxa"/>
            <w:vAlign w:val="center"/>
          </w:tcPr>
          <w:p w14:paraId="30D47597" w14:textId="5D82691B" w:rsidR="00B52226" w:rsidRPr="0096385E" w:rsidRDefault="00B52226" w:rsidP="000746DE">
            <w:pPr>
              <w:spacing w:line="276" w:lineRule="auto"/>
              <w:jc w:val="center"/>
              <w:rPr>
                <w:sz w:val="22"/>
                <w:szCs w:val="22"/>
              </w:rPr>
            </w:pPr>
            <w:r>
              <w:rPr>
                <w:sz w:val="22"/>
                <w:szCs w:val="22"/>
              </w:rPr>
              <w:t>4</w:t>
            </w:r>
          </w:p>
        </w:tc>
        <w:tc>
          <w:tcPr>
            <w:tcW w:w="1134" w:type="dxa"/>
            <w:vAlign w:val="center"/>
          </w:tcPr>
          <w:p w14:paraId="61AFDDF2" w14:textId="6F070B65" w:rsidR="00B52226" w:rsidRPr="0096385E" w:rsidRDefault="00B52226" w:rsidP="000746DE">
            <w:pPr>
              <w:spacing w:line="276" w:lineRule="auto"/>
              <w:jc w:val="center"/>
              <w:rPr>
                <w:sz w:val="22"/>
                <w:szCs w:val="22"/>
              </w:rPr>
            </w:pPr>
            <w:r>
              <w:rPr>
                <w:sz w:val="22"/>
                <w:szCs w:val="22"/>
              </w:rPr>
              <w:t>5</w:t>
            </w:r>
          </w:p>
        </w:tc>
      </w:tr>
      <w:tr w:rsidR="00B52226" w14:paraId="7ACAB1B8" w14:textId="77777777" w:rsidTr="009D71A1">
        <w:trPr>
          <w:trHeight w:val="260"/>
        </w:trPr>
        <w:tc>
          <w:tcPr>
            <w:tcW w:w="5441" w:type="dxa"/>
          </w:tcPr>
          <w:p w14:paraId="699DD594" w14:textId="4F5D2C12" w:rsidR="00B52226" w:rsidRPr="0096385E" w:rsidRDefault="00B52226" w:rsidP="00866FE9">
            <w:pPr>
              <w:spacing w:line="276" w:lineRule="auto"/>
              <w:rPr>
                <w:sz w:val="22"/>
                <w:szCs w:val="22"/>
              </w:rPr>
            </w:pPr>
            <w:r w:rsidRPr="0096385E">
              <w:rPr>
                <w:sz w:val="22"/>
                <w:szCs w:val="22"/>
              </w:rPr>
              <w:t xml:space="preserve">5. </w:t>
            </w:r>
            <w:r>
              <w:rPr>
                <w:sz w:val="21"/>
                <w:szCs w:val="21"/>
              </w:rPr>
              <w:t>İ</w:t>
            </w:r>
            <w:r w:rsidRPr="000B6C35">
              <w:rPr>
                <w:sz w:val="21"/>
                <w:szCs w:val="21"/>
              </w:rPr>
              <w:t xml:space="preserve">stemediğim halde kanserin tekrarlayabileceğini </w:t>
            </w:r>
            <w:r>
              <w:rPr>
                <w:sz w:val="21"/>
                <w:szCs w:val="21"/>
              </w:rPr>
              <w:t>düşünüyorum</w:t>
            </w:r>
            <w:r w:rsidR="00E170CD">
              <w:rPr>
                <w:sz w:val="21"/>
                <w:szCs w:val="21"/>
              </w:rPr>
              <w:t>.</w:t>
            </w:r>
          </w:p>
        </w:tc>
        <w:tc>
          <w:tcPr>
            <w:tcW w:w="1007" w:type="dxa"/>
            <w:vAlign w:val="center"/>
          </w:tcPr>
          <w:p w14:paraId="67176B86" w14:textId="187B77C6" w:rsidR="00B52226" w:rsidRPr="0096385E" w:rsidRDefault="00B52226" w:rsidP="000746DE">
            <w:pPr>
              <w:spacing w:line="276" w:lineRule="auto"/>
              <w:jc w:val="center"/>
              <w:rPr>
                <w:sz w:val="22"/>
                <w:szCs w:val="22"/>
              </w:rPr>
            </w:pPr>
            <w:r>
              <w:rPr>
                <w:sz w:val="22"/>
                <w:szCs w:val="22"/>
              </w:rPr>
              <w:t>1</w:t>
            </w:r>
          </w:p>
        </w:tc>
        <w:tc>
          <w:tcPr>
            <w:tcW w:w="951" w:type="dxa"/>
          </w:tcPr>
          <w:p w14:paraId="416C670E" w14:textId="53AEB2D5" w:rsidR="00B52226" w:rsidRPr="0096385E" w:rsidRDefault="00B52226" w:rsidP="000746DE">
            <w:pPr>
              <w:spacing w:line="276" w:lineRule="auto"/>
              <w:jc w:val="center"/>
              <w:rPr>
                <w:sz w:val="22"/>
              </w:rPr>
            </w:pPr>
            <w:r>
              <w:rPr>
                <w:sz w:val="22"/>
              </w:rPr>
              <w:t>2</w:t>
            </w:r>
          </w:p>
        </w:tc>
        <w:tc>
          <w:tcPr>
            <w:tcW w:w="955" w:type="dxa"/>
            <w:vAlign w:val="center"/>
          </w:tcPr>
          <w:p w14:paraId="0884EEF1" w14:textId="700F6F4A" w:rsidR="00B52226" w:rsidRPr="0096385E" w:rsidRDefault="00B52226" w:rsidP="000746DE">
            <w:pPr>
              <w:spacing w:line="276" w:lineRule="auto"/>
              <w:jc w:val="center"/>
              <w:rPr>
                <w:sz w:val="22"/>
                <w:szCs w:val="22"/>
              </w:rPr>
            </w:pPr>
            <w:r>
              <w:rPr>
                <w:sz w:val="22"/>
                <w:szCs w:val="22"/>
              </w:rPr>
              <w:t>3</w:t>
            </w:r>
          </w:p>
        </w:tc>
        <w:tc>
          <w:tcPr>
            <w:tcW w:w="973" w:type="dxa"/>
            <w:vAlign w:val="center"/>
          </w:tcPr>
          <w:p w14:paraId="6ECF3F4E" w14:textId="1B2D68E4" w:rsidR="00B52226" w:rsidRPr="0096385E" w:rsidRDefault="00B52226" w:rsidP="000746DE">
            <w:pPr>
              <w:spacing w:line="276" w:lineRule="auto"/>
              <w:jc w:val="center"/>
              <w:rPr>
                <w:sz w:val="22"/>
                <w:szCs w:val="22"/>
              </w:rPr>
            </w:pPr>
            <w:r>
              <w:rPr>
                <w:sz w:val="22"/>
                <w:szCs w:val="22"/>
              </w:rPr>
              <w:t>4</w:t>
            </w:r>
          </w:p>
        </w:tc>
        <w:tc>
          <w:tcPr>
            <w:tcW w:w="1134" w:type="dxa"/>
            <w:vAlign w:val="center"/>
          </w:tcPr>
          <w:p w14:paraId="1FBC968A" w14:textId="381DA1CF" w:rsidR="00B52226" w:rsidRPr="0096385E" w:rsidRDefault="00B52226" w:rsidP="000746DE">
            <w:pPr>
              <w:spacing w:line="276" w:lineRule="auto"/>
              <w:jc w:val="center"/>
              <w:rPr>
                <w:sz w:val="22"/>
                <w:szCs w:val="22"/>
              </w:rPr>
            </w:pPr>
            <w:r>
              <w:rPr>
                <w:sz w:val="22"/>
                <w:szCs w:val="22"/>
              </w:rPr>
              <w:t>5</w:t>
            </w:r>
          </w:p>
        </w:tc>
      </w:tr>
      <w:tr w:rsidR="00B52226" w14:paraId="58556AC7" w14:textId="77777777" w:rsidTr="009D71A1">
        <w:trPr>
          <w:trHeight w:val="409"/>
        </w:trPr>
        <w:tc>
          <w:tcPr>
            <w:tcW w:w="5441" w:type="dxa"/>
          </w:tcPr>
          <w:p w14:paraId="4D10DF4C" w14:textId="5C1F14A4" w:rsidR="00B52226" w:rsidRPr="0096385E" w:rsidRDefault="00B52226" w:rsidP="00866FE9">
            <w:pPr>
              <w:spacing w:line="276" w:lineRule="auto"/>
              <w:rPr>
                <w:sz w:val="22"/>
                <w:szCs w:val="22"/>
              </w:rPr>
            </w:pPr>
            <w:r w:rsidRPr="0096385E">
              <w:rPr>
                <w:sz w:val="22"/>
                <w:szCs w:val="22"/>
              </w:rPr>
              <w:t xml:space="preserve">6. </w:t>
            </w:r>
            <w:r>
              <w:rPr>
                <w:sz w:val="21"/>
                <w:szCs w:val="21"/>
              </w:rPr>
              <w:t>Kanserin fiziksel belirtilerini</w:t>
            </w:r>
            <w:r w:rsidRPr="000B6C35">
              <w:rPr>
                <w:sz w:val="21"/>
                <w:szCs w:val="21"/>
              </w:rPr>
              <w:t xml:space="preserve"> </w:t>
            </w:r>
            <w:r>
              <w:rPr>
                <w:sz w:val="21"/>
                <w:szCs w:val="21"/>
              </w:rPr>
              <w:t>gösterip göstermediğimi anlamak için kendimi muayene ederim.</w:t>
            </w:r>
          </w:p>
        </w:tc>
        <w:tc>
          <w:tcPr>
            <w:tcW w:w="1007" w:type="dxa"/>
            <w:vAlign w:val="center"/>
          </w:tcPr>
          <w:p w14:paraId="1B533F67" w14:textId="75FC84D3" w:rsidR="00B52226" w:rsidRPr="0096385E" w:rsidRDefault="00B52226" w:rsidP="000746DE">
            <w:pPr>
              <w:spacing w:line="276" w:lineRule="auto"/>
              <w:jc w:val="center"/>
              <w:rPr>
                <w:sz w:val="22"/>
                <w:szCs w:val="22"/>
              </w:rPr>
            </w:pPr>
            <w:r>
              <w:rPr>
                <w:sz w:val="22"/>
                <w:szCs w:val="22"/>
              </w:rPr>
              <w:t>1</w:t>
            </w:r>
          </w:p>
        </w:tc>
        <w:tc>
          <w:tcPr>
            <w:tcW w:w="951" w:type="dxa"/>
          </w:tcPr>
          <w:p w14:paraId="68168EBB" w14:textId="73809C98" w:rsidR="00B52226" w:rsidRPr="0096385E" w:rsidRDefault="00B52226" w:rsidP="000746DE">
            <w:pPr>
              <w:spacing w:line="276" w:lineRule="auto"/>
              <w:jc w:val="center"/>
              <w:rPr>
                <w:sz w:val="22"/>
              </w:rPr>
            </w:pPr>
            <w:r>
              <w:rPr>
                <w:sz w:val="22"/>
              </w:rPr>
              <w:t>2</w:t>
            </w:r>
          </w:p>
        </w:tc>
        <w:tc>
          <w:tcPr>
            <w:tcW w:w="955" w:type="dxa"/>
            <w:vAlign w:val="center"/>
          </w:tcPr>
          <w:p w14:paraId="63B40F42" w14:textId="28045C7F" w:rsidR="00B52226" w:rsidRPr="0096385E" w:rsidRDefault="00B52226" w:rsidP="000746DE">
            <w:pPr>
              <w:spacing w:line="276" w:lineRule="auto"/>
              <w:jc w:val="center"/>
              <w:rPr>
                <w:sz w:val="22"/>
                <w:szCs w:val="22"/>
              </w:rPr>
            </w:pPr>
            <w:r>
              <w:rPr>
                <w:sz w:val="22"/>
                <w:szCs w:val="22"/>
              </w:rPr>
              <w:t>3</w:t>
            </w:r>
          </w:p>
        </w:tc>
        <w:tc>
          <w:tcPr>
            <w:tcW w:w="973" w:type="dxa"/>
            <w:vAlign w:val="center"/>
          </w:tcPr>
          <w:p w14:paraId="0DBA43B3" w14:textId="4A5D2F8E" w:rsidR="00B52226" w:rsidRPr="0096385E" w:rsidRDefault="00B52226" w:rsidP="000746DE">
            <w:pPr>
              <w:spacing w:line="276" w:lineRule="auto"/>
              <w:jc w:val="center"/>
              <w:rPr>
                <w:sz w:val="22"/>
                <w:szCs w:val="22"/>
              </w:rPr>
            </w:pPr>
            <w:r>
              <w:rPr>
                <w:sz w:val="22"/>
                <w:szCs w:val="22"/>
              </w:rPr>
              <w:t>4</w:t>
            </w:r>
          </w:p>
        </w:tc>
        <w:tc>
          <w:tcPr>
            <w:tcW w:w="1134" w:type="dxa"/>
            <w:vAlign w:val="center"/>
          </w:tcPr>
          <w:p w14:paraId="3DC3F302" w14:textId="73F635FF" w:rsidR="00B52226" w:rsidRPr="0096385E" w:rsidRDefault="00B52226" w:rsidP="000746DE">
            <w:pPr>
              <w:spacing w:line="276" w:lineRule="auto"/>
              <w:jc w:val="center"/>
              <w:rPr>
                <w:sz w:val="22"/>
                <w:szCs w:val="22"/>
              </w:rPr>
            </w:pPr>
            <w:r>
              <w:rPr>
                <w:sz w:val="22"/>
                <w:szCs w:val="22"/>
              </w:rPr>
              <w:t>5</w:t>
            </w:r>
          </w:p>
        </w:tc>
      </w:tr>
      <w:tr w:rsidR="00455042" w14:paraId="31AB37EB" w14:textId="77777777" w:rsidTr="009D71A1">
        <w:trPr>
          <w:trHeight w:val="409"/>
        </w:trPr>
        <w:tc>
          <w:tcPr>
            <w:tcW w:w="10461" w:type="dxa"/>
            <w:gridSpan w:val="6"/>
          </w:tcPr>
          <w:p w14:paraId="17C4228B" w14:textId="5C3B787B" w:rsidR="00455042" w:rsidRDefault="00455042" w:rsidP="00455042">
            <w:pPr>
              <w:spacing w:line="276" w:lineRule="auto"/>
              <w:rPr>
                <w:sz w:val="21"/>
                <w:szCs w:val="21"/>
              </w:rPr>
            </w:pPr>
            <w:r>
              <w:rPr>
                <w:sz w:val="22"/>
              </w:rPr>
              <w:t xml:space="preserve">7. </w:t>
            </w:r>
            <w:r>
              <w:rPr>
                <w:sz w:val="21"/>
                <w:szCs w:val="21"/>
              </w:rPr>
              <w:t>K</w:t>
            </w:r>
            <w:r w:rsidRPr="000B6C35">
              <w:rPr>
                <w:sz w:val="21"/>
                <w:szCs w:val="21"/>
              </w:rPr>
              <w:t xml:space="preserve">ansere </w:t>
            </w:r>
            <w:r>
              <w:rPr>
                <w:sz w:val="21"/>
                <w:szCs w:val="21"/>
              </w:rPr>
              <w:t xml:space="preserve">tekrar </w:t>
            </w:r>
            <w:r w:rsidRPr="000B6C35">
              <w:rPr>
                <w:sz w:val="21"/>
                <w:szCs w:val="21"/>
              </w:rPr>
              <w:t xml:space="preserve">yakalanma endişesi </w:t>
            </w:r>
            <w:r>
              <w:rPr>
                <w:sz w:val="21"/>
                <w:szCs w:val="21"/>
              </w:rPr>
              <w:t>düşüncelerinizi ve günlük işlerinizi ne kadar etkiliyor?</w:t>
            </w:r>
            <w:r w:rsidR="00A04B2D">
              <w:rPr>
                <w:sz w:val="21"/>
                <w:szCs w:val="21"/>
              </w:rPr>
              <w:t xml:space="preserve"> Lütfen size uygun rakamı </w:t>
            </w:r>
            <w:r w:rsidR="00FA6E77">
              <w:rPr>
                <w:sz w:val="21"/>
                <w:szCs w:val="21"/>
              </w:rPr>
              <w:t>işaretleyiniz</w:t>
            </w:r>
            <w:r w:rsidR="00A04B2D">
              <w:rPr>
                <w:sz w:val="21"/>
                <w:szCs w:val="21"/>
              </w:rPr>
              <w:t>.</w:t>
            </w:r>
          </w:p>
          <w:p w14:paraId="04E4EF22" w14:textId="621B9F8D" w:rsidR="00455042" w:rsidRPr="00455042" w:rsidRDefault="00455042" w:rsidP="00455042">
            <w:pPr>
              <w:spacing w:line="276" w:lineRule="auto"/>
              <w:rPr>
                <w:sz w:val="21"/>
                <w:szCs w:val="21"/>
              </w:rPr>
            </w:pPr>
            <w:r>
              <w:rPr>
                <w:b/>
                <w:sz w:val="22"/>
              </w:rPr>
              <w:t xml:space="preserve">                 </w:t>
            </w:r>
            <w:r w:rsidR="002901D0">
              <w:rPr>
                <w:b/>
                <w:sz w:val="22"/>
              </w:rPr>
              <w:t xml:space="preserve">     </w:t>
            </w:r>
            <w:r w:rsidR="00836F4D">
              <w:rPr>
                <w:b/>
                <w:sz w:val="22"/>
              </w:rPr>
              <w:t xml:space="preserve"> </w:t>
            </w:r>
            <w:r w:rsidR="00A04B2D">
              <w:rPr>
                <w:b/>
                <w:sz w:val="22"/>
              </w:rPr>
              <w:t>Hiç etkilemiyor</w:t>
            </w:r>
            <w:r>
              <w:rPr>
                <w:b/>
                <w:sz w:val="22"/>
              </w:rPr>
              <w:t xml:space="preserve">                                                         </w:t>
            </w:r>
            <w:r w:rsidR="00A04B2D">
              <w:rPr>
                <w:b/>
                <w:sz w:val="22"/>
              </w:rPr>
              <w:t xml:space="preserve">  </w:t>
            </w:r>
            <w:r>
              <w:rPr>
                <w:b/>
                <w:sz w:val="22"/>
              </w:rPr>
              <w:t xml:space="preserve">  </w:t>
            </w:r>
            <w:r w:rsidR="002901D0">
              <w:rPr>
                <w:b/>
                <w:sz w:val="22"/>
              </w:rPr>
              <w:t xml:space="preserve">    </w:t>
            </w:r>
            <w:r w:rsidR="00836F4D">
              <w:rPr>
                <w:b/>
                <w:sz w:val="22"/>
              </w:rPr>
              <w:t xml:space="preserve">     </w:t>
            </w:r>
            <w:r w:rsidR="002901D0">
              <w:rPr>
                <w:b/>
                <w:sz w:val="22"/>
              </w:rPr>
              <w:t xml:space="preserve">                </w:t>
            </w:r>
            <w:r w:rsidR="008838B4">
              <w:rPr>
                <w:b/>
                <w:sz w:val="22"/>
              </w:rPr>
              <w:t xml:space="preserve"> </w:t>
            </w:r>
            <w:r w:rsidRPr="00B52226">
              <w:rPr>
                <w:b/>
                <w:sz w:val="22"/>
              </w:rPr>
              <w:t>Oldukça fazla</w:t>
            </w:r>
            <w:r w:rsidR="00A04B2D">
              <w:rPr>
                <w:b/>
                <w:sz w:val="22"/>
              </w:rPr>
              <w:t xml:space="preserve"> etkiliyor</w:t>
            </w:r>
          </w:p>
          <w:p w14:paraId="3F3E2644" w14:textId="4057CF5E" w:rsidR="00455042" w:rsidRDefault="00455042" w:rsidP="00455042">
            <w:pPr>
              <w:spacing w:line="276" w:lineRule="auto"/>
              <w:jc w:val="center"/>
              <w:rPr>
                <w:b/>
                <w:sz w:val="22"/>
              </w:rPr>
            </w:pPr>
            <w:r>
              <w:rPr>
                <w:b/>
                <w:sz w:val="22"/>
              </w:rPr>
              <w:t xml:space="preserve">0       </w:t>
            </w:r>
            <w:r w:rsidRPr="00B52226">
              <w:rPr>
                <w:b/>
                <w:sz w:val="22"/>
              </w:rPr>
              <w:t>1</w:t>
            </w:r>
            <w:r>
              <w:rPr>
                <w:b/>
                <w:sz w:val="22"/>
              </w:rPr>
              <w:t xml:space="preserve">  </w:t>
            </w:r>
            <w:r w:rsidRPr="00B52226">
              <w:rPr>
                <w:b/>
                <w:sz w:val="22"/>
              </w:rPr>
              <w:t xml:space="preserve">     2       3       4      </w:t>
            </w:r>
            <w:r>
              <w:rPr>
                <w:b/>
                <w:sz w:val="22"/>
              </w:rPr>
              <w:t xml:space="preserve"> </w:t>
            </w:r>
            <w:r w:rsidRPr="00B52226">
              <w:rPr>
                <w:b/>
                <w:sz w:val="22"/>
              </w:rPr>
              <w:t xml:space="preserve">5       6      7       8       9    </w:t>
            </w:r>
            <w:r>
              <w:rPr>
                <w:b/>
                <w:sz w:val="22"/>
              </w:rPr>
              <w:t xml:space="preserve"> </w:t>
            </w:r>
            <w:r w:rsidRPr="00B52226">
              <w:rPr>
                <w:b/>
                <w:sz w:val="22"/>
              </w:rPr>
              <w:t>10</w:t>
            </w:r>
          </w:p>
          <w:p w14:paraId="5FED3DEF" w14:textId="3EAF0D89" w:rsidR="00455042" w:rsidRPr="0096385E" w:rsidRDefault="00455042" w:rsidP="00455042">
            <w:pPr>
              <w:spacing w:line="276" w:lineRule="auto"/>
              <w:rPr>
                <w:sz w:val="22"/>
              </w:rPr>
            </w:pPr>
          </w:p>
        </w:tc>
      </w:tr>
    </w:tbl>
    <w:bookmarkEnd w:id="0"/>
    <w:p w14:paraId="2F657A19" w14:textId="77777777" w:rsidR="00DE3F41" w:rsidRDefault="00D67E10" w:rsidP="00A6607C">
      <w:pPr>
        <w:spacing w:after="0"/>
        <w:rPr>
          <w:rFonts w:cs="Times New Roman"/>
          <w:b/>
          <w:bCs/>
          <w:color w:val="000000" w:themeColor="text1"/>
          <w:sz w:val="22"/>
        </w:rPr>
      </w:pPr>
      <w:r>
        <w:rPr>
          <w:rFonts w:cs="Times New Roman"/>
          <w:b/>
          <w:bCs/>
          <w:color w:val="000000" w:themeColor="text1"/>
          <w:sz w:val="22"/>
        </w:rPr>
        <w:t xml:space="preserve">                                             </w:t>
      </w:r>
    </w:p>
    <w:p w14:paraId="0DB73AB9" w14:textId="77777777" w:rsidR="00DE3F41" w:rsidRDefault="00DE3F41" w:rsidP="00A6607C">
      <w:pPr>
        <w:spacing w:after="0"/>
        <w:rPr>
          <w:rFonts w:cs="Times New Roman"/>
          <w:b/>
          <w:bCs/>
          <w:color w:val="000000" w:themeColor="text1"/>
          <w:sz w:val="22"/>
        </w:rPr>
      </w:pPr>
    </w:p>
    <w:p w14:paraId="47F4A39C" w14:textId="77777777" w:rsidR="00DE3F41" w:rsidRDefault="00DE3F41" w:rsidP="00A6607C">
      <w:pPr>
        <w:spacing w:after="0"/>
        <w:rPr>
          <w:rFonts w:cs="Times New Roman"/>
          <w:b/>
          <w:bCs/>
          <w:color w:val="000000" w:themeColor="text1"/>
          <w:sz w:val="22"/>
        </w:rPr>
      </w:pPr>
    </w:p>
    <w:p w14:paraId="11B4F03A" w14:textId="77777777" w:rsidR="00DE3F41" w:rsidRDefault="00DE3F41" w:rsidP="00A6607C">
      <w:pPr>
        <w:spacing w:after="0"/>
        <w:rPr>
          <w:rFonts w:cs="Times New Roman"/>
          <w:b/>
          <w:bCs/>
          <w:color w:val="000000" w:themeColor="text1"/>
          <w:sz w:val="22"/>
        </w:rPr>
      </w:pPr>
    </w:p>
    <w:p w14:paraId="2ED6A44E" w14:textId="77777777" w:rsidR="00DE3F41" w:rsidRDefault="00DE3F41" w:rsidP="00A6607C">
      <w:pPr>
        <w:spacing w:after="0"/>
        <w:rPr>
          <w:rFonts w:cs="Times New Roman"/>
          <w:b/>
          <w:bCs/>
          <w:color w:val="000000" w:themeColor="text1"/>
          <w:sz w:val="22"/>
        </w:rPr>
      </w:pPr>
    </w:p>
    <w:p w14:paraId="2CC4A7AF" w14:textId="77777777" w:rsidR="00DE3F41" w:rsidRDefault="00DE3F41" w:rsidP="00A6607C">
      <w:pPr>
        <w:spacing w:after="0"/>
        <w:rPr>
          <w:rFonts w:cs="Times New Roman"/>
          <w:b/>
          <w:bCs/>
          <w:color w:val="000000" w:themeColor="text1"/>
          <w:sz w:val="22"/>
        </w:rPr>
      </w:pPr>
    </w:p>
    <w:p w14:paraId="2F776C5C" w14:textId="77777777" w:rsidR="00DE3F41" w:rsidRDefault="00DE3F41" w:rsidP="00A6607C">
      <w:pPr>
        <w:spacing w:after="0"/>
        <w:rPr>
          <w:rFonts w:cs="Times New Roman"/>
          <w:b/>
          <w:bCs/>
          <w:color w:val="000000" w:themeColor="text1"/>
          <w:sz w:val="22"/>
        </w:rPr>
      </w:pPr>
    </w:p>
    <w:p w14:paraId="698D34FF" w14:textId="77777777" w:rsidR="00DE3F41" w:rsidRDefault="00DE3F41" w:rsidP="00A6607C">
      <w:pPr>
        <w:spacing w:after="0"/>
        <w:rPr>
          <w:rFonts w:cs="Times New Roman"/>
          <w:b/>
          <w:bCs/>
          <w:color w:val="000000" w:themeColor="text1"/>
          <w:sz w:val="22"/>
        </w:rPr>
      </w:pPr>
    </w:p>
    <w:p w14:paraId="7DBDAD6F" w14:textId="77777777" w:rsidR="00DE3F41" w:rsidRDefault="00DE3F41" w:rsidP="00A6607C">
      <w:pPr>
        <w:spacing w:after="0"/>
        <w:rPr>
          <w:rFonts w:cs="Times New Roman"/>
          <w:b/>
          <w:bCs/>
          <w:color w:val="000000" w:themeColor="text1"/>
          <w:sz w:val="22"/>
        </w:rPr>
      </w:pPr>
    </w:p>
    <w:p w14:paraId="31F56C03" w14:textId="77777777" w:rsidR="00DE3F41" w:rsidRDefault="00DE3F41" w:rsidP="00A6607C">
      <w:pPr>
        <w:spacing w:after="0"/>
        <w:rPr>
          <w:rFonts w:cs="Times New Roman"/>
          <w:b/>
          <w:bCs/>
          <w:color w:val="000000" w:themeColor="text1"/>
          <w:sz w:val="22"/>
        </w:rPr>
      </w:pPr>
    </w:p>
    <w:p w14:paraId="671C9FBC" w14:textId="77777777" w:rsidR="00DE3F41" w:rsidRDefault="00DE3F41" w:rsidP="00A6607C">
      <w:pPr>
        <w:spacing w:after="0"/>
        <w:rPr>
          <w:rFonts w:cs="Times New Roman"/>
          <w:b/>
          <w:bCs/>
          <w:color w:val="000000" w:themeColor="text1"/>
          <w:sz w:val="22"/>
        </w:rPr>
      </w:pPr>
    </w:p>
    <w:p w14:paraId="49A77F24" w14:textId="77777777" w:rsidR="00DE3F41" w:rsidRDefault="00DE3F41" w:rsidP="00A6607C">
      <w:pPr>
        <w:spacing w:after="0"/>
        <w:rPr>
          <w:rFonts w:cs="Times New Roman"/>
          <w:b/>
          <w:bCs/>
          <w:color w:val="000000" w:themeColor="text1"/>
          <w:sz w:val="22"/>
        </w:rPr>
      </w:pPr>
    </w:p>
    <w:p w14:paraId="673B6428" w14:textId="77777777" w:rsidR="00DE3F41" w:rsidRDefault="00DE3F41" w:rsidP="00A6607C">
      <w:pPr>
        <w:spacing w:after="0"/>
        <w:rPr>
          <w:rFonts w:cs="Times New Roman"/>
          <w:b/>
          <w:bCs/>
          <w:color w:val="000000" w:themeColor="text1"/>
          <w:sz w:val="22"/>
        </w:rPr>
      </w:pPr>
    </w:p>
    <w:p w14:paraId="4452D251" w14:textId="77777777" w:rsidR="00DE3F41" w:rsidRDefault="00DE3F41" w:rsidP="00A6607C">
      <w:pPr>
        <w:spacing w:after="0"/>
        <w:rPr>
          <w:rFonts w:cs="Times New Roman"/>
          <w:b/>
          <w:bCs/>
          <w:color w:val="000000" w:themeColor="text1"/>
          <w:sz w:val="22"/>
        </w:rPr>
      </w:pPr>
    </w:p>
    <w:p w14:paraId="1E6868CB" w14:textId="77777777" w:rsidR="00DE3F41" w:rsidRDefault="00DE3F41" w:rsidP="00A6607C">
      <w:pPr>
        <w:spacing w:after="0"/>
        <w:rPr>
          <w:rFonts w:cs="Times New Roman"/>
          <w:b/>
          <w:bCs/>
          <w:color w:val="000000" w:themeColor="text1"/>
          <w:sz w:val="22"/>
        </w:rPr>
      </w:pPr>
    </w:p>
    <w:p w14:paraId="717C54F0" w14:textId="77777777" w:rsidR="00DE3F41" w:rsidRDefault="00DE3F41" w:rsidP="00A6607C">
      <w:pPr>
        <w:spacing w:after="0"/>
        <w:rPr>
          <w:rFonts w:cs="Times New Roman"/>
          <w:b/>
          <w:bCs/>
          <w:color w:val="000000" w:themeColor="text1"/>
          <w:sz w:val="22"/>
        </w:rPr>
      </w:pPr>
    </w:p>
    <w:p w14:paraId="51BB76DE" w14:textId="77777777" w:rsidR="00DE3F41" w:rsidRDefault="00DE3F41" w:rsidP="00A6607C">
      <w:pPr>
        <w:spacing w:after="0"/>
        <w:rPr>
          <w:rFonts w:cs="Times New Roman"/>
          <w:b/>
          <w:bCs/>
          <w:color w:val="000000" w:themeColor="text1"/>
          <w:sz w:val="22"/>
        </w:rPr>
      </w:pPr>
    </w:p>
    <w:p w14:paraId="6FB6382D" w14:textId="77777777" w:rsidR="00DE3F41" w:rsidRDefault="00DE3F41" w:rsidP="00A6607C">
      <w:pPr>
        <w:spacing w:after="0"/>
        <w:rPr>
          <w:rFonts w:cs="Times New Roman"/>
          <w:b/>
          <w:bCs/>
          <w:color w:val="000000" w:themeColor="text1"/>
          <w:sz w:val="22"/>
        </w:rPr>
      </w:pPr>
    </w:p>
    <w:p w14:paraId="60880376" w14:textId="77777777" w:rsidR="00DE3F41" w:rsidRDefault="00DE3F41" w:rsidP="00A6607C">
      <w:pPr>
        <w:spacing w:after="0"/>
        <w:rPr>
          <w:rFonts w:cs="Times New Roman"/>
          <w:b/>
          <w:bCs/>
          <w:color w:val="000000" w:themeColor="text1"/>
          <w:sz w:val="22"/>
        </w:rPr>
      </w:pPr>
    </w:p>
    <w:p w14:paraId="6F625512" w14:textId="77777777" w:rsidR="00DE3F41" w:rsidRDefault="00DE3F41" w:rsidP="00A6607C">
      <w:pPr>
        <w:spacing w:after="0"/>
        <w:rPr>
          <w:rFonts w:cs="Times New Roman"/>
          <w:b/>
          <w:bCs/>
          <w:color w:val="000000" w:themeColor="text1"/>
          <w:sz w:val="22"/>
        </w:rPr>
      </w:pPr>
    </w:p>
    <w:p w14:paraId="3984311F" w14:textId="77777777" w:rsidR="00DE3F41" w:rsidRDefault="00DE3F41" w:rsidP="00A6607C">
      <w:pPr>
        <w:spacing w:after="0"/>
        <w:rPr>
          <w:rFonts w:cs="Times New Roman"/>
          <w:b/>
          <w:bCs/>
          <w:color w:val="000000" w:themeColor="text1"/>
          <w:sz w:val="22"/>
        </w:rPr>
      </w:pPr>
    </w:p>
    <w:p w14:paraId="59C46D0A" w14:textId="77777777" w:rsidR="00DE3F41" w:rsidRDefault="00DE3F41" w:rsidP="00A6607C">
      <w:pPr>
        <w:spacing w:after="0"/>
        <w:rPr>
          <w:rFonts w:cs="Times New Roman"/>
          <w:b/>
          <w:bCs/>
          <w:color w:val="000000" w:themeColor="text1"/>
          <w:sz w:val="22"/>
        </w:rPr>
      </w:pPr>
    </w:p>
    <w:p w14:paraId="62E4C1A3" w14:textId="77777777" w:rsidR="00DE3F41" w:rsidRDefault="00DE3F41" w:rsidP="00A6607C">
      <w:pPr>
        <w:spacing w:after="0"/>
        <w:rPr>
          <w:rFonts w:cs="Times New Roman"/>
          <w:b/>
          <w:bCs/>
          <w:color w:val="000000" w:themeColor="text1"/>
          <w:sz w:val="22"/>
        </w:rPr>
      </w:pPr>
    </w:p>
    <w:p w14:paraId="0910C9AE" w14:textId="77777777" w:rsidR="00DE3F41" w:rsidRDefault="00DE3F41" w:rsidP="00A6607C">
      <w:pPr>
        <w:spacing w:after="0"/>
        <w:rPr>
          <w:rFonts w:cs="Times New Roman"/>
          <w:b/>
          <w:bCs/>
          <w:color w:val="000000" w:themeColor="text1"/>
          <w:sz w:val="22"/>
        </w:rPr>
      </w:pPr>
    </w:p>
    <w:p w14:paraId="35F710CC" w14:textId="77777777" w:rsidR="00DE3F41" w:rsidRDefault="00DE3F41" w:rsidP="00A6607C">
      <w:pPr>
        <w:spacing w:after="0"/>
        <w:rPr>
          <w:rFonts w:cs="Times New Roman"/>
          <w:b/>
          <w:bCs/>
          <w:color w:val="000000" w:themeColor="text1"/>
          <w:sz w:val="22"/>
        </w:rPr>
      </w:pPr>
    </w:p>
    <w:p w14:paraId="1F20C7EC" w14:textId="77777777" w:rsidR="00DE3F41" w:rsidRDefault="00DE3F41" w:rsidP="00A6607C">
      <w:pPr>
        <w:spacing w:after="0"/>
        <w:rPr>
          <w:rFonts w:cs="Times New Roman"/>
          <w:b/>
          <w:bCs/>
          <w:color w:val="000000" w:themeColor="text1"/>
          <w:sz w:val="22"/>
        </w:rPr>
      </w:pPr>
    </w:p>
    <w:p w14:paraId="3B0311ED" w14:textId="77777777" w:rsidR="00DE3F41" w:rsidRDefault="00DE3F41" w:rsidP="00A6607C">
      <w:pPr>
        <w:spacing w:after="0"/>
        <w:rPr>
          <w:rFonts w:cs="Times New Roman"/>
          <w:b/>
          <w:bCs/>
          <w:color w:val="000000" w:themeColor="text1"/>
          <w:sz w:val="22"/>
        </w:rPr>
      </w:pPr>
    </w:p>
    <w:p w14:paraId="72A55DED" w14:textId="77777777" w:rsidR="00DE3F41" w:rsidRDefault="00DE3F41" w:rsidP="00A6607C">
      <w:pPr>
        <w:spacing w:after="0"/>
        <w:rPr>
          <w:rFonts w:cs="Times New Roman"/>
          <w:b/>
          <w:bCs/>
          <w:color w:val="000000" w:themeColor="text1"/>
          <w:sz w:val="22"/>
        </w:rPr>
      </w:pPr>
    </w:p>
    <w:p w14:paraId="60FB068C" w14:textId="43BC471A" w:rsidR="00717384" w:rsidRDefault="00DE3F41" w:rsidP="00DE3F41">
      <w:pPr>
        <w:spacing w:after="0"/>
        <w:jc w:val="center"/>
        <w:rPr>
          <w:rFonts w:cs="Times New Roman"/>
          <w:b/>
          <w:bCs/>
          <w:color w:val="000000" w:themeColor="text1"/>
          <w:sz w:val="22"/>
        </w:rPr>
      </w:pPr>
      <w:r>
        <w:rPr>
          <w:rFonts w:cs="Times New Roman"/>
          <w:b/>
          <w:bCs/>
          <w:color w:val="000000" w:themeColor="text1"/>
          <w:sz w:val="22"/>
        </w:rPr>
        <w:t>PUANLAMASI VE YORUMLANMASI</w:t>
      </w:r>
    </w:p>
    <w:p w14:paraId="1339360B" w14:textId="77777777" w:rsidR="00DE3F41" w:rsidRDefault="00DE3F41" w:rsidP="00DE3F41">
      <w:pPr>
        <w:spacing w:after="0"/>
        <w:rPr>
          <w:rFonts w:cs="Times New Roman"/>
          <w:b/>
          <w:bCs/>
          <w:color w:val="000000" w:themeColor="text1"/>
          <w:sz w:val="22"/>
        </w:rPr>
      </w:pPr>
    </w:p>
    <w:p w14:paraId="2E40BB0C" w14:textId="27D9CF42" w:rsidR="00DE3F41" w:rsidRDefault="00DE3F41" w:rsidP="00DE3F41">
      <w:pPr>
        <w:spacing w:after="0"/>
        <w:jc w:val="both"/>
        <w:rPr>
          <w:rFonts w:cs="Times New Roman"/>
          <w:color w:val="000000" w:themeColor="text1"/>
          <w:szCs w:val="24"/>
        </w:rPr>
      </w:pPr>
      <w:r w:rsidRPr="00DE3F41">
        <w:rPr>
          <w:rFonts w:cs="Times New Roman"/>
          <w:color w:val="000000" w:themeColor="text1"/>
          <w:szCs w:val="24"/>
        </w:rPr>
        <w:t>FCR-7, St. Andrews Üniversitesinde Humphris vd. (2018) tarafından geliştirilmiştir. Hastaların kanser nüks korkularını değerlendirmek için kullanılm</w:t>
      </w:r>
      <w:r>
        <w:rPr>
          <w:rFonts w:cs="Times New Roman"/>
          <w:color w:val="000000" w:themeColor="text1"/>
          <w:szCs w:val="24"/>
        </w:rPr>
        <w:t>aktadır</w:t>
      </w:r>
      <w:r w:rsidRPr="00DE3F41">
        <w:rPr>
          <w:rFonts w:cs="Times New Roman"/>
          <w:color w:val="000000" w:themeColor="text1"/>
          <w:szCs w:val="24"/>
        </w:rPr>
        <w:t xml:space="preserve">. Orijinal FCR7 7 </w:t>
      </w:r>
      <w:r>
        <w:rPr>
          <w:rFonts w:cs="Times New Roman"/>
          <w:color w:val="000000" w:themeColor="text1"/>
          <w:szCs w:val="24"/>
        </w:rPr>
        <w:t>maddeden</w:t>
      </w:r>
      <w:r w:rsidRPr="00DE3F41">
        <w:rPr>
          <w:rFonts w:cs="Times New Roman"/>
          <w:color w:val="000000" w:themeColor="text1"/>
          <w:szCs w:val="24"/>
        </w:rPr>
        <w:t xml:space="preserve"> oluşmaktadır. Bu </w:t>
      </w:r>
      <w:r w:rsidR="0063123B">
        <w:rPr>
          <w:rFonts w:cs="Times New Roman"/>
          <w:color w:val="000000" w:themeColor="text1"/>
          <w:szCs w:val="24"/>
        </w:rPr>
        <w:t>maddelerin</w:t>
      </w:r>
      <w:r w:rsidRPr="00DE3F41">
        <w:rPr>
          <w:rFonts w:cs="Times New Roman"/>
          <w:color w:val="000000" w:themeColor="text1"/>
          <w:szCs w:val="24"/>
        </w:rPr>
        <w:t xml:space="preserve"> ilk altısı beşli bir ölçekte (1 = Hiç, 5 = Her zaman) puanlanmaktadır. Yedinci madde, FCR'nin hastanın düşüncelerini ve aktivitelerini ne ölçüde etkilediğini değerlendirmek için kullanılmakta ve 11’li Liker</w:t>
      </w:r>
      <w:r>
        <w:rPr>
          <w:rFonts w:cs="Times New Roman"/>
          <w:color w:val="000000" w:themeColor="text1"/>
          <w:szCs w:val="24"/>
        </w:rPr>
        <w:t>t</w:t>
      </w:r>
      <w:r w:rsidRPr="00DE3F41">
        <w:rPr>
          <w:rFonts w:cs="Times New Roman"/>
          <w:color w:val="000000" w:themeColor="text1"/>
          <w:szCs w:val="24"/>
        </w:rPr>
        <w:t xml:space="preserve"> tipi bir ölçek </w:t>
      </w:r>
      <w:r w:rsidR="0063123B">
        <w:rPr>
          <w:rFonts w:cs="Times New Roman"/>
          <w:color w:val="000000" w:themeColor="text1"/>
          <w:szCs w:val="24"/>
        </w:rPr>
        <w:t>kullanılmaktadır</w:t>
      </w:r>
      <w:r w:rsidRPr="00DE3F41">
        <w:rPr>
          <w:rFonts w:cs="Times New Roman"/>
          <w:color w:val="000000" w:themeColor="text1"/>
          <w:szCs w:val="24"/>
        </w:rPr>
        <w:t xml:space="preserve"> ( 0 = Hiç, 10 = Oldukça fazla). FCR4 ise, FCR7’nin ilk dört maddesinden, FCR6 ise FCR7’nin altıncı maddesi hariç diğer maddelerinden oluşmaktadır (Braun vd., 2022; Díaz-Periánez vd., 2025). </w:t>
      </w:r>
      <w:r w:rsidR="0063123B" w:rsidRPr="0063123B">
        <w:rPr>
          <w:rFonts w:cs="Times New Roman"/>
          <w:color w:val="000000" w:themeColor="text1"/>
          <w:szCs w:val="24"/>
        </w:rPr>
        <w:t xml:space="preserve">FCR7 </w:t>
      </w:r>
      <w:r w:rsidR="0063123B">
        <w:rPr>
          <w:rFonts w:cs="Times New Roman"/>
          <w:color w:val="000000" w:themeColor="text1"/>
          <w:szCs w:val="24"/>
        </w:rPr>
        <w:t xml:space="preserve">de tersten kodlanan madde bulunmamaktadır. Ölçekte </w:t>
      </w:r>
      <w:r w:rsidRPr="00DE3F41">
        <w:rPr>
          <w:rFonts w:cs="Times New Roman"/>
          <w:color w:val="000000" w:themeColor="text1"/>
          <w:szCs w:val="24"/>
        </w:rPr>
        <w:t>FCR7 den alınabilecek olası puanlar 6 ila 40 arasında değişirken, FCR4 de 4 ila 20, FCR6 da 5 ila 35 arasında değişmektedir. Tüm ölçeklerde yüksek puanlar kanser nüks korkusunun yüksekliğine işaret etmektedir.</w:t>
      </w:r>
    </w:p>
    <w:p w14:paraId="5CB8BA91" w14:textId="77777777" w:rsidR="0063123B" w:rsidRDefault="0063123B" w:rsidP="00DE3F41">
      <w:pPr>
        <w:spacing w:after="0"/>
        <w:jc w:val="both"/>
        <w:rPr>
          <w:rFonts w:cs="Times New Roman"/>
          <w:color w:val="000000" w:themeColor="text1"/>
          <w:szCs w:val="24"/>
        </w:rPr>
      </w:pPr>
    </w:p>
    <w:p w14:paraId="2C600BB8" w14:textId="769BFDF4" w:rsidR="00DE3F41" w:rsidRPr="00DE3F41" w:rsidRDefault="00DE3F41" w:rsidP="00DE3F41">
      <w:pPr>
        <w:spacing w:after="0"/>
        <w:jc w:val="both"/>
        <w:rPr>
          <w:rFonts w:cs="Times New Roman"/>
          <w:b/>
          <w:bCs/>
          <w:color w:val="000000" w:themeColor="text1"/>
          <w:szCs w:val="24"/>
        </w:rPr>
      </w:pPr>
      <w:r w:rsidRPr="00DE3F41">
        <w:rPr>
          <w:rFonts w:cs="Times New Roman"/>
          <w:b/>
          <w:bCs/>
          <w:color w:val="000000" w:themeColor="text1"/>
          <w:szCs w:val="24"/>
        </w:rPr>
        <w:t>ARAŞTIRMACILARA ÖNEMLİ NOT: Gerçekleştirdiğimiz geçerlilik ve güvenirlik çalışması sonuçları ölçeklerin psikometrik özellikler açısından belirgin bir farklılık göstermediğine işaret ettiğinden daha iyi kapsam geçerliliğine sahip olan</w:t>
      </w:r>
      <w:r>
        <w:rPr>
          <w:rFonts w:cs="Times New Roman"/>
          <w:b/>
          <w:bCs/>
          <w:color w:val="000000" w:themeColor="text1"/>
          <w:szCs w:val="24"/>
        </w:rPr>
        <w:t xml:space="preserve"> ve önceki araştırmalarda en sık kullanılan ölçek olan</w:t>
      </w:r>
      <w:r w:rsidRPr="00DE3F41">
        <w:rPr>
          <w:rFonts w:cs="Times New Roman"/>
          <w:b/>
          <w:bCs/>
          <w:color w:val="000000" w:themeColor="text1"/>
          <w:szCs w:val="24"/>
        </w:rPr>
        <w:t xml:space="preserve"> FCR-7’nin kullanılmasını öneriyoruz. </w:t>
      </w:r>
    </w:p>
    <w:p w14:paraId="6830FA11" w14:textId="77777777" w:rsidR="00DE3F41" w:rsidRDefault="00DE3F41" w:rsidP="00DE3F41">
      <w:pPr>
        <w:spacing w:after="0"/>
        <w:jc w:val="both"/>
        <w:rPr>
          <w:rFonts w:cs="Times New Roman"/>
          <w:color w:val="000000" w:themeColor="text1"/>
          <w:szCs w:val="24"/>
        </w:rPr>
      </w:pPr>
    </w:p>
    <w:p w14:paraId="36EF3631" w14:textId="2A7B699B" w:rsidR="00DE3F41" w:rsidRPr="00DE3F41" w:rsidRDefault="00DE3F41" w:rsidP="00DE3F41">
      <w:pPr>
        <w:spacing w:after="0"/>
        <w:jc w:val="both"/>
        <w:rPr>
          <w:rFonts w:cs="Times New Roman"/>
          <w:b/>
          <w:bCs/>
          <w:color w:val="000000" w:themeColor="text1"/>
          <w:szCs w:val="24"/>
        </w:rPr>
      </w:pPr>
      <w:r w:rsidRPr="00DE3F41">
        <w:rPr>
          <w:rFonts w:cs="Times New Roman"/>
          <w:b/>
          <w:bCs/>
          <w:color w:val="000000" w:themeColor="text1"/>
          <w:szCs w:val="24"/>
        </w:rPr>
        <w:t xml:space="preserve">Özet Psikometrik Bilgiler </w:t>
      </w:r>
    </w:p>
    <w:p w14:paraId="20AFD70E" w14:textId="77777777" w:rsidR="00DE3F41" w:rsidRDefault="00DE3F41" w:rsidP="00DE3F41">
      <w:pPr>
        <w:spacing w:after="0"/>
        <w:jc w:val="both"/>
        <w:rPr>
          <w:rFonts w:cs="Times New Roman"/>
          <w:color w:val="000000" w:themeColor="text1"/>
          <w:szCs w:val="24"/>
        </w:rPr>
      </w:pPr>
    </w:p>
    <w:p w14:paraId="0B387B94" w14:textId="035FD726" w:rsidR="00DE3F41" w:rsidRDefault="0063123B" w:rsidP="00DE3F41">
      <w:pPr>
        <w:spacing w:after="0"/>
        <w:jc w:val="both"/>
        <w:rPr>
          <w:rFonts w:cs="Times New Roman"/>
          <w:szCs w:val="24"/>
        </w:rPr>
      </w:pPr>
      <w:r w:rsidRPr="0063123B">
        <w:rPr>
          <w:rFonts w:cs="Times New Roman"/>
          <w:szCs w:val="24"/>
        </w:rPr>
        <w:t>Guven</w:t>
      </w:r>
      <w:r>
        <w:rPr>
          <w:rFonts w:cs="Times New Roman"/>
          <w:szCs w:val="24"/>
        </w:rPr>
        <w:t xml:space="preserve"> vd. </w:t>
      </w:r>
      <w:r w:rsidRPr="0063123B">
        <w:rPr>
          <w:rFonts w:cs="Times New Roman"/>
          <w:szCs w:val="24"/>
        </w:rPr>
        <w:t>(2025).</w:t>
      </w:r>
      <w:r w:rsidR="00DE3F41">
        <w:rPr>
          <w:rFonts w:cs="Times New Roman"/>
          <w:szCs w:val="24"/>
        </w:rPr>
        <w:t>Türk</w:t>
      </w:r>
      <w:r w:rsidR="00DE3F41" w:rsidRPr="00DE3F41">
        <w:rPr>
          <w:rFonts w:cs="Times New Roman"/>
          <w:szCs w:val="24"/>
        </w:rPr>
        <w:t xml:space="preserve"> hematolojik kanser hastalarında üç farklı kanser </w:t>
      </w:r>
      <w:r w:rsidR="006270E2">
        <w:rPr>
          <w:rFonts w:cs="Times New Roman"/>
          <w:szCs w:val="24"/>
        </w:rPr>
        <w:t xml:space="preserve">nüks </w:t>
      </w:r>
      <w:r w:rsidR="00DE3F41" w:rsidRPr="00DE3F41">
        <w:rPr>
          <w:rFonts w:cs="Times New Roman"/>
          <w:szCs w:val="24"/>
        </w:rPr>
        <w:t xml:space="preserve">korkusu ölçeğinin </w:t>
      </w:r>
      <w:r w:rsidR="00DE3F41">
        <w:rPr>
          <w:rFonts w:cs="Times New Roman"/>
          <w:szCs w:val="24"/>
        </w:rPr>
        <w:t>uyarlanması</w:t>
      </w:r>
      <w:r w:rsidR="006270E2">
        <w:rPr>
          <w:rFonts w:cs="Times New Roman"/>
          <w:szCs w:val="24"/>
        </w:rPr>
        <w:t>nı</w:t>
      </w:r>
      <w:r w:rsidR="00DE3F41">
        <w:rPr>
          <w:rFonts w:cs="Times New Roman"/>
          <w:szCs w:val="24"/>
        </w:rPr>
        <w:t xml:space="preserve"> </w:t>
      </w:r>
      <w:r w:rsidR="00DE3F41" w:rsidRPr="00DE3F41">
        <w:rPr>
          <w:rFonts w:cs="Times New Roman"/>
          <w:szCs w:val="24"/>
        </w:rPr>
        <w:t>geçerlilik ve güvenilirli</w:t>
      </w:r>
      <w:r w:rsidR="00DE3F41">
        <w:rPr>
          <w:rFonts w:cs="Times New Roman"/>
          <w:szCs w:val="24"/>
        </w:rPr>
        <w:t>k çalışmaları</w:t>
      </w:r>
      <w:r w:rsidR="006270E2">
        <w:rPr>
          <w:rFonts w:cs="Times New Roman"/>
          <w:szCs w:val="24"/>
        </w:rPr>
        <w:t>nı</w:t>
      </w:r>
      <w:r w:rsidR="00DE3F41">
        <w:rPr>
          <w:rFonts w:cs="Times New Roman"/>
          <w:szCs w:val="24"/>
        </w:rPr>
        <w:t xml:space="preserve"> </w:t>
      </w:r>
      <w:r w:rsidR="006270E2">
        <w:rPr>
          <w:rFonts w:cs="Times New Roman"/>
          <w:szCs w:val="24"/>
        </w:rPr>
        <w:t>gerçekleştirmiştir</w:t>
      </w:r>
      <w:r w:rsidR="00DE3F41" w:rsidRPr="00DE3F41">
        <w:rPr>
          <w:rFonts w:cs="Times New Roman"/>
          <w:szCs w:val="24"/>
        </w:rPr>
        <w:t xml:space="preserve">. </w:t>
      </w:r>
      <w:r w:rsidR="00DE3F41">
        <w:rPr>
          <w:rFonts w:cs="Times New Roman"/>
          <w:szCs w:val="24"/>
        </w:rPr>
        <w:t xml:space="preserve">Araştırma sonuçları </w:t>
      </w:r>
      <w:r w:rsidR="00DE3F41" w:rsidRPr="00DE3F41">
        <w:rPr>
          <w:rFonts w:cs="Times New Roman"/>
          <w:szCs w:val="24"/>
        </w:rPr>
        <w:t xml:space="preserve">FCR7, FCR4 ve FCR6’nin </w:t>
      </w:r>
      <w:r w:rsidR="00DE3F41">
        <w:rPr>
          <w:rFonts w:cs="Times New Roman"/>
          <w:szCs w:val="24"/>
        </w:rPr>
        <w:t xml:space="preserve">kanser nüks korkusu ölçeklerinin tek faktörlü bir yapıya sahip olduğunu göstermiştir. Eş değer ve aykırı ölçekler geçerliliği analizi sonuçları ölçeklerin beklenildiği gibi olumlu psikolojik nitelikleri ölçen değişkenlerle (mutluluk, yaşam doyumu, öznel sağlık değerlendirmeleri) düşük ila orta düzeyde değişen negatif, benzer nitelikleri ölçen depresyon, kaygı ve stres değişkenleriyle orta düzeyde pozitif yönde ilişkiye sahip olduğunu göstererek ölçeklerin eş değer ve aykırı ölçekler geçerliğini desteklemiştir. Ayrıca, araştırma sonuçları ölçeklerinin bilinen gruplar geçerliliğine sahip olduğunu göstermiş ve önceki araştırmalarda tutarlı bir şekilde ortaya konulan kadınların kanser nüks korkusu düzeylerinin erkeklerden anlamlı bir şekilde yüksek olduğu bulgusunu tekrarlamıştır. Ölçeklerin </w:t>
      </w:r>
      <w:r w:rsidR="00DE3F41" w:rsidRPr="001321C7">
        <w:rPr>
          <w:rFonts w:cs="Times New Roman"/>
          <w:szCs w:val="24"/>
        </w:rPr>
        <w:t xml:space="preserve">güvenirlik </w:t>
      </w:r>
      <w:r w:rsidR="00DE3F41">
        <w:rPr>
          <w:rFonts w:cs="Times New Roman"/>
          <w:szCs w:val="24"/>
        </w:rPr>
        <w:t xml:space="preserve">analizleri </w:t>
      </w:r>
      <w:r w:rsidR="00DE3F41" w:rsidRPr="001321C7">
        <w:rPr>
          <w:rFonts w:cs="Times New Roman"/>
          <w:szCs w:val="24"/>
        </w:rPr>
        <w:t>sonuçları</w:t>
      </w:r>
      <w:r w:rsidR="00DE3F41">
        <w:rPr>
          <w:rFonts w:cs="Times New Roman"/>
          <w:szCs w:val="24"/>
        </w:rPr>
        <w:t xml:space="preserve"> da</w:t>
      </w:r>
      <w:r w:rsidR="00DE3F41" w:rsidRPr="001321C7">
        <w:rPr>
          <w:rFonts w:cs="Times New Roman"/>
          <w:szCs w:val="24"/>
        </w:rPr>
        <w:t xml:space="preserve"> </w:t>
      </w:r>
      <w:r w:rsidR="00DE3F41">
        <w:rPr>
          <w:rFonts w:cs="Times New Roman"/>
          <w:szCs w:val="24"/>
        </w:rPr>
        <w:t xml:space="preserve">tüm kanser nüks korkusu ölçeklerinin </w:t>
      </w:r>
      <w:r w:rsidR="00DE3F41" w:rsidRPr="001321C7">
        <w:rPr>
          <w:rFonts w:cs="Times New Roman"/>
          <w:szCs w:val="24"/>
        </w:rPr>
        <w:t>hematolojik kanser hastalarında kullanılabilecek güvenilir ölçme araçları olduğunu gösterm</w:t>
      </w:r>
      <w:r w:rsidR="00DE3F41">
        <w:rPr>
          <w:rFonts w:cs="Times New Roman"/>
          <w:szCs w:val="24"/>
        </w:rPr>
        <w:t>iştir.</w:t>
      </w:r>
    </w:p>
    <w:p w14:paraId="663874F9" w14:textId="77777777" w:rsidR="00DE3F41" w:rsidRDefault="00DE3F41" w:rsidP="00DE3F41">
      <w:pPr>
        <w:spacing w:after="0"/>
        <w:jc w:val="both"/>
        <w:rPr>
          <w:rFonts w:cs="Times New Roman"/>
          <w:szCs w:val="24"/>
        </w:rPr>
      </w:pPr>
    </w:p>
    <w:p w14:paraId="6DBD862A" w14:textId="77777777" w:rsidR="00DE3F41" w:rsidRDefault="00DE3F41" w:rsidP="00DE3F41">
      <w:pPr>
        <w:spacing w:after="0"/>
        <w:jc w:val="both"/>
        <w:rPr>
          <w:rFonts w:cs="Times New Roman"/>
          <w:szCs w:val="24"/>
        </w:rPr>
      </w:pPr>
    </w:p>
    <w:p w14:paraId="59280D47" w14:textId="36DED316" w:rsidR="00DE3F41" w:rsidRDefault="0063123B" w:rsidP="0063123B">
      <w:pPr>
        <w:spacing w:after="0"/>
        <w:jc w:val="center"/>
        <w:rPr>
          <w:rFonts w:cs="Times New Roman"/>
          <w:b/>
          <w:bCs/>
          <w:color w:val="000000" w:themeColor="text1"/>
          <w:szCs w:val="24"/>
        </w:rPr>
      </w:pPr>
      <w:r w:rsidRPr="0063123B">
        <w:rPr>
          <w:rFonts w:cs="Times New Roman"/>
          <w:b/>
          <w:bCs/>
          <w:color w:val="000000" w:themeColor="text1"/>
          <w:szCs w:val="24"/>
        </w:rPr>
        <w:t>KAYNAKÇA</w:t>
      </w:r>
    </w:p>
    <w:p w14:paraId="505B19CF" w14:textId="77777777" w:rsidR="0063123B" w:rsidRDefault="0063123B" w:rsidP="0063123B">
      <w:pPr>
        <w:spacing w:after="0"/>
        <w:rPr>
          <w:rFonts w:cs="Times New Roman"/>
          <w:b/>
          <w:bCs/>
          <w:color w:val="000000" w:themeColor="text1"/>
          <w:szCs w:val="24"/>
        </w:rPr>
      </w:pPr>
    </w:p>
    <w:p w14:paraId="0AE1993C" w14:textId="77777777" w:rsidR="0063123B" w:rsidRPr="0063123B" w:rsidRDefault="0063123B" w:rsidP="0063123B">
      <w:pPr>
        <w:spacing w:after="0" w:line="240" w:lineRule="auto"/>
        <w:ind w:left="709" w:hanging="709"/>
        <w:rPr>
          <w:rFonts w:eastAsia="Times New Roman" w:cs="Times New Roman"/>
          <w:szCs w:val="24"/>
          <w:lang w:val="en-US" w:eastAsia="tr-TR"/>
        </w:rPr>
      </w:pPr>
      <w:r w:rsidRPr="0063123B">
        <w:rPr>
          <w:rFonts w:eastAsia="Times New Roman" w:cs="Times New Roman"/>
          <w:szCs w:val="24"/>
          <w:lang w:val="en-US" w:eastAsia="tr-TR"/>
        </w:rPr>
        <w:t xml:space="preserve">Braun, S. E., Willis, K. D., Mladen, S. N., Aslanzadeh, F., Lanoye, A., Langbein, J., Reid, M., &amp; Loughan, A. R. (2022). Introducing FCR6–Brain: Measuring fear of cancer recurrence in brain tumor patients and their caregivers. </w:t>
      </w:r>
      <w:r w:rsidRPr="0063123B">
        <w:rPr>
          <w:rFonts w:eastAsia="Times New Roman" w:cs="Times New Roman"/>
          <w:i/>
          <w:iCs/>
          <w:szCs w:val="24"/>
          <w:lang w:val="en-US" w:eastAsia="tr-TR"/>
        </w:rPr>
        <w:t>Neuro-Oncology Practice</w:t>
      </w:r>
      <w:r w:rsidRPr="0063123B">
        <w:rPr>
          <w:rFonts w:eastAsia="Times New Roman" w:cs="Times New Roman"/>
          <w:szCs w:val="24"/>
          <w:lang w:val="en-US" w:eastAsia="tr-TR"/>
        </w:rPr>
        <w:t xml:space="preserve">, </w:t>
      </w:r>
      <w:r w:rsidRPr="0063123B">
        <w:rPr>
          <w:rFonts w:eastAsia="Times New Roman" w:cs="Times New Roman"/>
          <w:i/>
          <w:iCs/>
          <w:szCs w:val="24"/>
          <w:lang w:val="en-US" w:eastAsia="tr-TR"/>
        </w:rPr>
        <w:t>9</w:t>
      </w:r>
      <w:r w:rsidRPr="0063123B">
        <w:rPr>
          <w:rFonts w:eastAsia="Times New Roman" w:cs="Times New Roman"/>
          <w:szCs w:val="24"/>
          <w:lang w:val="en-US" w:eastAsia="tr-TR"/>
        </w:rPr>
        <w:t>(6), 509-519.</w:t>
      </w:r>
    </w:p>
    <w:p w14:paraId="1895873B" w14:textId="27A81960" w:rsidR="0063123B" w:rsidRPr="0063123B" w:rsidRDefault="0063123B" w:rsidP="0063123B">
      <w:pPr>
        <w:spacing w:after="0" w:line="240" w:lineRule="auto"/>
        <w:ind w:left="709" w:hanging="709"/>
        <w:rPr>
          <w:rFonts w:eastAsia="Times New Roman" w:cs="Times New Roman"/>
          <w:szCs w:val="24"/>
          <w:lang w:val="en-US" w:eastAsia="tr-TR"/>
        </w:rPr>
      </w:pPr>
      <w:r w:rsidRPr="0063123B">
        <w:rPr>
          <w:rFonts w:eastAsia="Times New Roman" w:cs="Times New Roman"/>
          <w:szCs w:val="24"/>
          <w:lang w:val="en-US" w:eastAsia="tr-TR"/>
        </w:rPr>
        <w:t xml:space="preserve">Díaz-Periánez, C., Camacho-Bejarano, R., González-de la Torre, H., Cruickshank, S., Humphris, G. M., Bayo-Lozano, E., &amp; Merino-Navarro, D. (2025). Transcultural </w:t>
      </w:r>
      <w:r w:rsidRPr="0063123B">
        <w:rPr>
          <w:rFonts w:eastAsia="Times New Roman" w:cs="Times New Roman"/>
          <w:szCs w:val="24"/>
          <w:lang w:val="en-US" w:eastAsia="tr-TR"/>
        </w:rPr>
        <w:t xml:space="preserve">adaptation and evaluation of the psychometric properties of the </w:t>
      </w:r>
      <w:r w:rsidRPr="0063123B">
        <w:rPr>
          <w:rFonts w:eastAsia="Times New Roman" w:cs="Times New Roman"/>
          <w:szCs w:val="24"/>
          <w:lang w:val="en-US" w:eastAsia="tr-TR"/>
        </w:rPr>
        <w:t xml:space="preserve">Spanish </w:t>
      </w:r>
      <w:r w:rsidRPr="0063123B">
        <w:rPr>
          <w:rFonts w:eastAsia="Times New Roman" w:cs="Times New Roman"/>
          <w:szCs w:val="24"/>
          <w:lang w:val="en-US" w:eastAsia="tr-TR"/>
        </w:rPr>
        <w:t xml:space="preserve">version </w:t>
      </w:r>
      <w:r w:rsidRPr="0063123B">
        <w:rPr>
          <w:rFonts w:eastAsia="Times New Roman" w:cs="Times New Roman"/>
          <w:szCs w:val="24"/>
          <w:lang w:val="en-US" w:eastAsia="tr-TR"/>
        </w:rPr>
        <w:t xml:space="preserve">of the FCR7 Questionnaire for </w:t>
      </w:r>
      <w:r w:rsidRPr="0063123B">
        <w:rPr>
          <w:rFonts w:eastAsia="Times New Roman" w:cs="Times New Roman"/>
          <w:szCs w:val="24"/>
          <w:lang w:val="en-US" w:eastAsia="tr-TR"/>
        </w:rPr>
        <w:t>assessing fear of recurrence in cancer patients</w:t>
      </w:r>
      <w:r w:rsidRPr="0063123B">
        <w:rPr>
          <w:rFonts w:eastAsia="Times New Roman" w:cs="Times New Roman"/>
          <w:szCs w:val="24"/>
          <w:lang w:val="en-US" w:eastAsia="tr-TR"/>
        </w:rPr>
        <w:t xml:space="preserve">: FCR6/7-SP. </w:t>
      </w:r>
      <w:r w:rsidRPr="0063123B">
        <w:rPr>
          <w:rFonts w:eastAsia="Times New Roman" w:cs="Times New Roman"/>
          <w:i/>
          <w:iCs/>
          <w:szCs w:val="24"/>
          <w:lang w:val="en-US" w:eastAsia="tr-TR"/>
        </w:rPr>
        <w:t>Cancers</w:t>
      </w:r>
      <w:r w:rsidRPr="0063123B">
        <w:rPr>
          <w:rFonts w:eastAsia="Times New Roman" w:cs="Times New Roman"/>
          <w:szCs w:val="24"/>
          <w:lang w:val="en-US" w:eastAsia="tr-TR"/>
        </w:rPr>
        <w:t xml:space="preserve">, </w:t>
      </w:r>
      <w:r w:rsidRPr="0063123B">
        <w:rPr>
          <w:rFonts w:eastAsia="Times New Roman" w:cs="Times New Roman"/>
          <w:i/>
          <w:iCs/>
          <w:szCs w:val="24"/>
          <w:lang w:val="en-US" w:eastAsia="tr-TR"/>
        </w:rPr>
        <w:t>17</w:t>
      </w:r>
      <w:r w:rsidRPr="0063123B">
        <w:rPr>
          <w:rFonts w:eastAsia="Times New Roman" w:cs="Times New Roman"/>
          <w:szCs w:val="24"/>
          <w:lang w:val="en-US" w:eastAsia="tr-TR"/>
        </w:rPr>
        <w:t xml:space="preserve">(5), 875. </w:t>
      </w:r>
      <w:hyperlink r:id="rId8" w:history="1">
        <w:r w:rsidRPr="0063123B">
          <w:rPr>
            <w:rFonts w:eastAsia="Times New Roman" w:cs="Times New Roman"/>
            <w:szCs w:val="24"/>
            <w:lang w:val="en-US" w:eastAsia="tr-TR"/>
          </w:rPr>
          <w:t>https://doi.org/10.3390/cancers17050875</w:t>
        </w:r>
      </w:hyperlink>
    </w:p>
    <w:p w14:paraId="46D89984" w14:textId="338DD7D8" w:rsidR="0063123B" w:rsidRPr="0063123B" w:rsidRDefault="0063123B" w:rsidP="0063123B">
      <w:pPr>
        <w:spacing w:after="0" w:line="240" w:lineRule="auto"/>
        <w:ind w:left="709" w:hanging="709"/>
        <w:rPr>
          <w:rFonts w:eastAsia="Times New Roman" w:cs="Times New Roman"/>
          <w:szCs w:val="24"/>
          <w:lang w:val="en-US" w:eastAsia="tr-TR"/>
        </w:rPr>
      </w:pPr>
      <w:r w:rsidRPr="0063123B">
        <w:rPr>
          <w:rFonts w:eastAsia="Times New Roman" w:cs="Times New Roman"/>
          <w:szCs w:val="24"/>
          <w:lang w:val="en-US" w:eastAsia="tr-TR"/>
        </w:rPr>
        <w:t xml:space="preserve">Guven, S., Topkaya, N., Şahin, E., Yaman, S., Demirci, U., &amp; Koseoglu, F. D. (2025). Psychometric </w:t>
      </w:r>
      <w:r w:rsidRPr="0063123B">
        <w:rPr>
          <w:rFonts w:eastAsia="Times New Roman" w:cs="Times New Roman"/>
          <w:szCs w:val="24"/>
          <w:lang w:val="en-US" w:eastAsia="tr-TR"/>
        </w:rPr>
        <w:t xml:space="preserve">properties of </w:t>
      </w:r>
      <w:r w:rsidRPr="0063123B">
        <w:rPr>
          <w:rFonts w:eastAsia="Times New Roman" w:cs="Times New Roman"/>
          <w:szCs w:val="24"/>
          <w:lang w:val="en-US" w:eastAsia="tr-TR"/>
        </w:rPr>
        <w:t xml:space="preserve">Fears of Cancer Recurrence Scales in Turkish </w:t>
      </w:r>
      <w:r w:rsidRPr="0063123B">
        <w:rPr>
          <w:rFonts w:eastAsia="Times New Roman" w:cs="Times New Roman"/>
          <w:szCs w:val="24"/>
          <w:lang w:val="en-US" w:eastAsia="tr-TR"/>
        </w:rPr>
        <w:t>hematologic cancer patients</w:t>
      </w:r>
      <w:r w:rsidRPr="0063123B">
        <w:rPr>
          <w:rFonts w:eastAsia="Times New Roman" w:cs="Times New Roman"/>
          <w:szCs w:val="24"/>
          <w:lang w:val="en-US" w:eastAsia="tr-TR"/>
        </w:rPr>
        <w:t xml:space="preserve">. </w:t>
      </w:r>
      <w:r w:rsidRPr="0063123B">
        <w:rPr>
          <w:rFonts w:eastAsia="Times New Roman" w:cs="Times New Roman"/>
          <w:i/>
          <w:iCs/>
          <w:szCs w:val="24"/>
          <w:lang w:val="en-US" w:eastAsia="tr-TR"/>
        </w:rPr>
        <w:t>Medicina</w:t>
      </w:r>
      <w:r w:rsidRPr="0063123B">
        <w:rPr>
          <w:rFonts w:eastAsia="Times New Roman" w:cs="Times New Roman"/>
          <w:szCs w:val="24"/>
          <w:lang w:val="en-US" w:eastAsia="tr-TR"/>
        </w:rPr>
        <w:t xml:space="preserve">, </w:t>
      </w:r>
      <w:r w:rsidRPr="0063123B">
        <w:rPr>
          <w:rFonts w:eastAsia="Times New Roman" w:cs="Times New Roman"/>
          <w:i/>
          <w:iCs/>
          <w:szCs w:val="24"/>
          <w:lang w:val="en-US" w:eastAsia="tr-TR"/>
        </w:rPr>
        <w:t>61</w:t>
      </w:r>
      <w:r w:rsidRPr="0063123B">
        <w:rPr>
          <w:rFonts w:eastAsia="Times New Roman" w:cs="Times New Roman"/>
          <w:szCs w:val="24"/>
          <w:lang w:val="en-US" w:eastAsia="tr-TR"/>
        </w:rPr>
        <w:t xml:space="preserve">(9), 1628. </w:t>
      </w:r>
      <w:hyperlink r:id="rId9" w:history="1">
        <w:r w:rsidRPr="0063123B">
          <w:rPr>
            <w:rFonts w:eastAsia="Times New Roman" w:cs="Times New Roman"/>
            <w:szCs w:val="24"/>
            <w:lang w:val="en-US" w:eastAsia="tr-TR"/>
          </w:rPr>
          <w:t>https://doi.org/10.3390/medicina61091628</w:t>
        </w:r>
      </w:hyperlink>
    </w:p>
    <w:p w14:paraId="4FF25378" w14:textId="134B3262" w:rsidR="0063123B" w:rsidRPr="0063123B" w:rsidRDefault="0063123B" w:rsidP="0063123B">
      <w:pPr>
        <w:spacing w:after="0" w:line="240" w:lineRule="auto"/>
        <w:ind w:left="709" w:hanging="709"/>
        <w:rPr>
          <w:rFonts w:eastAsia="Times New Roman" w:cs="Times New Roman"/>
          <w:szCs w:val="24"/>
          <w:lang w:val="en-US" w:eastAsia="tr-TR"/>
        </w:rPr>
      </w:pPr>
      <w:r w:rsidRPr="0063123B">
        <w:rPr>
          <w:rFonts w:eastAsia="Times New Roman" w:cs="Times New Roman"/>
          <w:szCs w:val="24"/>
          <w:lang w:val="en-US" w:eastAsia="tr-TR"/>
        </w:rPr>
        <w:t xml:space="preserve">Humphris, G. M., Watson, E., Sharpe, M., &amp; Ozakinci, G. (2018). Unidimensional scales for fears of cancer recurrence and their psychometric properties: The FCR4 and FCR7. </w:t>
      </w:r>
      <w:r w:rsidRPr="0063123B">
        <w:rPr>
          <w:rFonts w:eastAsia="Times New Roman" w:cs="Times New Roman"/>
          <w:i/>
          <w:iCs/>
          <w:szCs w:val="24"/>
          <w:lang w:val="en-US" w:eastAsia="tr-TR"/>
        </w:rPr>
        <w:t>Health and Quality of Life Outcomes</w:t>
      </w:r>
      <w:r w:rsidRPr="0063123B">
        <w:rPr>
          <w:rFonts w:eastAsia="Times New Roman" w:cs="Times New Roman"/>
          <w:szCs w:val="24"/>
          <w:lang w:val="en-US" w:eastAsia="tr-TR"/>
        </w:rPr>
        <w:t xml:space="preserve">, </w:t>
      </w:r>
      <w:r w:rsidRPr="0063123B">
        <w:rPr>
          <w:rFonts w:eastAsia="Times New Roman" w:cs="Times New Roman"/>
          <w:i/>
          <w:iCs/>
          <w:szCs w:val="24"/>
          <w:lang w:val="en-US" w:eastAsia="tr-TR"/>
        </w:rPr>
        <w:t>16</w:t>
      </w:r>
      <w:r w:rsidRPr="0063123B">
        <w:rPr>
          <w:rFonts w:eastAsia="Times New Roman" w:cs="Times New Roman"/>
          <w:szCs w:val="24"/>
          <w:lang w:val="en-US" w:eastAsia="tr-TR"/>
        </w:rPr>
        <w:t xml:space="preserve">(1), 30. </w:t>
      </w:r>
      <w:hyperlink r:id="rId10" w:history="1">
        <w:r w:rsidRPr="0063123B">
          <w:rPr>
            <w:rFonts w:eastAsia="Times New Roman" w:cs="Times New Roman"/>
            <w:szCs w:val="24"/>
            <w:lang w:val="en-US" w:eastAsia="tr-TR"/>
          </w:rPr>
          <w:t>https://doi.org/10.1186/s12955-018-0850-x</w:t>
        </w:r>
      </w:hyperlink>
    </w:p>
    <w:p w14:paraId="7CDA77E3" w14:textId="77777777" w:rsidR="0063123B" w:rsidRPr="0063123B" w:rsidRDefault="0063123B" w:rsidP="0063123B">
      <w:pPr>
        <w:spacing w:after="0" w:line="240" w:lineRule="auto"/>
        <w:ind w:left="709" w:hanging="709"/>
        <w:rPr>
          <w:rFonts w:cs="Times New Roman"/>
          <w:b/>
          <w:bCs/>
          <w:color w:val="000000" w:themeColor="text1"/>
          <w:szCs w:val="24"/>
          <w:lang w:val="en-US"/>
        </w:rPr>
      </w:pPr>
    </w:p>
    <w:sectPr w:rsidR="0063123B" w:rsidRPr="0063123B" w:rsidSect="000746DE">
      <w:footerReference w:type="default" r:id="rId11"/>
      <w:type w:val="continuous"/>
      <w:pgSz w:w="11906" w:h="16838"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F4B5" w14:textId="77777777" w:rsidR="00F042BD" w:rsidRDefault="00F042BD" w:rsidP="00AA2BF9">
      <w:pPr>
        <w:spacing w:after="0" w:line="240" w:lineRule="auto"/>
      </w:pPr>
      <w:r>
        <w:separator/>
      </w:r>
    </w:p>
  </w:endnote>
  <w:endnote w:type="continuationSeparator" w:id="0">
    <w:p w14:paraId="2408406A" w14:textId="77777777" w:rsidR="00F042BD" w:rsidRDefault="00F042BD" w:rsidP="00AA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D6FE" w14:textId="1CB421DD" w:rsidR="0093730E" w:rsidRDefault="0093730E" w:rsidP="000746DE">
    <w:pPr>
      <w:pStyle w:val="a"/>
      <w:jc w:val="both"/>
    </w:pPr>
    <w:r>
      <w:rPr>
        <w:b/>
      </w:rPr>
      <w:t xml:space="preserve">                    </w:t>
    </w:r>
    <w:r>
      <w:rPr>
        <w:b/>
      </w:rPr>
      <w:tab/>
    </w:r>
  </w:p>
  <w:p w14:paraId="36CAAEA2" w14:textId="77777777" w:rsidR="0093730E" w:rsidRDefault="009373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93CC" w14:textId="77777777" w:rsidR="00F042BD" w:rsidRDefault="00F042BD" w:rsidP="00AA2BF9">
      <w:pPr>
        <w:spacing w:after="0" w:line="240" w:lineRule="auto"/>
      </w:pPr>
      <w:r>
        <w:separator/>
      </w:r>
    </w:p>
  </w:footnote>
  <w:footnote w:type="continuationSeparator" w:id="0">
    <w:p w14:paraId="5843AD43" w14:textId="77777777" w:rsidR="00F042BD" w:rsidRDefault="00F042BD" w:rsidP="00AA2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66A3"/>
    <w:multiLevelType w:val="hybridMultilevel"/>
    <w:tmpl w:val="6630D9AE"/>
    <w:lvl w:ilvl="0" w:tplc="68ECBEAC">
      <w:start w:val="1"/>
      <w:numFmt w:val="decimal"/>
      <w:lvlText w:val="%1."/>
      <w:lvlJc w:val="left"/>
      <w:pPr>
        <w:ind w:left="720" w:hanging="360"/>
      </w:pPr>
      <w:rPr>
        <w:rFonts w:asciiTheme="minorHAnsi" w:eastAsiaTheme="minorEastAsia" w:hAnsi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B52983"/>
    <w:multiLevelType w:val="hybridMultilevel"/>
    <w:tmpl w:val="8DC2DFAC"/>
    <w:lvl w:ilvl="0" w:tplc="0409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 w15:restartNumberingAfterBreak="0">
    <w:nsid w:val="435B4722"/>
    <w:multiLevelType w:val="hybridMultilevel"/>
    <w:tmpl w:val="366421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EB7320B"/>
    <w:multiLevelType w:val="hybridMultilevel"/>
    <w:tmpl w:val="381277FA"/>
    <w:lvl w:ilvl="0" w:tplc="682E428A">
      <w:start w:val="1"/>
      <w:numFmt w:val="decimal"/>
      <w:lvlText w:val="%1."/>
      <w:lvlJc w:val="left"/>
      <w:pPr>
        <w:ind w:left="720" w:hanging="360"/>
      </w:pPr>
      <w:rPr>
        <w:rFonts w:asciiTheme="minorHAnsi" w:eastAsia="Calibri" w:hAnsiTheme="minorHAnsi" w:cs="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849518E"/>
    <w:multiLevelType w:val="hybridMultilevel"/>
    <w:tmpl w:val="93CC65BA"/>
    <w:lvl w:ilvl="0" w:tplc="95B49578">
      <w:numFmt w:val="decimal"/>
      <w:lvlText w:val="%1-"/>
      <w:lvlJc w:val="left"/>
      <w:pPr>
        <w:ind w:left="720" w:hanging="360"/>
      </w:pPr>
      <w:rPr>
        <w:rFonts w:hint="default"/>
        <w:color w:val="00000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D93A60"/>
    <w:multiLevelType w:val="hybridMultilevel"/>
    <w:tmpl w:val="5EC895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7797989">
    <w:abstractNumId w:val="1"/>
  </w:num>
  <w:num w:numId="2" w16cid:durableId="807478745">
    <w:abstractNumId w:val="4"/>
  </w:num>
  <w:num w:numId="3" w16cid:durableId="36391320">
    <w:abstractNumId w:val="5"/>
  </w:num>
  <w:num w:numId="4" w16cid:durableId="1746800103">
    <w:abstractNumId w:val="2"/>
  </w:num>
  <w:num w:numId="5" w16cid:durableId="556091704">
    <w:abstractNumId w:val="3"/>
  </w:num>
  <w:num w:numId="6" w16cid:durableId="51939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69"/>
    <w:rsid w:val="00000015"/>
    <w:rsid w:val="00023FE1"/>
    <w:rsid w:val="0005478E"/>
    <w:rsid w:val="000578E8"/>
    <w:rsid w:val="00061A19"/>
    <w:rsid w:val="00063787"/>
    <w:rsid w:val="00065C2C"/>
    <w:rsid w:val="00072382"/>
    <w:rsid w:val="000746DE"/>
    <w:rsid w:val="00077A9C"/>
    <w:rsid w:val="00090D75"/>
    <w:rsid w:val="000A0325"/>
    <w:rsid w:val="000B03DA"/>
    <w:rsid w:val="000C730D"/>
    <w:rsid w:val="00104CA3"/>
    <w:rsid w:val="0011134D"/>
    <w:rsid w:val="001118DB"/>
    <w:rsid w:val="0013108E"/>
    <w:rsid w:val="0013345E"/>
    <w:rsid w:val="001334B6"/>
    <w:rsid w:val="00141428"/>
    <w:rsid w:val="00145CEF"/>
    <w:rsid w:val="00164D97"/>
    <w:rsid w:val="00175211"/>
    <w:rsid w:val="00193E23"/>
    <w:rsid w:val="00197F6B"/>
    <w:rsid w:val="001A48A7"/>
    <w:rsid w:val="001B0F64"/>
    <w:rsid w:val="001F388B"/>
    <w:rsid w:val="001F4F30"/>
    <w:rsid w:val="00213A8F"/>
    <w:rsid w:val="002244E3"/>
    <w:rsid w:val="0023540E"/>
    <w:rsid w:val="002362CA"/>
    <w:rsid w:val="00247C6B"/>
    <w:rsid w:val="002505B7"/>
    <w:rsid w:val="0025314B"/>
    <w:rsid w:val="002624CE"/>
    <w:rsid w:val="00275B42"/>
    <w:rsid w:val="00277233"/>
    <w:rsid w:val="0028399F"/>
    <w:rsid w:val="002901D0"/>
    <w:rsid w:val="002A440B"/>
    <w:rsid w:val="002A719A"/>
    <w:rsid w:val="002A7C0C"/>
    <w:rsid w:val="002B6771"/>
    <w:rsid w:val="002C587E"/>
    <w:rsid w:val="002D7B96"/>
    <w:rsid w:val="002E339F"/>
    <w:rsid w:val="002E3F23"/>
    <w:rsid w:val="003018B3"/>
    <w:rsid w:val="003024C3"/>
    <w:rsid w:val="003152AE"/>
    <w:rsid w:val="00321D16"/>
    <w:rsid w:val="00324767"/>
    <w:rsid w:val="00326BEB"/>
    <w:rsid w:val="00343B30"/>
    <w:rsid w:val="00343FDF"/>
    <w:rsid w:val="00344DDF"/>
    <w:rsid w:val="003518A2"/>
    <w:rsid w:val="00365439"/>
    <w:rsid w:val="00365B0C"/>
    <w:rsid w:val="00371CFD"/>
    <w:rsid w:val="003724BC"/>
    <w:rsid w:val="003C6B31"/>
    <w:rsid w:val="003E7A4D"/>
    <w:rsid w:val="00407A95"/>
    <w:rsid w:val="00420129"/>
    <w:rsid w:val="0042019C"/>
    <w:rsid w:val="0044674C"/>
    <w:rsid w:val="00455042"/>
    <w:rsid w:val="00456637"/>
    <w:rsid w:val="004A085A"/>
    <w:rsid w:val="004A1B6A"/>
    <w:rsid w:val="004A6659"/>
    <w:rsid w:val="004B79EC"/>
    <w:rsid w:val="004C54E2"/>
    <w:rsid w:val="004E5E0C"/>
    <w:rsid w:val="004F1E3C"/>
    <w:rsid w:val="0053042B"/>
    <w:rsid w:val="005453CC"/>
    <w:rsid w:val="00545FA7"/>
    <w:rsid w:val="00596495"/>
    <w:rsid w:val="005A56B9"/>
    <w:rsid w:val="005F48E0"/>
    <w:rsid w:val="006006EE"/>
    <w:rsid w:val="00600C8C"/>
    <w:rsid w:val="00606BF4"/>
    <w:rsid w:val="006127AE"/>
    <w:rsid w:val="006270E2"/>
    <w:rsid w:val="0063123B"/>
    <w:rsid w:val="00631EA2"/>
    <w:rsid w:val="006374B5"/>
    <w:rsid w:val="0065090D"/>
    <w:rsid w:val="006575DD"/>
    <w:rsid w:val="00662925"/>
    <w:rsid w:val="006769DB"/>
    <w:rsid w:val="006D348C"/>
    <w:rsid w:val="006D7197"/>
    <w:rsid w:val="006E0849"/>
    <w:rsid w:val="006E498A"/>
    <w:rsid w:val="006E53AA"/>
    <w:rsid w:val="00717384"/>
    <w:rsid w:val="007203A3"/>
    <w:rsid w:val="00764621"/>
    <w:rsid w:val="0077505C"/>
    <w:rsid w:val="00787969"/>
    <w:rsid w:val="00791D44"/>
    <w:rsid w:val="007F0F0E"/>
    <w:rsid w:val="007F1FAD"/>
    <w:rsid w:val="00801A78"/>
    <w:rsid w:val="008359EE"/>
    <w:rsid w:val="00836F4D"/>
    <w:rsid w:val="008437C7"/>
    <w:rsid w:val="0085631F"/>
    <w:rsid w:val="008603AC"/>
    <w:rsid w:val="00866FE9"/>
    <w:rsid w:val="008838B4"/>
    <w:rsid w:val="00885506"/>
    <w:rsid w:val="0089385B"/>
    <w:rsid w:val="0089680D"/>
    <w:rsid w:val="008C0895"/>
    <w:rsid w:val="008C4ABB"/>
    <w:rsid w:val="008C557E"/>
    <w:rsid w:val="008F52DB"/>
    <w:rsid w:val="00912999"/>
    <w:rsid w:val="00920D3C"/>
    <w:rsid w:val="0093730E"/>
    <w:rsid w:val="0095027E"/>
    <w:rsid w:val="00954093"/>
    <w:rsid w:val="0096385E"/>
    <w:rsid w:val="00986DB7"/>
    <w:rsid w:val="00994488"/>
    <w:rsid w:val="009A5700"/>
    <w:rsid w:val="009B0425"/>
    <w:rsid w:val="009B17F5"/>
    <w:rsid w:val="009C2F9D"/>
    <w:rsid w:val="009D71A1"/>
    <w:rsid w:val="009E3B23"/>
    <w:rsid w:val="009F43EB"/>
    <w:rsid w:val="00A04B2D"/>
    <w:rsid w:val="00A23333"/>
    <w:rsid w:val="00A235F2"/>
    <w:rsid w:val="00A30B3D"/>
    <w:rsid w:val="00A32F30"/>
    <w:rsid w:val="00A446C1"/>
    <w:rsid w:val="00A46ECB"/>
    <w:rsid w:val="00A502CF"/>
    <w:rsid w:val="00A6607C"/>
    <w:rsid w:val="00A83BCD"/>
    <w:rsid w:val="00A85784"/>
    <w:rsid w:val="00A93A81"/>
    <w:rsid w:val="00AA2BF9"/>
    <w:rsid w:val="00AB18D1"/>
    <w:rsid w:val="00AE1AA7"/>
    <w:rsid w:val="00AE3113"/>
    <w:rsid w:val="00AF41C6"/>
    <w:rsid w:val="00B00102"/>
    <w:rsid w:val="00B00994"/>
    <w:rsid w:val="00B20687"/>
    <w:rsid w:val="00B2615E"/>
    <w:rsid w:val="00B32166"/>
    <w:rsid w:val="00B36740"/>
    <w:rsid w:val="00B52226"/>
    <w:rsid w:val="00B53850"/>
    <w:rsid w:val="00B6474B"/>
    <w:rsid w:val="00B722C2"/>
    <w:rsid w:val="00B830FE"/>
    <w:rsid w:val="00B94ABA"/>
    <w:rsid w:val="00BA02CC"/>
    <w:rsid w:val="00BB0104"/>
    <w:rsid w:val="00BE0520"/>
    <w:rsid w:val="00C005FC"/>
    <w:rsid w:val="00C00C8C"/>
    <w:rsid w:val="00C02F16"/>
    <w:rsid w:val="00C51A12"/>
    <w:rsid w:val="00C8114D"/>
    <w:rsid w:val="00C82F45"/>
    <w:rsid w:val="00C846ED"/>
    <w:rsid w:val="00C97F90"/>
    <w:rsid w:val="00CA5065"/>
    <w:rsid w:val="00CA5BC7"/>
    <w:rsid w:val="00CB333F"/>
    <w:rsid w:val="00D10599"/>
    <w:rsid w:val="00D24661"/>
    <w:rsid w:val="00D24C95"/>
    <w:rsid w:val="00D31140"/>
    <w:rsid w:val="00D4474F"/>
    <w:rsid w:val="00D667D1"/>
    <w:rsid w:val="00D67E10"/>
    <w:rsid w:val="00D733F4"/>
    <w:rsid w:val="00D80FFE"/>
    <w:rsid w:val="00D96931"/>
    <w:rsid w:val="00DC0632"/>
    <w:rsid w:val="00DE3F41"/>
    <w:rsid w:val="00DF4498"/>
    <w:rsid w:val="00DF4F40"/>
    <w:rsid w:val="00E170CD"/>
    <w:rsid w:val="00E254C7"/>
    <w:rsid w:val="00E6288A"/>
    <w:rsid w:val="00E6424E"/>
    <w:rsid w:val="00E73905"/>
    <w:rsid w:val="00E849D3"/>
    <w:rsid w:val="00E86EB1"/>
    <w:rsid w:val="00EC667A"/>
    <w:rsid w:val="00ED30BD"/>
    <w:rsid w:val="00ED7F7D"/>
    <w:rsid w:val="00EF06D0"/>
    <w:rsid w:val="00EF0B40"/>
    <w:rsid w:val="00EF39E7"/>
    <w:rsid w:val="00F042BD"/>
    <w:rsid w:val="00F05CB3"/>
    <w:rsid w:val="00F1174A"/>
    <w:rsid w:val="00F3258A"/>
    <w:rsid w:val="00F464DF"/>
    <w:rsid w:val="00F532FC"/>
    <w:rsid w:val="00F5558A"/>
    <w:rsid w:val="00F5704C"/>
    <w:rsid w:val="00F70088"/>
    <w:rsid w:val="00F8666C"/>
    <w:rsid w:val="00F872FE"/>
    <w:rsid w:val="00F97B8B"/>
    <w:rsid w:val="00FA260C"/>
    <w:rsid w:val="00FA2AF4"/>
    <w:rsid w:val="00FA6E77"/>
    <w:rsid w:val="00FB3FEA"/>
    <w:rsid w:val="00FC5C54"/>
    <w:rsid w:val="00FC6284"/>
    <w:rsid w:val="00FD5F62"/>
    <w:rsid w:val="00FF55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194B7"/>
  <w15:docId w15:val="{33FA82BA-176D-4250-A330-DF830CC5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56637"/>
    <w:pPr>
      <w:spacing w:after="0" w:line="240" w:lineRule="auto"/>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9B042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E31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2F9D"/>
    <w:pPr>
      <w:spacing w:before="100" w:beforeAutospacing="1" w:after="100" w:afterAutospacing="1" w:line="240" w:lineRule="auto"/>
    </w:pPr>
    <w:rPr>
      <w:rFonts w:eastAsia="Times New Roman" w:cs="Times New Roman"/>
      <w:szCs w:val="24"/>
      <w:lang w:eastAsia="tr-TR"/>
    </w:rPr>
  </w:style>
  <w:style w:type="paragraph" w:styleId="ListeParagraf">
    <w:name w:val="List Paragraph"/>
    <w:basedOn w:val="Normal"/>
    <w:uiPriority w:val="34"/>
    <w:qFormat/>
    <w:rsid w:val="0065090D"/>
    <w:pPr>
      <w:ind w:left="720"/>
      <w:contextualSpacing/>
    </w:pPr>
  </w:style>
  <w:style w:type="paragraph" w:styleId="stBilgi">
    <w:name w:val="header"/>
    <w:basedOn w:val="Normal"/>
    <w:link w:val="stBilgiChar"/>
    <w:uiPriority w:val="99"/>
    <w:unhideWhenUsed/>
    <w:rsid w:val="00AA2B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2BF9"/>
  </w:style>
  <w:style w:type="paragraph" w:styleId="AltBilgi">
    <w:name w:val="footer"/>
    <w:basedOn w:val="Normal"/>
    <w:link w:val="AltBilgiChar"/>
    <w:uiPriority w:val="99"/>
    <w:unhideWhenUsed/>
    <w:rsid w:val="00AA2B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2BF9"/>
  </w:style>
  <w:style w:type="paragraph" w:customStyle="1" w:styleId="a">
    <w:basedOn w:val="Normal"/>
    <w:next w:val="AltBilgi"/>
    <w:link w:val="AltbilgiChar0"/>
    <w:uiPriority w:val="99"/>
    <w:unhideWhenUsed/>
    <w:rsid w:val="00AA2BF9"/>
    <w:pPr>
      <w:tabs>
        <w:tab w:val="center" w:pos="4536"/>
        <w:tab w:val="right" w:pos="9072"/>
      </w:tabs>
      <w:spacing w:after="200" w:line="276" w:lineRule="auto"/>
    </w:pPr>
    <w:rPr>
      <w:sz w:val="22"/>
    </w:rPr>
  </w:style>
  <w:style w:type="character" w:customStyle="1" w:styleId="AltbilgiChar0">
    <w:name w:val="Altbilgi Char"/>
    <w:basedOn w:val="VarsaylanParagrafYazTipi"/>
    <w:link w:val="a"/>
    <w:uiPriority w:val="99"/>
    <w:rsid w:val="00AA2BF9"/>
    <w:rPr>
      <w:sz w:val="22"/>
      <w:szCs w:val="22"/>
      <w:lang w:eastAsia="en-US"/>
    </w:rPr>
  </w:style>
  <w:style w:type="paragraph" w:styleId="BalonMetni">
    <w:name w:val="Balloon Text"/>
    <w:basedOn w:val="Normal"/>
    <w:link w:val="BalonMetniChar"/>
    <w:uiPriority w:val="99"/>
    <w:semiHidden/>
    <w:unhideWhenUsed/>
    <w:rsid w:val="00F700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0088"/>
    <w:rPr>
      <w:rFonts w:ascii="Tahoma" w:hAnsi="Tahoma" w:cs="Tahoma"/>
      <w:sz w:val="16"/>
      <w:szCs w:val="16"/>
    </w:rPr>
  </w:style>
  <w:style w:type="table" w:customStyle="1" w:styleId="TableGrid">
    <w:name w:val="TableGrid"/>
    <w:rsid w:val="002B6771"/>
    <w:pPr>
      <w:spacing w:after="0" w:line="240" w:lineRule="auto"/>
    </w:pPr>
    <w:rPr>
      <w:rFonts w:asciiTheme="minorHAnsi" w:eastAsiaTheme="minorEastAsia" w:hAnsiTheme="minorHAnsi"/>
      <w:sz w:val="22"/>
      <w:lang w:eastAsia="tr-TR"/>
    </w:rPr>
    <w:tblPr>
      <w:tblCellMar>
        <w:top w:w="0" w:type="dxa"/>
        <w:left w:w="0" w:type="dxa"/>
        <w:bottom w:w="0" w:type="dxa"/>
        <w:right w:w="0" w:type="dxa"/>
      </w:tblCellMar>
    </w:tblPr>
  </w:style>
  <w:style w:type="table" w:customStyle="1" w:styleId="TabloKlavuzu5">
    <w:name w:val="Tablo Kılavuzu5"/>
    <w:basedOn w:val="NormalTablo"/>
    <w:uiPriority w:val="39"/>
    <w:rsid w:val="008437C7"/>
    <w:pPr>
      <w:spacing w:after="0" w:line="240" w:lineRule="auto"/>
    </w:pPr>
    <w:rPr>
      <w:rFonts w:asciiTheme="minorHAnsi" w:eastAsia="Malgun Gothic" w:hAnsiTheme="minorHAnsi"/>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3123B"/>
    <w:rPr>
      <w:color w:val="0563C1" w:themeColor="hyperlink"/>
      <w:u w:val="single"/>
    </w:rPr>
  </w:style>
  <w:style w:type="character" w:styleId="zmlenmeyenBahsetme">
    <w:name w:val="Unresolved Mention"/>
    <w:basedOn w:val="VarsaylanParagrafYazTipi"/>
    <w:uiPriority w:val="99"/>
    <w:semiHidden/>
    <w:unhideWhenUsed/>
    <w:rsid w:val="00631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02833">
      <w:bodyDiv w:val="1"/>
      <w:marLeft w:val="0"/>
      <w:marRight w:val="0"/>
      <w:marTop w:val="0"/>
      <w:marBottom w:val="0"/>
      <w:divBdr>
        <w:top w:val="none" w:sz="0" w:space="0" w:color="auto"/>
        <w:left w:val="none" w:sz="0" w:space="0" w:color="auto"/>
        <w:bottom w:val="none" w:sz="0" w:space="0" w:color="auto"/>
        <w:right w:val="none" w:sz="0" w:space="0" w:color="auto"/>
      </w:divBdr>
    </w:div>
    <w:div w:id="1404372152">
      <w:bodyDiv w:val="1"/>
      <w:marLeft w:val="0"/>
      <w:marRight w:val="0"/>
      <w:marTop w:val="0"/>
      <w:marBottom w:val="0"/>
      <w:divBdr>
        <w:top w:val="none" w:sz="0" w:space="0" w:color="auto"/>
        <w:left w:val="none" w:sz="0" w:space="0" w:color="auto"/>
        <w:bottom w:val="none" w:sz="0" w:space="0" w:color="auto"/>
        <w:right w:val="none" w:sz="0" w:space="0" w:color="auto"/>
      </w:divBdr>
      <w:divsChild>
        <w:div w:id="711929761">
          <w:marLeft w:val="480"/>
          <w:marRight w:val="0"/>
          <w:marTop w:val="0"/>
          <w:marBottom w:val="0"/>
          <w:divBdr>
            <w:top w:val="none" w:sz="0" w:space="0" w:color="auto"/>
            <w:left w:val="none" w:sz="0" w:space="0" w:color="auto"/>
            <w:bottom w:val="none" w:sz="0" w:space="0" w:color="auto"/>
            <w:right w:val="none" w:sz="0" w:space="0" w:color="auto"/>
          </w:divBdr>
          <w:divsChild>
            <w:div w:id="928542033">
              <w:marLeft w:val="0"/>
              <w:marRight w:val="0"/>
              <w:marTop w:val="0"/>
              <w:marBottom w:val="0"/>
              <w:divBdr>
                <w:top w:val="none" w:sz="0" w:space="0" w:color="auto"/>
                <w:left w:val="none" w:sz="0" w:space="0" w:color="auto"/>
                <w:bottom w:val="none" w:sz="0" w:space="0" w:color="auto"/>
                <w:right w:val="none" w:sz="0" w:space="0" w:color="auto"/>
              </w:divBdr>
            </w:div>
            <w:div w:id="1882940693">
              <w:marLeft w:val="0"/>
              <w:marRight w:val="0"/>
              <w:marTop w:val="0"/>
              <w:marBottom w:val="0"/>
              <w:divBdr>
                <w:top w:val="none" w:sz="0" w:space="0" w:color="auto"/>
                <w:left w:val="none" w:sz="0" w:space="0" w:color="auto"/>
                <w:bottom w:val="none" w:sz="0" w:space="0" w:color="auto"/>
                <w:right w:val="none" w:sz="0" w:space="0" w:color="auto"/>
              </w:divBdr>
            </w:div>
            <w:div w:id="2138402017">
              <w:marLeft w:val="0"/>
              <w:marRight w:val="0"/>
              <w:marTop w:val="0"/>
              <w:marBottom w:val="0"/>
              <w:divBdr>
                <w:top w:val="none" w:sz="0" w:space="0" w:color="auto"/>
                <w:left w:val="none" w:sz="0" w:space="0" w:color="auto"/>
                <w:bottom w:val="none" w:sz="0" w:space="0" w:color="auto"/>
                <w:right w:val="none" w:sz="0" w:space="0" w:color="auto"/>
              </w:divBdr>
            </w:div>
            <w:div w:id="44315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4235">
      <w:bodyDiv w:val="1"/>
      <w:marLeft w:val="0"/>
      <w:marRight w:val="0"/>
      <w:marTop w:val="0"/>
      <w:marBottom w:val="0"/>
      <w:divBdr>
        <w:top w:val="none" w:sz="0" w:space="0" w:color="auto"/>
        <w:left w:val="none" w:sz="0" w:space="0" w:color="auto"/>
        <w:bottom w:val="none" w:sz="0" w:space="0" w:color="auto"/>
        <w:right w:val="none" w:sz="0" w:space="0" w:color="auto"/>
      </w:divBdr>
      <w:divsChild>
        <w:div w:id="2168412">
          <w:marLeft w:val="480"/>
          <w:marRight w:val="0"/>
          <w:marTop w:val="0"/>
          <w:marBottom w:val="0"/>
          <w:divBdr>
            <w:top w:val="none" w:sz="0" w:space="0" w:color="auto"/>
            <w:left w:val="none" w:sz="0" w:space="0" w:color="auto"/>
            <w:bottom w:val="none" w:sz="0" w:space="0" w:color="auto"/>
            <w:right w:val="none" w:sz="0" w:space="0" w:color="auto"/>
          </w:divBdr>
          <w:divsChild>
            <w:div w:id="2016877889">
              <w:marLeft w:val="0"/>
              <w:marRight w:val="0"/>
              <w:marTop w:val="0"/>
              <w:marBottom w:val="0"/>
              <w:divBdr>
                <w:top w:val="none" w:sz="0" w:space="0" w:color="auto"/>
                <w:left w:val="none" w:sz="0" w:space="0" w:color="auto"/>
                <w:bottom w:val="none" w:sz="0" w:space="0" w:color="auto"/>
                <w:right w:val="none" w:sz="0" w:space="0" w:color="auto"/>
              </w:divBdr>
            </w:div>
            <w:div w:id="1248731370">
              <w:marLeft w:val="0"/>
              <w:marRight w:val="0"/>
              <w:marTop w:val="0"/>
              <w:marBottom w:val="0"/>
              <w:divBdr>
                <w:top w:val="none" w:sz="0" w:space="0" w:color="auto"/>
                <w:left w:val="none" w:sz="0" w:space="0" w:color="auto"/>
                <w:bottom w:val="none" w:sz="0" w:space="0" w:color="auto"/>
                <w:right w:val="none" w:sz="0" w:space="0" w:color="auto"/>
              </w:divBdr>
            </w:div>
            <w:div w:id="978605694">
              <w:marLeft w:val="0"/>
              <w:marRight w:val="0"/>
              <w:marTop w:val="0"/>
              <w:marBottom w:val="0"/>
              <w:divBdr>
                <w:top w:val="none" w:sz="0" w:space="0" w:color="auto"/>
                <w:left w:val="none" w:sz="0" w:space="0" w:color="auto"/>
                <w:bottom w:val="none" w:sz="0" w:space="0" w:color="auto"/>
                <w:right w:val="none" w:sz="0" w:space="0" w:color="auto"/>
              </w:divBdr>
            </w:div>
            <w:div w:id="11825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ancers170508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186/s12955-018-0850-x" TargetMode="External"/><Relationship Id="rId4" Type="http://schemas.openxmlformats.org/officeDocument/2006/relationships/settings" Target="settings.xml"/><Relationship Id="rId9" Type="http://schemas.openxmlformats.org/officeDocument/2006/relationships/hyperlink" Target="https://doi.org/10.3390/medicina6109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ECA-6AC3-4FFD-8690-5D28CFF2E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747</Words>
  <Characters>4259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YAĞMUR ARAS</dc:creator>
  <cp:lastModifiedBy>Reviewer</cp:lastModifiedBy>
  <cp:revision>3</cp:revision>
  <cp:lastPrinted>2025-04-20T11:55:00Z</cp:lastPrinted>
  <dcterms:created xsi:type="dcterms:W3CDTF">2025-10-22T17:29:00Z</dcterms:created>
  <dcterms:modified xsi:type="dcterms:W3CDTF">2025-10-22T18:05:00Z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id="luZHINm7"/&gt;&lt;style id="http://www.zotero.org/styles/apa" locale="tr-TR" hasBibliography="1" bibliographyStyleHasBeenSet="0"/&gt;&lt;prefs&gt;&lt;pref name="fieldType" value="Field"/&gt;&lt;/prefs&gt;&lt;/data&gt;</vt:lpwstr>
  </property>
</Properties>
</file>