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2C63" w14:textId="77777777" w:rsidR="00CE23E9" w:rsidRDefault="007E2ADE" w:rsidP="0091499B">
      <w:pPr>
        <w:rPr>
          <w:rFonts w:ascii="Times New Roman" w:hAnsi="Times New Roman" w:cs="Times New Roman"/>
          <w:b/>
          <w:sz w:val="24"/>
          <w:szCs w:val="24"/>
        </w:rPr>
      </w:pPr>
      <w:r>
        <w:rPr>
          <w:rFonts w:ascii="Times New Roman" w:hAnsi="Times New Roman" w:cs="Times New Roman"/>
          <w:b/>
          <w:sz w:val="24"/>
          <w:szCs w:val="24"/>
        </w:rPr>
        <w:t>Çölyak Diyetine Uyum Ölçeği</w:t>
      </w:r>
    </w:p>
    <w:p w14:paraId="13FDBA7E" w14:textId="77777777" w:rsidR="00781446" w:rsidRPr="00130D21" w:rsidRDefault="00781446" w:rsidP="00781446">
      <w:pPr>
        <w:jc w:val="both"/>
        <w:rPr>
          <w:rFonts w:ascii="Times New Roman" w:hAnsi="Times New Roman" w:cs="Times New Roman"/>
          <w:sz w:val="24"/>
          <w:szCs w:val="24"/>
        </w:rPr>
      </w:pPr>
      <w:r w:rsidRPr="00130D21">
        <w:rPr>
          <w:rFonts w:ascii="Times New Roman" w:hAnsi="Times New Roman" w:cs="Times New Roman"/>
          <w:sz w:val="24"/>
          <w:szCs w:val="24"/>
        </w:rPr>
        <w:t xml:space="preserve">Bu anket, çölyak hastalığında </w:t>
      </w:r>
      <w:r>
        <w:rPr>
          <w:rFonts w:ascii="Times New Roman" w:hAnsi="Times New Roman" w:cs="Times New Roman"/>
          <w:sz w:val="24"/>
          <w:szCs w:val="24"/>
        </w:rPr>
        <w:t>glütensiz diyete uyumu</w:t>
      </w:r>
      <w:r w:rsidRPr="00130D21">
        <w:rPr>
          <w:rFonts w:ascii="Times New Roman" w:hAnsi="Times New Roman" w:cs="Times New Roman"/>
          <w:sz w:val="24"/>
          <w:szCs w:val="24"/>
        </w:rPr>
        <w:t xml:space="preserve"> değerlendirmek için hazırlanmıştır. Lütfen aşağıdaki formu mümkün olduğunca doğru ve eksiksiz olarak doldurunuz. Doğru ya da yanlış cevap yoktur. Tüm yanıtlarınız gizlidir. Lütfen soruya verdiğiniz yanıtı en iyi tanımlayan kutucuğu işaretleyiniz.</w:t>
      </w:r>
    </w:p>
    <w:p w14:paraId="07E8362A" w14:textId="77777777" w:rsidR="00781446" w:rsidRDefault="00781446" w:rsidP="0091499B">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7"/>
        <w:gridCol w:w="1963"/>
        <w:gridCol w:w="1274"/>
        <w:gridCol w:w="1274"/>
        <w:gridCol w:w="1428"/>
        <w:gridCol w:w="1428"/>
        <w:gridCol w:w="1428"/>
      </w:tblGrid>
      <w:tr w:rsidR="003427F6" w14:paraId="1DA01572" w14:textId="77777777" w:rsidTr="00E16262">
        <w:tc>
          <w:tcPr>
            <w:tcW w:w="306" w:type="dxa"/>
          </w:tcPr>
          <w:p w14:paraId="72729A2F" w14:textId="77777777" w:rsidR="003427F6" w:rsidRDefault="003427F6" w:rsidP="0091499B">
            <w:pPr>
              <w:rPr>
                <w:b/>
              </w:rPr>
            </w:pPr>
          </w:p>
        </w:tc>
        <w:tc>
          <w:tcPr>
            <w:tcW w:w="2048" w:type="dxa"/>
          </w:tcPr>
          <w:p w14:paraId="3191EE5E" w14:textId="77777777" w:rsidR="003427F6" w:rsidRDefault="003427F6" w:rsidP="0091499B">
            <w:pPr>
              <w:rPr>
                <w:b/>
              </w:rPr>
            </w:pPr>
          </w:p>
        </w:tc>
        <w:tc>
          <w:tcPr>
            <w:tcW w:w="1298" w:type="dxa"/>
          </w:tcPr>
          <w:p w14:paraId="46725833" w14:textId="77777777" w:rsidR="003427F6" w:rsidRDefault="00717DDC" w:rsidP="00336B60">
            <w:pPr>
              <w:jc w:val="center"/>
              <w:rPr>
                <w:b/>
              </w:rPr>
            </w:pPr>
            <w:r>
              <w:rPr>
                <w:b/>
              </w:rPr>
              <w:t>1</w:t>
            </w:r>
          </w:p>
        </w:tc>
        <w:tc>
          <w:tcPr>
            <w:tcW w:w="1298" w:type="dxa"/>
          </w:tcPr>
          <w:p w14:paraId="2BAE8461" w14:textId="77777777" w:rsidR="003427F6" w:rsidRDefault="00717DDC" w:rsidP="00336B60">
            <w:pPr>
              <w:jc w:val="center"/>
              <w:rPr>
                <w:b/>
              </w:rPr>
            </w:pPr>
            <w:r>
              <w:rPr>
                <w:b/>
              </w:rPr>
              <w:t>2</w:t>
            </w:r>
          </w:p>
        </w:tc>
        <w:tc>
          <w:tcPr>
            <w:tcW w:w="1446" w:type="dxa"/>
          </w:tcPr>
          <w:p w14:paraId="61194DA2" w14:textId="77777777" w:rsidR="003427F6" w:rsidRDefault="00717DDC" w:rsidP="00336B60">
            <w:pPr>
              <w:jc w:val="center"/>
              <w:rPr>
                <w:b/>
              </w:rPr>
            </w:pPr>
            <w:r>
              <w:rPr>
                <w:b/>
              </w:rPr>
              <w:t>3</w:t>
            </w:r>
          </w:p>
        </w:tc>
        <w:tc>
          <w:tcPr>
            <w:tcW w:w="1446" w:type="dxa"/>
          </w:tcPr>
          <w:p w14:paraId="22C43C3C" w14:textId="77777777" w:rsidR="003427F6" w:rsidRDefault="00717DDC" w:rsidP="00336B60">
            <w:pPr>
              <w:jc w:val="center"/>
              <w:rPr>
                <w:b/>
              </w:rPr>
            </w:pPr>
            <w:r>
              <w:rPr>
                <w:b/>
              </w:rPr>
              <w:t>4</w:t>
            </w:r>
          </w:p>
        </w:tc>
        <w:tc>
          <w:tcPr>
            <w:tcW w:w="1446" w:type="dxa"/>
          </w:tcPr>
          <w:p w14:paraId="5D47915A" w14:textId="77777777" w:rsidR="003427F6" w:rsidRDefault="00717DDC" w:rsidP="00336B60">
            <w:pPr>
              <w:jc w:val="center"/>
              <w:rPr>
                <w:b/>
              </w:rPr>
            </w:pPr>
            <w:r>
              <w:rPr>
                <w:b/>
              </w:rPr>
              <w:t>5</w:t>
            </w:r>
          </w:p>
        </w:tc>
      </w:tr>
      <w:tr w:rsidR="003427F6" w14:paraId="0631CA92" w14:textId="77777777" w:rsidTr="00E16262">
        <w:trPr>
          <w:trHeight w:val="762"/>
        </w:trPr>
        <w:tc>
          <w:tcPr>
            <w:tcW w:w="306" w:type="dxa"/>
          </w:tcPr>
          <w:p w14:paraId="21637189" w14:textId="77777777" w:rsidR="003427F6" w:rsidRPr="003427F6" w:rsidRDefault="003427F6" w:rsidP="003427F6">
            <w:pPr>
              <w:pStyle w:val="ListeParagraf"/>
              <w:numPr>
                <w:ilvl w:val="0"/>
                <w:numId w:val="1"/>
              </w:numPr>
              <w:ind w:left="284" w:hanging="284"/>
              <w:rPr>
                <w:b/>
              </w:rPr>
            </w:pPr>
          </w:p>
        </w:tc>
        <w:tc>
          <w:tcPr>
            <w:tcW w:w="2048" w:type="dxa"/>
          </w:tcPr>
          <w:p w14:paraId="7F07544E" w14:textId="77777777" w:rsidR="003427F6" w:rsidRPr="003427F6" w:rsidRDefault="003427F6" w:rsidP="0091499B">
            <w:r w:rsidRPr="003427F6">
              <w:t>Son 4 haftadır enerjinizin düşüklüğünden rahatsız oldunuz mu?</w:t>
            </w:r>
          </w:p>
        </w:tc>
        <w:tc>
          <w:tcPr>
            <w:tcW w:w="1298" w:type="dxa"/>
          </w:tcPr>
          <w:p w14:paraId="573A35BC" w14:textId="77777777" w:rsidR="003427F6" w:rsidRPr="00C941DF" w:rsidRDefault="00C941DF" w:rsidP="00336B60">
            <w:pPr>
              <w:jc w:val="center"/>
            </w:pPr>
            <w:r w:rsidRPr="00C941DF">
              <w:t>Hiçbir zaman</w:t>
            </w:r>
          </w:p>
        </w:tc>
        <w:tc>
          <w:tcPr>
            <w:tcW w:w="1298" w:type="dxa"/>
          </w:tcPr>
          <w:p w14:paraId="6F2C61CF" w14:textId="77777777" w:rsidR="003427F6" w:rsidRPr="00C941DF" w:rsidRDefault="00C941DF" w:rsidP="00336B60">
            <w:pPr>
              <w:jc w:val="center"/>
            </w:pPr>
            <w:r w:rsidRPr="00C941DF">
              <w:t>Nadiren</w:t>
            </w:r>
          </w:p>
        </w:tc>
        <w:tc>
          <w:tcPr>
            <w:tcW w:w="1446" w:type="dxa"/>
          </w:tcPr>
          <w:p w14:paraId="14B12D5A" w14:textId="77777777" w:rsidR="003427F6" w:rsidRPr="00C941DF" w:rsidRDefault="00C941DF" w:rsidP="00336B60">
            <w:pPr>
              <w:jc w:val="center"/>
            </w:pPr>
            <w:r w:rsidRPr="00C941DF">
              <w:t>Bazen</w:t>
            </w:r>
          </w:p>
        </w:tc>
        <w:tc>
          <w:tcPr>
            <w:tcW w:w="1446" w:type="dxa"/>
          </w:tcPr>
          <w:p w14:paraId="6C257F94" w14:textId="77777777" w:rsidR="003427F6" w:rsidRPr="00C941DF" w:rsidRDefault="00C941DF" w:rsidP="00336B60">
            <w:pPr>
              <w:jc w:val="center"/>
            </w:pPr>
            <w:r w:rsidRPr="00C941DF">
              <w:t>Çoğu zaman</w:t>
            </w:r>
          </w:p>
        </w:tc>
        <w:tc>
          <w:tcPr>
            <w:tcW w:w="1446" w:type="dxa"/>
          </w:tcPr>
          <w:p w14:paraId="759C3F35" w14:textId="77777777" w:rsidR="003427F6" w:rsidRPr="00C941DF" w:rsidRDefault="00C941DF" w:rsidP="00336B60">
            <w:pPr>
              <w:jc w:val="center"/>
            </w:pPr>
            <w:r w:rsidRPr="00C941DF">
              <w:t>Her zaman</w:t>
            </w:r>
          </w:p>
        </w:tc>
      </w:tr>
      <w:tr w:rsidR="00E16262" w14:paraId="281E00DC" w14:textId="77777777" w:rsidTr="00E16262">
        <w:tc>
          <w:tcPr>
            <w:tcW w:w="306" w:type="dxa"/>
          </w:tcPr>
          <w:p w14:paraId="3F34EF52" w14:textId="77777777" w:rsidR="00E16262" w:rsidRPr="003427F6" w:rsidRDefault="00E16262" w:rsidP="003427F6">
            <w:pPr>
              <w:pStyle w:val="ListeParagraf"/>
              <w:numPr>
                <w:ilvl w:val="0"/>
                <w:numId w:val="1"/>
              </w:numPr>
              <w:ind w:left="284" w:hanging="284"/>
              <w:rPr>
                <w:b/>
              </w:rPr>
            </w:pPr>
          </w:p>
        </w:tc>
        <w:tc>
          <w:tcPr>
            <w:tcW w:w="2048" w:type="dxa"/>
          </w:tcPr>
          <w:p w14:paraId="6CCE040A" w14:textId="77777777" w:rsidR="00E16262" w:rsidRPr="003427F6" w:rsidRDefault="00E16262" w:rsidP="0091499B">
            <w:r w:rsidRPr="003427F6">
              <w:t xml:space="preserve">Son 4 haftadır baş ağrısından </w:t>
            </w:r>
            <w:proofErr w:type="gramStart"/>
            <w:r w:rsidRPr="003427F6">
              <w:t>şikayetiniz</w:t>
            </w:r>
            <w:proofErr w:type="gramEnd"/>
            <w:r w:rsidRPr="003427F6">
              <w:t xml:space="preserve"> var mı?</w:t>
            </w:r>
          </w:p>
        </w:tc>
        <w:tc>
          <w:tcPr>
            <w:tcW w:w="1298" w:type="dxa"/>
          </w:tcPr>
          <w:p w14:paraId="367DD903" w14:textId="77777777" w:rsidR="00E16262" w:rsidRPr="00C941DF" w:rsidRDefault="00E16262" w:rsidP="00336B60">
            <w:pPr>
              <w:jc w:val="center"/>
            </w:pPr>
            <w:r w:rsidRPr="00C941DF">
              <w:t>Hiçbir zaman</w:t>
            </w:r>
          </w:p>
        </w:tc>
        <w:tc>
          <w:tcPr>
            <w:tcW w:w="1298" w:type="dxa"/>
          </w:tcPr>
          <w:p w14:paraId="14FB18CA" w14:textId="77777777" w:rsidR="00E16262" w:rsidRPr="00C941DF" w:rsidRDefault="00E16262" w:rsidP="00336B60">
            <w:pPr>
              <w:jc w:val="center"/>
            </w:pPr>
            <w:r w:rsidRPr="00C941DF">
              <w:t>Nadiren</w:t>
            </w:r>
          </w:p>
        </w:tc>
        <w:tc>
          <w:tcPr>
            <w:tcW w:w="1446" w:type="dxa"/>
          </w:tcPr>
          <w:p w14:paraId="7FF2C8E8" w14:textId="77777777" w:rsidR="00E16262" w:rsidRPr="00C941DF" w:rsidRDefault="00E16262" w:rsidP="00336B60">
            <w:pPr>
              <w:jc w:val="center"/>
            </w:pPr>
            <w:r w:rsidRPr="00C941DF">
              <w:t>Bazen</w:t>
            </w:r>
          </w:p>
        </w:tc>
        <w:tc>
          <w:tcPr>
            <w:tcW w:w="1446" w:type="dxa"/>
          </w:tcPr>
          <w:p w14:paraId="20127015" w14:textId="77777777" w:rsidR="00E16262" w:rsidRPr="00C941DF" w:rsidRDefault="00E16262" w:rsidP="00336B60">
            <w:pPr>
              <w:jc w:val="center"/>
            </w:pPr>
            <w:r w:rsidRPr="00C941DF">
              <w:t>Çoğu zaman</w:t>
            </w:r>
          </w:p>
        </w:tc>
        <w:tc>
          <w:tcPr>
            <w:tcW w:w="1446" w:type="dxa"/>
          </w:tcPr>
          <w:p w14:paraId="7E629C95" w14:textId="77777777" w:rsidR="00E16262" w:rsidRPr="00C941DF" w:rsidRDefault="00E16262" w:rsidP="00336B60">
            <w:pPr>
              <w:jc w:val="center"/>
            </w:pPr>
            <w:r w:rsidRPr="00C941DF">
              <w:t>Her zaman</w:t>
            </w:r>
          </w:p>
        </w:tc>
      </w:tr>
      <w:tr w:rsidR="00E16262" w14:paraId="22675451" w14:textId="77777777" w:rsidTr="00E16262">
        <w:tc>
          <w:tcPr>
            <w:tcW w:w="306" w:type="dxa"/>
          </w:tcPr>
          <w:p w14:paraId="2213ADCC" w14:textId="77777777" w:rsidR="00E16262" w:rsidRPr="003427F6" w:rsidRDefault="00E16262" w:rsidP="003427F6">
            <w:pPr>
              <w:pStyle w:val="ListeParagraf"/>
              <w:numPr>
                <w:ilvl w:val="0"/>
                <w:numId w:val="1"/>
              </w:numPr>
              <w:ind w:left="284" w:hanging="284"/>
              <w:rPr>
                <w:b/>
              </w:rPr>
            </w:pPr>
          </w:p>
        </w:tc>
        <w:tc>
          <w:tcPr>
            <w:tcW w:w="2048" w:type="dxa"/>
          </w:tcPr>
          <w:p w14:paraId="67FF3596" w14:textId="77777777" w:rsidR="00E16262" w:rsidRPr="003427F6" w:rsidRDefault="00E16262" w:rsidP="0091499B">
            <w:r w:rsidRPr="00203E74">
              <w:t>Evimin dışında yemek yediğimde glutensiz diyeti uygulayabiliyorum</w:t>
            </w:r>
          </w:p>
        </w:tc>
        <w:tc>
          <w:tcPr>
            <w:tcW w:w="1298" w:type="dxa"/>
          </w:tcPr>
          <w:p w14:paraId="44B7AA76" w14:textId="77777777" w:rsidR="00E16262" w:rsidRPr="00E16262" w:rsidRDefault="00E16262" w:rsidP="00336B60">
            <w:pPr>
              <w:jc w:val="center"/>
            </w:pPr>
            <w:r w:rsidRPr="00E16262">
              <w:t>Kesinlikle Katılıyorum</w:t>
            </w:r>
          </w:p>
        </w:tc>
        <w:tc>
          <w:tcPr>
            <w:tcW w:w="1298" w:type="dxa"/>
          </w:tcPr>
          <w:p w14:paraId="55134B14" w14:textId="77777777" w:rsidR="00E16262" w:rsidRPr="00E16262" w:rsidRDefault="00E16262" w:rsidP="00336B60">
            <w:pPr>
              <w:jc w:val="center"/>
            </w:pPr>
            <w:proofErr w:type="gramStart"/>
            <w:r w:rsidRPr="00E16262">
              <w:t>Kısmen  Katılıyorum</w:t>
            </w:r>
            <w:proofErr w:type="gramEnd"/>
          </w:p>
        </w:tc>
        <w:tc>
          <w:tcPr>
            <w:tcW w:w="1446" w:type="dxa"/>
          </w:tcPr>
          <w:p w14:paraId="603432C7" w14:textId="77777777" w:rsidR="00E16262" w:rsidRPr="00E16262" w:rsidRDefault="00E16262" w:rsidP="00336B60">
            <w:pPr>
              <w:jc w:val="center"/>
            </w:pPr>
            <w:r w:rsidRPr="00E16262">
              <w:t>Ne katılıyorum ne de katılmıyorum</w:t>
            </w:r>
          </w:p>
        </w:tc>
        <w:tc>
          <w:tcPr>
            <w:tcW w:w="1446" w:type="dxa"/>
          </w:tcPr>
          <w:p w14:paraId="4D8CE771" w14:textId="77777777" w:rsidR="00E16262" w:rsidRPr="00E16262" w:rsidRDefault="00E16262" w:rsidP="00336B60">
            <w:pPr>
              <w:jc w:val="center"/>
            </w:pPr>
            <w:r w:rsidRPr="00E16262">
              <w:t>Kısmen katılmıyorum</w:t>
            </w:r>
          </w:p>
        </w:tc>
        <w:tc>
          <w:tcPr>
            <w:tcW w:w="1446" w:type="dxa"/>
          </w:tcPr>
          <w:p w14:paraId="3197AA26" w14:textId="77777777" w:rsidR="00E16262" w:rsidRPr="00E16262" w:rsidRDefault="00E16262" w:rsidP="00336B60">
            <w:pPr>
              <w:jc w:val="center"/>
            </w:pPr>
            <w:r w:rsidRPr="00E16262">
              <w:t>Kesinlikle katılmıyorum</w:t>
            </w:r>
          </w:p>
        </w:tc>
      </w:tr>
      <w:tr w:rsidR="007E2ADE" w14:paraId="3CFB3B04" w14:textId="77777777" w:rsidTr="00E16262">
        <w:tc>
          <w:tcPr>
            <w:tcW w:w="306" w:type="dxa"/>
          </w:tcPr>
          <w:p w14:paraId="711A591A" w14:textId="77777777" w:rsidR="007E2ADE" w:rsidRPr="003427F6" w:rsidRDefault="007E2ADE" w:rsidP="003427F6">
            <w:pPr>
              <w:pStyle w:val="ListeParagraf"/>
              <w:numPr>
                <w:ilvl w:val="0"/>
                <w:numId w:val="1"/>
              </w:numPr>
              <w:ind w:left="284" w:hanging="284"/>
              <w:rPr>
                <w:b/>
              </w:rPr>
            </w:pPr>
          </w:p>
        </w:tc>
        <w:tc>
          <w:tcPr>
            <w:tcW w:w="2048" w:type="dxa"/>
          </w:tcPr>
          <w:p w14:paraId="1AD924B2" w14:textId="77777777" w:rsidR="007E2ADE" w:rsidRPr="003427F6" w:rsidRDefault="007E2ADE" w:rsidP="0091499B">
            <w:r w:rsidRPr="00203E74">
              <w:t>Bir şeyi yapmadan önce sonuçlarını dikkatlice düşünürüm</w:t>
            </w:r>
          </w:p>
        </w:tc>
        <w:tc>
          <w:tcPr>
            <w:tcW w:w="1298" w:type="dxa"/>
          </w:tcPr>
          <w:p w14:paraId="17618A06" w14:textId="77777777" w:rsidR="007E2ADE" w:rsidRPr="00E16262" w:rsidRDefault="007E2ADE" w:rsidP="00336B60">
            <w:pPr>
              <w:jc w:val="center"/>
            </w:pPr>
            <w:r w:rsidRPr="00E16262">
              <w:t>Kesinlikle Katılıyorum</w:t>
            </w:r>
          </w:p>
        </w:tc>
        <w:tc>
          <w:tcPr>
            <w:tcW w:w="1298" w:type="dxa"/>
          </w:tcPr>
          <w:p w14:paraId="13F8B4FD" w14:textId="77777777" w:rsidR="007E2ADE" w:rsidRPr="00E16262" w:rsidRDefault="007E2ADE" w:rsidP="00336B60">
            <w:pPr>
              <w:jc w:val="center"/>
            </w:pPr>
            <w:proofErr w:type="gramStart"/>
            <w:r w:rsidRPr="00E16262">
              <w:t>Kısmen  Katılıyorum</w:t>
            </w:r>
            <w:proofErr w:type="gramEnd"/>
          </w:p>
        </w:tc>
        <w:tc>
          <w:tcPr>
            <w:tcW w:w="1446" w:type="dxa"/>
          </w:tcPr>
          <w:p w14:paraId="47441937" w14:textId="77777777" w:rsidR="007E2ADE" w:rsidRPr="00E16262" w:rsidRDefault="007E2ADE" w:rsidP="00336B60">
            <w:pPr>
              <w:jc w:val="center"/>
            </w:pPr>
            <w:r w:rsidRPr="00E16262">
              <w:t>Ne katılıyorum ne de katılmıyorum</w:t>
            </w:r>
          </w:p>
        </w:tc>
        <w:tc>
          <w:tcPr>
            <w:tcW w:w="1446" w:type="dxa"/>
          </w:tcPr>
          <w:p w14:paraId="1A881B83" w14:textId="77777777" w:rsidR="007E2ADE" w:rsidRPr="00E16262" w:rsidRDefault="007E2ADE" w:rsidP="00336B60">
            <w:pPr>
              <w:jc w:val="center"/>
            </w:pPr>
            <w:r w:rsidRPr="00E16262">
              <w:t>Kısmen katılmıyorum</w:t>
            </w:r>
          </w:p>
        </w:tc>
        <w:tc>
          <w:tcPr>
            <w:tcW w:w="1446" w:type="dxa"/>
          </w:tcPr>
          <w:p w14:paraId="729443D5" w14:textId="77777777" w:rsidR="007E2ADE" w:rsidRPr="00E16262" w:rsidRDefault="007E2ADE" w:rsidP="00336B60">
            <w:pPr>
              <w:jc w:val="center"/>
            </w:pPr>
            <w:r w:rsidRPr="00E16262">
              <w:t>Kesinlikle katılmıyorum</w:t>
            </w:r>
          </w:p>
        </w:tc>
      </w:tr>
      <w:tr w:rsidR="00E16262" w14:paraId="60C97649" w14:textId="77777777" w:rsidTr="00E16262">
        <w:tc>
          <w:tcPr>
            <w:tcW w:w="306" w:type="dxa"/>
          </w:tcPr>
          <w:p w14:paraId="0D13CD04" w14:textId="77777777" w:rsidR="00E16262" w:rsidRPr="003427F6" w:rsidRDefault="00E16262" w:rsidP="003427F6">
            <w:pPr>
              <w:pStyle w:val="ListeParagraf"/>
              <w:numPr>
                <w:ilvl w:val="0"/>
                <w:numId w:val="1"/>
              </w:numPr>
              <w:ind w:left="284" w:hanging="284"/>
              <w:rPr>
                <w:b/>
              </w:rPr>
            </w:pPr>
          </w:p>
        </w:tc>
        <w:tc>
          <w:tcPr>
            <w:tcW w:w="2048" w:type="dxa"/>
          </w:tcPr>
          <w:p w14:paraId="4BACCDA5" w14:textId="77777777" w:rsidR="00E16262" w:rsidRPr="003427F6" w:rsidRDefault="00E16262" w:rsidP="0091499B">
            <w:r w:rsidRPr="00203E74">
              <w:t>Son dört hafta içinde kaç kez bilerek gluten içeren yiyecekler yediniz?</w:t>
            </w:r>
          </w:p>
        </w:tc>
        <w:tc>
          <w:tcPr>
            <w:tcW w:w="1298" w:type="dxa"/>
          </w:tcPr>
          <w:p w14:paraId="3F5A1FD0" w14:textId="77777777" w:rsidR="00E16262" w:rsidRPr="007E2ADE" w:rsidRDefault="007E2ADE" w:rsidP="00336B60">
            <w:pPr>
              <w:jc w:val="center"/>
            </w:pPr>
            <w:r w:rsidRPr="007E2ADE">
              <w:t>0 ( asla /hiç)</w:t>
            </w:r>
          </w:p>
        </w:tc>
        <w:tc>
          <w:tcPr>
            <w:tcW w:w="1298" w:type="dxa"/>
          </w:tcPr>
          <w:p w14:paraId="7F83457A" w14:textId="77777777" w:rsidR="00E16262" w:rsidRPr="007E2ADE" w:rsidRDefault="007E2ADE" w:rsidP="00336B60">
            <w:pPr>
              <w:jc w:val="center"/>
            </w:pPr>
            <w:r w:rsidRPr="007E2ADE">
              <w:t>1-2 kez</w:t>
            </w:r>
          </w:p>
        </w:tc>
        <w:tc>
          <w:tcPr>
            <w:tcW w:w="1446" w:type="dxa"/>
          </w:tcPr>
          <w:p w14:paraId="6A0D4E22" w14:textId="77777777" w:rsidR="00E16262" w:rsidRPr="007E2ADE" w:rsidRDefault="007E2ADE" w:rsidP="00336B60">
            <w:pPr>
              <w:jc w:val="center"/>
            </w:pPr>
            <w:r w:rsidRPr="007E2ADE">
              <w:t>3-5 kez</w:t>
            </w:r>
          </w:p>
        </w:tc>
        <w:tc>
          <w:tcPr>
            <w:tcW w:w="1446" w:type="dxa"/>
          </w:tcPr>
          <w:p w14:paraId="1B7B4F16" w14:textId="77777777" w:rsidR="00E16262" w:rsidRPr="007E2ADE" w:rsidRDefault="007E2ADE" w:rsidP="00336B60">
            <w:pPr>
              <w:jc w:val="center"/>
            </w:pPr>
            <w:r w:rsidRPr="007E2ADE">
              <w:t>6-10 kez</w:t>
            </w:r>
          </w:p>
        </w:tc>
        <w:tc>
          <w:tcPr>
            <w:tcW w:w="1446" w:type="dxa"/>
          </w:tcPr>
          <w:p w14:paraId="6495C593" w14:textId="77777777" w:rsidR="00E16262" w:rsidRPr="007E2ADE" w:rsidRDefault="007E2ADE" w:rsidP="00336B60">
            <w:pPr>
              <w:jc w:val="center"/>
            </w:pPr>
            <w:r w:rsidRPr="007E2ADE">
              <w:t>&gt;10 kez</w:t>
            </w:r>
          </w:p>
        </w:tc>
      </w:tr>
    </w:tbl>
    <w:p w14:paraId="2BCBBF37" w14:textId="77777777" w:rsidR="0091499B" w:rsidRDefault="0091499B" w:rsidP="0091499B">
      <w:pPr>
        <w:rPr>
          <w:b/>
        </w:rPr>
      </w:pPr>
    </w:p>
    <w:p w14:paraId="043FDB25" w14:textId="77777777" w:rsidR="00CE61E1" w:rsidRDefault="00CE61E1" w:rsidP="0091499B">
      <w:pPr>
        <w:rPr>
          <w:b/>
        </w:rPr>
      </w:pPr>
    </w:p>
    <w:p w14:paraId="05D0C24E" w14:textId="77777777" w:rsidR="00CE61E1" w:rsidRDefault="00CE61E1" w:rsidP="0091499B">
      <w:pPr>
        <w:rPr>
          <w:b/>
        </w:rPr>
      </w:pPr>
    </w:p>
    <w:p w14:paraId="335F34E4" w14:textId="77777777" w:rsidR="00CE61E1" w:rsidRPr="00CE61E1" w:rsidRDefault="00CE61E1" w:rsidP="00CE61E1">
      <w:pPr>
        <w:jc w:val="both"/>
      </w:pPr>
      <w:r w:rsidRPr="00CE61E1">
        <w:t>Örnek Maddeler ve Madde Sayıları: Ölçek 5 madde içermektedir.</w:t>
      </w:r>
    </w:p>
    <w:p w14:paraId="667CEAD7" w14:textId="77777777" w:rsidR="00CE61E1" w:rsidRPr="00CE61E1" w:rsidRDefault="00CE61E1" w:rsidP="00CE61E1">
      <w:pPr>
        <w:jc w:val="both"/>
      </w:pPr>
      <w:r w:rsidRPr="00CE61E1">
        <w:t>Kimlere Uygulanabilir: </w:t>
      </w:r>
      <w:proofErr w:type="spellStart"/>
      <w:r w:rsidRPr="00CE61E1">
        <w:fldChar w:fldCharType="begin"/>
      </w:r>
      <w:r w:rsidRPr="00CE61E1">
        <w:instrText>HYPERLINK "https://toad.halileksi.net/uygulama-grup/colyakli-yetiskinler/"</w:instrText>
      </w:r>
      <w:r w:rsidRPr="00CE61E1">
        <w:fldChar w:fldCharType="separate"/>
      </w:r>
      <w:r w:rsidRPr="00CE61E1">
        <w:rPr>
          <w:rStyle w:val="Kpr"/>
        </w:rPr>
        <w:t>Çölyaklı</w:t>
      </w:r>
      <w:proofErr w:type="spellEnd"/>
      <w:r w:rsidRPr="00CE61E1">
        <w:rPr>
          <w:rStyle w:val="Kpr"/>
        </w:rPr>
        <w:t xml:space="preserve"> Yetişkinler</w:t>
      </w:r>
      <w:r w:rsidRPr="00CE61E1">
        <w:fldChar w:fldCharType="end"/>
      </w:r>
    </w:p>
    <w:p w14:paraId="614A160A" w14:textId="77777777" w:rsidR="00CE61E1" w:rsidRPr="00CE61E1" w:rsidRDefault="00CE61E1" w:rsidP="00CE61E1">
      <w:pPr>
        <w:jc w:val="both"/>
      </w:pPr>
      <w:r w:rsidRPr="00CE61E1">
        <w:t xml:space="preserve">Derecelendirme: 5'li </w:t>
      </w:r>
      <w:proofErr w:type="spellStart"/>
      <w:r w:rsidRPr="00CE61E1">
        <w:t>Likert</w:t>
      </w:r>
      <w:proofErr w:type="spellEnd"/>
      <w:r w:rsidRPr="00CE61E1">
        <w:t xml:space="preserve"> (Maddelere göre değişmektedir.)</w:t>
      </w:r>
    </w:p>
    <w:p w14:paraId="723C78F6" w14:textId="77777777" w:rsidR="00CE61E1" w:rsidRPr="00CE61E1" w:rsidRDefault="00CE61E1" w:rsidP="00CE61E1">
      <w:pPr>
        <w:jc w:val="both"/>
      </w:pPr>
      <w:r w:rsidRPr="00CE61E1">
        <w:t xml:space="preserve">Ölçek Puanlaması: Maddelerin yanıtları 5'li </w:t>
      </w:r>
      <w:proofErr w:type="spellStart"/>
      <w:r w:rsidRPr="00CE61E1">
        <w:t>Likert</w:t>
      </w:r>
      <w:proofErr w:type="spellEnd"/>
      <w:r w:rsidRPr="00CE61E1">
        <w:t xml:space="preserve"> olarak hazırlanmıştır. </w:t>
      </w:r>
    </w:p>
    <w:p w14:paraId="14F974D3" w14:textId="77777777" w:rsidR="00CE61E1" w:rsidRPr="00CE61E1" w:rsidRDefault="00CE61E1" w:rsidP="00CE61E1">
      <w:pPr>
        <w:jc w:val="both"/>
      </w:pPr>
      <w:r w:rsidRPr="00CE61E1">
        <w:t xml:space="preserve">Ölçek Değerlendirmesi: CDAT toplam puanı, beş maddenin ortalaması alınarak hesaplanır ve 5 ile 25 puan arasında değişir. Ölçekten alınan toplam puanın 13'ten düşük olması iyi uyumu, 13 ile 17 arasında olması orta düzeyde uyumu, 17'den yüksek olması ise düşük uyumu gösterir. </w:t>
      </w:r>
    </w:p>
    <w:p w14:paraId="41037514" w14:textId="77777777" w:rsidR="00CE61E1" w:rsidRPr="00CE61E1" w:rsidRDefault="00CE61E1" w:rsidP="00CE61E1">
      <w:pPr>
        <w:jc w:val="both"/>
      </w:pPr>
      <w:r w:rsidRPr="00CE61E1">
        <w:t xml:space="preserve">Çeviri Süreci: Geçerlilik ve güvenilirlik analizi için orijinal ölçeğin çevrilmesi ve uyarlanması izni, orijinal aracın sorumlu yazarı ve telif hakkı sahibi olan </w:t>
      </w:r>
      <w:proofErr w:type="spellStart"/>
      <w:proofErr w:type="gramStart"/>
      <w:r w:rsidRPr="00CE61E1">
        <w:t>Lefler’den</w:t>
      </w:r>
      <w:proofErr w:type="spellEnd"/>
      <w:r w:rsidRPr="00CE61E1">
        <w:t xml:space="preserve">  e</w:t>
      </w:r>
      <w:proofErr w:type="gramEnd"/>
      <w:r w:rsidRPr="00CE61E1">
        <w:t>-posta yoluyla alındı.</w:t>
      </w:r>
    </w:p>
    <w:p w14:paraId="3CAF6379" w14:textId="77777777" w:rsidR="00CE61E1" w:rsidRPr="00CE61E1" w:rsidRDefault="00CE61E1" w:rsidP="00CE61E1">
      <w:pPr>
        <w:jc w:val="both"/>
      </w:pPr>
      <w:r w:rsidRPr="00CE61E1">
        <w:lastRenderedPageBreak/>
        <w:t xml:space="preserve">Orijinal </w:t>
      </w:r>
      <w:proofErr w:type="spellStart"/>
      <w:r w:rsidRPr="00CE61E1">
        <w:t>CDAT'ın</w:t>
      </w:r>
      <w:proofErr w:type="spellEnd"/>
      <w:r w:rsidRPr="00CE61E1">
        <w:t xml:space="preserve"> çeviri süreci üç ana adımı izledi: ileri çeviri, geri çeviri ve beslenme ve diyetetik alanında uzman beş akademisyen tarafından madde anlaşılabilirliğinin değerlendirilmesi. İlk olarak, ölçek İngilizceden </w:t>
      </w:r>
      <w:proofErr w:type="spellStart"/>
      <w:r w:rsidRPr="00CE61E1">
        <w:t>Türkçe’ye</w:t>
      </w:r>
      <w:proofErr w:type="spellEnd"/>
      <w:r w:rsidRPr="00CE61E1">
        <w:t xml:space="preserve"> ileri çeviri aşamasında Beslenme ve Diyetetik Bölümü'ndeki araştırmacılar tarafından çevrildi. İki çeviri, ölçeğin ortak bir versiyonunu hazırlamak için karşılaştırıldı. Daha sonra, geri çeviri aşamasında ölçekteki maddelere aşina olmayan bir istatistik araştırmacısı tarafından maddeler tekrar İngilizceye çevrildi. Bu geri çevrilmiş versiyon, değerlendirme için çalışmaya dahil olan anadili İngilizce olan araştırmacılara gönderildi. Değerlendirmelerinin ardından, sonraki versiyon, iki ileri çevrilmiş versiyon ve orijinal versiyonla birlikte, CD ve beslenme alanlarındaki beş araştırmacıya gönderildi. Her uzman, her bir maddenin uygunluğunu, açıklığını ve kapsamlılığını değerlendirmek için dört puanlık </w:t>
      </w:r>
      <w:proofErr w:type="spellStart"/>
      <w:r w:rsidRPr="00CE61E1">
        <w:t>Likert</w:t>
      </w:r>
      <w:proofErr w:type="spellEnd"/>
      <w:r w:rsidRPr="00CE61E1">
        <w:t xml:space="preserve"> ölçeği (1 = hiç uygun değil ila 4 = tamamen uygun) kullanarak bir form doldurdu. Madde düzeyinde içerik geçerlilik indeksi (I-CVI), bir maddeyi "uygun" veya "çok uygun" olarak değerlendiren uzmanların oranına göre hesaplandı. Elde edilen I-CVI 0,81 idi. Bu değerlendirmelere dayanarak, araştırmacılar en anlaşılabilir ve kültürel olarak kabul edilebilir versiyonu geliştirmek için madde çevirilerini iyileştirdiler. Ölçeğin son versiyonu kullanılarak CDAT maddelerinin anlaşılabilirliğini ve sosyal uygunluğunu değerlendirmek için 15 </w:t>
      </w:r>
      <w:proofErr w:type="spellStart"/>
      <w:r w:rsidRPr="00CE61E1">
        <w:t>çölyaklı</w:t>
      </w:r>
      <w:proofErr w:type="spellEnd"/>
      <w:r w:rsidRPr="00CE61E1">
        <w:t xml:space="preserve"> yetişkinle bir pilot çalışma yapıldı.</w:t>
      </w:r>
    </w:p>
    <w:p w14:paraId="2F87DF51" w14:textId="77777777" w:rsidR="00CE61E1" w:rsidRPr="00CE61E1" w:rsidRDefault="00CE61E1" w:rsidP="00CE61E1">
      <w:pPr>
        <w:jc w:val="both"/>
      </w:pPr>
      <w:r w:rsidRPr="00CE61E1">
        <w:t>Geçerlik: Yapı geçerliliğini değerlendirmek için, keşifsel faktör analizi (EFA) için Kaiser-Meyer-</w:t>
      </w:r>
      <w:proofErr w:type="spellStart"/>
      <w:r w:rsidRPr="00CE61E1">
        <w:t>Olkin</w:t>
      </w:r>
      <w:proofErr w:type="spellEnd"/>
      <w:r w:rsidRPr="00CE61E1">
        <w:t xml:space="preserve"> (KMO) ölçüsü ve Bartlett'in küresellik testi kullanıldı. Faktör yükleri incelendi ve modelin uyumu, Karşılaştırmalı Uyum Endeksi (CFI), </w:t>
      </w:r>
      <w:proofErr w:type="spellStart"/>
      <w:r w:rsidRPr="00CE61E1">
        <w:t>Tucker</w:t>
      </w:r>
      <w:proofErr w:type="spellEnd"/>
      <w:r w:rsidRPr="00CE61E1">
        <w:t>-Lewis Endeksi (TLI), Ayarlanmış Uyum İyiliği Endeksi (AGFI), Kök Ortalama Kare Hata Tahmini (RMSEA), Uyum İyiliği Endeksi (GFI), Normlu Uyum Endeksi (NFI) ve ki-kare/serbestlik derecesi oranı (x2/</w:t>
      </w:r>
      <w:proofErr w:type="spellStart"/>
      <w:r w:rsidRPr="00CE61E1">
        <w:t>sd</w:t>
      </w:r>
      <w:proofErr w:type="spellEnd"/>
      <w:r w:rsidRPr="00CE61E1">
        <w:t>) dahil olmak üzere endeksler kullanılarak doğrulayıcı faktör analizi (CFA) ile daha da değerlendirildi.</w:t>
      </w:r>
    </w:p>
    <w:p w14:paraId="0A8EEF69" w14:textId="77777777" w:rsidR="00CE61E1" w:rsidRPr="00CE61E1" w:rsidRDefault="00CE61E1" w:rsidP="00CE61E1">
      <w:pPr>
        <w:jc w:val="both"/>
      </w:pPr>
      <w:r w:rsidRPr="00CE61E1">
        <w:t xml:space="preserve">Güvenirlik: </w:t>
      </w:r>
      <w:proofErr w:type="spellStart"/>
      <w:r w:rsidRPr="00CE61E1">
        <w:t>CDAT'ın</w:t>
      </w:r>
      <w:proofErr w:type="spellEnd"/>
      <w:r w:rsidRPr="00CE61E1">
        <w:t xml:space="preserve"> iç tutarlılığı Cronbach alfa ile değerlendirildi. Değerlendiriciler arası güvenilirlik, aynı katılımcıları (n = 97) aynı gün değerlendiren iki bağımsız değerlendiricinin anket sonuçlarının karşılaştırılmasıyla değerlendirildi. Değerlendirici içi güvenilirlik (test-yeniden test), anketin aynı katılımcılara yaklaşık iki haftalık bir aradan sonra yeniden uygulanmasıyla ölçüldü [30]. Hem değerlendiriciler arası hem de değerlendirici içi güvenilirlik, sınıf içi korelasyon katsayıları (ICC) kullanılarak analiz edildi ve ≥ 0,75 değerleri mükemmel güvenilirliği gösterdi. Test-yeniden test güvenilirliği ayrıca </w:t>
      </w:r>
      <w:proofErr w:type="spellStart"/>
      <w:r w:rsidRPr="00CE61E1">
        <w:t>Pearson</w:t>
      </w:r>
      <w:proofErr w:type="spellEnd"/>
      <w:r w:rsidRPr="00CE61E1">
        <w:t xml:space="preserve"> korelasyon katsayısı kullanılarak da değerlendirildi. ICC, bireyler arası ve birey içi varyansı hesaba katarak zamansal istikrarı daha kapsamlı bir şekilde yakalamak için kullanıldı [31]. Her iki endeksin birlikte kullanılması, tamamlayıcı oldukları için güvenilirlik değerlendirmesi için daha güçlü bir metodolojik çerçeve sağlar. Çalışmamızda, madde yanıtlarına dayalı Cronbach alfa değeri mütevazı (0,65–0,69) iken, test-yeniden test analizinden elde edilen yüksek alfa (0,974), madde düzeyindeki iç tutarlılıktan ziyade zamansal istikrarı yansıtmaktadır.</w:t>
      </w:r>
      <w:r w:rsidRPr="00CE61E1">
        <w:br/>
        <w:t>Çok yüksek (α = 0,974) yeniden test Cronbach alfa değeri, zaman içindeki istikrarın bir göstergesi olarak yorumlanabilir; çünkü ölçeğin ikinci uygulamasındaki maddelere verilen yanıtlar daha tutarlı olma eğilimindedir.</w:t>
      </w:r>
    </w:p>
    <w:p w14:paraId="010738CA" w14:textId="77777777" w:rsidR="00CE61E1" w:rsidRPr="0091499B" w:rsidRDefault="00CE61E1" w:rsidP="0091499B">
      <w:pPr>
        <w:rPr>
          <w:b/>
        </w:rPr>
      </w:pPr>
    </w:p>
    <w:sectPr w:rsidR="00CE61E1" w:rsidRPr="0091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AB0"/>
    <w:multiLevelType w:val="hybridMultilevel"/>
    <w:tmpl w:val="E4EA7E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202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B"/>
    <w:rsid w:val="00203E74"/>
    <w:rsid w:val="00336B60"/>
    <w:rsid w:val="003427F6"/>
    <w:rsid w:val="004266B6"/>
    <w:rsid w:val="004D6296"/>
    <w:rsid w:val="005F68FA"/>
    <w:rsid w:val="00717DDC"/>
    <w:rsid w:val="00781446"/>
    <w:rsid w:val="00785DA5"/>
    <w:rsid w:val="007E2ADE"/>
    <w:rsid w:val="0091499B"/>
    <w:rsid w:val="00C941DF"/>
    <w:rsid w:val="00CE23E9"/>
    <w:rsid w:val="00CE61E1"/>
    <w:rsid w:val="00E16262"/>
    <w:rsid w:val="00FA5F07"/>
    <w:rsid w:val="00FE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5D5B"/>
  <w15:docId w15:val="{5C3C5C48-38D8-4711-ADD1-FF7E81AE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27F6"/>
    <w:pPr>
      <w:ind w:left="720"/>
      <w:contextualSpacing/>
    </w:pPr>
  </w:style>
  <w:style w:type="character" w:styleId="Kpr">
    <w:name w:val="Hyperlink"/>
    <w:basedOn w:val="VarsaylanParagrafYazTipi"/>
    <w:uiPriority w:val="99"/>
    <w:unhideWhenUsed/>
    <w:rsid w:val="00CE61E1"/>
    <w:rPr>
      <w:color w:val="0000FF" w:themeColor="hyperlink"/>
      <w:u w:val="single"/>
    </w:rPr>
  </w:style>
  <w:style w:type="character" w:styleId="zmlenmeyenBahsetme">
    <w:name w:val="Unresolved Mention"/>
    <w:basedOn w:val="VarsaylanParagrafYazTipi"/>
    <w:uiPriority w:val="99"/>
    <w:semiHidden/>
    <w:unhideWhenUsed/>
    <w:rsid w:val="00CE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dc:creator>
  <cp:lastModifiedBy>yeliz s</cp:lastModifiedBy>
  <cp:revision>3</cp:revision>
  <dcterms:created xsi:type="dcterms:W3CDTF">2026-02-12T12:07:00Z</dcterms:created>
  <dcterms:modified xsi:type="dcterms:W3CDTF">2026-02-13T12:59:00Z</dcterms:modified>
</cp:coreProperties>
</file>