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ÜNLÜ TUTUM ÖLÇEĞİ</w:t>
      </w:r>
    </w:p>
    <w:p w:rsidR="00000000" w:rsidDel="00000000" w:rsidP="00000000" w:rsidRDefault="00000000" w:rsidRPr="00000000" w14:paraId="00000002">
      <w:pPr>
        <w:spacing w:line="276" w:lineRule="auto"/>
        <w:jc w:val="both"/>
        <w:rPr>
          <w:rFonts w:ascii="Times New Roman" w:cs="Times New Roman" w:eastAsia="Times New Roman" w:hAnsi="Times New Roman"/>
          <w:color w:val="32363a"/>
          <w:sz w:val="24"/>
          <w:szCs w:val="24"/>
          <w:highlight w:val="white"/>
        </w:rPr>
      </w:pPr>
      <w:r w:rsidDel="00000000" w:rsidR="00000000" w:rsidRPr="00000000">
        <w:rPr>
          <w:rFonts w:ascii="Times New Roman" w:cs="Times New Roman" w:eastAsia="Times New Roman" w:hAnsi="Times New Roman"/>
          <w:color w:val="32363a"/>
          <w:sz w:val="24"/>
          <w:szCs w:val="24"/>
          <w:highlight w:val="white"/>
          <w:rtl w:val="0"/>
        </w:rPr>
        <w:t xml:space="preserve">Bu ölçeğin amacı ünlü kişiler hakkındaki görüşlerinizi anlamaktır. Verdiğiniz cevaplar gizli tutulacaktır. Soruların doğru ya da yanlış cevapları yoktur, bu yüzden lütfen soruları olabildiğince açık ve dikkatli bir şekilde cevaplayın. Aşağıdaki sorularda ‘ünlü’ kavramını, sizin büyük bir hayranlık beslediğiniz, yaşayan (ya da öldüğü zamana şahit olduğunuz) şöhret sahibi kişi olarak tanımlıyoruz.</w:t>
      </w:r>
    </w:p>
    <w:p w:rsidR="00000000" w:rsidDel="00000000" w:rsidP="00000000" w:rsidRDefault="00000000" w:rsidRPr="00000000" w14:paraId="00000003">
      <w:pPr>
        <w:spacing w:line="276" w:lineRule="auto"/>
        <w:jc w:val="left"/>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04">
      <w:pPr>
        <w:numPr>
          <w:ilvl w:val="0"/>
          <w:numId w:val="1"/>
        </w:numPr>
        <w:spacing w:line="276" w:lineRule="auto"/>
        <w:ind w:left="720" w:hanging="360"/>
        <w:jc w:val="left"/>
        <w:rPr>
          <w:rFonts w:ascii="Times New Roman" w:cs="Times New Roman" w:eastAsia="Times New Roman" w:hAnsi="Times New Roman"/>
          <w:color w:val="32363a"/>
          <w:sz w:val="24"/>
          <w:szCs w:val="24"/>
          <w:highlight w:val="white"/>
          <w:u w:val="none"/>
        </w:rPr>
      </w:pPr>
      <w:r w:rsidDel="00000000" w:rsidR="00000000" w:rsidRPr="00000000">
        <w:rPr>
          <w:rFonts w:ascii="Times New Roman" w:cs="Times New Roman" w:eastAsia="Times New Roman" w:hAnsi="Times New Roman"/>
          <w:color w:val="32363a"/>
          <w:sz w:val="24"/>
          <w:szCs w:val="24"/>
          <w:highlight w:val="white"/>
          <w:rtl w:val="0"/>
        </w:rPr>
        <w:t xml:space="preserve">Favori ünlünüz kim? (</w:t>
      </w:r>
      <w:r w:rsidDel="00000000" w:rsidR="00000000" w:rsidRPr="00000000">
        <w:rPr>
          <w:rFonts w:ascii="Times New Roman" w:cs="Times New Roman" w:eastAsia="Times New Roman" w:hAnsi="Times New Roman"/>
          <w:i w:val="1"/>
          <w:iCs w:val="1"/>
          <w:color w:val="32363a"/>
          <w:sz w:val="24"/>
          <w:szCs w:val="24"/>
          <w:highlight w:val="white"/>
          <w:rtl w:val="0"/>
        </w:rPr>
        <w:t xml:space="preserve">‘Ünlü’ kavramını, sizin büyük bir hayranlık beslediğiniz, yaşayan -ya da öldüğü zamana şahit olduğunuz- şöhret sahibi kişi olarak tanımlıyoruz</w:t>
      </w:r>
      <w:r w:rsidDel="00000000" w:rsidR="00000000" w:rsidRPr="00000000">
        <w:rPr>
          <w:rFonts w:ascii="Times New Roman" w:cs="Times New Roman" w:eastAsia="Times New Roman" w:hAnsi="Times New Roman"/>
          <w:color w:val="32363a"/>
          <w:sz w:val="24"/>
          <w:szCs w:val="24"/>
          <w:highlight w:val="white"/>
          <w:rtl w:val="0"/>
        </w:rPr>
        <w:t xml:space="preserve">.)</w:t>
      </w:r>
    </w:p>
    <w:p w:rsidR="00000000" w:rsidDel="00000000" w:rsidP="00000000" w:rsidRDefault="00000000" w:rsidRPr="00000000" w14:paraId="00000005">
      <w:pPr>
        <w:spacing w:line="276" w:lineRule="auto"/>
        <w:jc w:val="left"/>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06">
      <w:pPr>
        <w:numPr>
          <w:ilvl w:val="0"/>
          <w:numId w:val="2"/>
        </w:numPr>
        <w:spacing w:line="276" w:lineRule="auto"/>
        <w:ind w:left="720" w:hanging="360"/>
        <w:jc w:val="left"/>
        <w:rPr>
          <w:rFonts w:ascii="Times New Roman" w:cs="Times New Roman" w:eastAsia="Times New Roman" w:hAnsi="Times New Roman"/>
          <w:color w:val="32363a"/>
          <w:sz w:val="24"/>
          <w:szCs w:val="24"/>
          <w:highlight w:val="white"/>
          <w:u w:val="none"/>
        </w:rPr>
      </w:pPr>
      <w:r w:rsidDel="00000000" w:rsidR="00000000" w:rsidRPr="00000000">
        <w:rPr>
          <w:rFonts w:ascii="Times New Roman" w:cs="Times New Roman" w:eastAsia="Times New Roman" w:hAnsi="Times New Roman"/>
          <w:color w:val="32363a"/>
          <w:sz w:val="24"/>
          <w:szCs w:val="24"/>
          <w:highlight w:val="white"/>
          <w:rtl w:val="0"/>
        </w:rPr>
        <w:t xml:space="preserve">Lütfen aşağıdaki ölçeği kullanarak, bu ünlü hakkında ne kadar yoğun duygular hissettiğinizi işaretleyiniz.</w:t>
      </w:r>
    </w:p>
    <w:p w:rsidR="00000000" w:rsidDel="00000000" w:rsidP="00000000" w:rsidRDefault="00000000" w:rsidRPr="00000000" w14:paraId="0000000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1-------------2-------------3-------------4-------------5-------------6-------------7</w:t>
      </w:r>
    </w:p>
    <w:p w:rsidR="00000000" w:rsidDel="00000000" w:rsidP="00000000" w:rsidRDefault="00000000" w:rsidRPr="00000000" w14:paraId="0000000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Çok zayıf                        Zayıf                                Güçlü                        Çok güçlü</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3"/>
        </w:numPr>
        <w:spacing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Favori ünlünüzü tanımıyor olma ihtimalimize karşı, lüften favori ünlünüzün meşhur olma sebebini tanımlayan bir ya da birden çok seçeneği işaretleyin:</w:t>
      </w:r>
    </w:p>
    <w:p w:rsidR="00000000" w:rsidDel="00000000" w:rsidP="00000000" w:rsidRDefault="00000000" w:rsidRPr="00000000" w14:paraId="0000000B">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Oyunculuk - Yazarlık - Sanat - Tıp - Modellik - Müzik - Haber-medya alanı    Politika </w:t>
      </w:r>
    </w:p>
    <w:p w:rsidR="00000000" w:rsidDel="00000000" w:rsidP="00000000" w:rsidRDefault="00000000" w:rsidRPr="00000000" w14:paraId="0000000C">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Din - Radyo -Televizyon  -Talk Show - Bilim -  Spor  - Youtube - Instagram -Twitter</w:t>
      </w:r>
    </w:p>
    <w:p w:rsidR="00000000" w:rsidDel="00000000" w:rsidP="00000000" w:rsidRDefault="00000000" w:rsidRPr="00000000" w14:paraId="0000000D">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Podcast - TikTok   </w:t>
      </w:r>
    </w:p>
    <w:p w:rsidR="00000000" w:rsidDel="00000000" w:rsidP="00000000" w:rsidRDefault="00000000" w:rsidRPr="00000000" w14:paraId="0000000E">
      <w:pPr>
        <w:spacing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Diğer (lütfen açıklayınız):......................................................</w:t>
      </w:r>
    </w:p>
    <w:p w:rsidR="00000000" w:rsidDel="00000000" w:rsidP="00000000" w:rsidRDefault="00000000" w:rsidRPr="00000000" w14:paraId="0000000F">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00"/>
        <w:gridCol w:w="6105"/>
        <w:gridCol w:w="465"/>
        <w:gridCol w:w="465"/>
        <w:gridCol w:w="465"/>
        <w:gridCol w:w="465"/>
        <w:gridCol w:w="465"/>
        <w:tblGridChange w:id="0">
          <w:tblGrid>
            <w:gridCol w:w="600"/>
            <w:gridCol w:w="6105"/>
            <w:gridCol w:w="465"/>
            <w:gridCol w:w="465"/>
            <w:gridCol w:w="465"/>
            <w:gridCol w:w="465"/>
            <w:gridCol w:w="465"/>
          </w:tblGrid>
        </w:tblGridChange>
      </w:tblGrid>
      <w:tr>
        <w:trPr>
          <w:cantSplit w:val="0"/>
          <w:trHeight w:val="570" w:hRule="atLeast"/>
          <w:tblHeader w:val="0"/>
        </w:trPr>
        <w:tc>
          <w:tcPr>
            <w:gridSpan w:val="7"/>
            <w:tcBorders>
              <w:top w:color="000000" w:space="0" w:sz="8" w:val="single"/>
              <w:left w:color="000000" w:space="0" w:sz="8" w:val="single"/>
              <w:bottom w:color="000000" w:space="0" w:sz="0" w:val="nil"/>
              <w:right w:color="000000" w:space="0" w:sz="8" w:val="single"/>
            </w:tcBorders>
            <w:shd w:fill="f2f2f2" w:val="clear"/>
            <w:tcMar>
              <w:top w:w="0.0" w:type="dxa"/>
              <w:left w:w="80.0" w:type="dxa"/>
              <w:bottom w:w="0.0" w:type="dxa"/>
              <w:right w:w="80.0" w:type="dxa"/>
            </w:tcMar>
            <w:vAlign w:val="top"/>
          </w:tcPr>
          <w:p w:rsidR="00000000" w:rsidDel="00000000" w:rsidP="00000000" w:rsidRDefault="00000000" w:rsidRPr="00000000" w14:paraId="00000012">
            <w:pPr>
              <w:spacing w:before="240" w:lineRule="auto"/>
              <w:ind w:left="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Lütfen aşağıdaki ifadeleri yanıtlamak için şu ölçeği kullanın:</w:t>
            </w:r>
          </w:p>
        </w:tc>
      </w:tr>
      <w:tr>
        <w:trPr>
          <w:cantSplit w:val="0"/>
          <w:trHeight w:val="570" w:hRule="atLeast"/>
          <w:tblHeader w:val="0"/>
        </w:trPr>
        <w:tc>
          <w:tcPr>
            <w:gridSpan w:val="7"/>
            <w:tcBorders>
              <w:top w:color="000000" w:space="0" w:sz="0" w:val="nil"/>
              <w:left w:color="000000" w:space="0" w:sz="8" w:val="single"/>
              <w:bottom w:color="000000" w:space="0" w:sz="8" w:val="single"/>
              <w:right w:color="000000" w:space="0" w:sz="8" w:val="single"/>
            </w:tcBorders>
            <w:shd w:fill="f2f2f2" w:val="clear"/>
            <w:tcMar>
              <w:top w:w="0.0" w:type="dxa"/>
              <w:left w:w="80.0" w:type="dxa"/>
              <w:bottom w:w="0.0" w:type="dxa"/>
              <w:right w:w="80.0" w:type="dxa"/>
            </w:tcMar>
            <w:vAlign w:val="top"/>
          </w:tcPr>
          <w:p w:rsidR="00000000" w:rsidDel="00000000" w:rsidP="00000000" w:rsidRDefault="00000000" w:rsidRPr="00000000" w14:paraId="00000019">
            <w:pPr>
              <w:spacing w:before="240" w:lineRule="auto"/>
              <w:ind w:left="80" w:firstLine="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sz w:val="20"/>
                <w:szCs w:val="20"/>
                <w:rtl w:val="0"/>
              </w:rPr>
              <w:t xml:space="preserve">1 = </w:t>
            </w:r>
            <w:r w:rsidDel="00000000" w:rsidR="00000000" w:rsidRPr="00000000">
              <w:rPr>
                <w:rFonts w:ascii="Times New Roman" w:cs="Times New Roman" w:eastAsia="Times New Roman" w:hAnsi="Times New Roman"/>
                <w:i w:val="1"/>
                <w:iCs w:val="1"/>
                <w:sz w:val="20"/>
                <w:szCs w:val="20"/>
                <w:rtl w:val="0"/>
              </w:rPr>
              <w:t xml:space="preserve">Kesinlikle Katılmıyorum</w:t>
            </w:r>
            <w:r w:rsidDel="00000000" w:rsidR="00000000" w:rsidRPr="00000000">
              <w:rPr>
                <w:rFonts w:ascii="Times New Roman" w:cs="Times New Roman" w:eastAsia="Times New Roman" w:hAnsi="Times New Roman"/>
                <w:sz w:val="20"/>
                <w:szCs w:val="20"/>
                <w:rtl w:val="0"/>
              </w:rPr>
              <w:t xml:space="preserve">; 2 = </w:t>
            </w:r>
            <w:r w:rsidDel="00000000" w:rsidR="00000000" w:rsidRPr="00000000">
              <w:rPr>
                <w:rFonts w:ascii="Times New Roman" w:cs="Times New Roman" w:eastAsia="Times New Roman" w:hAnsi="Times New Roman"/>
                <w:i w:val="1"/>
                <w:iCs w:val="1"/>
                <w:sz w:val="20"/>
                <w:szCs w:val="20"/>
                <w:rtl w:val="0"/>
              </w:rPr>
              <w:t xml:space="preserve">Katılmıyorum</w:t>
            </w:r>
            <w:r w:rsidDel="00000000" w:rsidR="00000000" w:rsidRPr="00000000">
              <w:rPr>
                <w:rFonts w:ascii="Times New Roman" w:cs="Times New Roman" w:eastAsia="Times New Roman" w:hAnsi="Times New Roman"/>
                <w:sz w:val="20"/>
                <w:szCs w:val="20"/>
                <w:rtl w:val="0"/>
              </w:rPr>
              <w:t xml:space="preserve">; 3 = </w:t>
            </w:r>
            <w:r w:rsidDel="00000000" w:rsidR="00000000" w:rsidRPr="00000000">
              <w:rPr>
                <w:rFonts w:ascii="Times New Roman" w:cs="Times New Roman" w:eastAsia="Times New Roman" w:hAnsi="Times New Roman"/>
                <w:i w:val="1"/>
                <w:iCs w:val="1"/>
                <w:sz w:val="20"/>
                <w:szCs w:val="20"/>
                <w:rtl w:val="0"/>
              </w:rPr>
              <w:t xml:space="preserve">Kararsızım</w:t>
            </w:r>
            <w:r w:rsidDel="00000000" w:rsidR="00000000" w:rsidRPr="00000000">
              <w:rPr>
                <w:rFonts w:ascii="Times New Roman" w:cs="Times New Roman" w:eastAsia="Times New Roman" w:hAnsi="Times New Roman"/>
                <w:sz w:val="20"/>
                <w:szCs w:val="20"/>
                <w:rtl w:val="0"/>
              </w:rPr>
              <w:t xml:space="preserve">; 4 = </w:t>
            </w:r>
            <w:r w:rsidDel="00000000" w:rsidR="00000000" w:rsidRPr="00000000">
              <w:rPr>
                <w:rFonts w:ascii="Times New Roman" w:cs="Times New Roman" w:eastAsia="Times New Roman" w:hAnsi="Times New Roman"/>
                <w:i w:val="1"/>
                <w:iCs w:val="1"/>
                <w:sz w:val="20"/>
                <w:szCs w:val="20"/>
                <w:rtl w:val="0"/>
              </w:rPr>
              <w:t xml:space="preserve">Katılıyorum</w:t>
            </w:r>
            <w:r w:rsidDel="00000000" w:rsidR="00000000" w:rsidRPr="00000000">
              <w:rPr>
                <w:rFonts w:ascii="Times New Roman" w:cs="Times New Roman" w:eastAsia="Times New Roman" w:hAnsi="Times New Roman"/>
                <w:sz w:val="20"/>
                <w:szCs w:val="20"/>
                <w:rtl w:val="0"/>
              </w:rPr>
              <w:t xml:space="preserve">; 5 = </w:t>
            </w:r>
            <w:r w:rsidDel="00000000" w:rsidR="00000000" w:rsidRPr="00000000">
              <w:rPr>
                <w:rFonts w:ascii="Times New Roman" w:cs="Times New Roman" w:eastAsia="Times New Roman" w:hAnsi="Times New Roman"/>
                <w:i w:val="1"/>
                <w:iCs w:val="1"/>
                <w:sz w:val="20"/>
                <w:szCs w:val="20"/>
                <w:rtl w:val="0"/>
              </w:rPr>
              <w:t xml:space="preserve">Kesinlikle Katılıyorum</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1">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ünlümle yüz yüze tanışsaydım, onun en büyük hayranı olduğumu bir şekilde anlardı.</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8">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ünlümle aramızda kelimelerle tarif edilemeyecek özel bir bağ paylaşırım.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2F">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ünlümün hayatındaki detaylara kafayı takmış haldeyim.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6">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 ve arkadaşlarım favori ünlümün neler yaptığını tartışmayı severiz.</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D">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ünlümün başına iyi bir şey geldiğinde, benim başıma gelmiş gibi hissederim.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3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4">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ünlüme ilgi duymayı sürdürmemin temel sebeplerinden biri, bunun bana hayatın sorunlarından geçici bir kaçış sunmasıdır.</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B">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ünlümün her zaman aynı yerde tuttuğum resimleri ve/veya hatıra eşyaları var.</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4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2">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ünlümün başarıları benim de başarımdır.</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9">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ünlümle ilgili şeyleri izlemek, okumak ve dinlemekten keyif alırım, çünkü bu iyi vakit geçirmek demektir.</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5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0">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 ruh eşim olarak görürüm.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7">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İstemesem bile sık sık favori ünlüm hakkında düşünürüm.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E">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 ölürse (veya öldüğünde), ben de ölmüş gibi hissederim (veya hissettim).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6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5">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ünlüme hayran olan başka kişilerle konuşmaya bayılırım.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C">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ünlümün başına kötü bir şey geldiğinde, sanki benim başıma gelmiş gibi hissederim.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7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3">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ünlümün hayat hikayesini öğrenmek çok eğlenceli.</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A">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Sıklıkla favori ünlümün kişisel alışkanlıklarını öğrenmek zorunda hissederim.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8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1">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ünlümle tanışacak kadar şanslı olsaydım ve  benden bir iyilik olarak yasadışı bir şey yapmamı rica etseydi, muhtemelen yapardım.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8">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ünlümü sevenlerle bile birlikte olmak keyifli.</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9F">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 başarısız olur ya da bir şeyde kaybederse kendimi başarısız gibi hissederim.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4">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6">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Biri bana istediğim gibi kullanmam için birkaç bin TL verseydi, bunu favori ünlümün bir zamanlar kullandığı kişisel bir eşyaya (peçete veya kağıt tabak gibi) harcamayı düşünürdüm.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B">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D">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Kalabalık bir insan grubu içindeyken  favori ünlüm hakkında bir şeyler izlemeyi ve duymayı severim.</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A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1">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2">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3">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4">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ünlümle ilgili haberleri takip etmek eğlenceli bir uğraştır.</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5">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6">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7">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8">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9">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r>
        <w:trPr>
          <w:cantSplit w:val="0"/>
          <w:trHeight w:val="5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A">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B">
            <w:pPr>
              <w:spacing w:before="240" w:lineRule="auto"/>
              <w:ind w:left="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Favori ünlümden haberler almak bu zorlu hayata verdiğim hoş bir mola gibidir.</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C">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D">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E">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BF">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80.0" w:type="dxa"/>
              <w:bottom w:w="0.0" w:type="dxa"/>
              <w:right w:w="80.0" w:type="dxa"/>
            </w:tcMar>
            <w:vAlign w:val="top"/>
          </w:tcPr>
          <w:p w:rsidR="00000000" w:rsidDel="00000000" w:rsidP="00000000" w:rsidRDefault="00000000" w:rsidRPr="00000000" w14:paraId="000000C0">
            <w:pPr>
              <w:spacing w:before="240" w:lineRule="auto"/>
              <w:ind w:left="8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r>
    </w:tbl>
    <w:p w:rsidR="00000000" w:rsidDel="00000000" w:rsidP="00000000" w:rsidRDefault="00000000" w:rsidRPr="00000000" w14:paraId="000000C1">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Toplam puan, 23 maddenin tamamından elde edilen puanların toplanmasıyla hesaplanır. Ölçekten alınabilecek puan 23 ile 115 arasında değişmektedir. Alt ölçek puanları ise, her bir faktöre ait maddelerin ayrı ayrı toplanması yoluyla elde edilir.</w:t>
      </w:r>
    </w:p>
    <w:p w:rsidR="00000000" w:rsidDel="00000000" w:rsidP="00000000" w:rsidRDefault="00000000" w:rsidRPr="00000000" w14:paraId="000000C3">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Birinci faktör, “Eğlence-Sosyal” alt boyutu 4, 6, 9, 13, 14, 15, 18, 19, 21 ve 22. maddeleri içermektedir. </w:t>
      </w:r>
    </w:p>
    <w:p w:rsidR="00000000" w:rsidDel="00000000" w:rsidP="00000000" w:rsidRDefault="00000000" w:rsidRPr="00000000" w14:paraId="000000C4">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İkinci faktör, “Yoğun-Kişisel” alt boyutu 1, 2, 3, 5, 7, 8, 10, 11 ve 12. maddeleri içermektedir. </w:t>
      </w:r>
    </w:p>
    <w:p w:rsidR="00000000" w:rsidDel="00000000" w:rsidP="00000000" w:rsidRDefault="00000000" w:rsidRPr="00000000" w14:paraId="000000C5">
      <w:pPr>
        <w:spacing w:after="240" w:befor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Üçüncü faktör ise “Sınırda Patolojik”  alt boyutu  16, 17, 20 ve 23. maddeleri içermektedir. </w:t>
      </w:r>
    </w:p>
    <w:p w:rsidR="00000000" w:rsidDel="00000000" w:rsidP="00000000" w:rsidRDefault="00000000" w:rsidRPr="00000000" w14:paraId="000000C6">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76" w:lineRule="auto"/>
        <w:jc w:val="left"/>
        <w:rPr>
          <w:rFonts w:ascii="Times New Roman" w:cs="Times New Roman" w:eastAsia="Times New Roman" w:hAnsi="Times New Roman"/>
          <w:b w:val="1"/>
          <w:bCs w:val="1"/>
          <w:color w:val="32363a"/>
          <w:sz w:val="24"/>
          <w:szCs w:val="24"/>
          <w:highlight w:val="white"/>
        </w:rPr>
      </w:pPr>
      <w:r w:rsidDel="00000000" w:rsidR="00000000" w:rsidRPr="00000000">
        <w:rPr>
          <w:rFonts w:ascii="Times New Roman" w:cs="Times New Roman" w:eastAsia="Times New Roman" w:hAnsi="Times New Roman"/>
          <w:b w:val="1"/>
          <w:bCs w:val="1"/>
          <w:color w:val="32363a"/>
          <w:sz w:val="24"/>
          <w:szCs w:val="24"/>
          <w:highlight w:val="white"/>
          <w:rtl w:val="0"/>
        </w:rPr>
        <w:t xml:space="preserve">Türkçe Kaynak:</w:t>
      </w:r>
    </w:p>
    <w:p w:rsidR="00000000" w:rsidDel="00000000" w:rsidP="00000000" w:rsidRDefault="00000000" w:rsidRPr="00000000" w14:paraId="000000C8">
      <w:pPr>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color w:val="32363a"/>
          <w:sz w:val="24"/>
          <w:szCs w:val="24"/>
          <w:highlight w:val="white"/>
        </w:rPr>
      </w:pPr>
      <w:r w:rsidDel="00000000" w:rsidR="00000000" w:rsidRPr="00000000">
        <w:rPr>
          <w:rFonts w:ascii="Times New Roman" w:cs="Times New Roman" w:eastAsia="Times New Roman" w:hAnsi="Times New Roman"/>
          <w:color w:val="32363a"/>
          <w:sz w:val="24"/>
          <w:szCs w:val="24"/>
          <w:highlight w:val="white"/>
          <w:rtl w:val="0"/>
        </w:rPr>
        <w:t xml:space="preserve">Taşyürek Demirel, S., Koçyiğit, H. S., Çetin, R. F., Arı, E. (2025). Adapting the Celebrity Attitude Scale: A Validity and Reliability Study in a Turkish Sample. Turkish Psychological Counseling and Guidance Journal, 15(79), 978-988. </w:t>
      </w:r>
      <w:hyperlink r:id="rId6">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https://doi.org/10.17066/tpdrd.1628466</w:t>
        </w:r>
      </w:hyperlink>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color w:val="32363a"/>
          <w:sz w:val="24"/>
          <w:szCs w:val="24"/>
          <w:highlight w:val="white"/>
        </w:rPr>
      </w:pPr>
      <w:r w:rsidDel="00000000" w:rsidR="00000000" w:rsidRPr="00000000">
        <w:rPr>
          <w:rFonts w:ascii="Times New Roman" w:cs="Times New Roman" w:eastAsia="Times New Roman" w:hAnsi="Times New Roman"/>
          <w:b w:val="1"/>
          <w:bCs w:val="1"/>
          <w:color w:val="32363a"/>
          <w:sz w:val="24"/>
          <w:szCs w:val="24"/>
          <w:highlight w:val="white"/>
          <w:rtl w:val="0"/>
        </w:rPr>
        <w:t xml:space="preserve">Orjinal Kaynak:</w:t>
      </w:r>
    </w:p>
    <w:p w:rsidR="00000000" w:rsidDel="00000000" w:rsidP="00000000" w:rsidRDefault="00000000" w:rsidRPr="00000000" w14:paraId="000000CC">
      <w:pPr>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CD">
      <w:pPr>
        <w:shd w:fill="ffffff" w:val="clear"/>
        <w:spacing w:after="24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McCutcheon, L. E., Lange, R., &amp; Houran, J. (2002). Conceptualization and measurement of celebrity worship. British Journal of Psychology, 93(1), 67-87.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https://doi.org/10.1348/000712602162454</w:t>
        </w:r>
      </w:hyperlink>
      <w:r w:rsidDel="00000000" w:rsidR="00000000" w:rsidRPr="00000000">
        <w:rPr>
          <w:rtl w:val="0"/>
        </w:rPr>
      </w:r>
    </w:p>
    <w:p w:rsidR="00000000" w:rsidDel="00000000" w:rsidP="00000000" w:rsidRDefault="00000000" w:rsidRPr="00000000" w14:paraId="000000CE">
      <w:pPr>
        <w:shd w:fill="ffffff" w:val="clear"/>
        <w:spacing w:after="240" w:lineRule="auto"/>
        <w:rPr>
          <w:rFonts w:ascii="Times New Roman" w:cs="Times New Roman" w:eastAsia="Times New Roman" w:hAnsi="Times New Roman"/>
          <w:color w:val="111111"/>
          <w:sz w:val="24"/>
          <w:szCs w:val="24"/>
          <w:highlight w:val="white"/>
        </w:rPr>
      </w:pPr>
      <w:r w:rsidDel="00000000" w:rsidR="00000000" w:rsidRPr="00000000">
        <w:rPr>
          <w:rFonts w:ascii="Times New Roman" w:cs="Times New Roman" w:eastAsia="Times New Roman" w:hAnsi="Times New Roman"/>
          <w:color w:val="111111"/>
          <w:sz w:val="24"/>
          <w:szCs w:val="24"/>
          <w:highlight w:val="white"/>
          <w:rtl w:val="0"/>
        </w:rPr>
        <w:t xml:space="preserve">McCutcheon, L. E., Maltby, J., Houran, J., &amp; Ashe, D. (2004). Celebrity worshippers: Inside the minds of stargazers. Publishamerica.</w:t>
      </w:r>
    </w:p>
    <w:p w:rsidR="00000000" w:rsidDel="00000000" w:rsidP="00000000" w:rsidRDefault="00000000" w:rsidRPr="00000000" w14:paraId="000000CF">
      <w:pPr>
        <w:shd w:fill="ffffff" w:val="clear"/>
        <w:spacing w:after="240" w:lineRule="auto"/>
        <w:rPr>
          <w:rFonts w:ascii="Times New Roman" w:cs="Times New Roman" w:eastAsia="Times New Roman" w:hAnsi="Times New Roman"/>
          <w:color w:val="111111"/>
          <w:sz w:val="21"/>
          <w:szCs w:val="21"/>
          <w:highlight w:val="white"/>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color w:val="32363a"/>
          <w:sz w:val="24"/>
          <w:szCs w:val="24"/>
          <w:highlight w:val="white"/>
        </w:rPr>
      </w:pPr>
      <w:r w:rsidDel="00000000" w:rsidR="00000000" w:rsidRPr="00000000">
        <w:rPr>
          <w:rtl w:val="0"/>
        </w:rPr>
      </w:r>
    </w:p>
    <w:p w:rsidR="00000000" w:rsidDel="00000000" w:rsidP="00000000" w:rsidRDefault="00000000" w:rsidRPr="00000000" w14:paraId="000000D2">
      <w:pPr>
        <w:spacing w:line="276" w:lineRule="auto"/>
        <w:jc w:val="left"/>
        <w:rPr>
          <w:rFonts w:ascii="Times New Roman" w:cs="Times New Roman" w:eastAsia="Times New Roman" w:hAnsi="Times New Roman"/>
          <w:color w:val="32363a"/>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7066/tpdrd.1628466" TargetMode="External"/><Relationship Id="rId7" Type="http://schemas.openxmlformats.org/officeDocument/2006/relationships/hyperlink" Target="https://doi.org/10.1348/000712602162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