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ED" w:rsidRDefault="00907CED">
      <w:r w:rsidRPr="006C79AC">
        <w:rPr>
          <w:rFonts w:ascii="Times New Roman" w:hAnsi="Times New Roman" w:cs="Times New Roman"/>
          <w:b/>
          <w:sz w:val="24"/>
          <w:szCs w:val="24"/>
        </w:rPr>
        <w:t>AFETE UYUM VE DAYANIKLILIK ÖLÇEĞİ</w:t>
      </w:r>
      <w:bookmarkStart w:id="0" w:name="_GoBack"/>
      <w:bookmarkEnd w:id="0"/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4815"/>
        <w:gridCol w:w="850"/>
        <w:gridCol w:w="851"/>
        <w:gridCol w:w="992"/>
        <w:gridCol w:w="992"/>
        <w:gridCol w:w="1276"/>
      </w:tblGrid>
      <w:tr w:rsidR="00717543" w:rsidTr="00717543">
        <w:trPr>
          <w:cantSplit/>
          <w:trHeight w:val="1134"/>
        </w:trPr>
        <w:tc>
          <w:tcPr>
            <w:tcW w:w="4815" w:type="dxa"/>
          </w:tcPr>
          <w:p w:rsidR="00717543" w:rsidRPr="00717543" w:rsidRDefault="00717543" w:rsidP="007175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EEEEE"/>
              </w:rPr>
            </w:pPr>
            <w:r w:rsidRPr="00717543">
              <w:rPr>
                <w:rFonts w:ascii="Times New Roman" w:hAnsi="Times New Roman" w:cs="Times New Roman"/>
                <w:b/>
                <w:bCs/>
                <w:color w:val="000000"/>
                <w:szCs w:val="24"/>
                <w:shd w:val="clear" w:color="auto" w:fill="EEEEEE"/>
              </w:rPr>
              <w:t>NOT: Lütfen sizin için geçerli olan aşağıdaki ifadelere ne kadar katıldığınızı belirtiniz.</w:t>
            </w:r>
          </w:p>
        </w:tc>
        <w:tc>
          <w:tcPr>
            <w:tcW w:w="850" w:type="dxa"/>
            <w:textDirection w:val="btLr"/>
          </w:tcPr>
          <w:p w:rsidR="00717543" w:rsidRPr="00717543" w:rsidRDefault="00717543" w:rsidP="00717543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000099"/>
                <w:sz w:val="20"/>
                <w:szCs w:val="20"/>
              </w:rPr>
            </w:pPr>
            <w:r w:rsidRPr="0071754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Hiç doğru değil</w:t>
            </w:r>
          </w:p>
        </w:tc>
        <w:tc>
          <w:tcPr>
            <w:tcW w:w="851" w:type="dxa"/>
            <w:textDirection w:val="btLr"/>
          </w:tcPr>
          <w:p w:rsidR="00717543" w:rsidRPr="00717543" w:rsidRDefault="00717543" w:rsidP="00717543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000099"/>
                <w:sz w:val="20"/>
                <w:szCs w:val="20"/>
              </w:rPr>
            </w:pPr>
            <w:r w:rsidRPr="0071754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Nadiren doğru</w:t>
            </w:r>
          </w:p>
        </w:tc>
        <w:tc>
          <w:tcPr>
            <w:tcW w:w="992" w:type="dxa"/>
            <w:textDirection w:val="btLr"/>
          </w:tcPr>
          <w:p w:rsidR="00717543" w:rsidRPr="00717543" w:rsidRDefault="00717543" w:rsidP="00717543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000099"/>
                <w:sz w:val="20"/>
                <w:szCs w:val="20"/>
              </w:rPr>
            </w:pPr>
            <w:r w:rsidRPr="0071754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Bazen doğru</w:t>
            </w:r>
          </w:p>
        </w:tc>
        <w:tc>
          <w:tcPr>
            <w:tcW w:w="992" w:type="dxa"/>
            <w:textDirection w:val="btLr"/>
          </w:tcPr>
          <w:p w:rsidR="00717543" w:rsidRPr="00717543" w:rsidRDefault="00717543" w:rsidP="00717543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000099"/>
                <w:sz w:val="20"/>
                <w:szCs w:val="20"/>
              </w:rPr>
            </w:pPr>
            <w:r w:rsidRPr="0071754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Genellikle doğru</w:t>
            </w:r>
          </w:p>
        </w:tc>
        <w:tc>
          <w:tcPr>
            <w:tcW w:w="1276" w:type="dxa"/>
            <w:textDirection w:val="btLr"/>
          </w:tcPr>
          <w:p w:rsidR="00717543" w:rsidRPr="00717543" w:rsidRDefault="00717543" w:rsidP="00717543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000099"/>
                <w:sz w:val="20"/>
                <w:szCs w:val="20"/>
              </w:rPr>
            </w:pPr>
            <w:r w:rsidRPr="0071754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Neredeyse her zaman doğru</w:t>
            </w:r>
          </w:p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Kamu hizmetlerim çalışıyor (örn. elektrik, gaz, su).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Beni gitmem gereken yere götürecek emniyetli bir ulaşım aracım var.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Vadesi geldiğinde kiramı veya ipoteğimi ödeyecek kadar param var.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Temiz suya erişimim var.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 w:rsidRPr="00C9156C">
              <w:rPr>
                <w:color w:val="000000"/>
                <w:sz w:val="24"/>
                <w:szCs w:val="24"/>
              </w:rPr>
              <w:t xml:space="preserve">Sağlık profesyonellerine ve </w:t>
            </w:r>
            <w:r w:rsidRPr="00C9156C">
              <w:rPr>
                <w:sz w:val="24"/>
                <w:szCs w:val="24"/>
              </w:rPr>
              <w:t>hizmetlerine (örn. doktorlar, hastane, eczane) erişimim var.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 xml:space="preserve"> Zor zamanlarımda </w:t>
            </w:r>
            <w:r w:rsidRPr="00C9156C">
              <w:rPr>
                <w:bCs/>
                <w:sz w:val="24"/>
                <w:szCs w:val="24"/>
              </w:rPr>
              <w:t>ailem yanımdadır.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156C">
              <w:rPr>
                <w:color w:val="000000"/>
                <w:sz w:val="24"/>
                <w:szCs w:val="24"/>
              </w:rPr>
              <w:t>İhtiyacım olduğunda yardım isteyebileceğim insanlar var.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İhtiyacım olan desteği arkadaşlarımdan ve ailemden alırım.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Bulunduğum topluma ait hissediyorum.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Yardıma ihtiyacım olursa, kimlerin yanına gideceğimi bilirim.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Sorunlarım hakkında ailemle konuşabilirim.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Sorunlarımla başa çıkmama yardımcı olacak bilgi veya kaynaklar ararım.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Birden fazla sorunum olduğunda, ilk hangisi üzerinde çalışacağıma öncelik veririm.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Sorunlarım için ulaşılabilir hedefler koyarım.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Sorunları çözmek için olası seçenekler üzerine beyin fırtınası yaparım.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Bir problemle karşılaştığımda, geçmişte benim için işe yarayan çözümleri düşünürüm.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Sorunları çözmek için bir eylem planı yaparım ve onu uygularım.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ind w:left="502"/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Üzücü duygularımı yönetebilirim.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ind w:left="502"/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Öfkemi kontrol edebilirim.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ind w:left="502"/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Bedensel stres tepkilerine dikkat ederim (örneğin, kalp çarpıntısı, hızlı nefes alma, terleme).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ind w:left="502"/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Stresli hissettiğimde, rahatlamama veya daha az stresli hissetmeme yardımcı olacak bir şeyler yaparım.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ind w:left="502"/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Geçmişte olan kötü anıları hatırlarsam dikkatimi şimdiki ana veririm.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ind w:left="502"/>
              <w:rPr>
                <w:sz w:val="24"/>
                <w:szCs w:val="24"/>
              </w:rPr>
            </w:pPr>
            <w:r w:rsidRPr="00C9156C">
              <w:rPr>
                <w:color w:val="000000"/>
                <w:sz w:val="24"/>
                <w:szCs w:val="24"/>
              </w:rPr>
              <w:lastRenderedPageBreak/>
              <w:t>Üzücü olayları atlatabilmek için kendime zaman tanırım.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ind w:left="502"/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Geleceğim hakkında iyimserim.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ind w:left="502"/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Zor şeyler olduğunda, her şeyin zaman</w:t>
            </w:r>
            <w:r>
              <w:rPr>
                <w:sz w:val="24"/>
                <w:szCs w:val="24"/>
              </w:rPr>
              <w:t>la daha iyi olacağını biliyorum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ind w:left="502"/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Geleceğim için önemli hedeflerim var.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ind w:left="502"/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Uzun vadeli hedeflerime ulaşabileceğime inanıyorum.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  <w:tr w:rsidR="00717543" w:rsidTr="00717543">
        <w:tc>
          <w:tcPr>
            <w:tcW w:w="4815" w:type="dxa"/>
          </w:tcPr>
          <w:p w:rsidR="00717543" w:rsidRPr="00C9156C" w:rsidRDefault="00717543" w:rsidP="00717543">
            <w:pPr>
              <w:pStyle w:val="ListeParagraf"/>
              <w:numPr>
                <w:ilvl w:val="0"/>
                <w:numId w:val="1"/>
              </w:numPr>
              <w:ind w:left="502"/>
              <w:rPr>
                <w:sz w:val="24"/>
                <w:szCs w:val="24"/>
              </w:rPr>
            </w:pPr>
            <w:r w:rsidRPr="00C9156C">
              <w:rPr>
                <w:sz w:val="24"/>
                <w:szCs w:val="24"/>
              </w:rPr>
              <w:t>Hayatımın anlamı ve amacı var.</w:t>
            </w:r>
          </w:p>
        </w:tc>
        <w:tc>
          <w:tcPr>
            <w:tcW w:w="850" w:type="dxa"/>
          </w:tcPr>
          <w:p w:rsidR="00717543" w:rsidRDefault="00717543" w:rsidP="00717543"/>
        </w:tc>
        <w:tc>
          <w:tcPr>
            <w:tcW w:w="851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992" w:type="dxa"/>
          </w:tcPr>
          <w:p w:rsidR="00717543" w:rsidRDefault="00717543" w:rsidP="00717543"/>
        </w:tc>
        <w:tc>
          <w:tcPr>
            <w:tcW w:w="1276" w:type="dxa"/>
          </w:tcPr>
          <w:p w:rsidR="00717543" w:rsidRDefault="00717543" w:rsidP="00717543"/>
        </w:tc>
      </w:tr>
    </w:tbl>
    <w:p w:rsidR="00246049" w:rsidRDefault="00246049"/>
    <w:p w:rsidR="00717543" w:rsidRPr="00120DCC" w:rsidRDefault="00717543" w:rsidP="00717543">
      <w:pPr>
        <w:pStyle w:val="Default"/>
        <w:tabs>
          <w:tab w:val="left" w:pos="9214"/>
        </w:tabs>
        <w:spacing w:line="360" w:lineRule="auto"/>
        <w:rPr>
          <w:b/>
          <w:bCs/>
        </w:rPr>
      </w:pPr>
      <w:r>
        <w:rPr>
          <w:b/>
          <w:bCs/>
        </w:rPr>
        <w:t>Fiziki kaynaklar alt boyutu: 1-5</w:t>
      </w:r>
    </w:p>
    <w:p w:rsidR="00717543" w:rsidRPr="00120DCC" w:rsidRDefault="00717543" w:rsidP="00717543">
      <w:pPr>
        <w:pStyle w:val="Default"/>
        <w:tabs>
          <w:tab w:val="left" w:pos="9214"/>
        </w:tabs>
        <w:spacing w:line="360" w:lineRule="auto"/>
        <w:rPr>
          <w:b/>
          <w:bCs/>
        </w:rPr>
      </w:pPr>
      <w:r>
        <w:rPr>
          <w:b/>
          <w:bCs/>
        </w:rPr>
        <w:t>Sosyal kaynaklar</w:t>
      </w:r>
      <w:r w:rsidRPr="00120DCC">
        <w:rPr>
          <w:b/>
          <w:bCs/>
        </w:rPr>
        <w:t xml:space="preserve"> </w:t>
      </w:r>
      <w:r>
        <w:rPr>
          <w:b/>
          <w:bCs/>
        </w:rPr>
        <w:t>alt boyutu: 6-11</w:t>
      </w:r>
    </w:p>
    <w:p w:rsidR="00717543" w:rsidRPr="00120DCC" w:rsidRDefault="00717543" w:rsidP="00717543">
      <w:pPr>
        <w:pStyle w:val="Default"/>
        <w:tabs>
          <w:tab w:val="left" w:pos="9214"/>
        </w:tabs>
        <w:spacing w:line="360" w:lineRule="auto"/>
        <w:rPr>
          <w:b/>
          <w:bCs/>
        </w:rPr>
      </w:pPr>
      <w:r>
        <w:rPr>
          <w:b/>
          <w:bCs/>
        </w:rPr>
        <w:t>Problem çözme</w:t>
      </w:r>
      <w:r w:rsidRPr="00120DCC">
        <w:rPr>
          <w:b/>
          <w:bCs/>
        </w:rPr>
        <w:t xml:space="preserve"> </w:t>
      </w:r>
      <w:r>
        <w:rPr>
          <w:b/>
          <w:bCs/>
        </w:rPr>
        <w:t>alt boyutu: 12-17</w:t>
      </w:r>
    </w:p>
    <w:p w:rsidR="00717543" w:rsidRPr="00120DCC" w:rsidRDefault="00717543" w:rsidP="00717543">
      <w:pPr>
        <w:pStyle w:val="Default"/>
        <w:tabs>
          <w:tab w:val="left" w:pos="9214"/>
        </w:tabs>
        <w:spacing w:line="360" w:lineRule="auto"/>
        <w:rPr>
          <w:b/>
          <w:bCs/>
        </w:rPr>
      </w:pPr>
      <w:r>
        <w:rPr>
          <w:b/>
          <w:bCs/>
        </w:rPr>
        <w:t>Stres yönetimi</w:t>
      </w:r>
      <w:r w:rsidRPr="00120DCC">
        <w:rPr>
          <w:b/>
          <w:bCs/>
        </w:rPr>
        <w:t xml:space="preserve"> </w:t>
      </w:r>
      <w:r>
        <w:rPr>
          <w:b/>
          <w:bCs/>
        </w:rPr>
        <w:t>alt boyutu: 18-22</w:t>
      </w:r>
    </w:p>
    <w:p w:rsidR="00717543" w:rsidRDefault="00717543" w:rsidP="00717543">
      <w:pPr>
        <w:pStyle w:val="Default"/>
        <w:tabs>
          <w:tab w:val="left" w:pos="9214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İyimserlik</w:t>
      </w:r>
      <w:r w:rsidRPr="00120DCC">
        <w:rPr>
          <w:b/>
          <w:bCs/>
        </w:rPr>
        <w:t xml:space="preserve"> </w:t>
      </w:r>
      <w:r>
        <w:rPr>
          <w:b/>
          <w:bCs/>
        </w:rPr>
        <w:t>alt boyutu: 23-28</w:t>
      </w:r>
    </w:p>
    <w:p w:rsidR="00717543" w:rsidRDefault="00717543" w:rsidP="00717543">
      <w:pPr>
        <w:pStyle w:val="Default"/>
        <w:tabs>
          <w:tab w:val="left" w:pos="9214"/>
        </w:tabs>
        <w:spacing w:line="360" w:lineRule="auto"/>
        <w:jc w:val="both"/>
        <w:rPr>
          <w:b/>
          <w:bCs/>
        </w:rPr>
      </w:pPr>
    </w:p>
    <w:p w:rsidR="00FC2632" w:rsidRPr="00FC2632" w:rsidRDefault="00FC2632" w:rsidP="00FC2632">
      <w:pPr>
        <w:spacing w:line="480" w:lineRule="auto"/>
        <w:rPr>
          <w:sz w:val="24"/>
          <w:szCs w:val="24"/>
        </w:rPr>
      </w:pPr>
    </w:p>
    <w:p w:rsidR="00FC2632" w:rsidRDefault="00FC2632" w:rsidP="00FC2632">
      <w:pPr>
        <w:pStyle w:val="ListeParagraf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C2632">
        <w:rPr>
          <w:sz w:val="24"/>
          <w:szCs w:val="24"/>
        </w:rPr>
        <w:t xml:space="preserve">Ölçek maddeleri 0 (Hiç doğru değil) ile 4 (Neredeyse her zaman doğru) arasında puanlanmaktadır. </w:t>
      </w:r>
    </w:p>
    <w:p w:rsidR="00FC2632" w:rsidRDefault="00FC2632" w:rsidP="00FC2632">
      <w:pPr>
        <w:pStyle w:val="ListeParagraf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C2632">
        <w:rPr>
          <w:sz w:val="24"/>
          <w:szCs w:val="24"/>
        </w:rPr>
        <w:t xml:space="preserve">Ölçek 28 maddeden oluşmakta olup, toplam puan 0–112 arasında değişmektedir. </w:t>
      </w:r>
    </w:p>
    <w:p w:rsidR="00FC2632" w:rsidRDefault="00FC2632" w:rsidP="00FC2632">
      <w:pPr>
        <w:pStyle w:val="ListeParagraf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C2632">
        <w:rPr>
          <w:sz w:val="24"/>
          <w:szCs w:val="24"/>
        </w:rPr>
        <w:t xml:space="preserve">Ölçeğin değerlendirilmesinde madde puan ortalaması esas alınmakta olup, bu değer 0–4 aralığındadır. </w:t>
      </w:r>
    </w:p>
    <w:p w:rsidR="00FC2632" w:rsidRPr="00FC2632" w:rsidRDefault="00FC2632" w:rsidP="00FC2632">
      <w:pPr>
        <w:pStyle w:val="ListeParagraf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717543">
        <w:rPr>
          <w:sz w:val="24"/>
          <w:szCs w:val="24"/>
        </w:rPr>
        <w:t xml:space="preserve">Ölçekte ters madde bulunmamaktadır. </w:t>
      </w:r>
    </w:p>
    <w:p w:rsidR="00FC2632" w:rsidRPr="00FC2632" w:rsidRDefault="00FC2632" w:rsidP="00FC2632">
      <w:pPr>
        <w:pStyle w:val="ListeParagraf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C2632">
        <w:rPr>
          <w:sz w:val="24"/>
          <w:szCs w:val="24"/>
        </w:rPr>
        <w:t>Ölçekten elde edilen puanın artması, bireylerin afetlere uyum ve dayanıklılık düzeylerinin arttığını göstermektedir.</w:t>
      </w:r>
    </w:p>
    <w:p w:rsidR="00717543" w:rsidRDefault="00717543" w:rsidP="00717543">
      <w:pPr>
        <w:pStyle w:val="ListeParagraf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717543">
        <w:rPr>
          <w:sz w:val="24"/>
          <w:szCs w:val="24"/>
        </w:rPr>
        <w:t>Afete Uyum ve Dayanıklılık Ölçeği</w:t>
      </w:r>
      <w:r w:rsidR="00FC2632">
        <w:rPr>
          <w:sz w:val="24"/>
          <w:szCs w:val="24"/>
        </w:rPr>
        <w:t>;</w:t>
      </w:r>
      <w:r w:rsidRPr="00717543">
        <w:rPr>
          <w:sz w:val="24"/>
          <w:szCs w:val="24"/>
        </w:rPr>
        <w:t xml:space="preserve"> “Problem Çözme”, “İyimserlik”, “Stres Yönetimi”, “Sosyal Kaynaklar” ve “Fiziksel Kaynaklar”  olmak üzere beş alt boyuttan olu</w:t>
      </w:r>
      <w:r w:rsidRPr="00717543">
        <w:rPr>
          <w:sz w:val="24"/>
          <w:szCs w:val="24"/>
        </w:rPr>
        <w:t>şmaktadır</w:t>
      </w:r>
      <w:r w:rsidRPr="00717543">
        <w:rPr>
          <w:sz w:val="24"/>
          <w:szCs w:val="24"/>
        </w:rPr>
        <w:t xml:space="preserve">. </w:t>
      </w:r>
    </w:p>
    <w:p w:rsidR="00717543" w:rsidRDefault="00717543" w:rsidP="00717543">
      <w:pPr>
        <w:pStyle w:val="ListeParagraf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717543">
        <w:rPr>
          <w:sz w:val="24"/>
          <w:szCs w:val="24"/>
        </w:rPr>
        <w:t>“Problem Çözme” alt boyutunun altı, “İyimserlik” alt boyutunun beş, “Stres Yönetimi” alt boyutunun altı, “Sosyal Kaynaklar”  alt boyutunun altı ve “Fiziksel Kaynaklar” alt boyutunun ise beş maddeden</w:t>
      </w:r>
      <w:r>
        <w:rPr>
          <w:sz w:val="24"/>
          <w:szCs w:val="24"/>
        </w:rPr>
        <w:t xml:space="preserve"> oluşmaktadır</w:t>
      </w:r>
      <w:r w:rsidRPr="00717543">
        <w:rPr>
          <w:sz w:val="24"/>
          <w:szCs w:val="24"/>
        </w:rPr>
        <w:t>.</w:t>
      </w:r>
    </w:p>
    <w:p w:rsidR="00717543" w:rsidRDefault="00717543" w:rsidP="00717543">
      <w:pPr>
        <w:pStyle w:val="ListeParagraf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717543">
        <w:rPr>
          <w:sz w:val="24"/>
          <w:szCs w:val="24"/>
        </w:rPr>
        <w:lastRenderedPageBreak/>
        <w:t>Ölçeğin bütününe ilişkin Cronbach Alpha değerinin 0.9</w:t>
      </w:r>
      <w:r>
        <w:rPr>
          <w:sz w:val="24"/>
          <w:szCs w:val="24"/>
        </w:rPr>
        <w:t xml:space="preserve">10’dur. </w:t>
      </w:r>
    </w:p>
    <w:p w:rsidR="00717543" w:rsidRDefault="00717543" w:rsidP="00717543">
      <w:pPr>
        <w:pStyle w:val="ListeParagraf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717543">
        <w:rPr>
          <w:sz w:val="24"/>
          <w:szCs w:val="24"/>
        </w:rPr>
        <w:t xml:space="preserve">lt boyutlara ilişkin </w:t>
      </w:r>
      <w:r>
        <w:rPr>
          <w:sz w:val="24"/>
          <w:szCs w:val="24"/>
        </w:rPr>
        <w:t>Cronbach Alpha değerleri</w:t>
      </w:r>
      <w:r w:rsidRPr="00717543">
        <w:rPr>
          <w:sz w:val="24"/>
          <w:szCs w:val="24"/>
        </w:rPr>
        <w:t xml:space="preserve"> </w:t>
      </w:r>
      <w:r>
        <w:rPr>
          <w:sz w:val="24"/>
          <w:szCs w:val="24"/>
        </w:rPr>
        <w:t>ise 0.785-0.901 arasında değişmektedir</w:t>
      </w:r>
      <w:r w:rsidRPr="00717543">
        <w:rPr>
          <w:sz w:val="24"/>
          <w:szCs w:val="24"/>
        </w:rPr>
        <w:t>.</w:t>
      </w:r>
    </w:p>
    <w:p w:rsidR="00717543" w:rsidRPr="00717543" w:rsidRDefault="00717543" w:rsidP="00717543">
      <w:pPr>
        <w:pStyle w:val="ListeParagraf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717543">
        <w:rPr>
          <w:sz w:val="24"/>
          <w:szCs w:val="24"/>
        </w:rPr>
        <w:t xml:space="preserve">Afete Uyum ve Dayanıklılık </w:t>
      </w:r>
      <w:r>
        <w:rPr>
          <w:sz w:val="24"/>
          <w:szCs w:val="24"/>
        </w:rPr>
        <w:t xml:space="preserve">Ölçeği </w:t>
      </w:r>
      <w:r w:rsidRPr="00717543">
        <w:rPr>
          <w:sz w:val="24"/>
          <w:szCs w:val="24"/>
        </w:rPr>
        <w:t xml:space="preserve">18 yaş üstü afet yaşamış bireylerde, afete uyum ve dayanıklılık düzeyini belirlemede geçerli ve güvenilir ölçüm aracı olduğu söylenebilir. </w:t>
      </w:r>
    </w:p>
    <w:p w:rsidR="00717543" w:rsidRDefault="00717543"/>
    <w:p w:rsidR="00FC2632" w:rsidRDefault="00FC2632" w:rsidP="00FC2632">
      <w:pPr>
        <w:pStyle w:val="ListeParagraf"/>
        <w:numPr>
          <w:ilvl w:val="0"/>
          <w:numId w:val="2"/>
        </w:numPr>
        <w:rPr>
          <w:rStyle w:val="gmail-notranslate"/>
          <w:color w:val="222222"/>
          <w:sz w:val="24"/>
          <w:shd w:val="clear" w:color="auto" w:fill="FFFFFF"/>
        </w:rPr>
      </w:pPr>
      <w:r w:rsidRPr="00FC2632">
        <w:rPr>
          <w:rStyle w:val="gmail-notranslate"/>
          <w:b/>
          <w:color w:val="222222"/>
          <w:sz w:val="24"/>
          <w:shd w:val="clear" w:color="auto" w:fill="FFFFFF"/>
        </w:rPr>
        <w:t>Ölçeğe ilişkin ayrıntılı bilgiye erişim</w:t>
      </w:r>
      <w:r w:rsidRPr="00FC2632">
        <w:rPr>
          <w:rStyle w:val="gmail-notranslate"/>
          <w:color w:val="222222"/>
          <w:sz w:val="24"/>
          <w:shd w:val="clear" w:color="auto" w:fill="FFFFFF"/>
        </w:rPr>
        <w:t xml:space="preserve">: </w:t>
      </w:r>
      <w:hyperlink r:id="rId5" w:tgtFrame="_blank" w:history="1">
        <w:r w:rsidRPr="00FC2632">
          <w:rPr>
            <w:rStyle w:val="Kpr"/>
            <w:color w:val="1155CC"/>
            <w:sz w:val="24"/>
            <w:shd w:val="clear" w:color="auto" w:fill="FFFFFF"/>
          </w:rPr>
          <w:t>https://doi.org/10.1017/dmp.2025.10277</w:t>
        </w:r>
      </w:hyperlink>
    </w:p>
    <w:p w:rsidR="00FC2632" w:rsidRPr="00FC2632" w:rsidRDefault="00FC2632" w:rsidP="00FC2632">
      <w:pPr>
        <w:pStyle w:val="ListeParagraf"/>
        <w:rPr>
          <w:rStyle w:val="gmail-notranslate"/>
          <w:color w:val="222222"/>
          <w:sz w:val="24"/>
          <w:shd w:val="clear" w:color="auto" w:fill="FFFFFF"/>
        </w:rPr>
      </w:pPr>
    </w:p>
    <w:p w:rsidR="00FC2632" w:rsidRDefault="00603C99" w:rsidP="00FC2632">
      <w:pPr>
        <w:pStyle w:val="ListeParagraf"/>
        <w:numPr>
          <w:ilvl w:val="0"/>
          <w:numId w:val="2"/>
        </w:numPr>
        <w:rPr>
          <w:rStyle w:val="gmail-notranslate"/>
          <w:color w:val="222222"/>
          <w:sz w:val="24"/>
          <w:shd w:val="clear" w:color="auto" w:fill="FFFFFF"/>
        </w:rPr>
      </w:pPr>
      <w:r w:rsidRPr="00603C99">
        <w:rPr>
          <w:rStyle w:val="gmail-notranslate"/>
          <w:b/>
          <w:color w:val="222222"/>
          <w:sz w:val="24"/>
          <w:shd w:val="clear" w:color="auto" w:fill="FFFFFF"/>
        </w:rPr>
        <w:t>Kaynak:</w:t>
      </w:r>
      <w:r>
        <w:rPr>
          <w:rStyle w:val="gmail-notranslate"/>
          <w:color w:val="222222"/>
          <w:sz w:val="24"/>
          <w:shd w:val="clear" w:color="auto" w:fill="FFFFFF"/>
        </w:rPr>
        <w:t xml:space="preserve"> </w:t>
      </w:r>
      <w:r w:rsidR="00FC2632" w:rsidRPr="00FC2632">
        <w:rPr>
          <w:rStyle w:val="gmail-notranslate"/>
          <w:color w:val="222222"/>
          <w:sz w:val="24"/>
          <w:shd w:val="clear" w:color="auto" w:fill="FFFFFF"/>
        </w:rPr>
        <w:t>Aksoy, C., &amp; Dincer, A. (2025). Adaptation and Validation of the Disaster Adaptation and Resilience Scale (DARS) in Turkish Adults: A Psychometric Tool for Disaster Preparedness and Public Health Response. Disaster Medicine and Public Health Preparedness, 19, e362.</w:t>
      </w:r>
    </w:p>
    <w:p w:rsidR="00FC2632" w:rsidRPr="00FC2632" w:rsidRDefault="00FC2632" w:rsidP="00FC2632">
      <w:pPr>
        <w:pStyle w:val="ListeParagraf"/>
        <w:rPr>
          <w:rStyle w:val="gmail-notranslate"/>
          <w:b/>
          <w:color w:val="222222"/>
          <w:sz w:val="24"/>
          <w:shd w:val="clear" w:color="auto" w:fill="FFFFFF"/>
        </w:rPr>
      </w:pPr>
    </w:p>
    <w:p w:rsidR="00FC2632" w:rsidRPr="00FC2632" w:rsidRDefault="00FC2632" w:rsidP="00FC2632">
      <w:pPr>
        <w:pStyle w:val="ListeParagraf"/>
        <w:numPr>
          <w:ilvl w:val="0"/>
          <w:numId w:val="2"/>
        </w:numPr>
        <w:rPr>
          <w:color w:val="222222"/>
          <w:sz w:val="24"/>
          <w:shd w:val="clear" w:color="auto" w:fill="FFFFFF"/>
        </w:rPr>
      </w:pPr>
      <w:r w:rsidRPr="00FC2632">
        <w:rPr>
          <w:rStyle w:val="gmail-notranslate"/>
          <w:b/>
          <w:color w:val="222222"/>
          <w:sz w:val="24"/>
          <w:shd w:val="clear" w:color="auto" w:fill="FFFFFF"/>
        </w:rPr>
        <w:t>Ölçeğin Orijinal hali</w:t>
      </w:r>
      <w:r w:rsidRPr="00FC2632">
        <w:rPr>
          <w:rStyle w:val="gmail-notranslate"/>
          <w:color w:val="222222"/>
          <w:sz w:val="24"/>
          <w:shd w:val="clear" w:color="auto" w:fill="FFFFFF"/>
        </w:rPr>
        <w:t xml:space="preserve">: </w:t>
      </w:r>
      <w:r w:rsidRPr="00FC2632">
        <w:rPr>
          <w:color w:val="222222"/>
          <w:sz w:val="24"/>
          <w:shd w:val="clear" w:color="auto" w:fill="FFFFFF"/>
          <w:lang w:val="en-US"/>
        </w:rPr>
        <w:t xml:space="preserve">First, J. M., Yu, M., &amp; Houston, J. B. (2021). The Disaster Adaptation and Resilience Scale: development and validation of an individual‐level protection measure. </w:t>
      </w:r>
      <w:r w:rsidRPr="00FC2632">
        <w:rPr>
          <w:i/>
          <w:color w:val="222222"/>
          <w:sz w:val="24"/>
          <w:shd w:val="clear" w:color="auto" w:fill="FFFFFF"/>
          <w:lang w:val="en-US"/>
        </w:rPr>
        <w:t>Disasters, 45</w:t>
      </w:r>
      <w:r w:rsidRPr="00FC2632">
        <w:rPr>
          <w:color w:val="222222"/>
          <w:sz w:val="24"/>
          <w:shd w:val="clear" w:color="auto" w:fill="FFFFFF"/>
          <w:lang w:val="en-US"/>
        </w:rPr>
        <w:t xml:space="preserve">(4), 939-967. </w:t>
      </w:r>
      <w:r w:rsidRPr="00FC2632">
        <w:rPr>
          <w:color w:val="212121"/>
          <w:sz w:val="24"/>
          <w:szCs w:val="24"/>
        </w:rPr>
        <w:t>DOI: </w:t>
      </w:r>
      <w:hyperlink r:id="rId6" w:tgtFrame="_blank" w:history="1">
        <w:r w:rsidRPr="00FC2632">
          <w:rPr>
            <w:color w:val="0071BC"/>
            <w:sz w:val="24"/>
            <w:szCs w:val="24"/>
            <w:u w:val="single"/>
          </w:rPr>
          <w:t>10.1111/disa.12452</w:t>
        </w:r>
      </w:hyperlink>
    </w:p>
    <w:p w:rsidR="00FC2632" w:rsidRPr="00FC2632" w:rsidRDefault="00FC2632" w:rsidP="00FC2632">
      <w:pPr>
        <w:rPr>
          <w:rFonts w:ascii="Times New Roman" w:hAnsi="Times New Roman" w:cs="Times New Roman"/>
          <w:color w:val="222222"/>
          <w:sz w:val="24"/>
          <w:shd w:val="clear" w:color="auto" w:fill="FFFFFF"/>
          <w:lang w:val="en-US"/>
        </w:rPr>
      </w:pPr>
    </w:p>
    <w:p w:rsidR="00FC2632" w:rsidRDefault="00FC2632"/>
    <w:sectPr w:rsidR="00FC2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172"/>
    <w:multiLevelType w:val="hybridMultilevel"/>
    <w:tmpl w:val="C0E0CEE4"/>
    <w:lvl w:ilvl="0" w:tplc="B2620D52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D60A9"/>
    <w:multiLevelType w:val="hybridMultilevel"/>
    <w:tmpl w:val="724E91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A65C8"/>
    <w:multiLevelType w:val="multilevel"/>
    <w:tmpl w:val="FFAC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99"/>
    <w:rsid w:val="00163464"/>
    <w:rsid w:val="00246049"/>
    <w:rsid w:val="00507B99"/>
    <w:rsid w:val="00603C99"/>
    <w:rsid w:val="007050C3"/>
    <w:rsid w:val="00717543"/>
    <w:rsid w:val="00907CED"/>
    <w:rsid w:val="00FC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C147"/>
  <w15:chartTrackingRefBased/>
  <w15:docId w15:val="{1E901DCE-AFAE-4372-94A8-A9B01BED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1754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">
    <w:name w:val="Default"/>
    <w:link w:val="DefaultChar"/>
    <w:rsid w:val="007175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efaultChar">
    <w:name w:val="Default Char"/>
    <w:link w:val="Default"/>
    <w:rsid w:val="00717543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mail-notranslate">
    <w:name w:val="gmail-notranslate"/>
    <w:basedOn w:val="VarsaylanParagrafYazTipi"/>
    <w:rsid w:val="00FC2632"/>
  </w:style>
  <w:style w:type="character" w:styleId="Kpr">
    <w:name w:val="Hyperlink"/>
    <w:basedOn w:val="VarsaylanParagrafYazTipi"/>
    <w:uiPriority w:val="99"/>
    <w:semiHidden/>
    <w:unhideWhenUsed/>
    <w:rsid w:val="00FC2632"/>
    <w:rPr>
      <w:color w:val="0000FF"/>
      <w:u w:val="single"/>
    </w:rPr>
  </w:style>
  <w:style w:type="character" w:customStyle="1" w:styleId="identifier">
    <w:name w:val="identifier"/>
    <w:basedOn w:val="VarsaylanParagrafYazTipi"/>
    <w:rsid w:val="00FC2632"/>
  </w:style>
  <w:style w:type="character" w:customStyle="1" w:styleId="id-label">
    <w:name w:val="id-label"/>
    <w:basedOn w:val="VarsaylanParagrafYazTipi"/>
    <w:rsid w:val="00FC2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11/disa.12452" TargetMode="External"/><Relationship Id="rId5" Type="http://schemas.openxmlformats.org/officeDocument/2006/relationships/hyperlink" Target="https://doi.org/10.1017/dmp.2025.102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aytap dincer</dc:creator>
  <cp:keywords/>
  <dc:description/>
  <cp:lastModifiedBy>aytap dincer</cp:lastModifiedBy>
  <cp:revision>4</cp:revision>
  <dcterms:created xsi:type="dcterms:W3CDTF">2025-12-26T20:23:00Z</dcterms:created>
  <dcterms:modified xsi:type="dcterms:W3CDTF">2025-12-26T20:53:00Z</dcterms:modified>
</cp:coreProperties>
</file>