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5E6BFC">
      <w:pPr>
        <w:pStyle w:val="9"/>
        <w:ind w:left="0"/>
        <w:jc w:val="left"/>
        <w:rPr>
          <w:sz w:val="20"/>
        </w:rPr>
      </w:pPr>
    </w:p>
    <w:p w14:paraId="22792330">
      <w:pPr>
        <w:pStyle w:val="9"/>
        <w:ind w:left="0"/>
        <w:jc w:val="left"/>
        <w:rPr>
          <w:sz w:val="20"/>
        </w:rPr>
      </w:pPr>
    </w:p>
    <w:p w14:paraId="7AA9483C">
      <w:pPr>
        <w:pStyle w:val="9"/>
        <w:ind w:left="0"/>
        <w:jc w:val="left"/>
        <w:rPr>
          <w:sz w:val="20"/>
        </w:rPr>
      </w:pPr>
    </w:p>
    <w:p w14:paraId="75756D9B">
      <w:pPr>
        <w:pStyle w:val="9"/>
        <w:spacing w:before="5"/>
        <w:ind w:left="0"/>
        <w:jc w:val="left"/>
        <w:rPr>
          <w:sz w:val="29"/>
        </w:rPr>
      </w:pPr>
    </w:p>
    <w:p w14:paraId="20153BE0">
      <w:pPr>
        <w:pStyle w:val="9"/>
        <w:ind w:left="646"/>
        <w:jc w:val="left"/>
        <w:rPr>
          <w:sz w:val="20"/>
        </w:rPr>
      </w:pPr>
      <w:r>
        <w:rPr>
          <w:sz w:val="20"/>
          <w:lang w:eastAsia="tr-TR"/>
        </w:rPr>
        <w:drawing>
          <wp:inline distT="0" distB="0" distL="0" distR="0">
            <wp:extent cx="4989830" cy="808355"/>
            <wp:effectExtent l="0" t="0" r="0" b="0"/>
            <wp:docPr id="1" name="Image 1" descr="../LE%20LOGO-01.png"/>
            <wp:cNvGraphicFramePr/>
            <a:graphic xmlns:a="http://schemas.openxmlformats.org/drawingml/2006/main">
              <a:graphicData uri="http://schemas.openxmlformats.org/drawingml/2006/picture">
                <pic:pic xmlns:pic="http://schemas.openxmlformats.org/drawingml/2006/picture">
                  <pic:nvPicPr>
                    <pic:cNvPr id="1" name="Image 1" descr="../LE%20LOGO-01.png"/>
                    <pic:cNvPicPr/>
                  </pic:nvPicPr>
                  <pic:blipFill>
                    <a:blip r:embed="rId8" cstate="print"/>
                    <a:stretch>
                      <a:fillRect/>
                    </a:stretch>
                  </pic:blipFill>
                  <pic:spPr>
                    <a:xfrm>
                      <a:off x="0" y="0"/>
                      <a:ext cx="4990427" cy="808862"/>
                    </a:xfrm>
                    <a:prstGeom prst="rect">
                      <a:avLst/>
                    </a:prstGeom>
                  </pic:spPr>
                </pic:pic>
              </a:graphicData>
            </a:graphic>
          </wp:inline>
        </w:drawing>
      </w:r>
    </w:p>
    <w:p w14:paraId="4736D023">
      <w:pPr>
        <w:pStyle w:val="9"/>
        <w:ind w:left="0"/>
        <w:jc w:val="left"/>
        <w:rPr>
          <w:sz w:val="20"/>
        </w:rPr>
      </w:pPr>
    </w:p>
    <w:p w14:paraId="7E9DE041">
      <w:pPr>
        <w:pStyle w:val="9"/>
        <w:ind w:left="0"/>
        <w:jc w:val="left"/>
        <w:rPr>
          <w:sz w:val="20"/>
        </w:rPr>
      </w:pPr>
    </w:p>
    <w:p w14:paraId="611913F0">
      <w:pPr>
        <w:pStyle w:val="9"/>
        <w:ind w:left="0"/>
        <w:jc w:val="left"/>
        <w:rPr>
          <w:sz w:val="20"/>
        </w:rPr>
      </w:pPr>
    </w:p>
    <w:p w14:paraId="36854997">
      <w:pPr>
        <w:pStyle w:val="9"/>
        <w:ind w:left="0"/>
        <w:jc w:val="left"/>
        <w:rPr>
          <w:sz w:val="20"/>
        </w:rPr>
      </w:pPr>
    </w:p>
    <w:p w14:paraId="4F775AFF">
      <w:pPr>
        <w:pStyle w:val="9"/>
        <w:ind w:left="0"/>
        <w:jc w:val="left"/>
        <w:rPr>
          <w:sz w:val="20"/>
        </w:rPr>
      </w:pPr>
    </w:p>
    <w:p w14:paraId="51129D9E">
      <w:pPr>
        <w:pStyle w:val="9"/>
        <w:ind w:left="0"/>
        <w:jc w:val="left"/>
        <w:rPr>
          <w:sz w:val="20"/>
        </w:rPr>
      </w:pPr>
    </w:p>
    <w:p w14:paraId="625C7BA5">
      <w:pPr>
        <w:pStyle w:val="9"/>
        <w:ind w:left="0"/>
        <w:jc w:val="left"/>
        <w:rPr>
          <w:sz w:val="20"/>
        </w:rPr>
      </w:pPr>
    </w:p>
    <w:p w14:paraId="1CDC25C0">
      <w:pPr>
        <w:pStyle w:val="9"/>
        <w:spacing w:before="3"/>
        <w:ind w:left="0"/>
        <w:jc w:val="left"/>
        <w:rPr>
          <w:sz w:val="26"/>
        </w:rPr>
      </w:pPr>
    </w:p>
    <w:p w14:paraId="0129AB30">
      <w:pPr>
        <w:jc w:val="center"/>
        <w:rPr>
          <w:b/>
          <w:spacing w:val="-2"/>
          <w:sz w:val="28"/>
        </w:rPr>
      </w:pPr>
      <w:r>
        <w:rPr>
          <w:b/>
          <w:sz w:val="28"/>
        </w:rPr>
        <w:t>SANAL REKREASYON FAALİYETLERİNİN YAŞAM KALİTESİ ÜZERİNE ETKİSİ,</w:t>
      </w:r>
      <w:r>
        <w:rPr>
          <w:b/>
          <w:spacing w:val="-5"/>
          <w:sz w:val="28"/>
        </w:rPr>
        <w:t xml:space="preserve"> </w:t>
      </w:r>
      <w:r>
        <w:rPr>
          <w:b/>
          <w:sz w:val="28"/>
        </w:rPr>
        <w:t>SINIF</w:t>
      </w:r>
      <w:r>
        <w:rPr>
          <w:b/>
          <w:spacing w:val="-7"/>
          <w:sz w:val="28"/>
        </w:rPr>
        <w:t xml:space="preserve"> </w:t>
      </w:r>
      <w:r>
        <w:rPr>
          <w:b/>
          <w:sz w:val="28"/>
        </w:rPr>
        <w:t>ÖĞRETMENLERİ</w:t>
      </w:r>
      <w:r>
        <w:rPr>
          <w:b/>
          <w:spacing w:val="-6"/>
          <w:sz w:val="28"/>
        </w:rPr>
        <w:t xml:space="preserve"> </w:t>
      </w:r>
      <w:r>
        <w:rPr>
          <w:b/>
          <w:sz w:val="28"/>
        </w:rPr>
        <w:t>ÜZERİNE</w:t>
      </w:r>
      <w:r>
        <w:rPr>
          <w:b/>
          <w:spacing w:val="-5"/>
          <w:sz w:val="28"/>
        </w:rPr>
        <w:t xml:space="preserve"> </w:t>
      </w:r>
      <w:r>
        <w:rPr>
          <w:b/>
          <w:sz w:val="28"/>
        </w:rPr>
        <w:t>BİR</w:t>
      </w:r>
      <w:r>
        <w:rPr>
          <w:b/>
          <w:spacing w:val="-6"/>
          <w:sz w:val="28"/>
        </w:rPr>
        <w:t xml:space="preserve"> </w:t>
      </w:r>
      <w:r>
        <w:rPr>
          <w:b/>
          <w:sz w:val="28"/>
        </w:rPr>
        <w:t>UYGULAMA,</w:t>
      </w:r>
      <w:r>
        <w:rPr>
          <w:b/>
          <w:spacing w:val="-4"/>
          <w:sz w:val="28"/>
        </w:rPr>
        <w:t xml:space="preserve"> </w:t>
      </w:r>
      <w:r>
        <w:rPr>
          <w:b/>
          <w:sz w:val="28"/>
        </w:rPr>
        <w:t>MAMAK</w:t>
      </w:r>
      <w:r>
        <w:rPr>
          <w:b/>
          <w:spacing w:val="-6"/>
          <w:sz w:val="28"/>
        </w:rPr>
        <w:t xml:space="preserve"> </w:t>
      </w:r>
      <w:r>
        <w:rPr>
          <w:b/>
          <w:sz w:val="28"/>
        </w:rPr>
        <w:t xml:space="preserve">İLÇESİ </w:t>
      </w:r>
      <w:r>
        <w:rPr>
          <w:b/>
          <w:spacing w:val="-2"/>
          <w:sz w:val="28"/>
        </w:rPr>
        <w:t>ÖRNEĞİ</w:t>
      </w:r>
    </w:p>
    <w:p w14:paraId="2D3AD08D">
      <w:pPr>
        <w:jc w:val="center"/>
        <w:rPr>
          <w:b/>
          <w:sz w:val="28"/>
        </w:rPr>
      </w:pPr>
    </w:p>
    <w:p w14:paraId="1DF43240">
      <w:pPr>
        <w:pStyle w:val="9"/>
        <w:ind w:left="0"/>
        <w:jc w:val="left"/>
        <w:rPr>
          <w:b/>
          <w:sz w:val="26"/>
        </w:rPr>
      </w:pPr>
    </w:p>
    <w:p w14:paraId="27B3B2D2">
      <w:pPr>
        <w:pStyle w:val="9"/>
        <w:ind w:left="0"/>
        <w:jc w:val="left"/>
        <w:rPr>
          <w:b/>
          <w:sz w:val="26"/>
        </w:rPr>
      </w:pPr>
    </w:p>
    <w:p w14:paraId="7727B7D3">
      <w:pPr>
        <w:pStyle w:val="9"/>
        <w:ind w:left="0"/>
        <w:jc w:val="left"/>
        <w:rPr>
          <w:b/>
          <w:sz w:val="26"/>
        </w:rPr>
      </w:pPr>
    </w:p>
    <w:p w14:paraId="71B7D16F">
      <w:pPr>
        <w:spacing w:before="207"/>
        <w:ind w:left="1840" w:right="1856"/>
        <w:jc w:val="center"/>
        <w:rPr>
          <w:b/>
          <w:spacing w:val="-2"/>
          <w:sz w:val="24"/>
        </w:rPr>
      </w:pPr>
      <w:r>
        <w:rPr>
          <w:b/>
          <w:sz w:val="24"/>
        </w:rPr>
        <w:t xml:space="preserve">Özgür </w:t>
      </w:r>
      <w:r>
        <w:rPr>
          <w:b/>
          <w:spacing w:val="-2"/>
          <w:sz w:val="24"/>
        </w:rPr>
        <w:t>ÇUKURLUÖZ</w:t>
      </w:r>
    </w:p>
    <w:p w14:paraId="270667F7">
      <w:pPr>
        <w:spacing w:before="207"/>
        <w:ind w:left="1840" w:right="1856"/>
        <w:jc w:val="center"/>
        <w:rPr>
          <w:b/>
          <w:sz w:val="24"/>
        </w:rPr>
      </w:pPr>
    </w:p>
    <w:p w14:paraId="2F2981B3">
      <w:pPr>
        <w:spacing w:before="207"/>
        <w:ind w:left="1840" w:right="1856"/>
        <w:jc w:val="center"/>
        <w:rPr>
          <w:b/>
          <w:sz w:val="24"/>
        </w:rPr>
      </w:pPr>
    </w:p>
    <w:p w14:paraId="6D45A807">
      <w:pPr>
        <w:pStyle w:val="9"/>
        <w:ind w:left="0"/>
        <w:jc w:val="left"/>
        <w:rPr>
          <w:b/>
          <w:sz w:val="26"/>
        </w:rPr>
      </w:pPr>
    </w:p>
    <w:p w14:paraId="28A14A88">
      <w:pPr>
        <w:pStyle w:val="9"/>
        <w:ind w:left="0"/>
        <w:jc w:val="left"/>
        <w:rPr>
          <w:b/>
          <w:sz w:val="22"/>
        </w:rPr>
      </w:pPr>
    </w:p>
    <w:p w14:paraId="257496C5">
      <w:pPr>
        <w:ind w:left="3348" w:right="3304" w:hanging="61"/>
        <w:jc w:val="center"/>
        <w:rPr>
          <w:b/>
          <w:sz w:val="24"/>
        </w:rPr>
      </w:pPr>
      <w:r>
        <w:rPr>
          <w:b/>
          <w:sz w:val="24"/>
        </w:rPr>
        <w:t xml:space="preserve">Tez Danışmanı </w:t>
      </w:r>
    </w:p>
    <w:p w14:paraId="46811491">
      <w:pPr>
        <w:ind w:left="3348" w:right="3304" w:hanging="61"/>
        <w:jc w:val="center"/>
        <w:rPr>
          <w:b/>
          <w:sz w:val="24"/>
        </w:rPr>
      </w:pPr>
      <w:r>
        <w:rPr>
          <w:b/>
          <w:sz w:val="24"/>
        </w:rPr>
        <w:t>Pof.Dr. Akyay</w:t>
      </w:r>
      <w:r>
        <w:rPr>
          <w:b/>
          <w:spacing w:val="-15"/>
          <w:sz w:val="24"/>
        </w:rPr>
        <w:t xml:space="preserve"> </w:t>
      </w:r>
      <w:r>
        <w:rPr>
          <w:b/>
          <w:sz w:val="24"/>
        </w:rPr>
        <w:t>UYGUR</w:t>
      </w:r>
    </w:p>
    <w:p w14:paraId="5592D579">
      <w:pPr>
        <w:pStyle w:val="9"/>
        <w:ind w:left="0"/>
        <w:jc w:val="left"/>
        <w:rPr>
          <w:b/>
          <w:sz w:val="26"/>
        </w:rPr>
      </w:pPr>
    </w:p>
    <w:p w14:paraId="76AA0891">
      <w:pPr>
        <w:pStyle w:val="9"/>
        <w:ind w:left="0"/>
        <w:jc w:val="left"/>
        <w:rPr>
          <w:b/>
          <w:sz w:val="26"/>
        </w:rPr>
      </w:pPr>
    </w:p>
    <w:p w14:paraId="57B6A6A4">
      <w:pPr>
        <w:pStyle w:val="9"/>
        <w:ind w:left="0"/>
        <w:jc w:val="left"/>
        <w:rPr>
          <w:b/>
          <w:sz w:val="26"/>
        </w:rPr>
      </w:pPr>
    </w:p>
    <w:p w14:paraId="37FC1EF1">
      <w:pPr>
        <w:pStyle w:val="9"/>
        <w:ind w:left="0"/>
        <w:jc w:val="left"/>
        <w:rPr>
          <w:b/>
          <w:sz w:val="26"/>
        </w:rPr>
      </w:pPr>
    </w:p>
    <w:p w14:paraId="6F6D1191">
      <w:pPr>
        <w:spacing w:before="207"/>
        <w:ind w:left="1283" w:right="1299"/>
        <w:jc w:val="center"/>
        <w:rPr>
          <w:b/>
          <w:sz w:val="24"/>
        </w:rPr>
      </w:pPr>
      <w:r>
        <w:rPr>
          <w:b/>
          <w:sz w:val="24"/>
        </w:rPr>
        <w:t>DOKTORA TEZİ</w:t>
      </w:r>
    </w:p>
    <w:p w14:paraId="6719406B">
      <w:pPr>
        <w:spacing w:before="207"/>
        <w:ind w:left="1283" w:right="1299"/>
        <w:jc w:val="center"/>
        <w:rPr>
          <w:b/>
          <w:sz w:val="24"/>
        </w:rPr>
      </w:pPr>
      <w:r>
        <w:rPr>
          <w:b/>
          <w:sz w:val="24"/>
        </w:rPr>
        <w:t>REKREASYON YÖNETİMİ BİLİM ANABİLİM DALI</w:t>
      </w:r>
    </w:p>
    <w:p w14:paraId="2B8488FA">
      <w:pPr>
        <w:spacing w:before="207"/>
        <w:ind w:left="1283" w:right="1299"/>
        <w:jc w:val="center"/>
        <w:rPr>
          <w:b/>
          <w:sz w:val="24"/>
        </w:rPr>
      </w:pPr>
      <w:r>
        <w:rPr>
          <w:b/>
          <w:sz w:val="24"/>
        </w:rPr>
        <w:t>REKREASYON YÖNETİMİ BİLİM DALI</w:t>
      </w:r>
    </w:p>
    <w:p w14:paraId="7052B5C8">
      <w:pPr>
        <w:spacing w:before="207"/>
        <w:ind w:left="1283" w:right="1299"/>
        <w:jc w:val="center"/>
        <w:rPr>
          <w:b/>
          <w:sz w:val="24"/>
        </w:rPr>
      </w:pPr>
    </w:p>
    <w:p w14:paraId="37FCE800">
      <w:pPr>
        <w:pStyle w:val="9"/>
        <w:ind w:left="0"/>
        <w:jc w:val="left"/>
        <w:rPr>
          <w:b/>
          <w:sz w:val="26"/>
        </w:rPr>
      </w:pPr>
    </w:p>
    <w:p w14:paraId="1CD2C520">
      <w:pPr>
        <w:pStyle w:val="9"/>
        <w:ind w:left="0"/>
        <w:jc w:val="left"/>
        <w:rPr>
          <w:b/>
          <w:sz w:val="26"/>
        </w:rPr>
      </w:pPr>
    </w:p>
    <w:p w14:paraId="2001827F">
      <w:pPr>
        <w:spacing w:before="233"/>
        <w:ind w:left="1839" w:right="1857"/>
        <w:jc w:val="center"/>
        <w:rPr>
          <w:b/>
          <w:sz w:val="24"/>
        </w:rPr>
      </w:pPr>
      <w:r>
        <w:rPr>
          <w:b/>
          <w:sz w:val="24"/>
        </w:rPr>
        <w:t>Ankara -</w:t>
      </w:r>
      <w:r>
        <w:rPr>
          <w:b/>
          <w:spacing w:val="-3"/>
          <w:sz w:val="24"/>
        </w:rPr>
        <w:t xml:space="preserve"> </w:t>
      </w:r>
      <w:r>
        <w:rPr>
          <w:b/>
          <w:spacing w:val="-4"/>
          <w:sz w:val="24"/>
        </w:rPr>
        <w:t>2025</w:t>
      </w:r>
    </w:p>
    <w:p w14:paraId="7F298411">
      <w:pPr>
        <w:jc w:val="center"/>
        <w:rPr>
          <w:sz w:val="24"/>
        </w:rPr>
      </w:pPr>
    </w:p>
    <w:p w14:paraId="20637445">
      <w:pPr>
        <w:jc w:val="center"/>
        <w:rPr>
          <w:sz w:val="24"/>
        </w:rPr>
      </w:pPr>
      <w:r>
        <w:rPr>
          <w:sz w:val="20"/>
          <w:lang w:eastAsia="tr-TR"/>
        </w:rPr>
        <w:drawing>
          <wp:inline distT="0" distB="0" distL="0" distR="0">
            <wp:extent cx="3190240" cy="3190240"/>
            <wp:effectExtent l="0" t="0" r="0" b="0"/>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3190589" cy="3190589"/>
                    </a:xfrm>
                    <a:prstGeom prst="rect">
                      <a:avLst/>
                    </a:prstGeom>
                  </pic:spPr>
                </pic:pic>
              </a:graphicData>
            </a:graphic>
          </wp:inline>
        </w:drawing>
      </w:r>
    </w:p>
    <w:p w14:paraId="75BA0A3C">
      <w:pPr>
        <w:jc w:val="center"/>
        <w:rPr>
          <w:sz w:val="24"/>
        </w:rPr>
      </w:pPr>
    </w:p>
    <w:p w14:paraId="5AFBA263">
      <w:pPr>
        <w:jc w:val="center"/>
        <w:rPr>
          <w:sz w:val="24"/>
        </w:rPr>
      </w:pPr>
    </w:p>
    <w:p w14:paraId="3B12D8C4">
      <w:pPr>
        <w:widowControl/>
        <w:autoSpaceDE/>
        <w:autoSpaceDN/>
        <w:rPr>
          <w:sz w:val="24"/>
        </w:rPr>
      </w:pPr>
      <w:r>
        <w:rPr>
          <w:sz w:val="24"/>
        </w:rPr>
        <w:br w:type="page"/>
      </w:r>
    </w:p>
    <w:p w14:paraId="661E2A38">
      <w:pPr>
        <w:jc w:val="center"/>
        <w:rPr>
          <w:b/>
          <w:spacing w:val="-2"/>
          <w:sz w:val="28"/>
        </w:rPr>
      </w:pPr>
      <w:r>
        <w:rPr>
          <w:b/>
          <w:sz w:val="28"/>
        </w:rPr>
        <w:t>SANAL REKREASYON FAALİYETLERİNİN YAŞAM KALİTESİ ÜZERİNE ETKİSİ,</w:t>
      </w:r>
      <w:r>
        <w:rPr>
          <w:b/>
          <w:spacing w:val="-5"/>
          <w:sz w:val="28"/>
        </w:rPr>
        <w:t xml:space="preserve"> </w:t>
      </w:r>
      <w:r>
        <w:rPr>
          <w:b/>
          <w:sz w:val="28"/>
        </w:rPr>
        <w:t>SINIF</w:t>
      </w:r>
      <w:r>
        <w:rPr>
          <w:b/>
          <w:spacing w:val="-7"/>
          <w:sz w:val="28"/>
        </w:rPr>
        <w:t xml:space="preserve"> </w:t>
      </w:r>
      <w:r>
        <w:rPr>
          <w:b/>
          <w:sz w:val="28"/>
        </w:rPr>
        <w:t>ÖĞRETMENLERİ</w:t>
      </w:r>
      <w:r>
        <w:rPr>
          <w:b/>
          <w:spacing w:val="-6"/>
          <w:sz w:val="28"/>
        </w:rPr>
        <w:t xml:space="preserve"> </w:t>
      </w:r>
      <w:r>
        <w:rPr>
          <w:b/>
          <w:sz w:val="28"/>
        </w:rPr>
        <w:t>ÜZERİNE</w:t>
      </w:r>
      <w:r>
        <w:rPr>
          <w:b/>
          <w:spacing w:val="-5"/>
          <w:sz w:val="28"/>
        </w:rPr>
        <w:t xml:space="preserve"> </w:t>
      </w:r>
      <w:r>
        <w:rPr>
          <w:b/>
          <w:sz w:val="28"/>
        </w:rPr>
        <w:t>BİR</w:t>
      </w:r>
      <w:r>
        <w:rPr>
          <w:b/>
          <w:spacing w:val="-6"/>
          <w:sz w:val="28"/>
        </w:rPr>
        <w:t xml:space="preserve"> </w:t>
      </w:r>
      <w:r>
        <w:rPr>
          <w:b/>
          <w:sz w:val="28"/>
        </w:rPr>
        <w:t>UYGULAMA,</w:t>
      </w:r>
      <w:r>
        <w:rPr>
          <w:b/>
          <w:spacing w:val="-4"/>
          <w:sz w:val="28"/>
        </w:rPr>
        <w:t xml:space="preserve"> </w:t>
      </w:r>
      <w:r>
        <w:rPr>
          <w:b/>
          <w:sz w:val="28"/>
        </w:rPr>
        <w:t>MAMAK</w:t>
      </w:r>
      <w:r>
        <w:rPr>
          <w:b/>
          <w:spacing w:val="-6"/>
          <w:sz w:val="28"/>
        </w:rPr>
        <w:t xml:space="preserve"> </w:t>
      </w:r>
      <w:r>
        <w:rPr>
          <w:b/>
          <w:sz w:val="28"/>
        </w:rPr>
        <w:t xml:space="preserve">İLÇESİ </w:t>
      </w:r>
      <w:r>
        <w:rPr>
          <w:b/>
          <w:spacing w:val="-2"/>
          <w:sz w:val="28"/>
        </w:rPr>
        <w:t>ÖRNEĞİ</w:t>
      </w:r>
    </w:p>
    <w:p w14:paraId="530311FC">
      <w:pPr>
        <w:jc w:val="center"/>
        <w:rPr>
          <w:b/>
          <w:sz w:val="28"/>
        </w:rPr>
      </w:pPr>
    </w:p>
    <w:p w14:paraId="5A39CA26">
      <w:pPr>
        <w:pStyle w:val="9"/>
        <w:ind w:left="0"/>
        <w:jc w:val="left"/>
        <w:rPr>
          <w:b/>
          <w:sz w:val="26"/>
        </w:rPr>
      </w:pPr>
    </w:p>
    <w:p w14:paraId="4FD10C3A">
      <w:pPr>
        <w:pStyle w:val="9"/>
        <w:ind w:left="0"/>
        <w:jc w:val="left"/>
        <w:rPr>
          <w:b/>
          <w:sz w:val="26"/>
        </w:rPr>
      </w:pPr>
    </w:p>
    <w:p w14:paraId="6C68B33B">
      <w:pPr>
        <w:pStyle w:val="9"/>
        <w:ind w:left="0"/>
        <w:jc w:val="left"/>
        <w:rPr>
          <w:b/>
          <w:sz w:val="26"/>
        </w:rPr>
      </w:pPr>
    </w:p>
    <w:p w14:paraId="2EF1C19F">
      <w:pPr>
        <w:pStyle w:val="9"/>
        <w:ind w:left="0"/>
        <w:jc w:val="left"/>
        <w:rPr>
          <w:b/>
          <w:sz w:val="26"/>
        </w:rPr>
      </w:pPr>
    </w:p>
    <w:p w14:paraId="39BF3BD6">
      <w:pPr>
        <w:pStyle w:val="9"/>
        <w:ind w:left="0"/>
        <w:jc w:val="left"/>
        <w:rPr>
          <w:b/>
          <w:sz w:val="26"/>
        </w:rPr>
      </w:pPr>
    </w:p>
    <w:p w14:paraId="2F522867">
      <w:pPr>
        <w:spacing w:before="207"/>
        <w:ind w:left="1840" w:right="1856"/>
        <w:jc w:val="center"/>
        <w:rPr>
          <w:b/>
          <w:spacing w:val="-2"/>
          <w:sz w:val="24"/>
        </w:rPr>
      </w:pPr>
      <w:r>
        <w:rPr>
          <w:b/>
          <w:sz w:val="24"/>
        </w:rPr>
        <w:t xml:space="preserve">Özgür </w:t>
      </w:r>
      <w:r>
        <w:rPr>
          <w:b/>
          <w:spacing w:val="-2"/>
          <w:sz w:val="24"/>
        </w:rPr>
        <w:t>ÇUKURLUÖZ</w:t>
      </w:r>
    </w:p>
    <w:p w14:paraId="55F363DD">
      <w:pPr>
        <w:spacing w:before="207"/>
        <w:ind w:right="1856"/>
        <w:rPr>
          <w:b/>
          <w:sz w:val="24"/>
        </w:rPr>
      </w:pPr>
    </w:p>
    <w:p w14:paraId="38E10489">
      <w:pPr>
        <w:spacing w:before="207"/>
        <w:ind w:left="1840" w:right="1856"/>
        <w:jc w:val="center"/>
        <w:rPr>
          <w:b/>
          <w:sz w:val="24"/>
        </w:rPr>
      </w:pPr>
    </w:p>
    <w:p w14:paraId="7E255467">
      <w:pPr>
        <w:pStyle w:val="9"/>
        <w:ind w:left="0"/>
        <w:jc w:val="left"/>
        <w:rPr>
          <w:b/>
          <w:sz w:val="26"/>
        </w:rPr>
      </w:pPr>
    </w:p>
    <w:p w14:paraId="67CF463F">
      <w:pPr>
        <w:pStyle w:val="9"/>
        <w:ind w:left="0"/>
        <w:jc w:val="left"/>
        <w:rPr>
          <w:b/>
          <w:sz w:val="26"/>
        </w:rPr>
      </w:pPr>
    </w:p>
    <w:p w14:paraId="605247D4">
      <w:pPr>
        <w:pStyle w:val="9"/>
        <w:ind w:left="0"/>
        <w:jc w:val="left"/>
        <w:rPr>
          <w:b/>
          <w:sz w:val="22"/>
        </w:rPr>
      </w:pPr>
    </w:p>
    <w:p w14:paraId="6D89784E">
      <w:pPr>
        <w:ind w:left="3348" w:right="3304" w:hanging="61"/>
        <w:jc w:val="center"/>
        <w:rPr>
          <w:b/>
          <w:sz w:val="24"/>
        </w:rPr>
      </w:pPr>
      <w:r>
        <w:rPr>
          <w:b/>
          <w:sz w:val="24"/>
        </w:rPr>
        <w:t>Tez Danışmanı Pof.Dr. Akyay</w:t>
      </w:r>
      <w:r>
        <w:rPr>
          <w:b/>
          <w:spacing w:val="-15"/>
          <w:sz w:val="24"/>
        </w:rPr>
        <w:t xml:space="preserve"> </w:t>
      </w:r>
      <w:r>
        <w:rPr>
          <w:b/>
          <w:sz w:val="24"/>
        </w:rPr>
        <w:t>UYGUR</w:t>
      </w:r>
    </w:p>
    <w:p w14:paraId="122FC819">
      <w:pPr>
        <w:pStyle w:val="9"/>
        <w:ind w:left="0"/>
        <w:jc w:val="left"/>
        <w:rPr>
          <w:b/>
          <w:sz w:val="26"/>
        </w:rPr>
      </w:pPr>
    </w:p>
    <w:p w14:paraId="3F474019">
      <w:pPr>
        <w:pStyle w:val="9"/>
        <w:ind w:left="0"/>
        <w:jc w:val="left"/>
        <w:rPr>
          <w:b/>
          <w:sz w:val="26"/>
        </w:rPr>
      </w:pPr>
    </w:p>
    <w:p w14:paraId="32E2BEBA">
      <w:pPr>
        <w:pStyle w:val="9"/>
        <w:ind w:left="0"/>
        <w:jc w:val="left"/>
        <w:rPr>
          <w:b/>
          <w:sz w:val="26"/>
        </w:rPr>
      </w:pPr>
    </w:p>
    <w:p w14:paraId="060B7F4A">
      <w:pPr>
        <w:pStyle w:val="9"/>
        <w:ind w:left="0"/>
        <w:jc w:val="left"/>
        <w:rPr>
          <w:b/>
          <w:sz w:val="26"/>
        </w:rPr>
      </w:pPr>
    </w:p>
    <w:p w14:paraId="68F53C8E">
      <w:pPr>
        <w:jc w:val="center"/>
        <w:rPr>
          <w:b/>
          <w:sz w:val="24"/>
          <w:szCs w:val="24"/>
        </w:rPr>
      </w:pPr>
      <w:r>
        <w:rPr>
          <w:b/>
          <w:sz w:val="24"/>
          <w:szCs w:val="24"/>
        </w:rPr>
        <w:t>Tez Jürisi</w:t>
      </w:r>
    </w:p>
    <w:p w14:paraId="070D8577">
      <w:pPr>
        <w:jc w:val="center"/>
        <w:rPr>
          <w:b/>
          <w:bCs/>
          <w:sz w:val="24"/>
          <w:szCs w:val="24"/>
        </w:rPr>
      </w:pPr>
      <w:r>
        <w:rPr>
          <w:b/>
          <w:bCs/>
          <w:sz w:val="24"/>
          <w:szCs w:val="24"/>
        </w:rPr>
        <w:t>Prof. Dr. Akyay UYGUR</w:t>
      </w:r>
    </w:p>
    <w:p w14:paraId="0AA880D0">
      <w:pPr>
        <w:jc w:val="center"/>
        <w:rPr>
          <w:b/>
          <w:bCs/>
          <w:sz w:val="24"/>
          <w:szCs w:val="24"/>
        </w:rPr>
      </w:pPr>
      <w:r>
        <w:rPr>
          <w:b/>
          <w:bCs/>
          <w:sz w:val="24"/>
          <w:szCs w:val="24"/>
        </w:rPr>
        <w:t>Prof. Dr. Selami ERYILMAZ</w:t>
      </w:r>
    </w:p>
    <w:p w14:paraId="1565BFE8">
      <w:pPr>
        <w:jc w:val="center"/>
        <w:rPr>
          <w:b/>
          <w:bCs/>
          <w:sz w:val="24"/>
          <w:szCs w:val="24"/>
        </w:rPr>
      </w:pPr>
      <w:r>
        <w:rPr>
          <w:b/>
          <w:bCs/>
          <w:sz w:val="24"/>
          <w:szCs w:val="24"/>
        </w:rPr>
        <w:t>Doç. Dr. Halise Dilek SEVİN</w:t>
      </w:r>
    </w:p>
    <w:p w14:paraId="63437806">
      <w:pPr>
        <w:jc w:val="center"/>
        <w:rPr>
          <w:b/>
          <w:bCs/>
          <w:sz w:val="24"/>
          <w:szCs w:val="24"/>
        </w:rPr>
      </w:pPr>
      <w:r>
        <w:rPr>
          <w:b/>
          <w:bCs/>
          <w:sz w:val="24"/>
          <w:szCs w:val="24"/>
        </w:rPr>
        <w:t>Doç. Dr. Ercan YAVUZ</w:t>
      </w:r>
    </w:p>
    <w:p w14:paraId="24533D24">
      <w:pPr>
        <w:jc w:val="center"/>
        <w:rPr>
          <w:b/>
          <w:bCs/>
          <w:sz w:val="24"/>
          <w:szCs w:val="24"/>
        </w:rPr>
      </w:pPr>
      <w:r>
        <w:rPr>
          <w:b/>
          <w:bCs/>
          <w:sz w:val="24"/>
          <w:szCs w:val="24"/>
        </w:rPr>
        <w:t>Doç. Dr. Nihat Demirtaş</w:t>
      </w:r>
    </w:p>
    <w:p w14:paraId="6A2DA651">
      <w:pPr>
        <w:pStyle w:val="9"/>
        <w:ind w:left="0"/>
        <w:jc w:val="left"/>
        <w:rPr>
          <w:b/>
          <w:sz w:val="26"/>
        </w:rPr>
      </w:pPr>
    </w:p>
    <w:p w14:paraId="276101DF">
      <w:pPr>
        <w:pStyle w:val="9"/>
        <w:ind w:left="0"/>
        <w:jc w:val="left"/>
        <w:rPr>
          <w:b/>
          <w:sz w:val="26"/>
        </w:rPr>
      </w:pPr>
    </w:p>
    <w:p w14:paraId="47D5C9ED">
      <w:pPr>
        <w:pStyle w:val="9"/>
        <w:ind w:left="0"/>
        <w:jc w:val="left"/>
        <w:rPr>
          <w:b/>
          <w:sz w:val="26"/>
        </w:rPr>
      </w:pPr>
    </w:p>
    <w:p w14:paraId="4BDCB583">
      <w:pPr>
        <w:pStyle w:val="9"/>
        <w:ind w:left="0"/>
        <w:jc w:val="left"/>
        <w:rPr>
          <w:b/>
          <w:sz w:val="26"/>
        </w:rPr>
      </w:pPr>
    </w:p>
    <w:p w14:paraId="4D51DB22">
      <w:pPr>
        <w:spacing w:before="207"/>
        <w:ind w:left="1283" w:right="1299"/>
        <w:jc w:val="center"/>
        <w:rPr>
          <w:b/>
          <w:sz w:val="24"/>
        </w:rPr>
      </w:pPr>
      <w:r>
        <w:rPr>
          <w:b/>
          <w:sz w:val="24"/>
        </w:rPr>
        <w:t>DOKTORA TEZİ</w:t>
      </w:r>
    </w:p>
    <w:p w14:paraId="60424534">
      <w:pPr>
        <w:spacing w:before="207"/>
        <w:ind w:left="1283" w:right="1299"/>
        <w:jc w:val="center"/>
        <w:rPr>
          <w:b/>
          <w:sz w:val="24"/>
        </w:rPr>
      </w:pPr>
      <w:r>
        <w:rPr>
          <w:b/>
          <w:sz w:val="24"/>
        </w:rPr>
        <w:t>REKREASYON YÖNETİMİ BİLİM ANABİLİM DALI</w:t>
      </w:r>
    </w:p>
    <w:p w14:paraId="184530D0">
      <w:pPr>
        <w:spacing w:before="207"/>
        <w:ind w:left="1283" w:right="1299"/>
        <w:jc w:val="center"/>
        <w:rPr>
          <w:b/>
          <w:sz w:val="24"/>
        </w:rPr>
      </w:pPr>
      <w:r>
        <w:rPr>
          <w:b/>
          <w:sz w:val="24"/>
        </w:rPr>
        <w:t>REKREASYON YÖNETİMİ BİLİM DALI</w:t>
      </w:r>
    </w:p>
    <w:p w14:paraId="2C107C1A">
      <w:pPr>
        <w:spacing w:before="207"/>
        <w:ind w:left="1283" w:right="1299"/>
        <w:jc w:val="center"/>
        <w:rPr>
          <w:b/>
          <w:sz w:val="24"/>
        </w:rPr>
      </w:pPr>
    </w:p>
    <w:p w14:paraId="63C10DFB">
      <w:pPr>
        <w:pStyle w:val="9"/>
        <w:ind w:left="0"/>
        <w:jc w:val="left"/>
        <w:rPr>
          <w:b/>
          <w:sz w:val="26"/>
        </w:rPr>
      </w:pPr>
    </w:p>
    <w:p w14:paraId="043A9A6C">
      <w:pPr>
        <w:pStyle w:val="9"/>
        <w:ind w:left="0"/>
        <w:jc w:val="left"/>
        <w:rPr>
          <w:b/>
          <w:sz w:val="26"/>
        </w:rPr>
      </w:pPr>
    </w:p>
    <w:p w14:paraId="5EE82378">
      <w:pPr>
        <w:pStyle w:val="9"/>
        <w:ind w:left="0"/>
        <w:jc w:val="left"/>
        <w:rPr>
          <w:b/>
          <w:sz w:val="26"/>
        </w:rPr>
      </w:pPr>
    </w:p>
    <w:p w14:paraId="07FC0E8E">
      <w:pPr>
        <w:pStyle w:val="9"/>
        <w:ind w:left="0"/>
        <w:jc w:val="left"/>
        <w:rPr>
          <w:b/>
          <w:sz w:val="26"/>
        </w:rPr>
      </w:pPr>
    </w:p>
    <w:p w14:paraId="7B8C8A66">
      <w:pPr>
        <w:spacing w:before="233"/>
        <w:ind w:left="1839" w:right="1857"/>
        <w:jc w:val="center"/>
        <w:rPr>
          <w:b/>
          <w:sz w:val="24"/>
        </w:rPr>
      </w:pPr>
      <w:r>
        <w:rPr>
          <w:b/>
          <w:sz w:val="24"/>
        </w:rPr>
        <w:t>Ankara -</w:t>
      </w:r>
      <w:r>
        <w:rPr>
          <w:b/>
          <w:spacing w:val="-3"/>
          <w:sz w:val="24"/>
        </w:rPr>
        <w:t xml:space="preserve"> </w:t>
      </w:r>
      <w:r>
        <w:rPr>
          <w:b/>
          <w:spacing w:val="-4"/>
          <w:sz w:val="24"/>
        </w:rPr>
        <w:t>2025</w:t>
      </w:r>
    </w:p>
    <w:p w14:paraId="1063419B">
      <w:pPr>
        <w:jc w:val="center"/>
        <w:rPr>
          <w:sz w:val="24"/>
        </w:rPr>
        <w:sectPr>
          <w:type w:val="continuous"/>
          <w:pgSz w:w="11910" w:h="16840"/>
          <w:pgMar w:top="1985" w:right="1418" w:bottom="1418" w:left="1418" w:header="720" w:footer="720" w:gutter="0"/>
          <w:cols w:space="720" w:num="1"/>
        </w:sectPr>
      </w:pPr>
    </w:p>
    <w:p w14:paraId="7E154BDE">
      <w:pPr>
        <w:spacing w:before="120" w:after="120" w:line="360" w:lineRule="auto"/>
        <w:jc w:val="center"/>
        <w:rPr>
          <w:b/>
          <w:sz w:val="24"/>
          <w:szCs w:val="24"/>
        </w:rPr>
      </w:pPr>
      <w:r>
        <w:rPr>
          <w:b/>
          <w:sz w:val="24"/>
          <w:szCs w:val="24"/>
        </w:rPr>
        <w:t>ETİK BEYAN</w:t>
      </w:r>
    </w:p>
    <w:p w14:paraId="473A9E8E">
      <w:pPr>
        <w:spacing w:before="120" w:after="120" w:line="360" w:lineRule="auto"/>
        <w:jc w:val="both"/>
        <w:rPr>
          <w:b/>
          <w:bCs/>
          <w:sz w:val="24"/>
          <w:szCs w:val="24"/>
        </w:rPr>
      </w:pPr>
      <w:r>
        <w:rPr>
          <w:bCs/>
          <w:sz w:val="24"/>
          <w:szCs w:val="24"/>
        </w:rPr>
        <w:t>Bu tezi/projeyi, Ankara Hacı Bayram Veli Üniversitesi Tez ve Proje Yazım Kılavuzuna uygun olarak hazırladığımı; tezin/projenin tamamında akademik kurallara ve etik ilkelere uyduğumu ifade ederim. Yararlandığım eserlerin tamamını metin içinde referanslandırdığımı ve kaynakçada kılavuzda tanımlanan şekilde yer verdiğimi, haricindeki ifadelerin bana ait olduğunu, herhangi bir kaynaktan kopyalama yapmadığımı ya da yapay zeka aracılığı ile üretilmiş ifadelere metinde yer vermediğimi beyan ederim. Herhangi bir zamanda bu beyanıma uygun olmayan bir durumun tespit edilmesi halinde, aleyhime doğacak bütün hak kayıpları dahil tüm hukuki sonuçları kabul ettiğimi bildiririm.</w:t>
      </w:r>
    </w:p>
    <w:p w14:paraId="34F569D4">
      <w:pPr>
        <w:spacing w:before="120" w:after="120" w:line="360" w:lineRule="auto"/>
        <w:jc w:val="right"/>
        <w:rPr>
          <w:b/>
          <w:bCs/>
          <w:sz w:val="24"/>
          <w:szCs w:val="24"/>
        </w:rPr>
      </w:pPr>
      <w:r>
        <w:rPr>
          <w:bCs/>
          <w:sz w:val="24"/>
          <w:szCs w:val="24"/>
        </w:rPr>
        <w:t>Özgür ÇUKURLUÖZ</w:t>
      </w:r>
    </w:p>
    <w:p w14:paraId="1A30818D">
      <w:pPr>
        <w:pStyle w:val="9"/>
        <w:spacing w:before="120" w:after="120" w:line="360" w:lineRule="auto"/>
        <w:ind w:left="7200"/>
        <w:jc w:val="left"/>
        <w:rPr>
          <w:b/>
        </w:rPr>
      </w:pPr>
      <w:r>
        <w:rPr>
          <w:bCs/>
        </w:rPr>
        <w:t xml:space="preserve">       22/05/2025</w:t>
      </w:r>
    </w:p>
    <w:p w14:paraId="3CDC892F">
      <w:pPr>
        <w:widowControl/>
        <w:autoSpaceDE/>
        <w:autoSpaceDN/>
        <w:rPr>
          <w:b/>
          <w:sz w:val="24"/>
          <w:szCs w:val="24"/>
        </w:rPr>
      </w:pPr>
      <w:r>
        <w:rPr>
          <w:b/>
          <w:sz w:val="24"/>
          <w:szCs w:val="24"/>
        </w:rPr>
        <w:br w:type="page"/>
      </w:r>
    </w:p>
    <w:p w14:paraId="105CD109">
      <w:pPr>
        <w:widowControl/>
        <w:autoSpaceDE/>
        <w:autoSpaceDN/>
        <w:rPr>
          <w:b/>
          <w:sz w:val="20"/>
        </w:rPr>
      </w:pPr>
      <w:r>
        <w:rPr>
          <w:lang w:eastAsia="tr-TR"/>
        </w:rPr>
        <mc:AlternateContent>
          <mc:Choice Requires="wps">
            <w:drawing>
              <wp:anchor distT="0" distB="0" distL="0" distR="0" simplePos="0" relativeHeight="251669504" behindDoc="1" locked="0" layoutInCell="1" allowOverlap="1">
                <wp:simplePos x="0" y="0"/>
                <wp:positionH relativeFrom="page">
                  <wp:posOffset>304800</wp:posOffset>
                </wp:positionH>
                <wp:positionV relativeFrom="page">
                  <wp:posOffset>769620</wp:posOffset>
                </wp:positionV>
                <wp:extent cx="6779260" cy="9509760"/>
                <wp:effectExtent l="0" t="0" r="3175" b="0"/>
                <wp:wrapNone/>
                <wp:docPr id="4" name="Graphic 3"/>
                <wp:cNvGraphicFramePr/>
                <a:graphic xmlns:a="http://schemas.openxmlformats.org/drawingml/2006/main">
                  <a:graphicData uri="http://schemas.microsoft.com/office/word/2010/wordprocessingShape">
                    <wps:wsp>
                      <wps:cNvSpPr/>
                      <wps:spPr>
                        <a:xfrm>
                          <a:off x="0" y="0"/>
                          <a:ext cx="6779259" cy="9852660"/>
                        </a:xfrm>
                        <a:custGeom>
                          <a:avLst/>
                          <a:gdLst/>
                          <a:ahLst/>
                          <a:cxnLst/>
                          <a:rect l="l" t="t" r="r" b="b"/>
                          <a:pathLst>
                            <a:path w="6779259" h="9915525">
                              <a:moveTo>
                                <a:pt x="6716268" y="24765"/>
                              </a:moveTo>
                              <a:lnTo>
                                <a:pt x="6707378" y="24765"/>
                              </a:lnTo>
                              <a:lnTo>
                                <a:pt x="6707378" y="24892"/>
                              </a:lnTo>
                              <a:lnTo>
                                <a:pt x="6707378" y="33782"/>
                              </a:lnTo>
                              <a:lnTo>
                                <a:pt x="6707378" y="9840722"/>
                              </a:lnTo>
                              <a:lnTo>
                                <a:pt x="72885" y="9840722"/>
                              </a:lnTo>
                              <a:lnTo>
                                <a:pt x="72885" y="33782"/>
                              </a:lnTo>
                              <a:lnTo>
                                <a:pt x="6707378" y="33782"/>
                              </a:lnTo>
                              <a:lnTo>
                                <a:pt x="6707378" y="24892"/>
                              </a:lnTo>
                              <a:lnTo>
                                <a:pt x="64008" y="24892"/>
                              </a:lnTo>
                              <a:lnTo>
                                <a:pt x="64008" y="33782"/>
                              </a:lnTo>
                              <a:lnTo>
                                <a:pt x="64008" y="9840722"/>
                              </a:lnTo>
                              <a:lnTo>
                                <a:pt x="64008" y="9849612"/>
                              </a:lnTo>
                              <a:lnTo>
                                <a:pt x="6707378" y="9849612"/>
                              </a:lnTo>
                              <a:lnTo>
                                <a:pt x="6707378" y="9850056"/>
                              </a:lnTo>
                              <a:lnTo>
                                <a:pt x="6716268" y="9850056"/>
                              </a:lnTo>
                              <a:lnTo>
                                <a:pt x="6716268" y="24765"/>
                              </a:lnTo>
                              <a:close/>
                            </a:path>
                            <a:path w="6779259" h="9915525">
                              <a:moveTo>
                                <a:pt x="6778752" y="0"/>
                              </a:moveTo>
                              <a:lnTo>
                                <a:pt x="6760464" y="0"/>
                              </a:lnTo>
                              <a:lnTo>
                                <a:pt x="6760464" y="18288"/>
                              </a:lnTo>
                              <a:lnTo>
                                <a:pt x="6760464" y="9896856"/>
                              </a:lnTo>
                              <a:lnTo>
                                <a:pt x="18288" y="9896856"/>
                              </a:lnTo>
                              <a:lnTo>
                                <a:pt x="18288" y="18288"/>
                              </a:lnTo>
                              <a:lnTo>
                                <a:pt x="6760464" y="18288"/>
                              </a:lnTo>
                              <a:lnTo>
                                <a:pt x="6760464" y="0"/>
                              </a:lnTo>
                              <a:lnTo>
                                <a:pt x="18288" y="0"/>
                              </a:lnTo>
                              <a:lnTo>
                                <a:pt x="0" y="0"/>
                              </a:lnTo>
                              <a:lnTo>
                                <a:pt x="0" y="18288"/>
                              </a:lnTo>
                              <a:lnTo>
                                <a:pt x="0" y="9896856"/>
                              </a:lnTo>
                              <a:lnTo>
                                <a:pt x="0" y="9915144"/>
                              </a:lnTo>
                              <a:lnTo>
                                <a:pt x="18288" y="9915144"/>
                              </a:lnTo>
                              <a:lnTo>
                                <a:pt x="6760464" y="9915144"/>
                              </a:lnTo>
                              <a:lnTo>
                                <a:pt x="6778752" y="9915144"/>
                              </a:lnTo>
                              <a:lnTo>
                                <a:pt x="6778752" y="9896856"/>
                              </a:lnTo>
                              <a:lnTo>
                                <a:pt x="6778752" y="18288"/>
                              </a:lnTo>
                              <a:lnTo>
                                <a:pt x="6778752" y="0"/>
                              </a:lnTo>
                              <a:close/>
                            </a:path>
                          </a:pathLst>
                        </a:custGeom>
                        <a:solidFill>
                          <a:srgbClr val="000000"/>
                        </a:solidFill>
                      </wps:spPr>
                      <wps:bodyPr wrap="square" lIns="0" tIns="0" rIns="0" bIns="0" rtlCol="0">
                        <a:noAutofit/>
                      </wps:bodyPr>
                    </wps:wsp>
                  </a:graphicData>
                </a:graphic>
              </wp:anchor>
            </w:drawing>
          </mc:Choice>
          <mc:Fallback>
            <w:pict>
              <v:shape id="Graphic 3" o:spid="_x0000_s1026" o:spt="100" style="position:absolute;left:0pt;margin-left:24pt;margin-top:60.6pt;height:748.8pt;width:533.8pt;mso-position-horizontal-relative:page;mso-position-vertical-relative:page;z-index:-251646976;mso-width-relative:page;mso-height-relative:page;" fillcolor="#000000" filled="t" stroked="f" coordsize="6779259,9915525" o:gfxdata="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MdEnI3VAAAADAEAAA8AAAAAAAAA&#10;AQAgAAAAIgAAAGRycy9kb3ducmV2LnhtbFBLAQIUABQAAAAIAIdO4kClUOcf+AIAAJ8KAAAOAAAA&#10;AAAAAAEAIAAAACQBAABkcnMvZTJvRG9jLnhtbFBLBQYAAAAABgAGAFkBAACOBgAAAAA=&#10;" path="m6716268,24765l6707378,24765,6707378,24892,6707378,33782,6707378,9840722,72885,9840722,72885,33782,6707378,33782,6707378,24892,64008,24892,64008,33782,64008,9840722,64008,9849612,6707378,9849612,6707378,9850056,6716268,9850056,6716268,24765xem6778752,0l6760464,0,6760464,18288,6760464,9896856,18288,9896856,18288,18288,6760464,18288,6760464,0,18288,0,0,0,0,18288,0,9896856,0,9915144,18288,9915144,6760464,9915144,6778752,9915144,6778752,9896856,6778752,18288,6778752,0xe">
                <v:fill on="t" focussize="0,0"/>
                <v:stroke on="f"/>
                <v:imagedata o:title=""/>
                <o:lock v:ext="edit" aspectratio="f"/>
                <v:textbox inset="0mm,0mm,0mm,0mm"/>
              </v:shape>
            </w:pict>
          </mc:Fallback>
        </mc:AlternateContent>
      </w:r>
    </w:p>
    <w:p w14:paraId="13475AEA">
      <w:pPr>
        <w:rPr>
          <w:sz w:val="24"/>
        </w:rPr>
      </w:pPr>
    </w:p>
    <w:p w14:paraId="1A3A7ACF">
      <w:pPr>
        <w:spacing w:before="120" w:after="120"/>
        <w:ind w:right="255"/>
        <w:jc w:val="center"/>
        <w:rPr>
          <w:b/>
          <w:sz w:val="24"/>
          <w:szCs w:val="24"/>
        </w:rPr>
      </w:pPr>
      <w:r>
        <w:rPr>
          <w:b/>
          <w:sz w:val="24"/>
          <w:szCs w:val="24"/>
        </w:rPr>
        <w:t>ONAY</w:t>
      </w:r>
    </w:p>
    <w:p w14:paraId="643C0470">
      <w:pPr>
        <w:pStyle w:val="9"/>
        <w:spacing w:after="120" w:line="360" w:lineRule="auto"/>
        <w:rPr>
          <w:b/>
        </w:rPr>
      </w:pPr>
      <w:r>
        <w:rPr>
          <w:b/>
        </w:rPr>
        <w:t>Ankara Hacı Bayram Veli Üniversitesi Lisansüstü Eğitim Enstitüsü Rekreasyon</w:t>
      </w:r>
      <w:r>
        <w:rPr>
          <w:b/>
          <w:spacing w:val="-3"/>
        </w:rPr>
        <w:t xml:space="preserve"> </w:t>
      </w:r>
      <w:r>
        <w:rPr>
          <w:b/>
        </w:rPr>
        <w:t>Yönetimi</w:t>
      </w:r>
      <w:r>
        <w:rPr>
          <w:b/>
          <w:spacing w:val="-3"/>
        </w:rPr>
        <w:t xml:space="preserve"> </w:t>
      </w:r>
      <w:r>
        <w:rPr>
          <w:b/>
        </w:rPr>
        <w:t>Anabilim Dalı Rekreasyon Yönetimi Programı Doktora öğrencisi Özgür ÇUKURLUÖZ tarafından hazırlanan Sanal Rekreasyon Faaliyetlerinin Yaşam Kalitesi Üzerine Etkisi, Sınıf Öğretmenleri Üzerine Bir Uygulama, Mamak İlçesi Örneği başlıklı</w:t>
      </w:r>
      <w:r>
        <w:rPr>
          <w:b/>
          <w:spacing w:val="80"/>
        </w:rPr>
        <w:t xml:space="preserve"> </w:t>
      </w:r>
      <w:r>
        <w:rPr>
          <w:b/>
        </w:rPr>
        <w:t>tez çalışması 22/05/2025 tarih ve 14:30</w:t>
      </w:r>
      <w:r>
        <w:rPr>
          <w:b/>
          <w:spacing w:val="40"/>
        </w:rPr>
        <w:t xml:space="preserve"> </w:t>
      </w:r>
      <w:r>
        <w:rPr>
          <w:b/>
        </w:rPr>
        <w:t>saatinde yapılan tez savunma sınavında aşağıdaki jüri tarafından OY BİRLİĞİ  ile DOKTORA TEZİ olarak KABUL edilmiştir</w:t>
      </w:r>
    </w:p>
    <w:p w14:paraId="763CB16B">
      <w:pPr>
        <w:pStyle w:val="9"/>
        <w:rPr>
          <w:b/>
        </w:rPr>
      </w:pPr>
      <w:bookmarkStart w:id="0" w:name="_Hlk195879088"/>
    </w:p>
    <w:p w14:paraId="34D828DA">
      <w:pPr>
        <w:tabs>
          <w:tab w:val="left" w:pos="1402"/>
        </w:tabs>
        <w:ind w:right="565"/>
        <w:jc w:val="center"/>
        <w:rPr>
          <w:b/>
          <w:sz w:val="24"/>
          <w:szCs w:val="24"/>
        </w:rPr>
      </w:pPr>
      <w:r>
        <w:rPr>
          <w:b/>
          <w:szCs w:val="24"/>
        </w:rPr>
        <w:tab/>
      </w:r>
      <w:r>
        <w:rPr>
          <w:b/>
          <w:szCs w:val="24"/>
        </w:rPr>
        <w:tab/>
      </w:r>
      <w:r>
        <w:rPr>
          <w:b/>
          <w:szCs w:val="24"/>
        </w:rPr>
        <w:tab/>
      </w:r>
      <w:r>
        <w:rPr>
          <w:b/>
          <w:szCs w:val="24"/>
        </w:rPr>
        <w:tab/>
      </w:r>
      <w:r>
        <w:rPr>
          <w:b/>
          <w:szCs w:val="24"/>
        </w:rPr>
        <w:tab/>
      </w:r>
      <w:r>
        <w:rPr>
          <w:b/>
          <w:szCs w:val="24"/>
        </w:rPr>
        <w:tab/>
      </w:r>
      <w:r>
        <w:rPr>
          <w:b/>
          <w:sz w:val="24"/>
          <w:szCs w:val="24"/>
        </w:rPr>
        <w:tab/>
      </w:r>
      <w:r>
        <w:rPr>
          <w:b/>
          <w:sz w:val="24"/>
          <w:szCs w:val="24"/>
        </w:rPr>
        <w:tab/>
      </w:r>
      <w:r>
        <w:rPr>
          <w:b/>
          <w:sz w:val="24"/>
          <w:szCs w:val="24"/>
        </w:rPr>
        <w:t xml:space="preserve">    Kabul</w:t>
      </w:r>
      <w:r>
        <w:rPr>
          <w:b/>
          <w:sz w:val="24"/>
          <w:szCs w:val="24"/>
        </w:rPr>
        <w:tab/>
      </w:r>
      <w:r>
        <w:rPr>
          <w:b/>
          <w:sz w:val="24"/>
          <w:szCs w:val="24"/>
        </w:rPr>
        <w:t xml:space="preserve">   Ret</w:t>
      </w:r>
    </w:p>
    <w:p w14:paraId="233A4DFC">
      <w:pPr>
        <w:tabs>
          <w:tab w:val="left" w:pos="1402"/>
        </w:tabs>
        <w:ind w:right="565"/>
        <w:jc w:val="center"/>
        <w:rPr>
          <w:b/>
          <w:sz w:val="24"/>
          <w:szCs w:val="24"/>
        </w:rPr>
      </w:pPr>
      <w:r>
        <w:rPr>
          <w:b/>
          <w:sz w:val="24"/>
          <w:szCs w:val="24"/>
        </w:rPr>
        <w:t xml:space="preserve"> </w:t>
      </w:r>
    </w:p>
    <w:p w14:paraId="16AD3FE2">
      <w:pPr>
        <w:jc w:val="both"/>
        <w:rPr>
          <w:b/>
          <w:sz w:val="24"/>
        </w:rPr>
      </w:pPr>
    </w:p>
    <w:p w14:paraId="62D45032">
      <w:pPr>
        <w:jc w:val="both"/>
        <w:rPr>
          <w:b/>
          <w:sz w:val="24"/>
        </w:rPr>
      </w:pPr>
      <w:r>
        <w:rPr>
          <w:b/>
          <w:sz w:val="24"/>
        </w:rPr>
        <w:t>Başkan: Prof. Dr. Selami ERYILMAZ</w:t>
      </w:r>
    </w:p>
    <w:p w14:paraId="572AA90F">
      <w:pPr>
        <w:ind w:firstLine="720"/>
        <w:jc w:val="both"/>
        <w:rPr>
          <w:b/>
          <w:sz w:val="24"/>
        </w:rPr>
      </w:pPr>
      <w:r>
        <w:rPr>
          <w:b/>
          <w:sz w:val="24"/>
        </w:rPr>
        <w:t xml:space="preserve">Gazi Üniversitesi </w:t>
      </w:r>
      <w:r>
        <w:rPr>
          <w:b/>
          <w:sz w:val="24"/>
        </w:rPr>
        <w:tab/>
      </w:r>
      <w:r>
        <w:rPr>
          <w:b/>
          <w:sz w:val="24"/>
        </w:rPr>
        <w:tab/>
      </w:r>
      <w:r>
        <w:rPr>
          <w:b/>
          <w:sz w:val="24"/>
        </w:rPr>
        <w:t xml:space="preserve">        </w:t>
      </w:r>
      <w:r>
        <w:rPr>
          <w:b/>
          <w:sz w:val="24"/>
        </w:rPr>
        <w:tab/>
      </w:r>
      <w:r>
        <w:rPr>
          <w:b/>
          <w:sz w:val="24"/>
        </w:rPr>
        <w:tab/>
      </w:r>
      <w:r>
        <w:rPr>
          <w:b/>
          <w:sz w:val="24"/>
        </w:rPr>
        <w:tab/>
      </w:r>
      <w:r>
        <w:rPr>
          <w:b/>
          <w:sz w:val="24"/>
        </w:rPr>
        <w:tab/>
      </w:r>
      <w:bookmarkStart w:id="1" w:name="x"/>
      <w:r>
        <w:rPr>
          <w:rFonts w:ascii="Times New Roman" w:hAnsi="Times New Roman" w:eastAsia="Times New Roman" w:cs="Times New Roman"/>
          <w:b/>
          <w:sz w:val="22"/>
          <w:szCs w:val="22"/>
          <w:lang w:val="tr-TR" w:eastAsia="en-US" w:bidi="ar-SA"/>
        </w:rPr>
        <w:fldChar w:fldCharType="begin">
          <w:ffData>
            <w:name w:val="x"/>
            <w:enabled/>
            <w:calcOnExit w:val="0"/>
            <w:checkBox>
              <w:sizeAuto/>
              <w:default w:val="0"/>
              <w:checked w:val="0"/>
            </w:checkBox>
          </w:ffData>
        </w:fldChar>
      </w:r>
      <w:r>
        <w:rPr>
          <w:rFonts w:ascii="Times New Roman" w:hAnsi="Times New Roman" w:eastAsia="Times New Roman" w:cs="Times New Roman"/>
          <w:b/>
          <w:sz w:val="22"/>
          <w:szCs w:val="22"/>
          <w:lang w:val="tr-TR" w:eastAsia="en-US" w:bidi="ar-SA"/>
        </w:rPr>
        <w:instrText xml:space="preserve">FORMCHECKBOX</w:instrText>
      </w:r>
      <w:r>
        <w:rPr>
          <w:rFonts w:ascii="Times New Roman" w:hAnsi="Times New Roman" w:eastAsia="Times New Roman" w:cs="Times New Roman"/>
          <w:b/>
          <w:sz w:val="22"/>
          <w:szCs w:val="22"/>
          <w:lang w:val="tr-TR" w:eastAsia="en-US" w:bidi="ar-SA"/>
        </w:rPr>
        <w:fldChar w:fldCharType="separate"/>
      </w:r>
      <w:r>
        <w:rPr>
          <w:rFonts w:ascii="Times New Roman" w:hAnsi="Times New Roman" w:eastAsia="Times New Roman" w:cs="Times New Roman"/>
          <w:b/>
          <w:sz w:val="22"/>
          <w:szCs w:val="22"/>
          <w:lang w:val="tr-TR" w:eastAsia="en-US" w:bidi="ar-SA"/>
        </w:rPr>
        <w:fldChar w:fldCharType="end"/>
      </w:r>
      <w:bookmarkEnd w:id="1"/>
      <w:r>
        <w:rPr>
          <w:b/>
        </w:rPr>
        <w:tab/>
      </w:r>
      <w:r>
        <w:rPr>
          <w:b/>
        </w:rPr>
        <w:t xml:space="preserve">         </w:t>
      </w:r>
      <w:r>
        <w:rPr>
          <w:b/>
        </w:rPr>
        <w:fldChar w:fldCharType="begin">
          <w:ffData>
            <w:enabled/>
            <w:calcOnExit w:val="0"/>
            <w:checkBox>
              <w:size w:val="30"/>
              <w:default w:val="0"/>
              <w:checked w:val="0"/>
            </w:checkBox>
          </w:ffData>
        </w:fldChar>
      </w:r>
      <w:r>
        <w:rPr>
          <w:b/>
        </w:rPr>
        <w:instrText xml:space="preserve"> FORMCHECKBOX </w:instrText>
      </w:r>
      <w:r>
        <w:rPr>
          <w:b/>
        </w:rPr>
        <w:fldChar w:fldCharType="separate"/>
      </w:r>
      <w:r>
        <w:rPr>
          <w:b/>
        </w:rPr>
        <w:fldChar w:fldCharType="end"/>
      </w:r>
    </w:p>
    <w:p w14:paraId="75F8894E">
      <w:pPr>
        <w:ind w:firstLine="720"/>
        <w:jc w:val="both"/>
        <w:rPr>
          <w:b/>
          <w:spacing w:val="-2"/>
          <w:sz w:val="24"/>
        </w:rPr>
      </w:pPr>
      <w:r>
        <w:rPr>
          <w:b/>
          <w:sz w:val="24"/>
        </w:rPr>
        <w:t>Eğitim Fakültesi</w:t>
      </w:r>
    </w:p>
    <w:p w14:paraId="55009DFC">
      <w:pPr>
        <w:ind w:left="667"/>
        <w:jc w:val="both"/>
        <w:rPr>
          <w:b/>
        </w:rPr>
      </w:pPr>
    </w:p>
    <w:p w14:paraId="019242AD">
      <w:pPr>
        <w:jc w:val="both"/>
        <w:rPr>
          <w:b/>
          <w:sz w:val="24"/>
        </w:rPr>
      </w:pPr>
    </w:p>
    <w:p w14:paraId="79D87886">
      <w:pPr>
        <w:jc w:val="both"/>
        <w:rPr>
          <w:b/>
          <w:spacing w:val="-2"/>
          <w:sz w:val="24"/>
        </w:rPr>
      </w:pPr>
      <w:r>
        <w:rPr>
          <w:b/>
          <w:spacing w:val="-2"/>
          <w:sz w:val="24"/>
        </w:rPr>
        <w:t>Üye: Prof. Dr. Akyay UYGUR</w:t>
      </w:r>
    </w:p>
    <w:p w14:paraId="0B50C323">
      <w:pPr>
        <w:ind w:left="667"/>
        <w:jc w:val="both"/>
        <w:rPr>
          <w:b/>
          <w:sz w:val="24"/>
          <w:szCs w:val="24"/>
        </w:rPr>
      </w:pPr>
      <w:r>
        <w:rPr>
          <w:b/>
        </w:rPr>
        <w:t>AHBV Turizm Fakültesi</w:t>
      </w:r>
      <w:r>
        <w:rPr>
          <w:b/>
          <w:sz w:val="24"/>
        </w:rPr>
        <w:tab/>
      </w:r>
      <w:r>
        <w:rPr>
          <w:b/>
          <w:sz w:val="24"/>
        </w:rPr>
        <w:tab/>
      </w:r>
      <w:r>
        <w:rPr>
          <w:b/>
          <w:sz w:val="24"/>
        </w:rPr>
        <w:tab/>
      </w:r>
      <w:r>
        <w:rPr>
          <w:b/>
          <w:sz w:val="24"/>
        </w:rPr>
        <w:tab/>
      </w:r>
      <w:r>
        <w:rPr>
          <w:b/>
          <w:sz w:val="24"/>
        </w:rPr>
        <w:tab/>
      </w:r>
      <w:r>
        <w:rPr>
          <w:b/>
          <w:sz w:val="24"/>
          <w:szCs w:val="24"/>
        </w:rPr>
        <w:fldChar w:fldCharType="begin">
          <w:ffData>
            <w:enabled/>
            <w:calcOnExit w:val="0"/>
            <w:checkBox>
              <w:size w:val="30"/>
              <w:default w:val="0"/>
              <w:checked w:val="0"/>
            </w:checkBox>
          </w:ffData>
        </w:fldChar>
      </w:r>
      <w:r>
        <w:rPr>
          <w:b/>
          <w:sz w:val="24"/>
          <w:szCs w:val="24"/>
        </w:rPr>
        <w:instrText xml:space="preserve"> FORMCHECKBOX </w:instrText>
      </w:r>
      <w:r>
        <w:rPr>
          <w:b/>
          <w:sz w:val="24"/>
          <w:szCs w:val="24"/>
        </w:rPr>
        <w:fldChar w:fldCharType="separate"/>
      </w:r>
      <w:r>
        <w:rPr>
          <w:b/>
          <w:sz w:val="24"/>
          <w:szCs w:val="24"/>
        </w:rPr>
        <w:fldChar w:fldCharType="end"/>
      </w:r>
      <w:r>
        <w:rPr>
          <w:b/>
          <w:sz w:val="24"/>
          <w:szCs w:val="24"/>
        </w:rPr>
        <w:tab/>
      </w:r>
      <w:r>
        <w:rPr>
          <w:b/>
          <w:sz w:val="24"/>
          <w:szCs w:val="24"/>
        </w:rPr>
        <w:t xml:space="preserve">         </w:t>
      </w:r>
      <w:r>
        <w:rPr>
          <w:b/>
          <w:sz w:val="24"/>
          <w:szCs w:val="24"/>
        </w:rPr>
        <w:fldChar w:fldCharType="begin">
          <w:ffData>
            <w:enabled/>
            <w:calcOnExit w:val="0"/>
            <w:checkBox>
              <w:size w:val="30"/>
              <w:default w:val="0"/>
              <w:checked w:val="0"/>
            </w:checkBox>
          </w:ffData>
        </w:fldChar>
      </w:r>
      <w:r>
        <w:rPr>
          <w:b/>
          <w:sz w:val="24"/>
          <w:szCs w:val="24"/>
        </w:rPr>
        <w:instrText xml:space="preserve"> FORMCHECKBOX </w:instrText>
      </w:r>
      <w:r>
        <w:rPr>
          <w:b/>
          <w:sz w:val="24"/>
          <w:szCs w:val="24"/>
        </w:rPr>
        <w:fldChar w:fldCharType="separate"/>
      </w:r>
      <w:r>
        <w:rPr>
          <w:b/>
          <w:sz w:val="24"/>
          <w:szCs w:val="24"/>
        </w:rPr>
        <w:fldChar w:fldCharType="end"/>
      </w:r>
    </w:p>
    <w:p w14:paraId="58A42447">
      <w:pPr>
        <w:ind w:left="667"/>
        <w:jc w:val="both"/>
        <w:rPr>
          <w:b/>
          <w:spacing w:val="-2"/>
          <w:sz w:val="24"/>
        </w:rPr>
      </w:pPr>
    </w:p>
    <w:p w14:paraId="796C6D1E">
      <w:pPr>
        <w:jc w:val="both"/>
        <w:rPr>
          <w:b/>
          <w:sz w:val="24"/>
        </w:rPr>
      </w:pPr>
      <w:r>
        <w:rPr>
          <w:b/>
          <w:spacing w:val="-2"/>
          <w:sz w:val="24"/>
        </w:rPr>
        <w:t xml:space="preserve">Üye: </w:t>
      </w:r>
      <w:r>
        <w:rPr>
          <w:b/>
          <w:sz w:val="24"/>
        </w:rPr>
        <w:t>Doç. Dr. Nihat Demirtaş</w:t>
      </w:r>
    </w:p>
    <w:p w14:paraId="194A8502">
      <w:pPr>
        <w:ind w:left="667"/>
        <w:jc w:val="both"/>
        <w:rPr>
          <w:b/>
          <w:sz w:val="24"/>
        </w:rPr>
      </w:pPr>
      <w:r>
        <w:rPr>
          <w:b/>
          <w:spacing w:val="-2"/>
          <w:sz w:val="24"/>
        </w:rPr>
        <w:t>İSTE Turizm Fakültesi</w:t>
      </w:r>
      <w:r>
        <w:rPr>
          <w:b/>
          <w:spacing w:val="-2"/>
          <w:sz w:val="24"/>
        </w:rPr>
        <w:tab/>
      </w:r>
      <w:r>
        <w:rPr>
          <w:b/>
          <w:sz w:val="24"/>
        </w:rPr>
        <w:t xml:space="preserve"> </w:t>
      </w:r>
      <w:r>
        <w:rPr>
          <w:b/>
          <w:sz w:val="24"/>
        </w:rPr>
        <w:tab/>
      </w:r>
      <w:r>
        <w:rPr>
          <w:b/>
          <w:sz w:val="24"/>
        </w:rPr>
        <w:tab/>
      </w:r>
      <w:r>
        <w:rPr>
          <w:b/>
          <w:sz w:val="24"/>
        </w:rPr>
        <w:tab/>
      </w:r>
      <w:r>
        <w:rPr>
          <w:b/>
          <w:sz w:val="24"/>
        </w:rPr>
        <w:tab/>
      </w:r>
      <w:r>
        <w:rPr>
          <w:b/>
          <w:sz w:val="24"/>
          <w:szCs w:val="24"/>
        </w:rPr>
        <w:fldChar w:fldCharType="begin">
          <w:ffData>
            <w:enabled/>
            <w:calcOnExit w:val="0"/>
            <w:checkBox>
              <w:size w:val="30"/>
              <w:default w:val="0"/>
              <w:checked w:val="0"/>
            </w:checkBox>
          </w:ffData>
        </w:fldChar>
      </w:r>
      <w:r>
        <w:rPr>
          <w:b/>
          <w:sz w:val="24"/>
          <w:szCs w:val="24"/>
        </w:rPr>
        <w:instrText xml:space="preserve"> FORMCHECKBOX </w:instrText>
      </w:r>
      <w:r>
        <w:rPr>
          <w:b/>
          <w:sz w:val="24"/>
          <w:szCs w:val="24"/>
        </w:rPr>
        <w:fldChar w:fldCharType="separate"/>
      </w:r>
      <w:r>
        <w:rPr>
          <w:b/>
          <w:sz w:val="24"/>
          <w:szCs w:val="24"/>
        </w:rPr>
        <w:fldChar w:fldCharType="end"/>
      </w:r>
      <w:r>
        <w:rPr>
          <w:b/>
          <w:sz w:val="24"/>
          <w:szCs w:val="24"/>
        </w:rPr>
        <w:tab/>
      </w:r>
      <w:r>
        <w:rPr>
          <w:b/>
          <w:sz w:val="24"/>
          <w:szCs w:val="24"/>
        </w:rPr>
        <w:t xml:space="preserve">         </w:t>
      </w:r>
      <w:r>
        <w:rPr>
          <w:b/>
          <w:sz w:val="24"/>
          <w:szCs w:val="24"/>
        </w:rPr>
        <w:fldChar w:fldCharType="begin">
          <w:ffData>
            <w:enabled/>
            <w:calcOnExit w:val="0"/>
            <w:checkBox>
              <w:size w:val="30"/>
              <w:default w:val="0"/>
              <w:checked w:val="0"/>
            </w:checkBox>
          </w:ffData>
        </w:fldChar>
      </w:r>
      <w:r>
        <w:rPr>
          <w:b/>
          <w:sz w:val="24"/>
          <w:szCs w:val="24"/>
        </w:rPr>
        <w:instrText xml:space="preserve"> FORMCHECKBOX </w:instrText>
      </w:r>
      <w:r>
        <w:rPr>
          <w:b/>
          <w:sz w:val="24"/>
          <w:szCs w:val="24"/>
        </w:rPr>
        <w:fldChar w:fldCharType="separate"/>
      </w:r>
      <w:r>
        <w:rPr>
          <w:b/>
          <w:sz w:val="24"/>
          <w:szCs w:val="24"/>
        </w:rPr>
        <w:fldChar w:fldCharType="end"/>
      </w:r>
    </w:p>
    <w:p w14:paraId="0D603A42">
      <w:pPr>
        <w:jc w:val="both"/>
        <w:rPr>
          <w:b/>
          <w:sz w:val="24"/>
        </w:rPr>
      </w:pPr>
    </w:p>
    <w:p w14:paraId="329868AF">
      <w:pPr>
        <w:jc w:val="both"/>
        <w:rPr>
          <w:b/>
          <w:spacing w:val="-2"/>
          <w:sz w:val="24"/>
        </w:rPr>
      </w:pPr>
      <w:r>
        <w:rPr>
          <w:b/>
          <w:spacing w:val="-2"/>
          <w:sz w:val="24"/>
        </w:rPr>
        <w:t>Üye: Doç. Dr. Halise Dilek SEVİN</w:t>
      </w:r>
    </w:p>
    <w:p w14:paraId="5E86FFFF">
      <w:pPr>
        <w:ind w:left="667"/>
        <w:jc w:val="both"/>
        <w:rPr>
          <w:b/>
          <w:spacing w:val="-2"/>
          <w:sz w:val="24"/>
        </w:rPr>
      </w:pPr>
      <w:r>
        <w:rPr>
          <w:b/>
        </w:rPr>
        <w:t>AHBV Turizm Fakültesi</w:t>
      </w:r>
      <w:r>
        <w:rPr>
          <w:b/>
        </w:rPr>
        <w:tab/>
      </w:r>
      <w:r>
        <w:rPr>
          <w:b/>
          <w:sz w:val="24"/>
        </w:rPr>
        <w:tab/>
      </w:r>
      <w:r>
        <w:rPr>
          <w:b/>
          <w:sz w:val="24"/>
        </w:rPr>
        <w:tab/>
      </w:r>
      <w:r>
        <w:rPr>
          <w:b/>
          <w:sz w:val="24"/>
        </w:rPr>
        <w:tab/>
      </w:r>
      <w:r>
        <w:rPr>
          <w:b/>
          <w:sz w:val="24"/>
        </w:rPr>
        <w:tab/>
      </w:r>
      <w:r>
        <w:rPr>
          <w:b/>
          <w:sz w:val="24"/>
          <w:szCs w:val="24"/>
        </w:rPr>
        <w:fldChar w:fldCharType="begin">
          <w:ffData>
            <w:enabled/>
            <w:calcOnExit w:val="0"/>
            <w:checkBox>
              <w:size w:val="30"/>
              <w:default w:val="0"/>
              <w:checked w:val="0"/>
            </w:checkBox>
          </w:ffData>
        </w:fldChar>
      </w:r>
      <w:r>
        <w:rPr>
          <w:b/>
          <w:sz w:val="24"/>
          <w:szCs w:val="24"/>
        </w:rPr>
        <w:instrText xml:space="preserve"> FORMCHECKBOX </w:instrText>
      </w:r>
      <w:r>
        <w:rPr>
          <w:b/>
          <w:sz w:val="24"/>
          <w:szCs w:val="24"/>
        </w:rPr>
        <w:fldChar w:fldCharType="separate"/>
      </w:r>
      <w:r>
        <w:rPr>
          <w:b/>
          <w:sz w:val="24"/>
          <w:szCs w:val="24"/>
        </w:rPr>
        <w:fldChar w:fldCharType="end"/>
      </w:r>
      <w:r>
        <w:rPr>
          <w:b/>
          <w:sz w:val="24"/>
          <w:szCs w:val="24"/>
        </w:rPr>
        <w:tab/>
      </w:r>
      <w:r>
        <w:rPr>
          <w:b/>
          <w:sz w:val="24"/>
          <w:szCs w:val="24"/>
        </w:rPr>
        <w:t xml:space="preserve">         </w:t>
      </w:r>
      <w:r>
        <w:rPr>
          <w:b/>
          <w:sz w:val="24"/>
          <w:szCs w:val="24"/>
        </w:rPr>
        <w:fldChar w:fldCharType="begin">
          <w:ffData>
            <w:enabled/>
            <w:calcOnExit w:val="0"/>
            <w:checkBox>
              <w:size w:val="30"/>
              <w:default w:val="0"/>
              <w:checked w:val="0"/>
            </w:checkBox>
          </w:ffData>
        </w:fldChar>
      </w:r>
      <w:r>
        <w:rPr>
          <w:b/>
          <w:sz w:val="24"/>
          <w:szCs w:val="24"/>
        </w:rPr>
        <w:instrText xml:space="preserve"> FORMCHECKBOX </w:instrText>
      </w:r>
      <w:r>
        <w:rPr>
          <w:b/>
          <w:sz w:val="24"/>
          <w:szCs w:val="24"/>
        </w:rPr>
        <w:fldChar w:fldCharType="separate"/>
      </w:r>
      <w:r>
        <w:rPr>
          <w:b/>
          <w:sz w:val="24"/>
          <w:szCs w:val="24"/>
        </w:rPr>
        <w:fldChar w:fldCharType="end"/>
      </w:r>
    </w:p>
    <w:p w14:paraId="46237F27">
      <w:pPr>
        <w:jc w:val="both"/>
        <w:rPr>
          <w:b/>
          <w:sz w:val="24"/>
        </w:rPr>
      </w:pPr>
    </w:p>
    <w:p w14:paraId="46B1E221">
      <w:pPr>
        <w:jc w:val="both"/>
        <w:rPr>
          <w:b/>
          <w:spacing w:val="-2"/>
          <w:sz w:val="24"/>
        </w:rPr>
      </w:pPr>
      <w:r>
        <w:rPr>
          <w:b/>
          <w:spacing w:val="-2"/>
          <w:sz w:val="24"/>
        </w:rPr>
        <w:t>Üye: Doç. Dr. Ercan YAVUZ</w:t>
      </w:r>
    </w:p>
    <w:p w14:paraId="314667E5">
      <w:pPr>
        <w:ind w:left="667"/>
        <w:jc w:val="both"/>
        <w:rPr>
          <w:b/>
          <w:spacing w:val="-2"/>
          <w:sz w:val="24"/>
        </w:rPr>
      </w:pPr>
      <w:r>
        <w:rPr>
          <w:b/>
        </w:rPr>
        <w:t>AHBV Turizm Fakültesi</w:t>
      </w:r>
      <w:r>
        <w:rPr>
          <w:b/>
        </w:rPr>
        <w:tab/>
      </w:r>
      <w:r>
        <w:rPr>
          <w:b/>
          <w:sz w:val="24"/>
        </w:rPr>
        <w:t xml:space="preserve"> </w:t>
      </w:r>
      <w:r>
        <w:rPr>
          <w:b/>
          <w:sz w:val="24"/>
        </w:rPr>
        <w:tab/>
      </w:r>
      <w:r>
        <w:rPr>
          <w:b/>
          <w:sz w:val="24"/>
        </w:rPr>
        <w:tab/>
      </w:r>
      <w:r>
        <w:rPr>
          <w:b/>
          <w:sz w:val="24"/>
        </w:rPr>
        <w:tab/>
      </w:r>
      <w:r>
        <w:rPr>
          <w:b/>
          <w:sz w:val="24"/>
        </w:rPr>
        <w:tab/>
      </w:r>
      <w:r>
        <w:rPr>
          <w:b/>
          <w:sz w:val="24"/>
          <w:szCs w:val="24"/>
        </w:rPr>
        <w:fldChar w:fldCharType="begin">
          <w:ffData>
            <w:enabled/>
            <w:calcOnExit w:val="0"/>
            <w:checkBox>
              <w:size w:val="30"/>
              <w:default w:val="0"/>
              <w:checked w:val="0"/>
            </w:checkBox>
          </w:ffData>
        </w:fldChar>
      </w:r>
      <w:r>
        <w:rPr>
          <w:b/>
          <w:sz w:val="24"/>
          <w:szCs w:val="24"/>
        </w:rPr>
        <w:instrText xml:space="preserve"> FORMCHECKBOX </w:instrText>
      </w:r>
      <w:r>
        <w:rPr>
          <w:b/>
          <w:sz w:val="24"/>
          <w:szCs w:val="24"/>
        </w:rPr>
        <w:fldChar w:fldCharType="separate"/>
      </w:r>
      <w:r>
        <w:rPr>
          <w:b/>
          <w:sz w:val="24"/>
          <w:szCs w:val="24"/>
        </w:rPr>
        <w:fldChar w:fldCharType="end"/>
      </w:r>
      <w:r>
        <w:rPr>
          <w:b/>
          <w:sz w:val="24"/>
          <w:szCs w:val="24"/>
        </w:rPr>
        <w:tab/>
      </w:r>
      <w:r>
        <w:rPr>
          <w:b/>
          <w:sz w:val="24"/>
          <w:szCs w:val="24"/>
        </w:rPr>
        <w:t xml:space="preserve">         </w:t>
      </w:r>
      <w:r>
        <w:rPr>
          <w:b/>
          <w:sz w:val="24"/>
          <w:szCs w:val="24"/>
        </w:rPr>
        <w:fldChar w:fldCharType="begin">
          <w:ffData>
            <w:enabled/>
            <w:calcOnExit w:val="0"/>
            <w:checkBox>
              <w:size w:val="30"/>
              <w:default w:val="0"/>
              <w:checked w:val="0"/>
            </w:checkBox>
          </w:ffData>
        </w:fldChar>
      </w:r>
      <w:r>
        <w:rPr>
          <w:b/>
          <w:sz w:val="24"/>
          <w:szCs w:val="24"/>
        </w:rPr>
        <w:instrText xml:space="preserve"> FORMCHECKBOX </w:instrText>
      </w:r>
      <w:r>
        <w:rPr>
          <w:b/>
          <w:sz w:val="24"/>
          <w:szCs w:val="24"/>
        </w:rPr>
        <w:fldChar w:fldCharType="separate"/>
      </w:r>
      <w:r>
        <w:rPr>
          <w:b/>
          <w:sz w:val="24"/>
          <w:szCs w:val="24"/>
        </w:rPr>
        <w:fldChar w:fldCharType="end"/>
      </w:r>
    </w:p>
    <w:p w14:paraId="4A87EB0F">
      <w:pPr>
        <w:pStyle w:val="9"/>
        <w:ind w:left="0"/>
        <w:rPr>
          <w:b/>
          <w:sz w:val="20"/>
        </w:rPr>
      </w:pPr>
    </w:p>
    <w:p w14:paraId="5D615FB3">
      <w:pPr>
        <w:pStyle w:val="9"/>
        <w:ind w:left="0"/>
        <w:rPr>
          <w:b/>
          <w:bCs/>
        </w:rPr>
      </w:pPr>
    </w:p>
    <w:p w14:paraId="4716A903">
      <w:pPr>
        <w:pStyle w:val="9"/>
        <w:ind w:left="0"/>
        <w:jc w:val="left"/>
        <w:rPr>
          <w:b/>
          <w:bCs/>
          <w:color w:val="000000"/>
          <w:lang w:eastAsia="tr-TR"/>
        </w:rPr>
      </w:pPr>
      <w:r>
        <w:rPr>
          <w:b/>
        </w:rPr>
        <w:t xml:space="preserve"> </w:t>
      </w:r>
      <w:r>
        <w:rPr>
          <w:b/>
          <w:bCs/>
          <w:color w:val="000000"/>
          <w:lang w:eastAsia="tr-TR"/>
        </w:rPr>
        <w:tab/>
      </w:r>
      <w:r>
        <w:rPr>
          <w:b/>
          <w:bCs/>
          <w:color w:val="000000"/>
          <w:lang w:eastAsia="tr-TR"/>
        </w:rPr>
        <w:tab/>
      </w:r>
      <w:r>
        <w:rPr>
          <w:b/>
          <w:bCs/>
          <w:color w:val="000000"/>
          <w:lang w:eastAsia="tr-TR"/>
        </w:rPr>
        <w:tab/>
      </w:r>
      <w:r>
        <w:rPr>
          <w:b/>
          <w:bCs/>
          <w:color w:val="000000"/>
          <w:lang w:eastAsia="tr-TR"/>
        </w:rPr>
        <w:tab/>
      </w:r>
      <w:r>
        <w:rPr>
          <w:b/>
          <w:bCs/>
          <w:color w:val="000000"/>
          <w:lang w:eastAsia="tr-TR"/>
        </w:rPr>
        <w:tab/>
      </w:r>
    </w:p>
    <w:bookmarkEnd w:id="0"/>
    <w:p w14:paraId="1A8FC421">
      <w:pPr>
        <w:pStyle w:val="9"/>
        <w:ind w:left="0"/>
        <w:jc w:val="left"/>
        <w:rPr>
          <w:b/>
          <w:sz w:val="20"/>
        </w:rPr>
      </w:pPr>
    </w:p>
    <w:p w14:paraId="50D4BF87">
      <w:pPr>
        <w:pStyle w:val="9"/>
        <w:ind w:left="0"/>
        <w:jc w:val="left"/>
        <w:rPr>
          <w:b/>
          <w:sz w:val="20"/>
        </w:rPr>
      </w:pPr>
    </w:p>
    <w:p w14:paraId="059EDC17">
      <w:pPr>
        <w:pStyle w:val="9"/>
        <w:ind w:left="0"/>
        <w:jc w:val="left"/>
        <w:rPr>
          <w:b/>
          <w:sz w:val="20"/>
        </w:rPr>
      </w:pPr>
    </w:p>
    <w:p w14:paraId="36D01A4E">
      <w:pPr>
        <w:pStyle w:val="9"/>
        <w:ind w:left="0"/>
        <w:jc w:val="left"/>
        <w:rPr>
          <w:b/>
          <w:sz w:val="20"/>
        </w:rPr>
      </w:pPr>
    </w:p>
    <w:p w14:paraId="49C34CAB">
      <w:pPr>
        <w:pStyle w:val="9"/>
        <w:ind w:left="0"/>
        <w:jc w:val="left"/>
        <w:rPr>
          <w:b/>
          <w:sz w:val="20"/>
        </w:rPr>
      </w:pPr>
    </w:p>
    <w:p w14:paraId="7371AEF7">
      <w:pPr>
        <w:pStyle w:val="9"/>
        <w:ind w:left="0"/>
        <w:jc w:val="left"/>
        <w:rPr>
          <w:b/>
          <w:sz w:val="20"/>
        </w:rPr>
      </w:pPr>
    </w:p>
    <w:p w14:paraId="1F5BE3B7">
      <w:pPr>
        <w:pStyle w:val="9"/>
        <w:ind w:left="0"/>
        <w:jc w:val="left"/>
        <w:rPr>
          <w:b/>
          <w:sz w:val="20"/>
        </w:rPr>
      </w:pPr>
    </w:p>
    <w:p w14:paraId="433DF51E">
      <w:pPr>
        <w:pStyle w:val="9"/>
        <w:ind w:left="0"/>
        <w:jc w:val="left"/>
        <w:rPr>
          <w:b/>
          <w:sz w:val="20"/>
        </w:rPr>
      </w:pPr>
    </w:p>
    <w:p w14:paraId="13AE1B52">
      <w:pPr>
        <w:pStyle w:val="9"/>
        <w:spacing w:before="1"/>
        <w:ind w:left="0"/>
        <w:jc w:val="left"/>
        <w:rPr>
          <w:b/>
          <w:sz w:val="25"/>
        </w:rPr>
      </w:pPr>
    </w:p>
    <w:p w14:paraId="2239A499">
      <w:pPr>
        <w:pStyle w:val="9"/>
        <w:ind w:left="1942"/>
        <w:jc w:val="left"/>
        <w:rPr>
          <w:sz w:val="20"/>
        </w:rPr>
      </w:pPr>
    </w:p>
    <w:p w14:paraId="610FEDEF">
      <w:pPr>
        <w:rPr>
          <w:sz w:val="20"/>
        </w:rPr>
        <w:sectPr>
          <w:pgSz w:w="11910" w:h="16840"/>
          <w:pgMar w:top="1985" w:right="1418" w:bottom="1418" w:left="1418" w:header="720" w:footer="720" w:gutter="0"/>
          <w:cols w:space="720" w:num="1"/>
        </w:sectPr>
      </w:pPr>
    </w:p>
    <w:p w14:paraId="71A0B970">
      <w:pPr>
        <w:jc w:val="center"/>
        <w:rPr>
          <w:b/>
          <w:sz w:val="24"/>
        </w:rPr>
      </w:pPr>
      <w:r>
        <w:rPr>
          <w:b/>
          <w:sz w:val="24"/>
        </w:rPr>
        <w:t>SANAL REKREASYON FAALİYETLERİNİN YAŞAM KALİTESİ ÜZERİNE ETKİSİ, SINIF ÖĞRETMENLERİ ÜZERİNE BİR UYGULAMA, MAMAK İLÇESİ ÖRNEĞİ</w:t>
      </w:r>
    </w:p>
    <w:p w14:paraId="6D70A79B">
      <w:pPr>
        <w:jc w:val="center"/>
        <w:rPr>
          <w:b/>
          <w:sz w:val="24"/>
        </w:rPr>
      </w:pPr>
    </w:p>
    <w:p w14:paraId="0A4C79CB">
      <w:pPr>
        <w:jc w:val="center"/>
        <w:rPr>
          <w:b/>
          <w:sz w:val="24"/>
        </w:rPr>
      </w:pPr>
      <w:r>
        <w:rPr>
          <w:b/>
          <w:sz w:val="24"/>
        </w:rPr>
        <w:t>Özgür ÇUKURLUÖZ</w:t>
      </w:r>
    </w:p>
    <w:p w14:paraId="7B1E7FCB">
      <w:pPr>
        <w:jc w:val="center"/>
        <w:rPr>
          <w:b/>
          <w:sz w:val="24"/>
        </w:rPr>
      </w:pPr>
    </w:p>
    <w:p w14:paraId="0DEDB97E">
      <w:pPr>
        <w:jc w:val="center"/>
        <w:rPr>
          <w:b/>
          <w:sz w:val="24"/>
        </w:rPr>
      </w:pPr>
      <w:r>
        <w:rPr>
          <w:b/>
          <w:sz w:val="24"/>
        </w:rPr>
        <w:t>(Doktora Tezi)</w:t>
      </w:r>
    </w:p>
    <w:p w14:paraId="416F1814">
      <w:pPr>
        <w:jc w:val="center"/>
        <w:rPr>
          <w:b/>
          <w:sz w:val="24"/>
        </w:rPr>
      </w:pPr>
      <w:r>
        <w:rPr>
          <w:b/>
          <w:sz w:val="24"/>
        </w:rPr>
        <w:t>Danışman: Prof. Dr. Akyay UYGUR</w:t>
      </w:r>
    </w:p>
    <w:p w14:paraId="06A649E0">
      <w:pPr>
        <w:jc w:val="center"/>
        <w:rPr>
          <w:b/>
          <w:sz w:val="24"/>
        </w:rPr>
      </w:pPr>
      <w:r>
        <w:rPr>
          <w:b/>
          <w:sz w:val="24"/>
        </w:rPr>
        <w:t>ANKARA HACI BAYRAM VELİ ÜNİVERSİTESİ LİSANSÜSTÜ EĞİTİM ENSTİTÜSÜ</w:t>
      </w:r>
    </w:p>
    <w:p w14:paraId="548C08C0">
      <w:pPr>
        <w:jc w:val="center"/>
        <w:rPr>
          <w:b/>
          <w:sz w:val="24"/>
        </w:rPr>
      </w:pPr>
      <w:r>
        <w:rPr>
          <w:b/>
          <w:sz w:val="24"/>
        </w:rPr>
        <w:t>Nisan 2025</w:t>
      </w:r>
    </w:p>
    <w:p w14:paraId="55735362">
      <w:pPr>
        <w:jc w:val="center"/>
      </w:pPr>
    </w:p>
    <w:p w14:paraId="5A11D99B">
      <w:pPr>
        <w:pStyle w:val="2"/>
      </w:pPr>
      <w:bookmarkStart w:id="2" w:name="_Toc197351212"/>
      <w:bookmarkStart w:id="3" w:name="_Toc195877759"/>
      <w:bookmarkStart w:id="4" w:name="_Toc195875775"/>
      <w:r>
        <w:t>ÖZET</w:t>
      </w:r>
      <w:bookmarkEnd w:id="2"/>
      <w:bookmarkEnd w:id="3"/>
      <w:bookmarkEnd w:id="4"/>
    </w:p>
    <w:p w14:paraId="3F0F750F">
      <w:pPr>
        <w:spacing w:before="120" w:after="120"/>
        <w:jc w:val="both"/>
        <w:rPr>
          <w:sz w:val="24"/>
        </w:rPr>
      </w:pPr>
      <w:r>
        <w:rPr>
          <w:sz w:val="24"/>
        </w:rPr>
        <w:t xml:space="preserve">Sanal ve </w:t>
      </w:r>
      <w:r>
        <w:rPr>
          <w:rFonts w:hint="default"/>
          <w:sz w:val="24"/>
          <w:lang w:val="tr-TR"/>
        </w:rPr>
        <w:t>a</w:t>
      </w:r>
      <w:r>
        <w:rPr>
          <w:sz w:val="24"/>
        </w:rPr>
        <w:t xml:space="preserve">rtırılmış </w:t>
      </w:r>
      <w:r>
        <w:rPr>
          <w:rFonts w:hint="default"/>
          <w:sz w:val="24"/>
          <w:lang w:val="tr-TR"/>
        </w:rPr>
        <w:t>g</w:t>
      </w:r>
      <w:r>
        <w:rPr>
          <w:sz w:val="24"/>
        </w:rPr>
        <w:t>erçeklik donanımları gelişen teknoloji ile birlikte varlığını her sektörde göstermektedir. Elbette bu disiplinler arasında arasında turizm ve rekreasyon gibi disiplinler</w:t>
      </w:r>
      <w:r>
        <w:rPr>
          <w:rFonts w:hint="default"/>
          <w:sz w:val="24"/>
          <w:lang w:val="tr-TR"/>
        </w:rPr>
        <w:t xml:space="preserve"> </w:t>
      </w:r>
      <w:r>
        <w:rPr>
          <w:sz w:val="24"/>
        </w:rPr>
        <w:t>de nasibini almıştır. Bu çalışmada sanal gerçeklik ve artırılmış gerçeklik donanımları ile gerçekleştirilen, sanal rekreasyon olarak ifade edilen serbest zaman etkinliklerinin yaşam kalitesine etkisi çeşitli değişkenler bağlamında araştırılmıştır. Araştırmanın evrenini Mamak ilçesinde görev yapan sınıf öğretmenleri, örneklemini ise sanal rekreasyon deneyimi yaşayan 641 sınıf öğretmeni oluşturmaktadır. Araştırma sonucunda</w:t>
      </w:r>
      <w:r>
        <w:rPr>
          <w:rFonts w:hint="default"/>
          <w:sz w:val="24"/>
          <w:lang w:val="tr-TR"/>
        </w:rPr>
        <w:t>,</w:t>
      </w:r>
      <w:r>
        <w:rPr>
          <w:sz w:val="24"/>
        </w:rPr>
        <w:t xml:space="preserve"> sanal rekreasyon faaliyetleri</w:t>
      </w:r>
      <w:r>
        <w:rPr>
          <w:rFonts w:hint="default"/>
          <w:sz w:val="24"/>
          <w:lang w:val="tr-TR"/>
        </w:rPr>
        <w:t>nin</w:t>
      </w:r>
      <w:r>
        <w:rPr>
          <w:sz w:val="24"/>
        </w:rPr>
        <w:t xml:space="preserve"> sınıf öğretmenlerinin yaşam kalitesini pozitif yönlü olarak etkilediği ortaya çıkmıştır. Ayrıca bu çalışmada sınıf öğretmenlerinin cinsiyetlerine, kıdem yılına, eğitim durumuna, yaşına, medeni durumuna ve gelir düzeylerine göre sanal rekreasyon deneyimleri arasındaki farklılıkları araştırılmıştır. Sınıf öğretmenlerinin cinsiyeti, kıdem yılı, eğitim durumu ve gelir düzeyleri açısından anlamlı bir fark oluştuğu ancak yaş ve medeni duruma göre anlamlı bir farkın oluşmadığı ortaya çıkmıştır.</w:t>
      </w:r>
    </w:p>
    <w:p w14:paraId="795FBA7B">
      <w:pPr>
        <w:spacing w:before="120" w:after="120"/>
        <w:jc w:val="both"/>
        <w:rPr>
          <w:sz w:val="24"/>
        </w:rPr>
      </w:pPr>
    </w:p>
    <w:tbl>
      <w:tblPr>
        <w:tblStyle w:val="7"/>
        <w:tblpPr w:leftFromText="180" w:rightFromText="180" w:vertAnchor="text" w:horzAnchor="margin" w:tblpY="2870"/>
        <w:tblOverlap w:val="never"/>
        <w:tblW w:w="10289" w:type="dxa"/>
        <w:tblInd w:w="0" w:type="dxa"/>
        <w:tblLayout w:type="fixed"/>
        <w:tblCellMar>
          <w:top w:w="0" w:type="dxa"/>
          <w:left w:w="0" w:type="dxa"/>
          <w:bottom w:w="0" w:type="dxa"/>
          <w:right w:w="0" w:type="dxa"/>
        </w:tblCellMar>
      </w:tblPr>
      <w:tblGrid>
        <w:gridCol w:w="1852"/>
        <w:gridCol w:w="8437"/>
      </w:tblGrid>
      <w:tr w14:paraId="2C83F8B9">
        <w:tblPrEx>
          <w:tblCellMar>
            <w:top w:w="0" w:type="dxa"/>
            <w:left w:w="0" w:type="dxa"/>
            <w:bottom w:w="0" w:type="dxa"/>
            <w:right w:w="0" w:type="dxa"/>
          </w:tblCellMar>
        </w:tblPrEx>
        <w:trPr>
          <w:trHeight w:val="416" w:hRule="atLeast"/>
        </w:trPr>
        <w:tc>
          <w:tcPr>
            <w:tcW w:w="1852" w:type="dxa"/>
          </w:tcPr>
          <w:p w14:paraId="7C05F351">
            <w:pPr>
              <w:pStyle w:val="29"/>
              <w:spacing w:line="266" w:lineRule="exact"/>
              <w:ind w:left="50"/>
              <w:rPr>
                <w:sz w:val="24"/>
              </w:rPr>
            </w:pPr>
            <w:r>
              <w:rPr>
                <w:spacing w:val="-2"/>
                <w:sz w:val="24"/>
              </w:rPr>
              <w:t>Bilim Kodu</w:t>
            </w:r>
          </w:p>
        </w:tc>
        <w:tc>
          <w:tcPr>
            <w:tcW w:w="8437" w:type="dxa"/>
          </w:tcPr>
          <w:p w14:paraId="3C926387">
            <w:pPr>
              <w:pStyle w:val="29"/>
              <w:spacing w:line="266" w:lineRule="exact"/>
              <w:ind w:left="70"/>
              <w:rPr>
                <w:sz w:val="24"/>
              </w:rPr>
            </w:pPr>
            <w:r>
              <w:rPr>
                <w:spacing w:val="-2"/>
                <w:sz w:val="24"/>
              </w:rPr>
              <w:t>: 116910</w:t>
            </w:r>
          </w:p>
        </w:tc>
      </w:tr>
      <w:tr w14:paraId="76E9DC41">
        <w:tblPrEx>
          <w:tblCellMar>
            <w:top w:w="0" w:type="dxa"/>
            <w:left w:w="0" w:type="dxa"/>
            <w:bottom w:w="0" w:type="dxa"/>
            <w:right w:w="0" w:type="dxa"/>
          </w:tblCellMar>
        </w:tblPrEx>
        <w:trPr>
          <w:trHeight w:val="555" w:hRule="atLeast"/>
        </w:trPr>
        <w:tc>
          <w:tcPr>
            <w:tcW w:w="1852" w:type="dxa"/>
          </w:tcPr>
          <w:p w14:paraId="6E982F24">
            <w:pPr>
              <w:pStyle w:val="29"/>
              <w:spacing w:before="140"/>
              <w:ind w:left="50"/>
              <w:rPr>
                <w:sz w:val="24"/>
              </w:rPr>
            </w:pPr>
            <w:r>
              <w:rPr>
                <w:spacing w:val="-2"/>
                <w:sz w:val="24"/>
              </w:rPr>
              <w:t>Anahtar Kelimeler</w:t>
            </w:r>
          </w:p>
        </w:tc>
        <w:tc>
          <w:tcPr>
            <w:tcW w:w="8437" w:type="dxa"/>
          </w:tcPr>
          <w:p w14:paraId="0AB50BBE">
            <w:pPr>
              <w:pStyle w:val="29"/>
              <w:spacing w:before="140"/>
              <w:ind w:left="70"/>
              <w:rPr>
                <w:sz w:val="24"/>
              </w:rPr>
            </w:pPr>
            <w:r>
              <w:rPr>
                <w:sz w:val="24"/>
              </w:rPr>
              <w:t>: Sanal</w:t>
            </w:r>
            <w:r>
              <w:rPr>
                <w:spacing w:val="-3"/>
                <w:sz w:val="24"/>
              </w:rPr>
              <w:t xml:space="preserve"> </w:t>
            </w:r>
            <w:r>
              <w:rPr>
                <w:sz w:val="24"/>
              </w:rPr>
              <w:t>Rekreasyon,</w:t>
            </w:r>
            <w:r>
              <w:rPr>
                <w:spacing w:val="-1"/>
                <w:sz w:val="24"/>
              </w:rPr>
              <w:t xml:space="preserve"> </w:t>
            </w:r>
            <w:r>
              <w:rPr>
                <w:sz w:val="24"/>
              </w:rPr>
              <w:t>Yaşam</w:t>
            </w:r>
            <w:r>
              <w:rPr>
                <w:spacing w:val="-1"/>
                <w:sz w:val="24"/>
              </w:rPr>
              <w:t xml:space="preserve"> </w:t>
            </w:r>
            <w:r>
              <w:rPr>
                <w:sz w:val="24"/>
              </w:rPr>
              <w:t>Kalitesi,</w:t>
            </w:r>
            <w:r>
              <w:rPr>
                <w:spacing w:val="-1"/>
                <w:sz w:val="24"/>
              </w:rPr>
              <w:t xml:space="preserve"> </w:t>
            </w:r>
            <w:r>
              <w:rPr>
                <w:sz w:val="24"/>
              </w:rPr>
              <w:t>Sanal</w:t>
            </w:r>
            <w:r>
              <w:rPr>
                <w:spacing w:val="-2"/>
                <w:sz w:val="24"/>
              </w:rPr>
              <w:t xml:space="preserve"> </w:t>
            </w:r>
            <w:r>
              <w:rPr>
                <w:sz w:val="24"/>
              </w:rPr>
              <w:t>ve</w:t>
            </w:r>
            <w:r>
              <w:rPr>
                <w:spacing w:val="-1"/>
                <w:sz w:val="24"/>
              </w:rPr>
              <w:t xml:space="preserve"> </w:t>
            </w:r>
            <w:r>
              <w:rPr>
                <w:sz w:val="24"/>
              </w:rPr>
              <w:t>Artırılmış</w:t>
            </w:r>
            <w:r>
              <w:rPr>
                <w:spacing w:val="-1"/>
                <w:sz w:val="24"/>
              </w:rPr>
              <w:t xml:space="preserve"> </w:t>
            </w:r>
            <w:r>
              <w:rPr>
                <w:spacing w:val="-2"/>
                <w:sz w:val="24"/>
              </w:rPr>
              <w:t>Gerçeklik</w:t>
            </w:r>
          </w:p>
        </w:tc>
      </w:tr>
      <w:tr w14:paraId="1D3891D3">
        <w:tblPrEx>
          <w:tblCellMar>
            <w:top w:w="0" w:type="dxa"/>
            <w:left w:w="0" w:type="dxa"/>
            <w:bottom w:w="0" w:type="dxa"/>
            <w:right w:w="0" w:type="dxa"/>
          </w:tblCellMar>
        </w:tblPrEx>
        <w:trPr>
          <w:trHeight w:val="555" w:hRule="atLeast"/>
        </w:trPr>
        <w:tc>
          <w:tcPr>
            <w:tcW w:w="1852" w:type="dxa"/>
          </w:tcPr>
          <w:p w14:paraId="05539372">
            <w:pPr>
              <w:pStyle w:val="29"/>
              <w:spacing w:before="129"/>
              <w:ind w:left="50"/>
              <w:rPr>
                <w:sz w:val="24"/>
              </w:rPr>
            </w:pPr>
            <w:r>
              <w:rPr>
                <w:spacing w:val="-2"/>
                <w:sz w:val="24"/>
              </w:rPr>
              <w:t>Sayfa Adedi</w:t>
            </w:r>
          </w:p>
        </w:tc>
        <w:tc>
          <w:tcPr>
            <w:tcW w:w="8437" w:type="dxa"/>
          </w:tcPr>
          <w:p w14:paraId="39EF017D">
            <w:pPr>
              <w:pStyle w:val="29"/>
              <w:spacing w:before="129"/>
              <w:ind w:left="70"/>
              <w:rPr>
                <w:rFonts w:hint="default"/>
                <w:sz w:val="24"/>
                <w:lang w:val="tr-TR"/>
              </w:rPr>
            </w:pPr>
            <w:r>
              <w:rPr>
                <w:sz w:val="24"/>
              </w:rPr>
              <w:t>:</w:t>
            </w:r>
            <w:r>
              <w:rPr>
                <w:spacing w:val="-2"/>
                <w:sz w:val="24"/>
              </w:rPr>
              <w:t xml:space="preserve"> </w:t>
            </w:r>
            <w:r>
              <w:rPr>
                <w:sz w:val="24"/>
              </w:rPr>
              <w:t>20</w:t>
            </w:r>
            <w:r>
              <w:rPr>
                <w:rFonts w:hint="default"/>
                <w:sz w:val="24"/>
                <w:lang w:val="tr-TR"/>
              </w:rPr>
              <w:t>6</w:t>
            </w:r>
          </w:p>
        </w:tc>
      </w:tr>
      <w:tr w14:paraId="518275F8">
        <w:tblPrEx>
          <w:tblCellMar>
            <w:top w:w="0" w:type="dxa"/>
            <w:left w:w="0" w:type="dxa"/>
            <w:bottom w:w="0" w:type="dxa"/>
            <w:right w:w="0" w:type="dxa"/>
          </w:tblCellMar>
        </w:tblPrEx>
        <w:trPr>
          <w:trHeight w:val="517" w:hRule="atLeast"/>
        </w:trPr>
        <w:tc>
          <w:tcPr>
            <w:tcW w:w="1852" w:type="dxa"/>
          </w:tcPr>
          <w:p w14:paraId="58F4C4AC">
            <w:pPr>
              <w:pStyle w:val="29"/>
              <w:spacing w:before="140"/>
              <w:ind w:left="50"/>
              <w:rPr>
                <w:sz w:val="24"/>
              </w:rPr>
            </w:pPr>
            <w:r>
              <w:rPr>
                <w:sz w:val="24"/>
              </w:rPr>
              <w:t>Tez</w:t>
            </w:r>
            <w:r>
              <w:rPr>
                <w:spacing w:val="-1"/>
                <w:sz w:val="24"/>
              </w:rPr>
              <w:t xml:space="preserve"> </w:t>
            </w:r>
            <w:r>
              <w:rPr>
                <w:spacing w:val="-2"/>
                <w:sz w:val="24"/>
              </w:rPr>
              <w:t>Danışmanı</w:t>
            </w:r>
          </w:p>
        </w:tc>
        <w:tc>
          <w:tcPr>
            <w:tcW w:w="8437" w:type="dxa"/>
          </w:tcPr>
          <w:p w14:paraId="3A694216">
            <w:pPr>
              <w:pStyle w:val="29"/>
              <w:spacing w:before="140"/>
              <w:ind w:left="70"/>
              <w:rPr>
                <w:sz w:val="24"/>
              </w:rPr>
            </w:pPr>
            <w:r>
              <w:rPr>
                <w:sz w:val="24"/>
              </w:rPr>
              <w:t>:Prof.Dr.Akyay UYGUR</w:t>
            </w:r>
          </w:p>
        </w:tc>
      </w:tr>
      <w:tr w14:paraId="4E71316D">
        <w:tblPrEx>
          <w:tblCellMar>
            <w:top w:w="0" w:type="dxa"/>
            <w:left w:w="0" w:type="dxa"/>
            <w:bottom w:w="0" w:type="dxa"/>
            <w:right w:w="0" w:type="dxa"/>
          </w:tblCellMar>
        </w:tblPrEx>
        <w:trPr>
          <w:trHeight w:val="643" w:hRule="atLeast"/>
        </w:trPr>
        <w:tc>
          <w:tcPr>
            <w:tcW w:w="1852" w:type="dxa"/>
          </w:tcPr>
          <w:p w14:paraId="5DE4214A">
            <w:pPr>
              <w:pStyle w:val="29"/>
              <w:tabs>
                <w:tab w:val="left" w:pos="1033"/>
              </w:tabs>
              <w:spacing w:before="71" w:line="270" w:lineRule="atLeast"/>
              <w:ind w:left="50" w:right="69"/>
              <w:rPr>
                <w:sz w:val="24"/>
              </w:rPr>
            </w:pPr>
          </w:p>
        </w:tc>
        <w:tc>
          <w:tcPr>
            <w:tcW w:w="8437" w:type="dxa"/>
          </w:tcPr>
          <w:p w14:paraId="5A3DF9FB">
            <w:pPr>
              <w:pStyle w:val="29"/>
              <w:spacing w:before="91"/>
              <w:rPr>
                <w:sz w:val="24"/>
              </w:rPr>
            </w:pPr>
            <w:r>
              <w:rPr>
                <w:sz w:val="24"/>
              </w:rPr>
              <w:t xml:space="preserve"> </w:t>
            </w:r>
          </w:p>
        </w:tc>
      </w:tr>
    </w:tbl>
    <w:p w14:paraId="626914BD">
      <w:pPr>
        <w:spacing w:before="137" w:line="360" w:lineRule="auto"/>
        <w:ind w:left="160" w:right="1230" w:rightChars="559"/>
        <w:jc w:val="both"/>
        <w:rPr>
          <w:sz w:val="24"/>
        </w:rPr>
      </w:pPr>
    </w:p>
    <w:p w14:paraId="6D4A9DA9">
      <w:pPr>
        <w:spacing w:before="137" w:line="360" w:lineRule="auto"/>
        <w:ind w:left="160" w:right="1230" w:rightChars="559"/>
        <w:jc w:val="both"/>
        <w:rPr>
          <w:sz w:val="24"/>
        </w:rPr>
        <w:sectPr>
          <w:footerReference r:id="rId3" w:type="default"/>
          <w:pgSz w:w="11900" w:h="16850"/>
          <w:pgMar w:top="1985" w:right="1418" w:bottom="1418" w:left="1418" w:header="0" w:footer="652" w:gutter="0"/>
          <w:pgNumType w:fmt="lowerRoman" w:start="4"/>
          <w:cols w:space="720" w:num="1"/>
        </w:sectPr>
      </w:pPr>
    </w:p>
    <w:p w14:paraId="0D8EA2BF">
      <w:pPr>
        <w:jc w:val="center"/>
        <w:rPr>
          <w:b/>
          <w:sz w:val="24"/>
        </w:rPr>
      </w:pPr>
      <w:r>
        <w:rPr>
          <w:b/>
          <w:sz w:val="24"/>
        </w:rPr>
        <w:t>THE EFFECT OF VIRTUAL RECREATION ACTIVITIES ON QUALITY OF LIFE, AN APPLICATION ON CLASSROOM TEACHERS, THE CASE OF MAMAK DISTRICT</w:t>
      </w:r>
    </w:p>
    <w:p w14:paraId="1FE69A51">
      <w:pPr>
        <w:jc w:val="center"/>
        <w:rPr>
          <w:b/>
          <w:sz w:val="24"/>
        </w:rPr>
      </w:pPr>
    </w:p>
    <w:p w14:paraId="6162490E">
      <w:pPr>
        <w:jc w:val="center"/>
        <w:rPr>
          <w:b/>
          <w:sz w:val="24"/>
        </w:rPr>
      </w:pPr>
      <w:r>
        <w:rPr>
          <w:b/>
          <w:sz w:val="24"/>
        </w:rPr>
        <w:t>Özgür ÇUKURLUÖZ</w:t>
      </w:r>
    </w:p>
    <w:p w14:paraId="136540FD">
      <w:pPr>
        <w:jc w:val="center"/>
        <w:rPr>
          <w:b/>
          <w:sz w:val="24"/>
        </w:rPr>
      </w:pPr>
    </w:p>
    <w:p w14:paraId="4B699D50">
      <w:pPr>
        <w:jc w:val="center"/>
        <w:rPr>
          <w:b/>
          <w:sz w:val="24"/>
        </w:rPr>
      </w:pPr>
      <w:r>
        <w:rPr>
          <w:b/>
          <w:sz w:val="24"/>
        </w:rPr>
        <w:t>Supervisor: Prof. Dr. Akyay UYGUR</w:t>
      </w:r>
    </w:p>
    <w:p w14:paraId="5B3C8774">
      <w:pPr>
        <w:jc w:val="center"/>
        <w:rPr>
          <w:b/>
          <w:sz w:val="24"/>
        </w:rPr>
      </w:pPr>
      <w:r>
        <w:rPr>
          <w:b/>
          <w:sz w:val="24"/>
        </w:rPr>
        <w:t>(Ph. D. Thesis)</w:t>
      </w:r>
    </w:p>
    <w:p w14:paraId="6232A0C1">
      <w:pPr>
        <w:jc w:val="center"/>
        <w:rPr>
          <w:b/>
          <w:sz w:val="24"/>
        </w:rPr>
      </w:pPr>
      <w:r>
        <w:rPr>
          <w:b/>
          <w:sz w:val="24"/>
        </w:rPr>
        <w:t>ANKARA HACI BAYRAM VELİ UNIVERSITY THE INSTITUTE OF GRADUATE STUDIES</w:t>
      </w:r>
    </w:p>
    <w:p w14:paraId="67DD7DD1">
      <w:pPr>
        <w:jc w:val="center"/>
        <w:rPr>
          <w:b/>
          <w:sz w:val="24"/>
        </w:rPr>
      </w:pPr>
      <w:r>
        <w:rPr>
          <w:b/>
          <w:sz w:val="24"/>
        </w:rPr>
        <w:t>April 2025</w:t>
      </w:r>
    </w:p>
    <w:p w14:paraId="22A19C57">
      <w:pPr>
        <w:jc w:val="center"/>
        <w:rPr>
          <w:b/>
          <w:sz w:val="24"/>
        </w:rPr>
      </w:pPr>
    </w:p>
    <w:p w14:paraId="3E45464D">
      <w:pPr>
        <w:pStyle w:val="2"/>
      </w:pPr>
      <w:bookmarkStart w:id="5" w:name="_Toc195877760"/>
      <w:bookmarkStart w:id="6" w:name="_Toc197351213"/>
      <w:bookmarkStart w:id="7" w:name="_Toc195875776"/>
      <w:r>
        <w:t>ABSTRACT</w:t>
      </w:r>
      <w:bookmarkEnd w:id="5"/>
      <w:bookmarkEnd w:id="6"/>
      <w:bookmarkEnd w:id="7"/>
    </w:p>
    <w:p w14:paraId="7687D507">
      <w:pPr>
        <w:spacing w:before="120" w:after="120"/>
        <w:jc w:val="both"/>
        <w:rPr>
          <w:sz w:val="24"/>
          <w:szCs w:val="24"/>
        </w:rPr>
      </w:pPr>
      <w:r>
        <w:rPr>
          <w:sz w:val="24"/>
          <w:szCs w:val="24"/>
        </w:rPr>
        <w:t>Virtual and Augmented Reality equipment shows its presence in every sector with the developing technology.</w:t>
      </w:r>
      <w:r>
        <w:rPr>
          <w:sz w:val="24"/>
          <w:szCs w:val="24"/>
          <w:lang w:val="en"/>
        </w:rPr>
        <w:t>Of course, among these disciplines, tourism and recreation have also had their share.</w:t>
      </w:r>
      <w:r>
        <w:rPr>
          <w:sz w:val="24"/>
          <w:szCs w:val="24"/>
        </w:rPr>
        <w:t>In this study, the effect of free time activities, which are called virtual recreation, carried out with virtual reality and augmented reality equipment, on the quality of life was investigated in the context of various variables. The universe of the study consists of classroom teachers working in Mamak district, and the sample consists of 641 classroom teachers who experienced virtual recreation. As a result of the study, it was revealed that virtual recreation activities positively affect the quality of life of classroom teachers. In addition, in this study, the differences between virtual recreation experiences of classroom teachers according to their gender, seniority years, education status, age, marital status and income levels were investigated. It was revealed that there was a significant difference in terms of gender, seniority years, education status and income levels of classroom teachers, but no significant difference was observed in terms of age and marital status.</w:t>
      </w:r>
    </w:p>
    <w:p w14:paraId="4D49D35D">
      <w:pPr>
        <w:spacing w:before="120" w:after="120"/>
        <w:jc w:val="both"/>
        <w:rPr>
          <w:sz w:val="24"/>
        </w:rPr>
      </w:pPr>
    </w:p>
    <w:p w14:paraId="6EC74E10">
      <w:pPr>
        <w:spacing w:before="120" w:after="120"/>
        <w:jc w:val="both"/>
        <w:rPr>
          <w:sz w:val="24"/>
        </w:rPr>
      </w:pPr>
    </w:p>
    <w:p w14:paraId="474AD8D2">
      <w:pPr>
        <w:spacing w:before="120" w:after="120"/>
        <w:jc w:val="both"/>
        <w:rPr>
          <w:sz w:val="24"/>
        </w:rPr>
      </w:pPr>
    </w:p>
    <w:p w14:paraId="4192C350">
      <w:pPr>
        <w:spacing w:before="120" w:after="120"/>
        <w:jc w:val="both"/>
        <w:rPr>
          <w:sz w:val="24"/>
        </w:rPr>
      </w:pPr>
    </w:p>
    <w:p w14:paraId="486E40BA">
      <w:pPr>
        <w:spacing w:before="120" w:after="120"/>
        <w:jc w:val="both"/>
        <w:rPr>
          <w:sz w:val="24"/>
        </w:rPr>
      </w:pPr>
    </w:p>
    <w:p w14:paraId="4F243E01">
      <w:pPr>
        <w:rPr>
          <w:sz w:val="24"/>
        </w:rPr>
      </w:pPr>
    </w:p>
    <w:tbl>
      <w:tblPr>
        <w:tblStyle w:val="7"/>
        <w:tblpPr w:leftFromText="141" w:rightFromText="141" w:vertAnchor="text" w:horzAnchor="margin" w:tblpY="1626"/>
        <w:tblW w:w="0" w:type="auto"/>
        <w:tblInd w:w="0" w:type="dxa"/>
        <w:tblLayout w:type="fixed"/>
        <w:tblCellMar>
          <w:top w:w="0" w:type="dxa"/>
          <w:left w:w="0" w:type="dxa"/>
          <w:bottom w:w="0" w:type="dxa"/>
          <w:right w:w="0" w:type="dxa"/>
        </w:tblCellMar>
      </w:tblPr>
      <w:tblGrid>
        <w:gridCol w:w="1934"/>
        <w:gridCol w:w="203"/>
        <w:gridCol w:w="6581"/>
      </w:tblGrid>
      <w:tr w14:paraId="6F819EE9">
        <w:tblPrEx>
          <w:tblCellMar>
            <w:top w:w="0" w:type="dxa"/>
            <w:left w:w="0" w:type="dxa"/>
            <w:bottom w:w="0" w:type="dxa"/>
            <w:right w:w="0" w:type="dxa"/>
          </w:tblCellMar>
        </w:tblPrEx>
        <w:trPr>
          <w:trHeight w:val="379" w:hRule="atLeast"/>
        </w:trPr>
        <w:tc>
          <w:tcPr>
            <w:tcW w:w="1934" w:type="dxa"/>
          </w:tcPr>
          <w:p w14:paraId="21C054E4">
            <w:pPr>
              <w:pStyle w:val="29"/>
              <w:spacing w:line="266" w:lineRule="exact"/>
              <w:ind w:left="50"/>
              <w:rPr>
                <w:sz w:val="24"/>
              </w:rPr>
            </w:pPr>
            <w:r>
              <w:rPr>
                <w:sz w:val="24"/>
              </w:rPr>
              <w:t>Science</w:t>
            </w:r>
            <w:r>
              <w:rPr>
                <w:spacing w:val="-4"/>
                <w:sz w:val="24"/>
              </w:rPr>
              <w:t xml:space="preserve"> Code</w:t>
            </w:r>
          </w:p>
        </w:tc>
        <w:tc>
          <w:tcPr>
            <w:tcW w:w="203" w:type="dxa"/>
          </w:tcPr>
          <w:p w14:paraId="39064702">
            <w:pPr>
              <w:pStyle w:val="29"/>
              <w:spacing w:line="266" w:lineRule="exact"/>
              <w:ind w:left="7"/>
              <w:jc w:val="center"/>
              <w:rPr>
                <w:sz w:val="24"/>
              </w:rPr>
            </w:pPr>
            <w:r>
              <w:rPr>
                <w:sz w:val="24"/>
              </w:rPr>
              <w:t>:</w:t>
            </w:r>
          </w:p>
        </w:tc>
        <w:tc>
          <w:tcPr>
            <w:tcW w:w="6581" w:type="dxa"/>
          </w:tcPr>
          <w:p w14:paraId="3D2DDD80">
            <w:pPr>
              <w:pStyle w:val="29"/>
            </w:pPr>
            <w:r>
              <w:t xml:space="preserve"> 116910</w:t>
            </w:r>
          </w:p>
        </w:tc>
      </w:tr>
      <w:tr w14:paraId="2C9ADD60">
        <w:tblPrEx>
          <w:tblCellMar>
            <w:top w:w="0" w:type="dxa"/>
            <w:left w:w="0" w:type="dxa"/>
            <w:bottom w:w="0" w:type="dxa"/>
            <w:right w:w="0" w:type="dxa"/>
          </w:tblCellMar>
        </w:tblPrEx>
        <w:trPr>
          <w:trHeight w:val="438" w:hRule="atLeast"/>
        </w:trPr>
        <w:tc>
          <w:tcPr>
            <w:tcW w:w="1934" w:type="dxa"/>
          </w:tcPr>
          <w:p w14:paraId="167B4166">
            <w:pPr>
              <w:pStyle w:val="29"/>
              <w:spacing w:before="26"/>
              <w:ind w:left="50"/>
              <w:rPr>
                <w:sz w:val="24"/>
              </w:rPr>
            </w:pPr>
            <w:r>
              <w:rPr>
                <w:sz w:val="24"/>
              </w:rPr>
              <w:t>Key</w:t>
            </w:r>
            <w:r>
              <w:rPr>
                <w:spacing w:val="-2"/>
                <w:sz w:val="24"/>
              </w:rPr>
              <w:t xml:space="preserve"> Words</w:t>
            </w:r>
          </w:p>
        </w:tc>
        <w:tc>
          <w:tcPr>
            <w:tcW w:w="203" w:type="dxa"/>
          </w:tcPr>
          <w:p w14:paraId="2964361A">
            <w:pPr>
              <w:pStyle w:val="29"/>
              <w:spacing w:before="26"/>
              <w:ind w:left="7"/>
              <w:jc w:val="center"/>
              <w:rPr>
                <w:sz w:val="24"/>
              </w:rPr>
            </w:pPr>
            <w:r>
              <w:rPr>
                <w:sz w:val="24"/>
              </w:rPr>
              <w:t>:</w:t>
            </w:r>
          </w:p>
        </w:tc>
        <w:tc>
          <w:tcPr>
            <w:tcW w:w="6581" w:type="dxa"/>
          </w:tcPr>
          <w:p w14:paraId="0B18CD26">
            <w:pPr>
              <w:pStyle w:val="29"/>
              <w:spacing w:before="26"/>
              <w:ind w:left="65"/>
              <w:rPr>
                <w:sz w:val="24"/>
              </w:rPr>
            </w:pPr>
            <w:r>
              <w:rPr>
                <w:sz w:val="24"/>
              </w:rPr>
              <w:t>Virtual</w:t>
            </w:r>
            <w:r>
              <w:rPr>
                <w:spacing w:val="-4"/>
                <w:sz w:val="24"/>
              </w:rPr>
              <w:t xml:space="preserve"> </w:t>
            </w:r>
            <w:r>
              <w:rPr>
                <w:sz w:val="24"/>
              </w:rPr>
              <w:t>Recreation,</w:t>
            </w:r>
            <w:r>
              <w:rPr>
                <w:spacing w:val="-1"/>
                <w:sz w:val="24"/>
              </w:rPr>
              <w:t xml:space="preserve"> </w:t>
            </w:r>
            <w:r>
              <w:rPr>
                <w:sz w:val="24"/>
              </w:rPr>
              <w:t>Quality</w:t>
            </w:r>
            <w:r>
              <w:rPr>
                <w:spacing w:val="-6"/>
                <w:sz w:val="24"/>
              </w:rPr>
              <w:t xml:space="preserve"> </w:t>
            </w:r>
            <w:r>
              <w:rPr>
                <w:sz w:val="24"/>
              </w:rPr>
              <w:t>of Life, Virtual</w:t>
            </w:r>
            <w:r>
              <w:rPr>
                <w:spacing w:val="-1"/>
                <w:sz w:val="24"/>
              </w:rPr>
              <w:t xml:space="preserve"> </w:t>
            </w:r>
            <w:r>
              <w:rPr>
                <w:sz w:val="24"/>
              </w:rPr>
              <w:t>and Augmented</w:t>
            </w:r>
            <w:r>
              <w:rPr>
                <w:spacing w:val="-1"/>
                <w:sz w:val="24"/>
              </w:rPr>
              <w:t xml:space="preserve"> </w:t>
            </w:r>
            <w:r>
              <w:rPr>
                <w:spacing w:val="-2"/>
                <w:sz w:val="24"/>
              </w:rPr>
              <w:t>Reality</w:t>
            </w:r>
          </w:p>
        </w:tc>
      </w:tr>
      <w:tr w14:paraId="746ED8B7">
        <w:tblPrEx>
          <w:tblCellMar>
            <w:top w:w="0" w:type="dxa"/>
            <w:left w:w="0" w:type="dxa"/>
            <w:bottom w:w="0" w:type="dxa"/>
            <w:right w:w="0" w:type="dxa"/>
          </w:tblCellMar>
        </w:tblPrEx>
        <w:trPr>
          <w:trHeight w:val="439" w:hRule="atLeast"/>
        </w:trPr>
        <w:tc>
          <w:tcPr>
            <w:tcW w:w="1934" w:type="dxa"/>
          </w:tcPr>
          <w:p w14:paraId="77AC454B">
            <w:pPr>
              <w:pStyle w:val="29"/>
              <w:spacing w:before="37"/>
              <w:ind w:left="50"/>
              <w:rPr>
                <w:sz w:val="24"/>
              </w:rPr>
            </w:pPr>
            <w:r>
              <w:rPr>
                <w:sz w:val="24"/>
              </w:rPr>
              <w:t>Page</w:t>
            </w:r>
            <w:r>
              <w:rPr>
                <w:spacing w:val="-3"/>
                <w:sz w:val="24"/>
              </w:rPr>
              <w:t xml:space="preserve"> </w:t>
            </w:r>
            <w:r>
              <w:rPr>
                <w:spacing w:val="-2"/>
                <w:sz w:val="24"/>
              </w:rPr>
              <w:t>Number</w:t>
            </w:r>
          </w:p>
        </w:tc>
        <w:tc>
          <w:tcPr>
            <w:tcW w:w="203" w:type="dxa"/>
          </w:tcPr>
          <w:p w14:paraId="6EDFC5AB">
            <w:pPr>
              <w:pStyle w:val="29"/>
              <w:spacing w:before="37"/>
              <w:ind w:left="7"/>
              <w:jc w:val="center"/>
              <w:rPr>
                <w:sz w:val="24"/>
              </w:rPr>
            </w:pPr>
            <w:r>
              <w:rPr>
                <w:sz w:val="24"/>
              </w:rPr>
              <w:t>:</w:t>
            </w:r>
          </w:p>
        </w:tc>
        <w:tc>
          <w:tcPr>
            <w:tcW w:w="6581" w:type="dxa"/>
          </w:tcPr>
          <w:p w14:paraId="75F9C154">
            <w:pPr>
              <w:pStyle w:val="29"/>
              <w:rPr>
                <w:rFonts w:hint="default"/>
                <w:sz w:val="24"/>
                <w:lang w:val="tr-TR"/>
              </w:rPr>
            </w:pPr>
            <w:r>
              <w:rPr>
                <w:sz w:val="24"/>
              </w:rPr>
              <w:t>20</w:t>
            </w:r>
            <w:r>
              <w:rPr>
                <w:rFonts w:hint="default"/>
                <w:sz w:val="24"/>
                <w:lang w:val="tr-TR"/>
              </w:rPr>
              <w:t>6</w:t>
            </w:r>
          </w:p>
        </w:tc>
      </w:tr>
      <w:tr w14:paraId="160976A0">
        <w:tblPrEx>
          <w:tblCellMar>
            <w:top w:w="0" w:type="dxa"/>
            <w:left w:w="0" w:type="dxa"/>
            <w:bottom w:w="0" w:type="dxa"/>
            <w:right w:w="0" w:type="dxa"/>
          </w:tblCellMar>
        </w:tblPrEx>
        <w:trPr>
          <w:trHeight w:val="425" w:hRule="atLeast"/>
        </w:trPr>
        <w:tc>
          <w:tcPr>
            <w:tcW w:w="1934" w:type="dxa"/>
          </w:tcPr>
          <w:p w14:paraId="47E33E99">
            <w:pPr>
              <w:pStyle w:val="29"/>
              <w:spacing w:before="27"/>
              <w:ind w:left="50"/>
              <w:rPr>
                <w:sz w:val="24"/>
              </w:rPr>
            </w:pPr>
            <w:r>
              <w:rPr>
                <w:spacing w:val="-2"/>
                <w:sz w:val="24"/>
              </w:rPr>
              <w:t>Supervisor</w:t>
            </w:r>
          </w:p>
        </w:tc>
        <w:tc>
          <w:tcPr>
            <w:tcW w:w="203" w:type="dxa"/>
          </w:tcPr>
          <w:p w14:paraId="1C30EF9B">
            <w:pPr>
              <w:pStyle w:val="29"/>
              <w:spacing w:before="27"/>
              <w:ind w:left="7"/>
              <w:jc w:val="center"/>
              <w:rPr>
                <w:sz w:val="24"/>
              </w:rPr>
            </w:pPr>
            <w:r>
              <w:rPr>
                <w:sz w:val="24"/>
              </w:rPr>
              <w:t>:</w:t>
            </w:r>
          </w:p>
        </w:tc>
        <w:tc>
          <w:tcPr>
            <w:tcW w:w="6581" w:type="dxa"/>
          </w:tcPr>
          <w:p w14:paraId="73565B91">
            <w:pPr>
              <w:pStyle w:val="29"/>
              <w:rPr>
                <w:sz w:val="24"/>
              </w:rPr>
            </w:pPr>
            <w:r>
              <w:rPr>
                <w:sz w:val="24"/>
              </w:rPr>
              <w:t>Prof.Dr. Akyay UYGUR</w:t>
            </w:r>
          </w:p>
        </w:tc>
      </w:tr>
      <w:tr w14:paraId="1A4C0A9D">
        <w:tblPrEx>
          <w:tblCellMar>
            <w:top w:w="0" w:type="dxa"/>
            <w:left w:w="0" w:type="dxa"/>
            <w:bottom w:w="0" w:type="dxa"/>
            <w:right w:w="0" w:type="dxa"/>
          </w:tblCellMar>
        </w:tblPrEx>
        <w:trPr>
          <w:trHeight w:val="379" w:hRule="atLeast"/>
        </w:trPr>
        <w:tc>
          <w:tcPr>
            <w:tcW w:w="1934" w:type="dxa"/>
          </w:tcPr>
          <w:p w14:paraId="771298EE">
            <w:pPr>
              <w:pStyle w:val="29"/>
              <w:tabs>
                <w:tab w:val="left" w:pos="1125"/>
              </w:tabs>
              <w:spacing w:before="26" w:line="256" w:lineRule="exact"/>
              <w:ind w:left="50"/>
              <w:rPr>
                <w:sz w:val="24"/>
              </w:rPr>
            </w:pPr>
          </w:p>
        </w:tc>
        <w:tc>
          <w:tcPr>
            <w:tcW w:w="203" w:type="dxa"/>
          </w:tcPr>
          <w:p w14:paraId="7490C8FC">
            <w:pPr>
              <w:pStyle w:val="29"/>
              <w:spacing w:before="26" w:line="256" w:lineRule="exact"/>
              <w:rPr>
                <w:sz w:val="24"/>
              </w:rPr>
            </w:pPr>
          </w:p>
        </w:tc>
        <w:tc>
          <w:tcPr>
            <w:tcW w:w="6581" w:type="dxa"/>
          </w:tcPr>
          <w:p w14:paraId="66E652A1">
            <w:pPr>
              <w:pStyle w:val="29"/>
            </w:pPr>
          </w:p>
        </w:tc>
      </w:tr>
    </w:tbl>
    <w:p w14:paraId="1AEDD050">
      <w:pPr>
        <w:rPr>
          <w:sz w:val="24"/>
        </w:rPr>
        <w:sectPr>
          <w:pgSz w:w="11910" w:h="16840"/>
          <w:pgMar w:top="1985" w:right="1418" w:bottom="1418" w:left="1418" w:header="720" w:footer="720" w:gutter="0"/>
          <w:pgNumType w:fmt="lowerRoman"/>
          <w:cols w:space="720" w:num="1"/>
        </w:sectPr>
      </w:pPr>
    </w:p>
    <w:p w14:paraId="270AA131">
      <w:pPr>
        <w:pStyle w:val="31"/>
      </w:pPr>
      <w:bookmarkStart w:id="8" w:name="_Toc195875777"/>
      <w:bookmarkStart w:id="9" w:name="_Toc188537906"/>
      <w:bookmarkStart w:id="10" w:name="_Toc195877761"/>
      <w:bookmarkStart w:id="11" w:name="_Toc197351214"/>
      <w:r>
        <w:t xml:space="preserve">İthaf </w:t>
      </w:r>
      <w:bookmarkEnd w:id="8"/>
      <w:bookmarkEnd w:id="9"/>
      <w:bookmarkEnd w:id="10"/>
      <w:bookmarkEnd w:id="11"/>
    </w:p>
    <w:p w14:paraId="55B11A97">
      <w:pPr>
        <w:jc w:val="right"/>
        <w:rPr>
          <w:i/>
          <w:sz w:val="24"/>
        </w:rPr>
      </w:pPr>
      <w:r>
        <w:rPr>
          <w:i/>
          <w:sz w:val="24"/>
        </w:rPr>
        <w:t>Bu doktora tezini Canım Oğlum Atlas’ıma ithaf ediyorum. Oğluma nasihatım şudur ki;</w:t>
      </w:r>
    </w:p>
    <w:p w14:paraId="4840D799">
      <w:pPr>
        <w:jc w:val="right"/>
        <w:rPr>
          <w:i/>
          <w:sz w:val="24"/>
        </w:rPr>
      </w:pPr>
      <w:r>
        <w:rPr>
          <w:i/>
          <w:sz w:val="24"/>
        </w:rPr>
        <w:t>Derdini, sıkıntını aklında tutma unut,</w:t>
      </w:r>
    </w:p>
    <w:p w14:paraId="68679BC4">
      <w:pPr>
        <w:jc w:val="right"/>
        <w:rPr>
          <w:i/>
          <w:sz w:val="24"/>
        </w:rPr>
      </w:pPr>
      <w:r>
        <w:rPr>
          <w:i/>
          <w:sz w:val="24"/>
        </w:rPr>
        <w:t>ATATÜRK’ ü unutma…</w:t>
      </w:r>
    </w:p>
    <w:p w14:paraId="55F9B232">
      <w:pPr>
        <w:widowControl/>
        <w:autoSpaceDE/>
        <w:autoSpaceDN/>
        <w:rPr>
          <w:i/>
          <w:sz w:val="24"/>
        </w:rPr>
      </w:pPr>
      <w:r>
        <w:rPr>
          <w:i/>
          <w:sz w:val="24"/>
        </w:rPr>
        <w:br w:type="page"/>
      </w:r>
    </w:p>
    <w:p w14:paraId="4AE313D1">
      <w:pPr>
        <w:pStyle w:val="2"/>
      </w:pPr>
      <w:bookmarkStart w:id="12" w:name="_Toc195877762"/>
      <w:bookmarkStart w:id="13" w:name="_Toc195875778"/>
      <w:bookmarkStart w:id="14" w:name="_Toc197351215"/>
      <w:r>
        <w:t>TEŞEKKÜR</w:t>
      </w:r>
      <w:bookmarkEnd w:id="12"/>
      <w:bookmarkEnd w:id="13"/>
      <w:bookmarkEnd w:id="14"/>
    </w:p>
    <w:p w14:paraId="4B722D86">
      <w:pPr>
        <w:ind w:left="2880" w:firstLine="720"/>
        <w:rPr>
          <w:sz w:val="24"/>
          <w:szCs w:val="24"/>
        </w:rPr>
      </w:pPr>
    </w:p>
    <w:p w14:paraId="4CA2FA7C">
      <w:pPr>
        <w:spacing w:line="360" w:lineRule="auto"/>
        <w:jc w:val="both"/>
        <w:rPr>
          <w:sz w:val="24"/>
          <w:szCs w:val="24"/>
        </w:rPr>
      </w:pPr>
      <w:r>
        <w:rPr>
          <w:sz w:val="24"/>
          <w:szCs w:val="24"/>
        </w:rPr>
        <w:t>Doktora sürecinde desteğini esirgemeyen, saygı değer, kıymetli hocam Prof.Dr. Akyay UYGUR’ a teşekkürlerimi sunuyorum.</w:t>
      </w:r>
    </w:p>
    <w:p w14:paraId="484EF132">
      <w:pPr>
        <w:spacing w:line="360" w:lineRule="auto"/>
        <w:jc w:val="both"/>
        <w:rPr>
          <w:sz w:val="24"/>
          <w:szCs w:val="24"/>
        </w:rPr>
      </w:pPr>
      <w:r>
        <w:rPr>
          <w:sz w:val="24"/>
          <w:szCs w:val="24"/>
        </w:rPr>
        <w:t>Her zaman desteğini hissettiğim değerli hocam, Özlem GÜNCAN’a sonsuz teşekkürlerimi sunuyorum.</w:t>
      </w:r>
    </w:p>
    <w:p w14:paraId="1FD8504B">
      <w:pPr>
        <w:spacing w:line="360" w:lineRule="auto"/>
        <w:jc w:val="both"/>
        <w:rPr>
          <w:sz w:val="24"/>
          <w:szCs w:val="24"/>
        </w:rPr>
      </w:pPr>
      <w:r>
        <w:rPr>
          <w:sz w:val="24"/>
          <w:szCs w:val="24"/>
        </w:rPr>
        <w:t>Doktora dönem arkadaşım Orhun TOPAÇOĞLU’na desteği için sonsuz teşekkürlerimi sunuyorum.</w:t>
      </w:r>
    </w:p>
    <w:p w14:paraId="477059C0">
      <w:pPr>
        <w:spacing w:line="360" w:lineRule="auto"/>
        <w:jc w:val="both"/>
        <w:rPr>
          <w:sz w:val="24"/>
          <w:szCs w:val="24"/>
        </w:rPr>
      </w:pPr>
      <w:r>
        <w:rPr>
          <w:sz w:val="24"/>
          <w:szCs w:val="24"/>
        </w:rPr>
        <w:t>Canım aileme bu günlere gelmemde emeği olan anneme ve babama destekleri için sonsuz teşekkürlerimi sunuyorum.</w:t>
      </w:r>
    </w:p>
    <w:p w14:paraId="23C0B83C">
      <w:pPr>
        <w:spacing w:line="360" w:lineRule="auto"/>
        <w:jc w:val="both"/>
        <w:rPr>
          <w:sz w:val="24"/>
          <w:szCs w:val="24"/>
        </w:rPr>
      </w:pPr>
      <w:r>
        <w:rPr>
          <w:sz w:val="24"/>
          <w:szCs w:val="24"/>
        </w:rPr>
        <w:t>Canım kardeşime ve küçük kuzumuz Çağan ‘a sonsuz teşekkür ederim.</w:t>
      </w:r>
    </w:p>
    <w:p w14:paraId="2A11721D">
      <w:pPr>
        <w:spacing w:line="360" w:lineRule="auto"/>
        <w:jc w:val="both"/>
        <w:rPr>
          <w:sz w:val="24"/>
          <w:szCs w:val="24"/>
        </w:rPr>
      </w:pPr>
      <w:r>
        <w:rPr>
          <w:sz w:val="24"/>
          <w:szCs w:val="24"/>
        </w:rPr>
        <w:t>Değerli hayat arkadaşıma sabrı ve desteği için sonsuz teşekkür ederim.</w:t>
      </w:r>
    </w:p>
    <w:p w14:paraId="7DDB833A">
      <w:pPr>
        <w:pStyle w:val="9"/>
        <w:ind w:left="0"/>
        <w:jc w:val="left"/>
        <w:rPr>
          <w:sz w:val="20"/>
        </w:rPr>
      </w:pPr>
    </w:p>
    <w:p w14:paraId="5AC0D702">
      <w:pPr>
        <w:pStyle w:val="9"/>
        <w:ind w:left="0"/>
        <w:jc w:val="left"/>
        <w:rPr>
          <w:sz w:val="20"/>
        </w:rPr>
      </w:pPr>
    </w:p>
    <w:p w14:paraId="0DEBB09D">
      <w:pPr>
        <w:pStyle w:val="9"/>
        <w:spacing w:before="5"/>
        <w:ind w:left="0"/>
        <w:jc w:val="left"/>
        <w:rPr>
          <w:sz w:val="20"/>
        </w:rPr>
      </w:pPr>
    </w:p>
    <w:p w14:paraId="59ADBFB6">
      <w:pPr>
        <w:sectPr>
          <w:footerReference r:id="rId4" w:type="default"/>
          <w:pgSz w:w="11900" w:h="16850"/>
          <w:pgMar w:top="1985" w:right="1418" w:bottom="1418" w:left="1418" w:header="0" w:footer="652" w:gutter="0"/>
          <w:pgNumType w:fmt="lowerRoman"/>
          <w:cols w:space="720" w:num="1"/>
        </w:sectPr>
      </w:pPr>
    </w:p>
    <w:p w14:paraId="06F2E359">
      <w:pPr>
        <w:pStyle w:val="2"/>
        <w:ind w:left="169" w:right="1567"/>
      </w:pPr>
      <w:bookmarkStart w:id="15" w:name="_Toc195875779"/>
      <w:bookmarkStart w:id="16" w:name="_Toc195877763"/>
      <w:bookmarkStart w:id="17" w:name="_Toc197351216"/>
      <w:r>
        <w:rPr>
          <w:spacing w:val="-2"/>
        </w:rPr>
        <w:t>İÇİNDEKİLER</w:t>
      </w:r>
      <w:bookmarkEnd w:id="15"/>
      <w:bookmarkEnd w:id="16"/>
      <w:bookmarkEnd w:id="17"/>
    </w:p>
    <w:p w14:paraId="6D5C958E">
      <w:pPr>
        <w:ind w:left="7920"/>
        <w:rPr>
          <w:b/>
        </w:rPr>
      </w:pPr>
      <w:r>
        <w:t xml:space="preserve">          </w:t>
      </w:r>
      <w:r>
        <w:rPr>
          <w:b/>
        </w:rPr>
        <w:t xml:space="preserve"> Sayfa</w:t>
      </w:r>
    </w:p>
    <w:p w14:paraId="2A210648">
      <w:pPr>
        <w:pStyle w:val="17"/>
        <w:tabs>
          <w:tab w:val="right" w:leader="dot" w:pos="9054"/>
        </w:tabs>
        <w:spacing w:before="120" w:after="120"/>
        <w:rPr>
          <w:rFonts w:eastAsiaTheme="minorEastAsia"/>
          <w:b w:val="0"/>
          <w:bCs w:val="0"/>
          <w:sz w:val="24"/>
          <w:szCs w:val="24"/>
          <w:lang w:eastAsia="tr-TR"/>
        </w:rPr>
      </w:pPr>
      <w:r>
        <w:rPr>
          <w:b w:val="0"/>
          <w:sz w:val="24"/>
          <w:szCs w:val="24"/>
        </w:rPr>
        <w:fldChar w:fldCharType="begin"/>
      </w:r>
      <w:r>
        <w:rPr>
          <w:b w:val="0"/>
          <w:sz w:val="24"/>
          <w:szCs w:val="24"/>
        </w:rPr>
        <w:instrText xml:space="preserve"> TOC \o "1-5" \h \z \u </w:instrText>
      </w:r>
      <w:r>
        <w:rPr>
          <w:b w:val="0"/>
          <w:sz w:val="24"/>
          <w:szCs w:val="24"/>
        </w:rPr>
        <w:fldChar w:fldCharType="separate"/>
      </w:r>
      <w:r>
        <w:fldChar w:fldCharType="begin"/>
      </w:r>
      <w:r>
        <w:instrText xml:space="preserve"> HYPERLINK \l "_Toc197351212" </w:instrText>
      </w:r>
      <w:r>
        <w:fldChar w:fldCharType="separate"/>
      </w:r>
      <w:r>
        <w:rPr>
          <w:rStyle w:val="15"/>
          <w:b w:val="0"/>
          <w:sz w:val="24"/>
          <w:szCs w:val="24"/>
        </w:rPr>
        <w:t>ÖZET</w:t>
      </w:r>
      <w:r>
        <w:rPr>
          <w:b w:val="0"/>
          <w:sz w:val="24"/>
          <w:szCs w:val="24"/>
        </w:rPr>
        <w:tab/>
      </w:r>
      <w:r>
        <w:rPr>
          <w:b w:val="0"/>
          <w:sz w:val="24"/>
          <w:szCs w:val="24"/>
        </w:rPr>
        <w:fldChar w:fldCharType="begin"/>
      </w:r>
      <w:r>
        <w:rPr>
          <w:b w:val="0"/>
          <w:sz w:val="24"/>
          <w:szCs w:val="24"/>
        </w:rPr>
        <w:instrText xml:space="preserve"> PAGEREF _Toc197351212 \h </w:instrText>
      </w:r>
      <w:r>
        <w:rPr>
          <w:b w:val="0"/>
          <w:sz w:val="24"/>
          <w:szCs w:val="24"/>
        </w:rPr>
        <w:fldChar w:fldCharType="separate"/>
      </w:r>
      <w:r>
        <w:rPr>
          <w:b w:val="0"/>
          <w:sz w:val="24"/>
          <w:szCs w:val="24"/>
        </w:rPr>
        <w:t>iv</w:t>
      </w:r>
      <w:r>
        <w:rPr>
          <w:b w:val="0"/>
          <w:sz w:val="24"/>
          <w:szCs w:val="24"/>
        </w:rPr>
        <w:fldChar w:fldCharType="end"/>
      </w:r>
      <w:r>
        <w:rPr>
          <w:b w:val="0"/>
          <w:sz w:val="24"/>
          <w:szCs w:val="24"/>
        </w:rPr>
        <w:fldChar w:fldCharType="end"/>
      </w:r>
    </w:p>
    <w:p w14:paraId="6E35F2E8">
      <w:pPr>
        <w:pStyle w:val="17"/>
        <w:tabs>
          <w:tab w:val="right" w:leader="dot" w:pos="9054"/>
        </w:tabs>
        <w:spacing w:before="120" w:after="120"/>
        <w:rPr>
          <w:rFonts w:eastAsiaTheme="minorEastAsia"/>
          <w:b w:val="0"/>
          <w:bCs w:val="0"/>
          <w:sz w:val="24"/>
          <w:szCs w:val="24"/>
          <w:lang w:eastAsia="tr-TR"/>
        </w:rPr>
      </w:pPr>
      <w:r>
        <w:fldChar w:fldCharType="begin"/>
      </w:r>
      <w:r>
        <w:instrText xml:space="preserve"> HYPERLINK \l "_Toc197351213" </w:instrText>
      </w:r>
      <w:r>
        <w:fldChar w:fldCharType="separate"/>
      </w:r>
      <w:r>
        <w:rPr>
          <w:rStyle w:val="15"/>
          <w:b w:val="0"/>
          <w:sz w:val="24"/>
          <w:szCs w:val="24"/>
        </w:rPr>
        <w:t>ABSTRACT</w:t>
      </w:r>
      <w:r>
        <w:rPr>
          <w:b w:val="0"/>
          <w:sz w:val="24"/>
          <w:szCs w:val="24"/>
        </w:rPr>
        <w:tab/>
      </w:r>
      <w:r>
        <w:rPr>
          <w:b w:val="0"/>
          <w:sz w:val="24"/>
          <w:szCs w:val="24"/>
        </w:rPr>
        <w:fldChar w:fldCharType="begin"/>
      </w:r>
      <w:r>
        <w:rPr>
          <w:b w:val="0"/>
          <w:sz w:val="24"/>
          <w:szCs w:val="24"/>
        </w:rPr>
        <w:instrText xml:space="preserve"> PAGEREF _Toc197351213 \h </w:instrText>
      </w:r>
      <w:r>
        <w:rPr>
          <w:b w:val="0"/>
          <w:sz w:val="24"/>
          <w:szCs w:val="24"/>
        </w:rPr>
        <w:fldChar w:fldCharType="separate"/>
      </w:r>
      <w:r>
        <w:rPr>
          <w:b w:val="0"/>
          <w:sz w:val="24"/>
          <w:szCs w:val="24"/>
        </w:rPr>
        <w:t>v</w:t>
      </w:r>
      <w:r>
        <w:rPr>
          <w:b w:val="0"/>
          <w:sz w:val="24"/>
          <w:szCs w:val="24"/>
        </w:rPr>
        <w:fldChar w:fldCharType="end"/>
      </w:r>
      <w:r>
        <w:rPr>
          <w:b w:val="0"/>
          <w:sz w:val="24"/>
          <w:szCs w:val="24"/>
        </w:rPr>
        <w:fldChar w:fldCharType="end"/>
      </w:r>
    </w:p>
    <w:p w14:paraId="73475DE3">
      <w:pPr>
        <w:pStyle w:val="17"/>
        <w:tabs>
          <w:tab w:val="right" w:leader="dot" w:pos="9054"/>
        </w:tabs>
        <w:spacing w:before="120" w:after="120"/>
        <w:rPr>
          <w:rFonts w:eastAsiaTheme="minorEastAsia"/>
          <w:b w:val="0"/>
          <w:bCs w:val="0"/>
          <w:sz w:val="24"/>
          <w:szCs w:val="24"/>
          <w:lang w:eastAsia="tr-TR"/>
        </w:rPr>
      </w:pPr>
      <w:r>
        <w:fldChar w:fldCharType="begin"/>
      </w:r>
      <w:r>
        <w:instrText xml:space="preserve"> HYPERLINK \l "_Toc197351214" </w:instrText>
      </w:r>
      <w:r>
        <w:fldChar w:fldCharType="separate"/>
      </w:r>
      <w:r>
        <w:rPr>
          <w:rStyle w:val="15"/>
          <w:b w:val="0"/>
          <w:sz w:val="24"/>
          <w:szCs w:val="24"/>
        </w:rPr>
        <w:t>İTHAF</w:t>
      </w:r>
      <w:r>
        <w:rPr>
          <w:b w:val="0"/>
          <w:sz w:val="24"/>
          <w:szCs w:val="24"/>
        </w:rPr>
        <w:tab/>
      </w:r>
      <w:r>
        <w:rPr>
          <w:b w:val="0"/>
          <w:sz w:val="24"/>
          <w:szCs w:val="24"/>
        </w:rPr>
        <w:fldChar w:fldCharType="begin"/>
      </w:r>
      <w:r>
        <w:rPr>
          <w:b w:val="0"/>
          <w:sz w:val="24"/>
          <w:szCs w:val="24"/>
        </w:rPr>
        <w:instrText xml:space="preserve"> PAGEREF _Toc197351214 \h </w:instrText>
      </w:r>
      <w:r>
        <w:rPr>
          <w:b w:val="0"/>
          <w:sz w:val="24"/>
          <w:szCs w:val="24"/>
        </w:rPr>
        <w:fldChar w:fldCharType="separate"/>
      </w:r>
      <w:r>
        <w:rPr>
          <w:b w:val="0"/>
          <w:sz w:val="24"/>
          <w:szCs w:val="24"/>
        </w:rPr>
        <w:t>vi</w:t>
      </w:r>
      <w:r>
        <w:rPr>
          <w:b w:val="0"/>
          <w:sz w:val="24"/>
          <w:szCs w:val="24"/>
        </w:rPr>
        <w:fldChar w:fldCharType="end"/>
      </w:r>
      <w:r>
        <w:rPr>
          <w:b w:val="0"/>
          <w:sz w:val="24"/>
          <w:szCs w:val="24"/>
        </w:rPr>
        <w:fldChar w:fldCharType="end"/>
      </w:r>
    </w:p>
    <w:p w14:paraId="6C39199A">
      <w:pPr>
        <w:pStyle w:val="17"/>
        <w:tabs>
          <w:tab w:val="right" w:leader="dot" w:pos="9054"/>
        </w:tabs>
        <w:spacing w:before="120" w:after="120"/>
        <w:rPr>
          <w:rFonts w:eastAsiaTheme="minorEastAsia"/>
          <w:b w:val="0"/>
          <w:bCs w:val="0"/>
          <w:sz w:val="24"/>
          <w:szCs w:val="24"/>
          <w:lang w:eastAsia="tr-TR"/>
        </w:rPr>
      </w:pPr>
      <w:r>
        <w:fldChar w:fldCharType="begin"/>
      </w:r>
      <w:r>
        <w:instrText xml:space="preserve"> HYPERLINK \l "_Toc197351215" </w:instrText>
      </w:r>
      <w:r>
        <w:fldChar w:fldCharType="separate"/>
      </w:r>
      <w:r>
        <w:rPr>
          <w:rStyle w:val="15"/>
          <w:b w:val="0"/>
          <w:sz w:val="24"/>
          <w:szCs w:val="24"/>
        </w:rPr>
        <w:t>TEŞEKKÜR</w:t>
      </w:r>
      <w:r>
        <w:rPr>
          <w:b w:val="0"/>
          <w:sz w:val="24"/>
          <w:szCs w:val="24"/>
        </w:rPr>
        <w:tab/>
      </w:r>
      <w:r>
        <w:rPr>
          <w:b w:val="0"/>
          <w:sz w:val="24"/>
          <w:szCs w:val="24"/>
        </w:rPr>
        <w:fldChar w:fldCharType="begin"/>
      </w:r>
      <w:r>
        <w:rPr>
          <w:b w:val="0"/>
          <w:sz w:val="24"/>
          <w:szCs w:val="24"/>
        </w:rPr>
        <w:instrText xml:space="preserve"> PAGEREF _Toc197351215 \h </w:instrText>
      </w:r>
      <w:r>
        <w:rPr>
          <w:b w:val="0"/>
          <w:sz w:val="24"/>
          <w:szCs w:val="24"/>
        </w:rPr>
        <w:fldChar w:fldCharType="separate"/>
      </w:r>
      <w:r>
        <w:rPr>
          <w:b w:val="0"/>
          <w:sz w:val="24"/>
          <w:szCs w:val="24"/>
        </w:rPr>
        <w:t>vii</w:t>
      </w:r>
      <w:r>
        <w:rPr>
          <w:b w:val="0"/>
          <w:sz w:val="24"/>
          <w:szCs w:val="24"/>
        </w:rPr>
        <w:fldChar w:fldCharType="end"/>
      </w:r>
      <w:r>
        <w:rPr>
          <w:b w:val="0"/>
          <w:sz w:val="24"/>
          <w:szCs w:val="24"/>
        </w:rPr>
        <w:fldChar w:fldCharType="end"/>
      </w:r>
    </w:p>
    <w:p w14:paraId="0638A3CD">
      <w:pPr>
        <w:pStyle w:val="17"/>
        <w:tabs>
          <w:tab w:val="right" w:leader="dot" w:pos="9054"/>
        </w:tabs>
        <w:spacing w:before="120" w:after="120"/>
        <w:rPr>
          <w:rFonts w:eastAsiaTheme="minorEastAsia"/>
          <w:b w:val="0"/>
          <w:bCs w:val="0"/>
          <w:sz w:val="24"/>
          <w:szCs w:val="24"/>
          <w:lang w:eastAsia="tr-TR"/>
        </w:rPr>
      </w:pPr>
      <w:r>
        <w:fldChar w:fldCharType="begin"/>
      </w:r>
      <w:r>
        <w:instrText xml:space="preserve"> HYPERLINK \l "_Toc197351216" </w:instrText>
      </w:r>
      <w:r>
        <w:fldChar w:fldCharType="separate"/>
      </w:r>
      <w:r>
        <w:rPr>
          <w:rStyle w:val="15"/>
          <w:b w:val="0"/>
          <w:spacing w:val="-2"/>
          <w:sz w:val="24"/>
          <w:szCs w:val="24"/>
        </w:rPr>
        <w:t>İÇİNDEKİLER</w:t>
      </w:r>
      <w:r>
        <w:rPr>
          <w:b w:val="0"/>
          <w:sz w:val="24"/>
          <w:szCs w:val="24"/>
        </w:rPr>
        <w:tab/>
      </w:r>
      <w:r>
        <w:rPr>
          <w:b w:val="0"/>
          <w:sz w:val="24"/>
          <w:szCs w:val="24"/>
        </w:rPr>
        <w:fldChar w:fldCharType="begin"/>
      </w:r>
      <w:r>
        <w:rPr>
          <w:b w:val="0"/>
          <w:sz w:val="24"/>
          <w:szCs w:val="24"/>
        </w:rPr>
        <w:instrText xml:space="preserve"> PAGEREF _Toc197351216 \h </w:instrText>
      </w:r>
      <w:r>
        <w:rPr>
          <w:b w:val="0"/>
          <w:sz w:val="24"/>
          <w:szCs w:val="24"/>
        </w:rPr>
        <w:fldChar w:fldCharType="separate"/>
      </w:r>
      <w:r>
        <w:rPr>
          <w:b w:val="0"/>
          <w:sz w:val="24"/>
          <w:szCs w:val="24"/>
        </w:rPr>
        <w:t>viii</w:t>
      </w:r>
      <w:r>
        <w:rPr>
          <w:b w:val="0"/>
          <w:sz w:val="24"/>
          <w:szCs w:val="24"/>
        </w:rPr>
        <w:fldChar w:fldCharType="end"/>
      </w:r>
      <w:r>
        <w:rPr>
          <w:b w:val="0"/>
          <w:sz w:val="24"/>
          <w:szCs w:val="24"/>
        </w:rPr>
        <w:fldChar w:fldCharType="end"/>
      </w:r>
    </w:p>
    <w:p w14:paraId="15805B64">
      <w:pPr>
        <w:pStyle w:val="17"/>
        <w:tabs>
          <w:tab w:val="right" w:leader="dot" w:pos="9054"/>
        </w:tabs>
        <w:spacing w:before="120" w:after="120"/>
        <w:rPr>
          <w:rFonts w:eastAsiaTheme="minorEastAsia"/>
          <w:b w:val="0"/>
          <w:bCs w:val="0"/>
          <w:sz w:val="24"/>
          <w:szCs w:val="24"/>
          <w:lang w:eastAsia="tr-TR"/>
        </w:rPr>
      </w:pPr>
      <w:r>
        <w:fldChar w:fldCharType="begin"/>
      </w:r>
      <w:r>
        <w:instrText xml:space="preserve"> HYPERLINK \l "_Toc197351217" </w:instrText>
      </w:r>
      <w:r>
        <w:fldChar w:fldCharType="separate"/>
      </w:r>
      <w:r>
        <w:rPr>
          <w:rStyle w:val="15"/>
          <w:b w:val="0"/>
          <w:sz w:val="24"/>
          <w:szCs w:val="24"/>
        </w:rPr>
        <w:t>TABLOLARIN</w:t>
      </w:r>
      <w:r>
        <w:rPr>
          <w:rStyle w:val="15"/>
          <w:b w:val="0"/>
          <w:spacing w:val="-1"/>
          <w:sz w:val="24"/>
          <w:szCs w:val="24"/>
        </w:rPr>
        <w:t xml:space="preserve"> </w:t>
      </w:r>
      <w:r>
        <w:rPr>
          <w:rStyle w:val="15"/>
          <w:b w:val="0"/>
          <w:spacing w:val="-2"/>
          <w:sz w:val="24"/>
          <w:szCs w:val="24"/>
        </w:rPr>
        <w:t>LİSTESİ</w:t>
      </w:r>
      <w:r>
        <w:rPr>
          <w:b w:val="0"/>
          <w:sz w:val="24"/>
          <w:szCs w:val="24"/>
        </w:rPr>
        <w:tab/>
      </w:r>
      <w:r>
        <w:rPr>
          <w:b w:val="0"/>
          <w:sz w:val="24"/>
          <w:szCs w:val="24"/>
        </w:rPr>
        <w:fldChar w:fldCharType="begin"/>
      </w:r>
      <w:r>
        <w:rPr>
          <w:b w:val="0"/>
          <w:sz w:val="24"/>
          <w:szCs w:val="24"/>
        </w:rPr>
        <w:instrText xml:space="preserve"> PAGEREF _Toc197351217 \h </w:instrText>
      </w:r>
      <w:r>
        <w:rPr>
          <w:b w:val="0"/>
          <w:sz w:val="24"/>
          <w:szCs w:val="24"/>
        </w:rPr>
        <w:fldChar w:fldCharType="separate"/>
      </w:r>
      <w:r>
        <w:rPr>
          <w:b w:val="0"/>
          <w:sz w:val="24"/>
          <w:szCs w:val="24"/>
        </w:rPr>
        <w:t>xi</w:t>
      </w:r>
      <w:r>
        <w:rPr>
          <w:b w:val="0"/>
          <w:sz w:val="24"/>
          <w:szCs w:val="24"/>
        </w:rPr>
        <w:fldChar w:fldCharType="end"/>
      </w:r>
      <w:r>
        <w:rPr>
          <w:b w:val="0"/>
          <w:sz w:val="24"/>
          <w:szCs w:val="24"/>
        </w:rPr>
        <w:fldChar w:fldCharType="end"/>
      </w:r>
    </w:p>
    <w:p w14:paraId="3E707588">
      <w:pPr>
        <w:pStyle w:val="17"/>
        <w:tabs>
          <w:tab w:val="right" w:leader="dot" w:pos="9054"/>
        </w:tabs>
        <w:spacing w:before="120" w:after="120"/>
        <w:rPr>
          <w:rFonts w:eastAsiaTheme="minorEastAsia"/>
          <w:b w:val="0"/>
          <w:bCs w:val="0"/>
          <w:sz w:val="24"/>
          <w:szCs w:val="24"/>
          <w:lang w:eastAsia="tr-TR"/>
        </w:rPr>
      </w:pPr>
      <w:r>
        <w:fldChar w:fldCharType="begin"/>
      </w:r>
      <w:r>
        <w:instrText xml:space="preserve"> HYPERLINK \l "_Toc197351218" </w:instrText>
      </w:r>
      <w:r>
        <w:fldChar w:fldCharType="separate"/>
      </w:r>
      <w:r>
        <w:rPr>
          <w:rStyle w:val="15"/>
          <w:b w:val="0"/>
          <w:sz w:val="24"/>
          <w:szCs w:val="24"/>
        </w:rPr>
        <w:t>ŞEKİLLERİN</w:t>
      </w:r>
      <w:r>
        <w:rPr>
          <w:rStyle w:val="15"/>
          <w:b w:val="0"/>
          <w:spacing w:val="-4"/>
          <w:sz w:val="24"/>
          <w:szCs w:val="24"/>
        </w:rPr>
        <w:t xml:space="preserve"> </w:t>
      </w:r>
      <w:r>
        <w:rPr>
          <w:rStyle w:val="15"/>
          <w:b w:val="0"/>
          <w:spacing w:val="-2"/>
          <w:sz w:val="24"/>
          <w:szCs w:val="24"/>
        </w:rPr>
        <w:t>LİSTESİ</w:t>
      </w:r>
      <w:r>
        <w:rPr>
          <w:b w:val="0"/>
          <w:sz w:val="24"/>
          <w:szCs w:val="24"/>
        </w:rPr>
        <w:tab/>
      </w:r>
      <w:r>
        <w:rPr>
          <w:b w:val="0"/>
          <w:sz w:val="24"/>
          <w:szCs w:val="24"/>
        </w:rPr>
        <w:fldChar w:fldCharType="begin"/>
      </w:r>
      <w:r>
        <w:rPr>
          <w:b w:val="0"/>
          <w:sz w:val="24"/>
          <w:szCs w:val="24"/>
        </w:rPr>
        <w:instrText xml:space="preserve"> PAGEREF _Toc197351218 \h </w:instrText>
      </w:r>
      <w:r>
        <w:rPr>
          <w:b w:val="0"/>
          <w:sz w:val="24"/>
          <w:szCs w:val="24"/>
        </w:rPr>
        <w:fldChar w:fldCharType="separate"/>
      </w:r>
      <w:r>
        <w:rPr>
          <w:b w:val="0"/>
          <w:sz w:val="24"/>
          <w:szCs w:val="24"/>
        </w:rPr>
        <w:t>xiii</w:t>
      </w:r>
      <w:r>
        <w:rPr>
          <w:b w:val="0"/>
          <w:sz w:val="24"/>
          <w:szCs w:val="24"/>
        </w:rPr>
        <w:fldChar w:fldCharType="end"/>
      </w:r>
      <w:r>
        <w:rPr>
          <w:b w:val="0"/>
          <w:sz w:val="24"/>
          <w:szCs w:val="24"/>
        </w:rPr>
        <w:fldChar w:fldCharType="end"/>
      </w:r>
    </w:p>
    <w:p w14:paraId="0D719C31">
      <w:pPr>
        <w:pStyle w:val="17"/>
        <w:tabs>
          <w:tab w:val="right" w:leader="dot" w:pos="9054"/>
        </w:tabs>
        <w:spacing w:before="120" w:after="120"/>
        <w:rPr>
          <w:rFonts w:eastAsiaTheme="minorEastAsia"/>
          <w:b w:val="0"/>
          <w:bCs w:val="0"/>
          <w:sz w:val="24"/>
          <w:szCs w:val="24"/>
          <w:lang w:eastAsia="tr-TR"/>
        </w:rPr>
      </w:pPr>
      <w:r>
        <w:fldChar w:fldCharType="begin"/>
      </w:r>
      <w:r>
        <w:instrText xml:space="preserve"> HYPERLINK \l "_Toc197351219" </w:instrText>
      </w:r>
      <w:r>
        <w:fldChar w:fldCharType="separate"/>
      </w:r>
      <w:r>
        <w:rPr>
          <w:rStyle w:val="15"/>
          <w:b w:val="0"/>
          <w:sz w:val="24"/>
          <w:szCs w:val="24"/>
        </w:rPr>
        <w:t>RESİMLERİN</w:t>
      </w:r>
      <w:r>
        <w:rPr>
          <w:rStyle w:val="15"/>
          <w:b w:val="0"/>
          <w:spacing w:val="-6"/>
          <w:sz w:val="24"/>
          <w:szCs w:val="24"/>
        </w:rPr>
        <w:t xml:space="preserve"> </w:t>
      </w:r>
      <w:r>
        <w:rPr>
          <w:rStyle w:val="15"/>
          <w:b w:val="0"/>
          <w:spacing w:val="-2"/>
          <w:sz w:val="24"/>
          <w:szCs w:val="24"/>
        </w:rPr>
        <w:t>LİSTESİ</w:t>
      </w:r>
      <w:r>
        <w:rPr>
          <w:b w:val="0"/>
          <w:sz w:val="24"/>
          <w:szCs w:val="24"/>
        </w:rPr>
        <w:tab/>
      </w:r>
      <w:r>
        <w:rPr>
          <w:b w:val="0"/>
          <w:sz w:val="24"/>
          <w:szCs w:val="24"/>
        </w:rPr>
        <w:fldChar w:fldCharType="begin"/>
      </w:r>
      <w:r>
        <w:rPr>
          <w:b w:val="0"/>
          <w:sz w:val="24"/>
          <w:szCs w:val="24"/>
        </w:rPr>
        <w:instrText xml:space="preserve"> PAGEREF _Toc197351219 \h </w:instrText>
      </w:r>
      <w:r>
        <w:rPr>
          <w:b w:val="0"/>
          <w:sz w:val="24"/>
          <w:szCs w:val="24"/>
        </w:rPr>
        <w:fldChar w:fldCharType="separate"/>
      </w:r>
      <w:r>
        <w:rPr>
          <w:b w:val="0"/>
          <w:sz w:val="24"/>
          <w:szCs w:val="24"/>
        </w:rPr>
        <w:t>xiv</w:t>
      </w:r>
      <w:r>
        <w:rPr>
          <w:b w:val="0"/>
          <w:sz w:val="24"/>
          <w:szCs w:val="24"/>
        </w:rPr>
        <w:fldChar w:fldCharType="end"/>
      </w:r>
      <w:r>
        <w:rPr>
          <w:b w:val="0"/>
          <w:sz w:val="24"/>
          <w:szCs w:val="24"/>
        </w:rPr>
        <w:fldChar w:fldCharType="end"/>
      </w:r>
    </w:p>
    <w:p w14:paraId="1D4D47F5">
      <w:pPr>
        <w:pStyle w:val="17"/>
        <w:tabs>
          <w:tab w:val="right" w:leader="dot" w:pos="9054"/>
        </w:tabs>
        <w:spacing w:before="120" w:after="120"/>
        <w:rPr>
          <w:rFonts w:eastAsiaTheme="minorEastAsia"/>
          <w:b w:val="0"/>
          <w:bCs w:val="0"/>
          <w:sz w:val="24"/>
          <w:szCs w:val="24"/>
          <w:lang w:eastAsia="tr-TR"/>
        </w:rPr>
      </w:pPr>
      <w:r>
        <w:fldChar w:fldCharType="begin"/>
      </w:r>
      <w:r>
        <w:instrText xml:space="preserve"> HYPERLINK \l "_Toc197351220" </w:instrText>
      </w:r>
      <w:r>
        <w:fldChar w:fldCharType="separate"/>
      </w:r>
      <w:r>
        <w:rPr>
          <w:rStyle w:val="15"/>
          <w:b w:val="0"/>
          <w:spacing w:val="-2"/>
          <w:sz w:val="24"/>
          <w:szCs w:val="24"/>
        </w:rPr>
        <w:t>KISALTMALAR</w:t>
      </w:r>
      <w:r>
        <w:rPr>
          <w:b w:val="0"/>
          <w:sz w:val="24"/>
          <w:szCs w:val="24"/>
        </w:rPr>
        <w:tab/>
      </w:r>
      <w:r>
        <w:rPr>
          <w:b w:val="0"/>
          <w:sz w:val="24"/>
          <w:szCs w:val="24"/>
        </w:rPr>
        <w:fldChar w:fldCharType="begin"/>
      </w:r>
      <w:r>
        <w:rPr>
          <w:b w:val="0"/>
          <w:sz w:val="24"/>
          <w:szCs w:val="24"/>
        </w:rPr>
        <w:instrText xml:space="preserve"> PAGEREF _Toc197351220 \h </w:instrText>
      </w:r>
      <w:r>
        <w:rPr>
          <w:b w:val="0"/>
          <w:sz w:val="24"/>
          <w:szCs w:val="24"/>
        </w:rPr>
        <w:fldChar w:fldCharType="separate"/>
      </w:r>
      <w:r>
        <w:rPr>
          <w:b w:val="0"/>
          <w:sz w:val="24"/>
          <w:szCs w:val="24"/>
        </w:rPr>
        <w:t>xv</w:t>
      </w:r>
      <w:r>
        <w:rPr>
          <w:b w:val="0"/>
          <w:sz w:val="24"/>
          <w:szCs w:val="24"/>
        </w:rPr>
        <w:fldChar w:fldCharType="end"/>
      </w:r>
      <w:r>
        <w:rPr>
          <w:b w:val="0"/>
          <w:sz w:val="24"/>
          <w:szCs w:val="24"/>
        </w:rPr>
        <w:fldChar w:fldCharType="end"/>
      </w:r>
    </w:p>
    <w:p w14:paraId="64FBFE0A">
      <w:pPr>
        <w:pStyle w:val="17"/>
        <w:tabs>
          <w:tab w:val="right" w:leader="dot" w:pos="9054"/>
        </w:tabs>
        <w:spacing w:before="120" w:after="120"/>
        <w:rPr>
          <w:rFonts w:eastAsiaTheme="minorEastAsia"/>
          <w:b w:val="0"/>
          <w:bCs w:val="0"/>
          <w:sz w:val="24"/>
          <w:szCs w:val="24"/>
          <w:lang w:eastAsia="tr-TR"/>
        </w:rPr>
      </w:pPr>
      <w:r>
        <w:fldChar w:fldCharType="begin"/>
      </w:r>
      <w:r>
        <w:instrText xml:space="preserve"> HYPERLINK \l "_Toc197351221" </w:instrText>
      </w:r>
      <w:r>
        <w:fldChar w:fldCharType="separate"/>
      </w:r>
      <w:r>
        <w:rPr>
          <w:rStyle w:val="15"/>
          <w:b w:val="0"/>
          <w:sz w:val="24"/>
          <w:szCs w:val="24"/>
        </w:rPr>
        <w:t>1.</w:t>
      </w:r>
      <w:r>
        <w:rPr>
          <w:rFonts w:eastAsiaTheme="minorEastAsia"/>
          <w:b w:val="0"/>
          <w:bCs w:val="0"/>
          <w:sz w:val="24"/>
          <w:szCs w:val="24"/>
          <w:lang w:eastAsia="tr-TR"/>
        </w:rPr>
        <w:tab/>
      </w:r>
      <w:r>
        <w:rPr>
          <w:rStyle w:val="15"/>
          <w:b w:val="0"/>
          <w:spacing w:val="-2"/>
          <w:sz w:val="24"/>
          <w:szCs w:val="24"/>
        </w:rPr>
        <w:t>GİRİŞ</w:t>
      </w:r>
      <w:r>
        <w:rPr>
          <w:b w:val="0"/>
          <w:sz w:val="24"/>
          <w:szCs w:val="24"/>
        </w:rPr>
        <w:tab/>
      </w:r>
      <w:r>
        <w:rPr>
          <w:b w:val="0"/>
          <w:sz w:val="24"/>
          <w:szCs w:val="24"/>
        </w:rPr>
        <w:fldChar w:fldCharType="begin"/>
      </w:r>
      <w:r>
        <w:rPr>
          <w:b w:val="0"/>
          <w:sz w:val="24"/>
          <w:szCs w:val="24"/>
        </w:rPr>
        <w:instrText xml:space="preserve"> PAGEREF _Toc197351221 \h </w:instrText>
      </w:r>
      <w:r>
        <w:rPr>
          <w:b w:val="0"/>
          <w:sz w:val="24"/>
          <w:szCs w:val="24"/>
        </w:rPr>
        <w:fldChar w:fldCharType="separate"/>
      </w:r>
      <w:r>
        <w:rPr>
          <w:b w:val="0"/>
          <w:sz w:val="24"/>
          <w:szCs w:val="24"/>
        </w:rPr>
        <w:t>1</w:t>
      </w:r>
      <w:r>
        <w:rPr>
          <w:b w:val="0"/>
          <w:sz w:val="24"/>
          <w:szCs w:val="24"/>
        </w:rPr>
        <w:fldChar w:fldCharType="end"/>
      </w:r>
      <w:r>
        <w:rPr>
          <w:b w:val="0"/>
          <w:sz w:val="24"/>
          <w:szCs w:val="24"/>
        </w:rPr>
        <w:fldChar w:fldCharType="end"/>
      </w:r>
    </w:p>
    <w:p w14:paraId="5C7E6EAD">
      <w:pPr>
        <w:pStyle w:val="17"/>
        <w:tabs>
          <w:tab w:val="right" w:leader="dot" w:pos="9054"/>
        </w:tabs>
        <w:spacing w:before="120" w:after="120"/>
        <w:rPr>
          <w:rFonts w:eastAsiaTheme="minorEastAsia"/>
          <w:b w:val="0"/>
          <w:bCs w:val="0"/>
          <w:sz w:val="24"/>
          <w:szCs w:val="24"/>
          <w:lang w:eastAsia="tr-TR"/>
        </w:rPr>
      </w:pPr>
      <w:r>
        <w:fldChar w:fldCharType="begin"/>
      </w:r>
      <w:r>
        <w:instrText xml:space="preserve"> HYPERLINK \l "_Toc197351222" </w:instrText>
      </w:r>
      <w:r>
        <w:fldChar w:fldCharType="separate"/>
      </w:r>
      <w:r>
        <w:rPr>
          <w:rStyle w:val="15"/>
          <w:b w:val="0"/>
          <w:sz w:val="24"/>
          <w:szCs w:val="24"/>
        </w:rPr>
        <w:t>2. KAVRAMSAL</w:t>
      </w:r>
      <w:r>
        <w:rPr>
          <w:rStyle w:val="15"/>
          <w:b w:val="0"/>
          <w:spacing w:val="-5"/>
          <w:sz w:val="24"/>
          <w:szCs w:val="24"/>
        </w:rPr>
        <w:t xml:space="preserve"> </w:t>
      </w:r>
      <w:r>
        <w:rPr>
          <w:rStyle w:val="15"/>
          <w:b w:val="0"/>
          <w:spacing w:val="-2"/>
          <w:sz w:val="24"/>
          <w:szCs w:val="24"/>
        </w:rPr>
        <w:t>ÇERÇEVE</w:t>
      </w:r>
      <w:r>
        <w:rPr>
          <w:b w:val="0"/>
          <w:sz w:val="24"/>
          <w:szCs w:val="24"/>
        </w:rPr>
        <w:tab/>
      </w:r>
      <w:r>
        <w:rPr>
          <w:b w:val="0"/>
          <w:sz w:val="24"/>
          <w:szCs w:val="24"/>
        </w:rPr>
        <w:fldChar w:fldCharType="begin"/>
      </w:r>
      <w:r>
        <w:rPr>
          <w:b w:val="0"/>
          <w:sz w:val="24"/>
          <w:szCs w:val="24"/>
        </w:rPr>
        <w:instrText xml:space="preserve"> PAGEREF _Toc197351222 \h </w:instrText>
      </w:r>
      <w:r>
        <w:rPr>
          <w:b w:val="0"/>
          <w:sz w:val="24"/>
          <w:szCs w:val="24"/>
        </w:rPr>
        <w:fldChar w:fldCharType="separate"/>
      </w:r>
      <w:r>
        <w:rPr>
          <w:b w:val="0"/>
          <w:sz w:val="24"/>
          <w:szCs w:val="24"/>
        </w:rPr>
        <w:t>6</w:t>
      </w:r>
      <w:r>
        <w:rPr>
          <w:b w:val="0"/>
          <w:sz w:val="24"/>
          <w:szCs w:val="24"/>
        </w:rPr>
        <w:fldChar w:fldCharType="end"/>
      </w:r>
      <w:r>
        <w:rPr>
          <w:b w:val="0"/>
          <w:sz w:val="24"/>
          <w:szCs w:val="24"/>
        </w:rPr>
        <w:fldChar w:fldCharType="end"/>
      </w:r>
    </w:p>
    <w:p w14:paraId="661C3C88">
      <w:pPr>
        <w:pStyle w:val="18"/>
        <w:tabs>
          <w:tab w:val="right" w:leader="dot" w:pos="9054"/>
        </w:tabs>
        <w:spacing w:before="120" w:after="120"/>
        <w:rPr>
          <w:rFonts w:eastAsiaTheme="minorEastAsia"/>
          <w:b w:val="0"/>
          <w:bCs w:val="0"/>
          <w:sz w:val="24"/>
          <w:szCs w:val="24"/>
          <w:lang w:eastAsia="tr-TR"/>
        </w:rPr>
      </w:pPr>
      <w:r>
        <w:fldChar w:fldCharType="begin"/>
      </w:r>
      <w:r>
        <w:instrText xml:space="preserve"> HYPERLINK \l "_Toc197351223" </w:instrText>
      </w:r>
      <w:r>
        <w:fldChar w:fldCharType="separate"/>
      </w:r>
      <w:r>
        <w:rPr>
          <w:rStyle w:val="15"/>
          <w:b w:val="0"/>
          <w:spacing w:val="-2"/>
          <w:sz w:val="24"/>
          <w:szCs w:val="24"/>
        </w:rPr>
        <w:t>2.1. Rekreasyon</w:t>
      </w:r>
      <w:r>
        <w:rPr>
          <w:b w:val="0"/>
          <w:sz w:val="24"/>
          <w:szCs w:val="24"/>
        </w:rPr>
        <w:tab/>
      </w:r>
      <w:r>
        <w:rPr>
          <w:b w:val="0"/>
          <w:sz w:val="24"/>
          <w:szCs w:val="24"/>
        </w:rPr>
        <w:fldChar w:fldCharType="begin"/>
      </w:r>
      <w:r>
        <w:rPr>
          <w:b w:val="0"/>
          <w:sz w:val="24"/>
          <w:szCs w:val="24"/>
        </w:rPr>
        <w:instrText xml:space="preserve"> PAGEREF _Toc197351223 \h </w:instrText>
      </w:r>
      <w:r>
        <w:rPr>
          <w:b w:val="0"/>
          <w:sz w:val="24"/>
          <w:szCs w:val="24"/>
        </w:rPr>
        <w:fldChar w:fldCharType="separate"/>
      </w:r>
      <w:r>
        <w:rPr>
          <w:b w:val="0"/>
          <w:sz w:val="24"/>
          <w:szCs w:val="24"/>
        </w:rPr>
        <w:t>6</w:t>
      </w:r>
      <w:r>
        <w:rPr>
          <w:b w:val="0"/>
          <w:sz w:val="24"/>
          <w:szCs w:val="24"/>
        </w:rPr>
        <w:fldChar w:fldCharType="end"/>
      </w:r>
      <w:r>
        <w:rPr>
          <w:b w:val="0"/>
          <w:sz w:val="24"/>
          <w:szCs w:val="24"/>
        </w:rPr>
        <w:fldChar w:fldCharType="end"/>
      </w:r>
    </w:p>
    <w:p w14:paraId="0C821D69">
      <w:pPr>
        <w:pStyle w:val="19"/>
        <w:tabs>
          <w:tab w:val="right" w:leader="dot" w:pos="9054"/>
        </w:tabs>
        <w:spacing w:before="120" w:after="120"/>
        <w:rPr>
          <w:rFonts w:eastAsiaTheme="minorEastAsia"/>
          <w:b w:val="0"/>
          <w:bCs w:val="0"/>
          <w:lang w:eastAsia="tr-TR"/>
        </w:rPr>
      </w:pPr>
      <w:r>
        <w:fldChar w:fldCharType="begin"/>
      </w:r>
      <w:r>
        <w:instrText xml:space="preserve"> HYPERLINK \l "_Toc197351224" </w:instrText>
      </w:r>
      <w:r>
        <w:fldChar w:fldCharType="separate"/>
      </w:r>
      <w:r>
        <w:rPr>
          <w:rStyle w:val="15"/>
          <w:b w:val="0"/>
        </w:rPr>
        <w:t>2.1.1. Rekreasyon Kavramı</w:t>
      </w:r>
      <w:r>
        <w:rPr>
          <w:b w:val="0"/>
        </w:rPr>
        <w:tab/>
      </w:r>
      <w:r>
        <w:rPr>
          <w:b w:val="0"/>
        </w:rPr>
        <w:fldChar w:fldCharType="begin"/>
      </w:r>
      <w:r>
        <w:rPr>
          <w:b w:val="0"/>
        </w:rPr>
        <w:instrText xml:space="preserve"> PAGEREF _Toc197351224 \h </w:instrText>
      </w:r>
      <w:r>
        <w:rPr>
          <w:b w:val="0"/>
        </w:rPr>
        <w:fldChar w:fldCharType="separate"/>
      </w:r>
      <w:r>
        <w:rPr>
          <w:b w:val="0"/>
        </w:rPr>
        <w:t>6</w:t>
      </w:r>
      <w:r>
        <w:rPr>
          <w:b w:val="0"/>
        </w:rPr>
        <w:fldChar w:fldCharType="end"/>
      </w:r>
      <w:r>
        <w:rPr>
          <w:b w:val="0"/>
        </w:rPr>
        <w:fldChar w:fldCharType="end"/>
      </w:r>
    </w:p>
    <w:p w14:paraId="0BA22177">
      <w:pPr>
        <w:pStyle w:val="19"/>
        <w:tabs>
          <w:tab w:val="right" w:leader="dot" w:pos="9054"/>
        </w:tabs>
        <w:spacing w:before="120" w:after="120"/>
        <w:rPr>
          <w:rFonts w:eastAsiaTheme="minorEastAsia"/>
          <w:b w:val="0"/>
          <w:bCs w:val="0"/>
          <w:lang w:eastAsia="tr-TR"/>
        </w:rPr>
      </w:pPr>
      <w:r>
        <w:fldChar w:fldCharType="begin"/>
      </w:r>
      <w:r>
        <w:instrText xml:space="preserve"> HYPERLINK \l "_Toc197351225" </w:instrText>
      </w:r>
      <w:r>
        <w:fldChar w:fldCharType="separate"/>
      </w:r>
      <w:r>
        <w:rPr>
          <w:rStyle w:val="15"/>
          <w:b w:val="0"/>
        </w:rPr>
        <w:t>2.1.2. Rekreasyonun Özellikleri</w:t>
      </w:r>
      <w:r>
        <w:rPr>
          <w:b w:val="0"/>
        </w:rPr>
        <w:tab/>
      </w:r>
      <w:r>
        <w:rPr>
          <w:b w:val="0"/>
        </w:rPr>
        <w:fldChar w:fldCharType="begin"/>
      </w:r>
      <w:r>
        <w:rPr>
          <w:b w:val="0"/>
        </w:rPr>
        <w:instrText xml:space="preserve"> PAGEREF _Toc197351225 \h </w:instrText>
      </w:r>
      <w:r>
        <w:rPr>
          <w:b w:val="0"/>
        </w:rPr>
        <w:fldChar w:fldCharType="separate"/>
      </w:r>
      <w:r>
        <w:rPr>
          <w:b w:val="0"/>
        </w:rPr>
        <w:t>8</w:t>
      </w:r>
      <w:r>
        <w:rPr>
          <w:b w:val="0"/>
        </w:rPr>
        <w:fldChar w:fldCharType="end"/>
      </w:r>
      <w:r>
        <w:rPr>
          <w:b w:val="0"/>
        </w:rPr>
        <w:fldChar w:fldCharType="end"/>
      </w:r>
    </w:p>
    <w:p w14:paraId="2FDC82EE">
      <w:pPr>
        <w:pStyle w:val="19"/>
        <w:tabs>
          <w:tab w:val="right" w:leader="dot" w:pos="9054"/>
        </w:tabs>
        <w:spacing w:before="120" w:after="120"/>
        <w:rPr>
          <w:rFonts w:eastAsiaTheme="minorEastAsia"/>
          <w:b w:val="0"/>
          <w:bCs w:val="0"/>
          <w:lang w:eastAsia="tr-TR"/>
        </w:rPr>
      </w:pPr>
      <w:r>
        <w:fldChar w:fldCharType="begin"/>
      </w:r>
      <w:r>
        <w:instrText xml:space="preserve"> HYPERLINK \l "_Toc197351226" </w:instrText>
      </w:r>
      <w:r>
        <w:fldChar w:fldCharType="separate"/>
      </w:r>
      <w:r>
        <w:rPr>
          <w:rStyle w:val="15"/>
          <w:b w:val="0"/>
        </w:rPr>
        <w:t>2.1.3. Rekreasyonun Sınıflandırılması</w:t>
      </w:r>
      <w:r>
        <w:rPr>
          <w:b w:val="0"/>
        </w:rPr>
        <w:tab/>
      </w:r>
      <w:r>
        <w:rPr>
          <w:b w:val="0"/>
        </w:rPr>
        <w:fldChar w:fldCharType="begin"/>
      </w:r>
      <w:r>
        <w:rPr>
          <w:b w:val="0"/>
        </w:rPr>
        <w:instrText xml:space="preserve"> PAGEREF _Toc197351226 \h </w:instrText>
      </w:r>
      <w:r>
        <w:rPr>
          <w:b w:val="0"/>
        </w:rPr>
        <w:fldChar w:fldCharType="separate"/>
      </w:r>
      <w:r>
        <w:rPr>
          <w:b w:val="0"/>
        </w:rPr>
        <w:t>8</w:t>
      </w:r>
      <w:r>
        <w:rPr>
          <w:b w:val="0"/>
        </w:rPr>
        <w:fldChar w:fldCharType="end"/>
      </w:r>
      <w:r>
        <w:rPr>
          <w:b w:val="0"/>
        </w:rPr>
        <w:fldChar w:fldCharType="end"/>
      </w:r>
    </w:p>
    <w:p w14:paraId="366564EE">
      <w:pPr>
        <w:pStyle w:val="18"/>
        <w:tabs>
          <w:tab w:val="right" w:leader="dot" w:pos="9054"/>
        </w:tabs>
        <w:spacing w:before="120" w:after="120"/>
        <w:rPr>
          <w:rFonts w:eastAsiaTheme="minorEastAsia"/>
          <w:b w:val="0"/>
          <w:bCs w:val="0"/>
          <w:sz w:val="24"/>
          <w:szCs w:val="24"/>
          <w:lang w:eastAsia="tr-TR"/>
        </w:rPr>
      </w:pPr>
      <w:r>
        <w:fldChar w:fldCharType="begin"/>
      </w:r>
      <w:r>
        <w:instrText xml:space="preserve"> HYPERLINK \l "_Toc197351227" </w:instrText>
      </w:r>
      <w:r>
        <w:fldChar w:fldCharType="separate"/>
      </w:r>
      <w:r>
        <w:rPr>
          <w:rStyle w:val="15"/>
          <w:b w:val="0"/>
          <w:sz w:val="24"/>
          <w:szCs w:val="24"/>
        </w:rPr>
        <w:t>2.2. Sanal</w:t>
      </w:r>
      <w:r>
        <w:rPr>
          <w:rStyle w:val="15"/>
          <w:b w:val="0"/>
          <w:spacing w:val="-1"/>
          <w:sz w:val="24"/>
          <w:szCs w:val="24"/>
        </w:rPr>
        <w:t xml:space="preserve"> </w:t>
      </w:r>
      <w:r>
        <w:rPr>
          <w:rStyle w:val="15"/>
          <w:b w:val="0"/>
          <w:spacing w:val="-2"/>
          <w:sz w:val="24"/>
          <w:szCs w:val="24"/>
        </w:rPr>
        <w:t>Gerçeklik</w:t>
      </w:r>
      <w:r>
        <w:rPr>
          <w:b w:val="0"/>
          <w:sz w:val="24"/>
          <w:szCs w:val="24"/>
        </w:rPr>
        <w:tab/>
      </w:r>
      <w:r>
        <w:rPr>
          <w:b w:val="0"/>
          <w:sz w:val="24"/>
          <w:szCs w:val="24"/>
        </w:rPr>
        <w:fldChar w:fldCharType="begin"/>
      </w:r>
      <w:r>
        <w:rPr>
          <w:b w:val="0"/>
          <w:sz w:val="24"/>
          <w:szCs w:val="24"/>
        </w:rPr>
        <w:instrText xml:space="preserve"> PAGEREF _Toc197351227 \h </w:instrText>
      </w:r>
      <w:r>
        <w:rPr>
          <w:b w:val="0"/>
          <w:sz w:val="24"/>
          <w:szCs w:val="24"/>
        </w:rPr>
        <w:fldChar w:fldCharType="separate"/>
      </w:r>
      <w:r>
        <w:rPr>
          <w:b w:val="0"/>
          <w:sz w:val="24"/>
          <w:szCs w:val="24"/>
        </w:rPr>
        <w:t>17</w:t>
      </w:r>
      <w:r>
        <w:rPr>
          <w:b w:val="0"/>
          <w:sz w:val="24"/>
          <w:szCs w:val="24"/>
        </w:rPr>
        <w:fldChar w:fldCharType="end"/>
      </w:r>
      <w:r>
        <w:rPr>
          <w:b w:val="0"/>
          <w:sz w:val="24"/>
          <w:szCs w:val="24"/>
        </w:rPr>
        <w:fldChar w:fldCharType="end"/>
      </w:r>
    </w:p>
    <w:p w14:paraId="40FB2857">
      <w:pPr>
        <w:pStyle w:val="19"/>
        <w:tabs>
          <w:tab w:val="right" w:leader="dot" w:pos="9054"/>
        </w:tabs>
        <w:spacing w:before="120" w:after="120"/>
        <w:rPr>
          <w:rFonts w:eastAsiaTheme="minorEastAsia"/>
          <w:b w:val="0"/>
          <w:bCs w:val="0"/>
          <w:lang w:eastAsia="tr-TR"/>
        </w:rPr>
      </w:pPr>
      <w:r>
        <w:fldChar w:fldCharType="begin"/>
      </w:r>
      <w:r>
        <w:instrText xml:space="preserve"> HYPERLINK \l "_Toc197351228" </w:instrText>
      </w:r>
      <w:r>
        <w:fldChar w:fldCharType="separate"/>
      </w:r>
      <w:r>
        <w:rPr>
          <w:rStyle w:val="15"/>
          <w:b w:val="0"/>
        </w:rPr>
        <w:t>2.2.1. Sanal</w:t>
      </w:r>
      <w:r>
        <w:rPr>
          <w:rStyle w:val="15"/>
          <w:b w:val="0"/>
          <w:spacing w:val="-2"/>
        </w:rPr>
        <w:t xml:space="preserve"> </w:t>
      </w:r>
      <w:r>
        <w:rPr>
          <w:rStyle w:val="15"/>
          <w:b w:val="0"/>
        </w:rPr>
        <w:t>Gerçeklik</w:t>
      </w:r>
      <w:r>
        <w:rPr>
          <w:rStyle w:val="15"/>
          <w:b w:val="0"/>
          <w:spacing w:val="-2"/>
        </w:rPr>
        <w:t xml:space="preserve"> </w:t>
      </w:r>
      <w:r>
        <w:rPr>
          <w:rStyle w:val="15"/>
          <w:b w:val="0"/>
        </w:rPr>
        <w:t>(Virtual</w:t>
      </w:r>
      <w:r>
        <w:rPr>
          <w:rStyle w:val="15"/>
          <w:b w:val="0"/>
          <w:spacing w:val="-1"/>
        </w:rPr>
        <w:t xml:space="preserve"> </w:t>
      </w:r>
      <w:r>
        <w:rPr>
          <w:rStyle w:val="15"/>
          <w:b w:val="0"/>
        </w:rPr>
        <w:t>Reality-</w:t>
      </w:r>
      <w:r>
        <w:rPr>
          <w:rStyle w:val="15"/>
          <w:b w:val="0"/>
          <w:spacing w:val="-3"/>
        </w:rPr>
        <w:t xml:space="preserve"> </w:t>
      </w:r>
      <w:r>
        <w:rPr>
          <w:rStyle w:val="15"/>
          <w:b w:val="0"/>
        </w:rPr>
        <w:t>VR)</w:t>
      </w:r>
      <w:r>
        <w:rPr>
          <w:rStyle w:val="15"/>
          <w:b w:val="0"/>
          <w:spacing w:val="-1"/>
        </w:rPr>
        <w:t xml:space="preserve"> </w:t>
      </w:r>
      <w:r>
        <w:rPr>
          <w:rStyle w:val="15"/>
          <w:b w:val="0"/>
          <w:spacing w:val="-2"/>
        </w:rPr>
        <w:t>Kavramı</w:t>
      </w:r>
      <w:r>
        <w:rPr>
          <w:b w:val="0"/>
        </w:rPr>
        <w:tab/>
      </w:r>
      <w:r>
        <w:rPr>
          <w:b w:val="0"/>
        </w:rPr>
        <w:fldChar w:fldCharType="begin"/>
      </w:r>
      <w:r>
        <w:rPr>
          <w:b w:val="0"/>
        </w:rPr>
        <w:instrText xml:space="preserve"> PAGEREF _Toc197351228 \h </w:instrText>
      </w:r>
      <w:r>
        <w:rPr>
          <w:b w:val="0"/>
        </w:rPr>
        <w:fldChar w:fldCharType="separate"/>
      </w:r>
      <w:r>
        <w:rPr>
          <w:b w:val="0"/>
        </w:rPr>
        <w:t>17</w:t>
      </w:r>
      <w:r>
        <w:rPr>
          <w:b w:val="0"/>
        </w:rPr>
        <w:fldChar w:fldCharType="end"/>
      </w:r>
      <w:r>
        <w:rPr>
          <w:b w:val="0"/>
        </w:rPr>
        <w:fldChar w:fldCharType="end"/>
      </w:r>
    </w:p>
    <w:p w14:paraId="127B9C61">
      <w:pPr>
        <w:pStyle w:val="19"/>
        <w:tabs>
          <w:tab w:val="right" w:leader="dot" w:pos="9054"/>
        </w:tabs>
        <w:spacing w:before="120" w:after="120"/>
        <w:rPr>
          <w:rFonts w:eastAsiaTheme="minorEastAsia"/>
          <w:b w:val="0"/>
          <w:bCs w:val="0"/>
          <w:lang w:eastAsia="tr-TR"/>
        </w:rPr>
      </w:pPr>
      <w:r>
        <w:fldChar w:fldCharType="begin"/>
      </w:r>
      <w:r>
        <w:instrText xml:space="preserve"> HYPERLINK \l "_Toc197351229" </w:instrText>
      </w:r>
      <w:r>
        <w:fldChar w:fldCharType="separate"/>
      </w:r>
      <w:r>
        <w:rPr>
          <w:rStyle w:val="15"/>
          <w:b w:val="0"/>
        </w:rPr>
        <w:t>2.2.2. Sanal Gerçeklik Teknolojisinin Tarihsel Gelişimi</w:t>
      </w:r>
      <w:r>
        <w:rPr>
          <w:b w:val="0"/>
        </w:rPr>
        <w:tab/>
      </w:r>
      <w:r>
        <w:rPr>
          <w:b w:val="0"/>
        </w:rPr>
        <w:fldChar w:fldCharType="begin"/>
      </w:r>
      <w:r>
        <w:rPr>
          <w:b w:val="0"/>
        </w:rPr>
        <w:instrText xml:space="preserve"> PAGEREF _Toc197351229 \h </w:instrText>
      </w:r>
      <w:r>
        <w:rPr>
          <w:b w:val="0"/>
        </w:rPr>
        <w:fldChar w:fldCharType="separate"/>
      </w:r>
      <w:r>
        <w:rPr>
          <w:b w:val="0"/>
        </w:rPr>
        <w:t>21</w:t>
      </w:r>
      <w:r>
        <w:rPr>
          <w:b w:val="0"/>
        </w:rPr>
        <w:fldChar w:fldCharType="end"/>
      </w:r>
      <w:r>
        <w:rPr>
          <w:b w:val="0"/>
        </w:rPr>
        <w:fldChar w:fldCharType="end"/>
      </w:r>
    </w:p>
    <w:p w14:paraId="72340C09">
      <w:pPr>
        <w:pStyle w:val="19"/>
        <w:tabs>
          <w:tab w:val="right" w:leader="dot" w:pos="9054"/>
        </w:tabs>
        <w:spacing w:before="120" w:after="120"/>
        <w:rPr>
          <w:rFonts w:eastAsiaTheme="minorEastAsia"/>
          <w:b w:val="0"/>
          <w:bCs w:val="0"/>
          <w:lang w:eastAsia="tr-TR"/>
        </w:rPr>
      </w:pPr>
      <w:r>
        <w:fldChar w:fldCharType="begin"/>
      </w:r>
      <w:r>
        <w:instrText xml:space="preserve"> HYPERLINK \l "_Toc197351230" </w:instrText>
      </w:r>
      <w:r>
        <w:fldChar w:fldCharType="separate"/>
      </w:r>
      <w:r>
        <w:rPr>
          <w:rStyle w:val="15"/>
          <w:b w:val="0"/>
        </w:rPr>
        <w:t>2.2.3. Sanal Gerçeklik Teknolojisinin Temel Bileşenleri ve Türleri</w:t>
      </w:r>
      <w:r>
        <w:rPr>
          <w:b w:val="0"/>
        </w:rPr>
        <w:tab/>
      </w:r>
      <w:r>
        <w:rPr>
          <w:b w:val="0"/>
        </w:rPr>
        <w:fldChar w:fldCharType="begin"/>
      </w:r>
      <w:r>
        <w:rPr>
          <w:b w:val="0"/>
        </w:rPr>
        <w:instrText xml:space="preserve"> PAGEREF _Toc197351230 \h </w:instrText>
      </w:r>
      <w:r>
        <w:rPr>
          <w:b w:val="0"/>
        </w:rPr>
        <w:fldChar w:fldCharType="separate"/>
      </w:r>
      <w:r>
        <w:rPr>
          <w:b w:val="0"/>
        </w:rPr>
        <w:t>23</w:t>
      </w:r>
      <w:r>
        <w:rPr>
          <w:b w:val="0"/>
        </w:rPr>
        <w:fldChar w:fldCharType="end"/>
      </w:r>
      <w:r>
        <w:rPr>
          <w:b w:val="0"/>
        </w:rPr>
        <w:fldChar w:fldCharType="end"/>
      </w:r>
    </w:p>
    <w:p w14:paraId="564AD72F">
      <w:pPr>
        <w:pStyle w:val="19"/>
        <w:tabs>
          <w:tab w:val="right" w:leader="dot" w:pos="9054"/>
        </w:tabs>
        <w:spacing w:before="120" w:after="120"/>
        <w:rPr>
          <w:rFonts w:eastAsiaTheme="minorEastAsia"/>
          <w:b w:val="0"/>
          <w:bCs w:val="0"/>
          <w:lang w:eastAsia="tr-TR"/>
        </w:rPr>
      </w:pPr>
      <w:r>
        <w:fldChar w:fldCharType="begin"/>
      </w:r>
      <w:r>
        <w:instrText xml:space="preserve"> HYPERLINK \l "_Toc197351231" </w:instrText>
      </w:r>
      <w:r>
        <w:fldChar w:fldCharType="separate"/>
      </w:r>
      <w:r>
        <w:rPr>
          <w:rStyle w:val="15"/>
          <w:b w:val="0"/>
        </w:rPr>
        <w:t>2.2.4. Sanal Gerçeklik Teorileri</w:t>
      </w:r>
      <w:r>
        <w:rPr>
          <w:b w:val="0"/>
        </w:rPr>
        <w:tab/>
      </w:r>
      <w:r>
        <w:rPr>
          <w:b w:val="0"/>
        </w:rPr>
        <w:fldChar w:fldCharType="begin"/>
      </w:r>
      <w:r>
        <w:rPr>
          <w:b w:val="0"/>
        </w:rPr>
        <w:instrText xml:space="preserve"> PAGEREF _Toc197351231 \h </w:instrText>
      </w:r>
      <w:r>
        <w:rPr>
          <w:b w:val="0"/>
        </w:rPr>
        <w:fldChar w:fldCharType="separate"/>
      </w:r>
      <w:r>
        <w:rPr>
          <w:b w:val="0"/>
        </w:rPr>
        <w:t>30</w:t>
      </w:r>
      <w:r>
        <w:rPr>
          <w:b w:val="0"/>
        </w:rPr>
        <w:fldChar w:fldCharType="end"/>
      </w:r>
      <w:r>
        <w:rPr>
          <w:b w:val="0"/>
        </w:rPr>
        <w:fldChar w:fldCharType="end"/>
      </w:r>
    </w:p>
    <w:p w14:paraId="33DF3E2A">
      <w:pPr>
        <w:pStyle w:val="20"/>
        <w:tabs>
          <w:tab w:val="right" w:leader="dot" w:pos="9054"/>
        </w:tabs>
        <w:spacing w:before="120" w:after="120"/>
        <w:rPr>
          <w:rFonts w:eastAsiaTheme="minorEastAsia"/>
          <w:lang w:eastAsia="tr-TR"/>
        </w:rPr>
      </w:pPr>
      <w:r>
        <w:fldChar w:fldCharType="begin"/>
      </w:r>
      <w:r>
        <w:instrText xml:space="preserve"> HYPERLINK \l "_Toc197351232" </w:instrText>
      </w:r>
      <w:r>
        <w:fldChar w:fldCharType="separate"/>
      </w:r>
      <w:r>
        <w:rPr>
          <w:rStyle w:val="15"/>
        </w:rPr>
        <w:t>2.2.4.1. Similasyon Teorileri</w:t>
      </w:r>
      <w:r>
        <w:tab/>
      </w:r>
      <w:r>
        <w:fldChar w:fldCharType="begin"/>
      </w:r>
      <w:r>
        <w:instrText xml:space="preserve"> PAGEREF _Toc197351232 \h </w:instrText>
      </w:r>
      <w:r>
        <w:fldChar w:fldCharType="separate"/>
      </w:r>
      <w:r>
        <w:t>30</w:t>
      </w:r>
      <w:r>
        <w:fldChar w:fldCharType="end"/>
      </w:r>
      <w:r>
        <w:fldChar w:fldCharType="end"/>
      </w:r>
    </w:p>
    <w:p w14:paraId="5CE0197F">
      <w:pPr>
        <w:pStyle w:val="20"/>
        <w:tabs>
          <w:tab w:val="right" w:leader="dot" w:pos="9054"/>
        </w:tabs>
        <w:spacing w:before="120" w:after="120"/>
        <w:rPr>
          <w:rFonts w:eastAsiaTheme="minorEastAsia"/>
          <w:lang w:eastAsia="tr-TR"/>
        </w:rPr>
      </w:pPr>
      <w:r>
        <w:fldChar w:fldCharType="begin"/>
      </w:r>
      <w:r>
        <w:instrText xml:space="preserve"> HYPERLINK \l "_Toc197351233" </w:instrText>
      </w:r>
      <w:r>
        <w:fldChar w:fldCharType="separate"/>
      </w:r>
      <w:r>
        <w:rPr>
          <w:rStyle w:val="15"/>
        </w:rPr>
        <w:t>2.2.4.2. Beyin Tankı Teorisi</w:t>
      </w:r>
      <w:r>
        <w:tab/>
      </w:r>
      <w:r>
        <w:fldChar w:fldCharType="begin"/>
      </w:r>
      <w:r>
        <w:instrText xml:space="preserve"> PAGEREF _Toc197351233 \h </w:instrText>
      </w:r>
      <w:r>
        <w:fldChar w:fldCharType="separate"/>
      </w:r>
      <w:r>
        <w:t>31</w:t>
      </w:r>
      <w:r>
        <w:fldChar w:fldCharType="end"/>
      </w:r>
      <w:r>
        <w:fldChar w:fldCharType="end"/>
      </w:r>
    </w:p>
    <w:p w14:paraId="37394225">
      <w:pPr>
        <w:pStyle w:val="20"/>
        <w:tabs>
          <w:tab w:val="right" w:leader="dot" w:pos="9054"/>
        </w:tabs>
        <w:spacing w:before="120" w:after="120"/>
        <w:rPr>
          <w:rFonts w:eastAsiaTheme="minorEastAsia"/>
          <w:lang w:eastAsia="tr-TR"/>
        </w:rPr>
      </w:pPr>
      <w:r>
        <w:fldChar w:fldCharType="begin"/>
      </w:r>
      <w:r>
        <w:instrText xml:space="preserve"> HYPERLINK \l "_Toc197351234" </w:instrText>
      </w:r>
      <w:r>
        <w:fldChar w:fldCharType="separate"/>
      </w:r>
      <w:r>
        <w:rPr>
          <w:rStyle w:val="15"/>
        </w:rPr>
        <w:t>2.2.4.3. Bilinç Alanı Teorisi</w:t>
      </w:r>
      <w:r>
        <w:tab/>
      </w:r>
      <w:r>
        <w:fldChar w:fldCharType="begin"/>
      </w:r>
      <w:r>
        <w:instrText xml:space="preserve"> PAGEREF _Toc197351234 \h </w:instrText>
      </w:r>
      <w:r>
        <w:fldChar w:fldCharType="separate"/>
      </w:r>
      <w:r>
        <w:t>32</w:t>
      </w:r>
      <w:r>
        <w:fldChar w:fldCharType="end"/>
      </w:r>
      <w:r>
        <w:fldChar w:fldCharType="end"/>
      </w:r>
    </w:p>
    <w:p w14:paraId="526EA18D">
      <w:pPr>
        <w:pStyle w:val="20"/>
        <w:tabs>
          <w:tab w:val="right" w:leader="dot" w:pos="9054"/>
        </w:tabs>
        <w:spacing w:before="120" w:after="120"/>
        <w:rPr>
          <w:rFonts w:eastAsiaTheme="minorEastAsia"/>
          <w:lang w:eastAsia="tr-TR"/>
        </w:rPr>
      </w:pPr>
      <w:r>
        <w:fldChar w:fldCharType="begin"/>
      </w:r>
      <w:r>
        <w:instrText xml:space="preserve"> HYPERLINK \l "_Toc197351235" </w:instrText>
      </w:r>
      <w:r>
        <w:fldChar w:fldCharType="separate"/>
      </w:r>
      <w:r>
        <w:rPr>
          <w:rStyle w:val="15"/>
        </w:rPr>
        <w:t>2.2.4.4. Görsel Algı Teorileri</w:t>
      </w:r>
      <w:r>
        <w:tab/>
      </w:r>
      <w:r>
        <w:fldChar w:fldCharType="begin"/>
      </w:r>
      <w:r>
        <w:instrText xml:space="preserve"> PAGEREF _Toc197351235 \h </w:instrText>
      </w:r>
      <w:r>
        <w:fldChar w:fldCharType="separate"/>
      </w:r>
      <w:r>
        <w:t>33</w:t>
      </w:r>
      <w:r>
        <w:fldChar w:fldCharType="end"/>
      </w:r>
      <w:r>
        <w:fldChar w:fldCharType="end"/>
      </w:r>
    </w:p>
    <w:p w14:paraId="140B77AF">
      <w:pPr>
        <w:pStyle w:val="20"/>
        <w:tabs>
          <w:tab w:val="right" w:leader="dot" w:pos="9054"/>
        </w:tabs>
        <w:spacing w:before="120" w:after="120"/>
        <w:rPr>
          <w:rFonts w:eastAsiaTheme="minorEastAsia"/>
          <w:lang w:eastAsia="tr-TR"/>
        </w:rPr>
      </w:pPr>
      <w:r>
        <w:fldChar w:fldCharType="begin"/>
      </w:r>
      <w:r>
        <w:instrText xml:space="preserve"> HYPERLINK \l "_Toc197351236" </w:instrText>
      </w:r>
      <w:r>
        <w:fldChar w:fldCharType="separate"/>
      </w:r>
      <w:r>
        <w:rPr>
          <w:rStyle w:val="15"/>
        </w:rPr>
        <w:t>2.2.4.5. Holografik Evren Teorisi</w:t>
      </w:r>
      <w:r>
        <w:tab/>
      </w:r>
      <w:r>
        <w:fldChar w:fldCharType="begin"/>
      </w:r>
      <w:r>
        <w:instrText xml:space="preserve"> PAGEREF _Toc197351236 \h </w:instrText>
      </w:r>
      <w:r>
        <w:fldChar w:fldCharType="separate"/>
      </w:r>
      <w:r>
        <w:t>34</w:t>
      </w:r>
      <w:r>
        <w:fldChar w:fldCharType="end"/>
      </w:r>
      <w:r>
        <w:fldChar w:fldCharType="end"/>
      </w:r>
    </w:p>
    <w:p w14:paraId="0022AEF9">
      <w:pPr>
        <w:pStyle w:val="19"/>
        <w:tabs>
          <w:tab w:val="right" w:leader="dot" w:pos="9054"/>
        </w:tabs>
        <w:spacing w:before="120" w:after="120"/>
        <w:rPr>
          <w:rFonts w:eastAsiaTheme="minorEastAsia"/>
          <w:b w:val="0"/>
          <w:bCs w:val="0"/>
          <w:lang w:eastAsia="tr-TR"/>
        </w:rPr>
      </w:pPr>
      <w:r>
        <w:fldChar w:fldCharType="begin"/>
      </w:r>
      <w:r>
        <w:instrText xml:space="preserve"> HYPERLINK \l "_Toc197351237" </w:instrText>
      </w:r>
      <w:r>
        <w:fldChar w:fldCharType="separate"/>
      </w:r>
      <w:r>
        <w:rPr>
          <w:rStyle w:val="15"/>
          <w:b w:val="0"/>
        </w:rPr>
        <w:t>2.2.5. Artırılmış Gerçeklik</w:t>
      </w:r>
      <w:r>
        <w:rPr>
          <w:b w:val="0"/>
        </w:rPr>
        <w:tab/>
      </w:r>
      <w:r>
        <w:rPr>
          <w:b w:val="0"/>
        </w:rPr>
        <w:fldChar w:fldCharType="begin"/>
      </w:r>
      <w:r>
        <w:rPr>
          <w:b w:val="0"/>
        </w:rPr>
        <w:instrText xml:space="preserve"> PAGEREF _Toc197351237 \h </w:instrText>
      </w:r>
      <w:r>
        <w:rPr>
          <w:b w:val="0"/>
        </w:rPr>
        <w:fldChar w:fldCharType="separate"/>
      </w:r>
      <w:r>
        <w:rPr>
          <w:b w:val="0"/>
        </w:rPr>
        <w:t>35</w:t>
      </w:r>
      <w:r>
        <w:rPr>
          <w:b w:val="0"/>
        </w:rPr>
        <w:fldChar w:fldCharType="end"/>
      </w:r>
      <w:r>
        <w:rPr>
          <w:b w:val="0"/>
        </w:rPr>
        <w:fldChar w:fldCharType="end"/>
      </w:r>
    </w:p>
    <w:p w14:paraId="177C0E02">
      <w:pPr>
        <w:pStyle w:val="18"/>
        <w:tabs>
          <w:tab w:val="right" w:leader="dot" w:pos="9054"/>
        </w:tabs>
        <w:spacing w:before="120" w:after="120"/>
        <w:rPr>
          <w:rFonts w:eastAsiaTheme="minorEastAsia"/>
          <w:b w:val="0"/>
          <w:bCs w:val="0"/>
          <w:sz w:val="24"/>
          <w:szCs w:val="24"/>
          <w:lang w:eastAsia="tr-TR"/>
        </w:rPr>
      </w:pPr>
      <w:r>
        <w:fldChar w:fldCharType="begin"/>
      </w:r>
      <w:r>
        <w:instrText xml:space="preserve"> HYPERLINK \l "_Toc197351238" </w:instrText>
      </w:r>
      <w:r>
        <w:fldChar w:fldCharType="separate"/>
      </w:r>
      <w:r>
        <w:rPr>
          <w:rStyle w:val="15"/>
          <w:b w:val="0"/>
          <w:sz w:val="24"/>
          <w:szCs w:val="24"/>
        </w:rPr>
        <w:t xml:space="preserve">2.3. Sanal </w:t>
      </w:r>
      <w:r>
        <w:rPr>
          <w:rStyle w:val="15"/>
          <w:b w:val="0"/>
          <w:spacing w:val="-2"/>
          <w:sz w:val="24"/>
          <w:szCs w:val="24"/>
        </w:rPr>
        <w:t>Rekreasyon</w:t>
      </w:r>
      <w:r>
        <w:rPr>
          <w:b w:val="0"/>
          <w:sz w:val="24"/>
          <w:szCs w:val="24"/>
        </w:rPr>
        <w:tab/>
      </w:r>
      <w:r>
        <w:rPr>
          <w:b w:val="0"/>
          <w:sz w:val="24"/>
          <w:szCs w:val="24"/>
        </w:rPr>
        <w:fldChar w:fldCharType="begin"/>
      </w:r>
      <w:r>
        <w:rPr>
          <w:b w:val="0"/>
          <w:sz w:val="24"/>
          <w:szCs w:val="24"/>
        </w:rPr>
        <w:instrText xml:space="preserve"> PAGEREF _Toc197351238 \h </w:instrText>
      </w:r>
      <w:r>
        <w:rPr>
          <w:b w:val="0"/>
          <w:sz w:val="24"/>
          <w:szCs w:val="24"/>
        </w:rPr>
        <w:fldChar w:fldCharType="separate"/>
      </w:r>
      <w:r>
        <w:rPr>
          <w:b w:val="0"/>
          <w:sz w:val="24"/>
          <w:szCs w:val="24"/>
        </w:rPr>
        <w:t>38</w:t>
      </w:r>
      <w:r>
        <w:rPr>
          <w:b w:val="0"/>
          <w:sz w:val="24"/>
          <w:szCs w:val="24"/>
        </w:rPr>
        <w:fldChar w:fldCharType="end"/>
      </w:r>
      <w:r>
        <w:rPr>
          <w:b w:val="0"/>
          <w:sz w:val="24"/>
          <w:szCs w:val="24"/>
        </w:rPr>
        <w:fldChar w:fldCharType="end"/>
      </w:r>
    </w:p>
    <w:p w14:paraId="4C022DF6">
      <w:pPr>
        <w:pStyle w:val="19"/>
        <w:tabs>
          <w:tab w:val="right" w:leader="dot" w:pos="9054"/>
        </w:tabs>
        <w:spacing w:before="120" w:after="120"/>
        <w:rPr>
          <w:rFonts w:eastAsiaTheme="minorEastAsia"/>
          <w:b w:val="0"/>
          <w:bCs w:val="0"/>
          <w:lang w:eastAsia="tr-TR"/>
        </w:rPr>
      </w:pPr>
      <w:r>
        <w:fldChar w:fldCharType="begin"/>
      </w:r>
      <w:r>
        <w:instrText xml:space="preserve"> HYPERLINK \l "_Toc197351239" </w:instrText>
      </w:r>
      <w:r>
        <w:fldChar w:fldCharType="separate"/>
      </w:r>
      <w:r>
        <w:rPr>
          <w:rStyle w:val="15"/>
          <w:b w:val="0"/>
        </w:rPr>
        <w:t>2.3.1. Elektronik Boş Zaman</w:t>
      </w:r>
      <w:r>
        <w:rPr>
          <w:b w:val="0"/>
        </w:rPr>
        <w:tab/>
      </w:r>
      <w:r>
        <w:rPr>
          <w:b w:val="0"/>
        </w:rPr>
        <w:fldChar w:fldCharType="begin"/>
      </w:r>
      <w:r>
        <w:rPr>
          <w:b w:val="0"/>
        </w:rPr>
        <w:instrText xml:space="preserve"> PAGEREF _Toc197351239 \h </w:instrText>
      </w:r>
      <w:r>
        <w:rPr>
          <w:b w:val="0"/>
        </w:rPr>
        <w:fldChar w:fldCharType="separate"/>
      </w:r>
      <w:r>
        <w:rPr>
          <w:b w:val="0"/>
        </w:rPr>
        <w:t>38</w:t>
      </w:r>
      <w:r>
        <w:rPr>
          <w:b w:val="0"/>
        </w:rPr>
        <w:fldChar w:fldCharType="end"/>
      </w:r>
      <w:r>
        <w:rPr>
          <w:b w:val="0"/>
        </w:rPr>
        <w:fldChar w:fldCharType="end"/>
      </w:r>
    </w:p>
    <w:p w14:paraId="25FC2AE5">
      <w:pPr>
        <w:pStyle w:val="19"/>
        <w:tabs>
          <w:tab w:val="right" w:leader="dot" w:pos="9054"/>
        </w:tabs>
        <w:spacing w:before="120" w:after="120"/>
        <w:rPr>
          <w:rFonts w:eastAsiaTheme="minorEastAsia"/>
          <w:b w:val="0"/>
          <w:bCs w:val="0"/>
          <w:lang w:eastAsia="tr-TR"/>
        </w:rPr>
      </w:pPr>
      <w:r>
        <w:fldChar w:fldCharType="begin"/>
      </w:r>
      <w:r>
        <w:instrText xml:space="preserve"> HYPERLINK \l "_Toc197351240" </w:instrText>
      </w:r>
      <w:r>
        <w:fldChar w:fldCharType="separate"/>
      </w:r>
      <w:r>
        <w:rPr>
          <w:rStyle w:val="15"/>
          <w:b w:val="0"/>
        </w:rPr>
        <w:t>2.3.2. Rekreasyon ve Sanal Gerçeklik Teknolojisi</w:t>
      </w:r>
      <w:r>
        <w:rPr>
          <w:b w:val="0"/>
        </w:rPr>
        <w:tab/>
      </w:r>
      <w:r>
        <w:rPr>
          <w:b w:val="0"/>
        </w:rPr>
        <w:fldChar w:fldCharType="begin"/>
      </w:r>
      <w:r>
        <w:rPr>
          <w:b w:val="0"/>
        </w:rPr>
        <w:instrText xml:space="preserve"> PAGEREF _Toc197351240 \h </w:instrText>
      </w:r>
      <w:r>
        <w:rPr>
          <w:b w:val="0"/>
        </w:rPr>
        <w:fldChar w:fldCharType="separate"/>
      </w:r>
      <w:r>
        <w:rPr>
          <w:b w:val="0"/>
        </w:rPr>
        <w:t>41</w:t>
      </w:r>
      <w:r>
        <w:rPr>
          <w:b w:val="0"/>
        </w:rPr>
        <w:fldChar w:fldCharType="end"/>
      </w:r>
      <w:r>
        <w:rPr>
          <w:b w:val="0"/>
        </w:rPr>
        <w:fldChar w:fldCharType="end"/>
      </w:r>
    </w:p>
    <w:p w14:paraId="7288158A">
      <w:pPr>
        <w:pStyle w:val="19"/>
        <w:tabs>
          <w:tab w:val="right" w:leader="dot" w:pos="9054"/>
        </w:tabs>
        <w:spacing w:before="120" w:after="120"/>
        <w:rPr>
          <w:rFonts w:eastAsiaTheme="minorEastAsia"/>
          <w:b w:val="0"/>
          <w:bCs w:val="0"/>
          <w:lang w:eastAsia="tr-TR"/>
        </w:rPr>
      </w:pPr>
      <w:r>
        <w:fldChar w:fldCharType="begin"/>
      </w:r>
      <w:r>
        <w:instrText xml:space="preserve"> HYPERLINK \l "_Toc197351241" </w:instrText>
      </w:r>
      <w:r>
        <w:fldChar w:fldCharType="separate"/>
      </w:r>
      <w:r>
        <w:rPr>
          <w:rStyle w:val="15"/>
          <w:b w:val="0"/>
        </w:rPr>
        <w:t>2.3.3. Sanal Rekreasyon Kavramı</w:t>
      </w:r>
      <w:r>
        <w:rPr>
          <w:b w:val="0"/>
        </w:rPr>
        <w:tab/>
      </w:r>
      <w:r>
        <w:rPr>
          <w:b w:val="0"/>
        </w:rPr>
        <w:fldChar w:fldCharType="begin"/>
      </w:r>
      <w:r>
        <w:rPr>
          <w:b w:val="0"/>
        </w:rPr>
        <w:instrText xml:space="preserve"> PAGEREF _Toc197351241 \h </w:instrText>
      </w:r>
      <w:r>
        <w:rPr>
          <w:b w:val="0"/>
        </w:rPr>
        <w:fldChar w:fldCharType="separate"/>
      </w:r>
      <w:r>
        <w:rPr>
          <w:b w:val="0"/>
        </w:rPr>
        <w:t>42</w:t>
      </w:r>
      <w:r>
        <w:rPr>
          <w:b w:val="0"/>
        </w:rPr>
        <w:fldChar w:fldCharType="end"/>
      </w:r>
      <w:r>
        <w:rPr>
          <w:b w:val="0"/>
        </w:rPr>
        <w:fldChar w:fldCharType="end"/>
      </w:r>
    </w:p>
    <w:p w14:paraId="70DED9EF">
      <w:pPr>
        <w:pStyle w:val="19"/>
        <w:tabs>
          <w:tab w:val="right" w:leader="dot" w:pos="9054"/>
        </w:tabs>
        <w:spacing w:before="120" w:after="120"/>
        <w:rPr>
          <w:rFonts w:eastAsiaTheme="minorEastAsia"/>
          <w:b w:val="0"/>
          <w:bCs w:val="0"/>
          <w:lang w:eastAsia="tr-TR"/>
        </w:rPr>
      </w:pPr>
      <w:r>
        <w:fldChar w:fldCharType="begin"/>
      </w:r>
      <w:r>
        <w:instrText xml:space="preserve"> HYPERLINK \l "_Toc197351242" </w:instrText>
      </w:r>
      <w:r>
        <w:fldChar w:fldCharType="separate"/>
      </w:r>
      <w:r>
        <w:rPr>
          <w:rStyle w:val="15"/>
          <w:b w:val="0"/>
        </w:rPr>
        <w:t>2.3.4. Sanal Rekreasyonun Özellikleri</w:t>
      </w:r>
      <w:r>
        <w:rPr>
          <w:b w:val="0"/>
        </w:rPr>
        <w:tab/>
      </w:r>
      <w:r>
        <w:rPr>
          <w:b w:val="0"/>
        </w:rPr>
        <w:fldChar w:fldCharType="begin"/>
      </w:r>
      <w:r>
        <w:rPr>
          <w:b w:val="0"/>
        </w:rPr>
        <w:instrText xml:space="preserve"> PAGEREF _Toc197351242 \h </w:instrText>
      </w:r>
      <w:r>
        <w:rPr>
          <w:b w:val="0"/>
        </w:rPr>
        <w:fldChar w:fldCharType="separate"/>
      </w:r>
      <w:r>
        <w:rPr>
          <w:b w:val="0"/>
        </w:rPr>
        <w:t>47</w:t>
      </w:r>
      <w:r>
        <w:rPr>
          <w:b w:val="0"/>
        </w:rPr>
        <w:fldChar w:fldCharType="end"/>
      </w:r>
      <w:r>
        <w:rPr>
          <w:b w:val="0"/>
        </w:rPr>
        <w:fldChar w:fldCharType="end"/>
      </w:r>
    </w:p>
    <w:p w14:paraId="5118E821">
      <w:pPr>
        <w:pStyle w:val="19"/>
        <w:tabs>
          <w:tab w:val="right" w:leader="dot" w:pos="9054"/>
        </w:tabs>
        <w:spacing w:before="120" w:after="120"/>
        <w:rPr>
          <w:b w:val="0"/>
        </w:rPr>
      </w:pPr>
      <w:r>
        <w:fldChar w:fldCharType="begin"/>
      </w:r>
      <w:r>
        <w:instrText xml:space="preserve"> HYPERLINK \l "_Toc197351243" </w:instrText>
      </w:r>
      <w:r>
        <w:fldChar w:fldCharType="separate"/>
      </w:r>
      <w:r>
        <w:rPr>
          <w:rStyle w:val="15"/>
          <w:b w:val="0"/>
        </w:rPr>
        <w:t>2.3.5. Sanal Rekreasyonun Sınıflandırılması</w:t>
      </w:r>
      <w:r>
        <w:rPr>
          <w:b w:val="0"/>
        </w:rPr>
        <w:tab/>
      </w:r>
      <w:r>
        <w:rPr>
          <w:b w:val="0"/>
        </w:rPr>
        <w:fldChar w:fldCharType="begin"/>
      </w:r>
      <w:r>
        <w:rPr>
          <w:b w:val="0"/>
        </w:rPr>
        <w:instrText xml:space="preserve"> PAGEREF _Toc197351243 \h </w:instrText>
      </w:r>
      <w:r>
        <w:rPr>
          <w:b w:val="0"/>
        </w:rPr>
        <w:fldChar w:fldCharType="separate"/>
      </w:r>
      <w:r>
        <w:rPr>
          <w:b w:val="0"/>
        </w:rPr>
        <w:t>50</w:t>
      </w:r>
      <w:r>
        <w:rPr>
          <w:b w:val="0"/>
        </w:rPr>
        <w:fldChar w:fldCharType="end"/>
      </w:r>
      <w:r>
        <w:rPr>
          <w:b w:val="0"/>
        </w:rPr>
        <w:fldChar w:fldCharType="end"/>
      </w:r>
    </w:p>
    <w:p w14:paraId="01861D83">
      <w:pPr>
        <w:pStyle w:val="19"/>
        <w:tabs>
          <w:tab w:val="right" w:leader="dot" w:pos="9054"/>
        </w:tabs>
        <w:spacing w:before="120" w:after="120"/>
        <w:jc w:val="right"/>
        <w:rPr>
          <w:rFonts w:eastAsiaTheme="minorEastAsia"/>
          <w:bCs w:val="0"/>
          <w:lang w:eastAsia="tr-TR"/>
        </w:rPr>
      </w:pPr>
      <w:r>
        <w:rPr>
          <w:rFonts w:eastAsiaTheme="minorEastAsia"/>
          <w:bCs w:val="0"/>
          <w:lang w:eastAsia="tr-TR"/>
        </w:rPr>
        <w:t>Sayfa</w:t>
      </w:r>
    </w:p>
    <w:p w14:paraId="6A676AD5">
      <w:pPr>
        <w:pStyle w:val="19"/>
        <w:tabs>
          <w:tab w:val="right" w:leader="dot" w:pos="9054"/>
        </w:tabs>
        <w:spacing w:before="120" w:after="120"/>
        <w:rPr>
          <w:rFonts w:eastAsiaTheme="minorEastAsia"/>
          <w:b w:val="0"/>
          <w:bCs w:val="0"/>
          <w:lang w:eastAsia="tr-TR"/>
        </w:rPr>
      </w:pPr>
      <w:r>
        <w:fldChar w:fldCharType="begin"/>
      </w:r>
      <w:r>
        <w:instrText xml:space="preserve"> HYPERLINK \l "_Toc197351244" </w:instrText>
      </w:r>
      <w:r>
        <w:fldChar w:fldCharType="separate"/>
      </w:r>
      <w:r>
        <w:rPr>
          <w:rStyle w:val="15"/>
          <w:b w:val="0"/>
        </w:rPr>
        <w:t>2.3.6. Sanal Deneyime İlişkin Teoriler</w:t>
      </w:r>
      <w:r>
        <w:rPr>
          <w:b w:val="0"/>
        </w:rPr>
        <w:tab/>
      </w:r>
      <w:r>
        <w:rPr>
          <w:b w:val="0"/>
        </w:rPr>
        <w:fldChar w:fldCharType="begin"/>
      </w:r>
      <w:r>
        <w:rPr>
          <w:b w:val="0"/>
        </w:rPr>
        <w:instrText xml:space="preserve"> PAGEREF _Toc197351244 \h </w:instrText>
      </w:r>
      <w:r>
        <w:rPr>
          <w:b w:val="0"/>
        </w:rPr>
        <w:fldChar w:fldCharType="separate"/>
      </w:r>
      <w:r>
        <w:rPr>
          <w:b w:val="0"/>
        </w:rPr>
        <w:t>52</w:t>
      </w:r>
      <w:r>
        <w:rPr>
          <w:b w:val="0"/>
        </w:rPr>
        <w:fldChar w:fldCharType="end"/>
      </w:r>
      <w:r>
        <w:rPr>
          <w:b w:val="0"/>
        </w:rPr>
        <w:fldChar w:fldCharType="end"/>
      </w:r>
    </w:p>
    <w:p w14:paraId="24C0CD97">
      <w:pPr>
        <w:pStyle w:val="20"/>
        <w:tabs>
          <w:tab w:val="right" w:leader="dot" w:pos="9054"/>
        </w:tabs>
        <w:spacing w:before="120" w:after="120"/>
        <w:rPr>
          <w:rFonts w:eastAsiaTheme="minorEastAsia"/>
          <w:lang w:eastAsia="tr-TR"/>
        </w:rPr>
      </w:pPr>
      <w:r>
        <w:fldChar w:fldCharType="begin"/>
      </w:r>
      <w:r>
        <w:instrText xml:space="preserve"> HYPERLINK \l "_Toc197351245" </w:instrText>
      </w:r>
      <w:r>
        <w:fldChar w:fldCharType="separate"/>
      </w:r>
      <w:r>
        <w:rPr>
          <w:rStyle w:val="15"/>
        </w:rPr>
        <w:t>2.3.6.1. Teknoloji Kabul Modeli</w:t>
      </w:r>
      <w:r>
        <w:tab/>
      </w:r>
      <w:r>
        <w:fldChar w:fldCharType="begin"/>
      </w:r>
      <w:r>
        <w:instrText xml:space="preserve"> PAGEREF _Toc197351245 \h </w:instrText>
      </w:r>
      <w:r>
        <w:fldChar w:fldCharType="separate"/>
      </w:r>
      <w:r>
        <w:t>53</w:t>
      </w:r>
      <w:r>
        <w:fldChar w:fldCharType="end"/>
      </w:r>
      <w:r>
        <w:fldChar w:fldCharType="end"/>
      </w:r>
    </w:p>
    <w:p w14:paraId="417E68D7">
      <w:pPr>
        <w:pStyle w:val="20"/>
        <w:tabs>
          <w:tab w:val="right" w:leader="dot" w:pos="9054"/>
        </w:tabs>
        <w:spacing w:before="120" w:after="120"/>
        <w:rPr>
          <w:rFonts w:eastAsiaTheme="minorEastAsia"/>
          <w:lang w:eastAsia="tr-TR"/>
        </w:rPr>
      </w:pPr>
      <w:r>
        <w:fldChar w:fldCharType="begin"/>
      </w:r>
      <w:r>
        <w:instrText xml:space="preserve"> HYPERLINK \l "_Toc197351246" </w:instrText>
      </w:r>
      <w:r>
        <w:fldChar w:fldCharType="separate"/>
      </w:r>
      <w:r>
        <w:rPr>
          <w:rStyle w:val="15"/>
        </w:rPr>
        <w:t>2.3.6.2. Simülasyon Teorisi</w:t>
      </w:r>
      <w:r>
        <w:tab/>
      </w:r>
      <w:r>
        <w:fldChar w:fldCharType="begin"/>
      </w:r>
      <w:r>
        <w:instrText xml:space="preserve"> PAGEREF _Toc197351246 \h </w:instrText>
      </w:r>
      <w:r>
        <w:fldChar w:fldCharType="separate"/>
      </w:r>
      <w:r>
        <w:t>57</w:t>
      </w:r>
      <w:r>
        <w:fldChar w:fldCharType="end"/>
      </w:r>
      <w:r>
        <w:fldChar w:fldCharType="end"/>
      </w:r>
    </w:p>
    <w:p w14:paraId="61F9DC6B">
      <w:pPr>
        <w:pStyle w:val="20"/>
        <w:tabs>
          <w:tab w:val="right" w:leader="dot" w:pos="9054"/>
        </w:tabs>
        <w:spacing w:before="120" w:after="120"/>
        <w:rPr>
          <w:rFonts w:eastAsiaTheme="minorEastAsia"/>
          <w:lang w:eastAsia="tr-TR"/>
        </w:rPr>
      </w:pPr>
      <w:r>
        <w:fldChar w:fldCharType="begin"/>
      </w:r>
      <w:r>
        <w:instrText xml:space="preserve"> HYPERLINK \l "_Toc197351247" </w:instrText>
      </w:r>
      <w:r>
        <w:fldChar w:fldCharType="separate"/>
      </w:r>
      <w:r>
        <w:rPr>
          <w:rStyle w:val="15"/>
        </w:rPr>
        <w:t>2.3.6.3. Gerçeklik-Sanallık Sürekliliği</w:t>
      </w:r>
      <w:r>
        <w:tab/>
      </w:r>
      <w:r>
        <w:fldChar w:fldCharType="begin"/>
      </w:r>
      <w:r>
        <w:instrText xml:space="preserve"> PAGEREF _Toc197351247 \h </w:instrText>
      </w:r>
      <w:r>
        <w:fldChar w:fldCharType="separate"/>
      </w:r>
      <w:r>
        <w:t>58</w:t>
      </w:r>
      <w:r>
        <w:fldChar w:fldCharType="end"/>
      </w:r>
      <w:r>
        <w:fldChar w:fldCharType="end"/>
      </w:r>
    </w:p>
    <w:p w14:paraId="7E96F1B3">
      <w:pPr>
        <w:pStyle w:val="20"/>
        <w:tabs>
          <w:tab w:val="right" w:leader="dot" w:pos="9054"/>
        </w:tabs>
        <w:spacing w:before="120" w:after="120"/>
        <w:rPr>
          <w:rFonts w:eastAsiaTheme="minorEastAsia"/>
          <w:lang w:eastAsia="tr-TR"/>
        </w:rPr>
      </w:pPr>
      <w:r>
        <w:fldChar w:fldCharType="begin"/>
      </w:r>
      <w:r>
        <w:instrText xml:space="preserve"> HYPERLINK \l "_Toc197351248" </w:instrText>
      </w:r>
      <w:r>
        <w:fldChar w:fldCharType="separate"/>
      </w:r>
      <w:r>
        <w:rPr>
          <w:rStyle w:val="15"/>
        </w:rPr>
        <w:t>2.3.6.4. Daldırma</w:t>
      </w:r>
      <w:r>
        <w:tab/>
      </w:r>
      <w:r>
        <w:fldChar w:fldCharType="begin"/>
      </w:r>
      <w:r>
        <w:instrText xml:space="preserve"> PAGEREF _Toc197351248 \h </w:instrText>
      </w:r>
      <w:r>
        <w:fldChar w:fldCharType="separate"/>
      </w:r>
      <w:r>
        <w:t>61</w:t>
      </w:r>
      <w:r>
        <w:fldChar w:fldCharType="end"/>
      </w:r>
      <w:r>
        <w:fldChar w:fldCharType="end"/>
      </w:r>
    </w:p>
    <w:p w14:paraId="28580652">
      <w:pPr>
        <w:pStyle w:val="20"/>
        <w:tabs>
          <w:tab w:val="right" w:leader="dot" w:pos="9054"/>
        </w:tabs>
        <w:spacing w:before="120" w:after="120"/>
        <w:rPr>
          <w:rFonts w:eastAsiaTheme="minorEastAsia"/>
          <w:lang w:eastAsia="tr-TR"/>
        </w:rPr>
      </w:pPr>
      <w:r>
        <w:fldChar w:fldCharType="begin"/>
      </w:r>
      <w:r>
        <w:instrText xml:space="preserve"> HYPERLINK \l "_Toc197351249" </w:instrText>
      </w:r>
      <w:r>
        <w:fldChar w:fldCharType="separate"/>
      </w:r>
      <w:r>
        <w:rPr>
          <w:rStyle w:val="15"/>
        </w:rPr>
        <w:t>2.3.6.5. Bulunma Algısı</w:t>
      </w:r>
      <w:r>
        <w:tab/>
      </w:r>
      <w:r>
        <w:fldChar w:fldCharType="begin"/>
      </w:r>
      <w:r>
        <w:instrText xml:space="preserve"> PAGEREF _Toc197351249 \h </w:instrText>
      </w:r>
      <w:r>
        <w:fldChar w:fldCharType="separate"/>
      </w:r>
      <w:r>
        <w:t>62</w:t>
      </w:r>
      <w:r>
        <w:fldChar w:fldCharType="end"/>
      </w:r>
      <w:r>
        <w:fldChar w:fldCharType="end"/>
      </w:r>
    </w:p>
    <w:p w14:paraId="520E1A83">
      <w:pPr>
        <w:pStyle w:val="20"/>
        <w:tabs>
          <w:tab w:val="right" w:leader="dot" w:pos="9054"/>
        </w:tabs>
        <w:spacing w:before="120" w:after="120"/>
        <w:rPr>
          <w:rFonts w:eastAsiaTheme="minorEastAsia"/>
          <w:lang w:eastAsia="tr-TR"/>
        </w:rPr>
      </w:pPr>
      <w:r>
        <w:fldChar w:fldCharType="begin"/>
      </w:r>
      <w:r>
        <w:instrText xml:space="preserve"> HYPERLINK \l "_Toc197351250" </w:instrText>
      </w:r>
      <w:r>
        <w:fldChar w:fldCharType="separate"/>
      </w:r>
      <w:r>
        <w:rPr>
          <w:rStyle w:val="15"/>
        </w:rPr>
        <w:t>2.3.6.6. Akış Teorisi</w:t>
      </w:r>
      <w:r>
        <w:tab/>
      </w:r>
      <w:r>
        <w:fldChar w:fldCharType="begin"/>
      </w:r>
      <w:r>
        <w:instrText xml:space="preserve"> PAGEREF _Toc197351250 \h </w:instrText>
      </w:r>
      <w:r>
        <w:fldChar w:fldCharType="separate"/>
      </w:r>
      <w:r>
        <w:t>63</w:t>
      </w:r>
      <w:r>
        <w:fldChar w:fldCharType="end"/>
      </w:r>
      <w:r>
        <w:fldChar w:fldCharType="end"/>
      </w:r>
    </w:p>
    <w:p w14:paraId="276465D0">
      <w:pPr>
        <w:pStyle w:val="17"/>
        <w:tabs>
          <w:tab w:val="right" w:leader="dot" w:pos="9054"/>
        </w:tabs>
        <w:spacing w:before="120" w:after="120"/>
        <w:rPr>
          <w:rFonts w:eastAsiaTheme="minorEastAsia"/>
          <w:b w:val="0"/>
          <w:bCs w:val="0"/>
          <w:sz w:val="24"/>
          <w:szCs w:val="24"/>
          <w:lang w:eastAsia="tr-TR"/>
        </w:rPr>
      </w:pPr>
      <w:r>
        <w:fldChar w:fldCharType="begin"/>
      </w:r>
      <w:r>
        <w:instrText xml:space="preserve"> HYPERLINK \l "_Toc197351251" </w:instrText>
      </w:r>
      <w:r>
        <w:fldChar w:fldCharType="separate"/>
      </w:r>
      <w:r>
        <w:rPr>
          <w:rStyle w:val="15"/>
          <w:b w:val="0"/>
          <w:sz w:val="24"/>
          <w:szCs w:val="24"/>
        </w:rPr>
        <w:t>2.4. Yaşam</w:t>
      </w:r>
      <w:r>
        <w:rPr>
          <w:rStyle w:val="15"/>
          <w:b w:val="0"/>
          <w:spacing w:val="-4"/>
          <w:sz w:val="24"/>
          <w:szCs w:val="24"/>
        </w:rPr>
        <w:t xml:space="preserve"> </w:t>
      </w:r>
      <w:r>
        <w:rPr>
          <w:rStyle w:val="15"/>
          <w:b w:val="0"/>
          <w:spacing w:val="-2"/>
          <w:sz w:val="24"/>
          <w:szCs w:val="24"/>
        </w:rPr>
        <w:t>Kalitesi</w:t>
      </w:r>
      <w:r>
        <w:rPr>
          <w:b w:val="0"/>
          <w:sz w:val="24"/>
          <w:szCs w:val="24"/>
        </w:rPr>
        <w:tab/>
      </w:r>
      <w:r>
        <w:rPr>
          <w:b w:val="0"/>
          <w:sz w:val="24"/>
          <w:szCs w:val="24"/>
        </w:rPr>
        <w:fldChar w:fldCharType="begin"/>
      </w:r>
      <w:r>
        <w:rPr>
          <w:b w:val="0"/>
          <w:sz w:val="24"/>
          <w:szCs w:val="24"/>
        </w:rPr>
        <w:instrText xml:space="preserve"> PAGEREF _Toc197351251 \h </w:instrText>
      </w:r>
      <w:r>
        <w:rPr>
          <w:b w:val="0"/>
          <w:sz w:val="24"/>
          <w:szCs w:val="24"/>
        </w:rPr>
        <w:fldChar w:fldCharType="separate"/>
      </w:r>
      <w:r>
        <w:rPr>
          <w:b w:val="0"/>
          <w:sz w:val="24"/>
          <w:szCs w:val="24"/>
        </w:rPr>
        <w:t>67</w:t>
      </w:r>
      <w:r>
        <w:rPr>
          <w:b w:val="0"/>
          <w:sz w:val="24"/>
          <w:szCs w:val="24"/>
        </w:rPr>
        <w:fldChar w:fldCharType="end"/>
      </w:r>
      <w:r>
        <w:rPr>
          <w:b w:val="0"/>
          <w:sz w:val="24"/>
          <w:szCs w:val="24"/>
        </w:rPr>
        <w:fldChar w:fldCharType="end"/>
      </w:r>
    </w:p>
    <w:p w14:paraId="3F5CE285">
      <w:pPr>
        <w:pStyle w:val="19"/>
        <w:tabs>
          <w:tab w:val="right" w:leader="dot" w:pos="9054"/>
        </w:tabs>
        <w:spacing w:before="120" w:after="120"/>
        <w:rPr>
          <w:rFonts w:eastAsiaTheme="minorEastAsia"/>
          <w:b w:val="0"/>
          <w:bCs w:val="0"/>
          <w:lang w:eastAsia="tr-TR"/>
        </w:rPr>
      </w:pPr>
      <w:r>
        <w:fldChar w:fldCharType="begin"/>
      </w:r>
      <w:r>
        <w:instrText xml:space="preserve"> HYPERLINK \l "_Toc197351252" </w:instrText>
      </w:r>
      <w:r>
        <w:fldChar w:fldCharType="separate"/>
      </w:r>
      <w:r>
        <w:rPr>
          <w:rStyle w:val="15"/>
          <w:b w:val="0"/>
        </w:rPr>
        <w:t>2.4.1. Yaşam Kalitesi Kavramı</w:t>
      </w:r>
      <w:r>
        <w:rPr>
          <w:b w:val="0"/>
        </w:rPr>
        <w:tab/>
      </w:r>
      <w:r>
        <w:rPr>
          <w:b w:val="0"/>
        </w:rPr>
        <w:fldChar w:fldCharType="begin"/>
      </w:r>
      <w:r>
        <w:rPr>
          <w:b w:val="0"/>
        </w:rPr>
        <w:instrText xml:space="preserve"> PAGEREF _Toc197351252 \h </w:instrText>
      </w:r>
      <w:r>
        <w:rPr>
          <w:b w:val="0"/>
        </w:rPr>
        <w:fldChar w:fldCharType="separate"/>
      </w:r>
      <w:r>
        <w:rPr>
          <w:b w:val="0"/>
        </w:rPr>
        <w:t>67</w:t>
      </w:r>
      <w:r>
        <w:rPr>
          <w:b w:val="0"/>
        </w:rPr>
        <w:fldChar w:fldCharType="end"/>
      </w:r>
      <w:r>
        <w:rPr>
          <w:b w:val="0"/>
        </w:rPr>
        <w:fldChar w:fldCharType="end"/>
      </w:r>
    </w:p>
    <w:p w14:paraId="650517C1">
      <w:pPr>
        <w:pStyle w:val="19"/>
        <w:tabs>
          <w:tab w:val="right" w:leader="dot" w:pos="9054"/>
        </w:tabs>
        <w:spacing w:before="120" w:after="120"/>
        <w:rPr>
          <w:rFonts w:eastAsiaTheme="minorEastAsia"/>
          <w:b w:val="0"/>
          <w:bCs w:val="0"/>
          <w:lang w:eastAsia="tr-TR"/>
        </w:rPr>
      </w:pPr>
      <w:r>
        <w:fldChar w:fldCharType="begin"/>
      </w:r>
      <w:r>
        <w:instrText xml:space="preserve"> HYPERLINK \l "_Toc197351253" </w:instrText>
      </w:r>
      <w:r>
        <w:fldChar w:fldCharType="separate"/>
      </w:r>
      <w:r>
        <w:rPr>
          <w:rStyle w:val="15"/>
          <w:b w:val="0"/>
        </w:rPr>
        <w:t>2.4.2. Yaşam Kalitesi Boyutları</w:t>
      </w:r>
      <w:r>
        <w:rPr>
          <w:b w:val="0"/>
        </w:rPr>
        <w:tab/>
      </w:r>
      <w:r>
        <w:rPr>
          <w:b w:val="0"/>
        </w:rPr>
        <w:fldChar w:fldCharType="begin"/>
      </w:r>
      <w:r>
        <w:rPr>
          <w:b w:val="0"/>
        </w:rPr>
        <w:instrText xml:space="preserve"> PAGEREF _Toc197351253 \h </w:instrText>
      </w:r>
      <w:r>
        <w:rPr>
          <w:b w:val="0"/>
        </w:rPr>
        <w:fldChar w:fldCharType="separate"/>
      </w:r>
      <w:r>
        <w:rPr>
          <w:b w:val="0"/>
        </w:rPr>
        <w:t>69</w:t>
      </w:r>
      <w:r>
        <w:rPr>
          <w:b w:val="0"/>
        </w:rPr>
        <w:fldChar w:fldCharType="end"/>
      </w:r>
      <w:r>
        <w:rPr>
          <w:b w:val="0"/>
        </w:rPr>
        <w:fldChar w:fldCharType="end"/>
      </w:r>
    </w:p>
    <w:p w14:paraId="74593753">
      <w:pPr>
        <w:pStyle w:val="20"/>
        <w:tabs>
          <w:tab w:val="right" w:leader="dot" w:pos="9054"/>
        </w:tabs>
        <w:spacing w:before="120" w:after="120"/>
        <w:rPr>
          <w:rFonts w:eastAsiaTheme="minorEastAsia"/>
          <w:lang w:eastAsia="tr-TR"/>
        </w:rPr>
      </w:pPr>
      <w:r>
        <w:fldChar w:fldCharType="begin"/>
      </w:r>
      <w:r>
        <w:instrText xml:space="preserve"> HYPERLINK \l "_Toc197351254" </w:instrText>
      </w:r>
      <w:r>
        <w:fldChar w:fldCharType="separate"/>
      </w:r>
      <w:r>
        <w:rPr>
          <w:rStyle w:val="15"/>
        </w:rPr>
        <w:t>2.4.2.1. Bedensel Boyut</w:t>
      </w:r>
      <w:r>
        <w:tab/>
      </w:r>
      <w:r>
        <w:fldChar w:fldCharType="begin"/>
      </w:r>
      <w:r>
        <w:instrText xml:space="preserve"> PAGEREF _Toc197351254 \h </w:instrText>
      </w:r>
      <w:r>
        <w:fldChar w:fldCharType="separate"/>
      </w:r>
      <w:r>
        <w:t>71</w:t>
      </w:r>
      <w:r>
        <w:fldChar w:fldCharType="end"/>
      </w:r>
      <w:r>
        <w:fldChar w:fldCharType="end"/>
      </w:r>
    </w:p>
    <w:p w14:paraId="62401CA7">
      <w:pPr>
        <w:pStyle w:val="20"/>
        <w:tabs>
          <w:tab w:val="right" w:leader="dot" w:pos="9054"/>
        </w:tabs>
        <w:spacing w:before="120" w:after="120"/>
        <w:rPr>
          <w:rFonts w:eastAsiaTheme="minorEastAsia"/>
          <w:lang w:eastAsia="tr-TR"/>
        </w:rPr>
      </w:pPr>
      <w:r>
        <w:fldChar w:fldCharType="begin"/>
      </w:r>
      <w:r>
        <w:instrText xml:space="preserve"> HYPERLINK \l "_Toc197351255" </w:instrText>
      </w:r>
      <w:r>
        <w:fldChar w:fldCharType="separate"/>
      </w:r>
      <w:r>
        <w:rPr>
          <w:rStyle w:val="15"/>
        </w:rPr>
        <w:t>2.4.2.2. Ruhsal Boyut</w:t>
      </w:r>
      <w:r>
        <w:tab/>
      </w:r>
      <w:r>
        <w:fldChar w:fldCharType="begin"/>
      </w:r>
      <w:r>
        <w:instrText xml:space="preserve"> PAGEREF _Toc197351255 \h </w:instrText>
      </w:r>
      <w:r>
        <w:fldChar w:fldCharType="separate"/>
      </w:r>
      <w:r>
        <w:t>72</w:t>
      </w:r>
      <w:r>
        <w:fldChar w:fldCharType="end"/>
      </w:r>
      <w:r>
        <w:fldChar w:fldCharType="end"/>
      </w:r>
    </w:p>
    <w:p w14:paraId="252E0A72">
      <w:pPr>
        <w:pStyle w:val="20"/>
        <w:tabs>
          <w:tab w:val="right" w:leader="dot" w:pos="9054"/>
        </w:tabs>
        <w:spacing w:before="120" w:after="120"/>
        <w:rPr>
          <w:rFonts w:eastAsiaTheme="minorEastAsia"/>
          <w:lang w:eastAsia="tr-TR"/>
        </w:rPr>
      </w:pPr>
      <w:r>
        <w:fldChar w:fldCharType="begin"/>
      </w:r>
      <w:r>
        <w:instrText xml:space="preserve"> HYPERLINK \l "_Toc197351256" </w:instrText>
      </w:r>
      <w:r>
        <w:fldChar w:fldCharType="separate"/>
      </w:r>
      <w:r>
        <w:rPr>
          <w:rStyle w:val="15"/>
        </w:rPr>
        <w:t>2.4.2.3. Sosyal Boyut</w:t>
      </w:r>
      <w:r>
        <w:tab/>
      </w:r>
      <w:r>
        <w:fldChar w:fldCharType="begin"/>
      </w:r>
      <w:r>
        <w:instrText xml:space="preserve"> PAGEREF _Toc197351256 \h </w:instrText>
      </w:r>
      <w:r>
        <w:fldChar w:fldCharType="separate"/>
      </w:r>
      <w:r>
        <w:t>74</w:t>
      </w:r>
      <w:r>
        <w:fldChar w:fldCharType="end"/>
      </w:r>
      <w:r>
        <w:fldChar w:fldCharType="end"/>
      </w:r>
    </w:p>
    <w:p w14:paraId="4D3B9ED9">
      <w:pPr>
        <w:pStyle w:val="20"/>
        <w:tabs>
          <w:tab w:val="right" w:leader="dot" w:pos="9054"/>
        </w:tabs>
        <w:spacing w:before="120" w:after="120"/>
        <w:rPr>
          <w:rFonts w:eastAsiaTheme="minorEastAsia"/>
          <w:lang w:eastAsia="tr-TR"/>
        </w:rPr>
      </w:pPr>
      <w:r>
        <w:fldChar w:fldCharType="begin"/>
      </w:r>
      <w:r>
        <w:instrText xml:space="preserve"> HYPERLINK \l "_Toc197351257" </w:instrText>
      </w:r>
      <w:r>
        <w:fldChar w:fldCharType="separate"/>
      </w:r>
      <w:r>
        <w:rPr>
          <w:rStyle w:val="15"/>
        </w:rPr>
        <w:t>2.4.2.3. Çevresel Boyut</w:t>
      </w:r>
      <w:r>
        <w:tab/>
      </w:r>
      <w:r>
        <w:fldChar w:fldCharType="begin"/>
      </w:r>
      <w:r>
        <w:instrText xml:space="preserve"> PAGEREF _Toc197351257 \h </w:instrText>
      </w:r>
      <w:r>
        <w:fldChar w:fldCharType="separate"/>
      </w:r>
      <w:r>
        <w:t>75</w:t>
      </w:r>
      <w:r>
        <w:fldChar w:fldCharType="end"/>
      </w:r>
      <w:r>
        <w:fldChar w:fldCharType="end"/>
      </w:r>
    </w:p>
    <w:p w14:paraId="6A99E97E">
      <w:pPr>
        <w:pStyle w:val="19"/>
        <w:tabs>
          <w:tab w:val="right" w:leader="dot" w:pos="9054"/>
        </w:tabs>
        <w:spacing w:before="120" w:after="120"/>
        <w:rPr>
          <w:rFonts w:eastAsiaTheme="minorEastAsia"/>
          <w:b w:val="0"/>
          <w:bCs w:val="0"/>
          <w:lang w:eastAsia="tr-TR"/>
        </w:rPr>
      </w:pPr>
      <w:r>
        <w:fldChar w:fldCharType="begin"/>
      </w:r>
      <w:r>
        <w:instrText xml:space="preserve"> HYPERLINK \l "_Toc197351258" </w:instrText>
      </w:r>
      <w:r>
        <w:fldChar w:fldCharType="separate"/>
      </w:r>
      <w:r>
        <w:rPr>
          <w:rStyle w:val="15"/>
          <w:b w:val="0"/>
        </w:rPr>
        <w:t>2.4.3. Yaşam Kalitesinin Göstergeleri</w:t>
      </w:r>
      <w:r>
        <w:rPr>
          <w:b w:val="0"/>
        </w:rPr>
        <w:tab/>
      </w:r>
      <w:r>
        <w:rPr>
          <w:b w:val="0"/>
        </w:rPr>
        <w:fldChar w:fldCharType="begin"/>
      </w:r>
      <w:r>
        <w:rPr>
          <w:b w:val="0"/>
        </w:rPr>
        <w:instrText xml:space="preserve"> PAGEREF _Toc197351258 \h </w:instrText>
      </w:r>
      <w:r>
        <w:rPr>
          <w:b w:val="0"/>
        </w:rPr>
        <w:fldChar w:fldCharType="separate"/>
      </w:r>
      <w:r>
        <w:rPr>
          <w:b w:val="0"/>
        </w:rPr>
        <w:t>76</w:t>
      </w:r>
      <w:r>
        <w:rPr>
          <w:b w:val="0"/>
        </w:rPr>
        <w:fldChar w:fldCharType="end"/>
      </w:r>
      <w:r>
        <w:rPr>
          <w:b w:val="0"/>
        </w:rPr>
        <w:fldChar w:fldCharType="end"/>
      </w:r>
    </w:p>
    <w:p w14:paraId="60B41EB8">
      <w:pPr>
        <w:pStyle w:val="19"/>
        <w:tabs>
          <w:tab w:val="right" w:leader="dot" w:pos="9054"/>
        </w:tabs>
        <w:spacing w:before="120" w:after="120"/>
        <w:rPr>
          <w:rFonts w:eastAsiaTheme="minorEastAsia"/>
          <w:b w:val="0"/>
          <w:bCs w:val="0"/>
          <w:lang w:eastAsia="tr-TR"/>
        </w:rPr>
      </w:pPr>
      <w:r>
        <w:fldChar w:fldCharType="begin"/>
      </w:r>
      <w:r>
        <w:instrText xml:space="preserve"> HYPERLINK \l "_Toc197351259" </w:instrText>
      </w:r>
      <w:r>
        <w:fldChar w:fldCharType="separate"/>
      </w:r>
      <w:r>
        <w:rPr>
          <w:rStyle w:val="15"/>
          <w:b w:val="0"/>
        </w:rPr>
        <w:t>2.4.4. Yaşam Kalitesi Araştırmaları</w:t>
      </w:r>
      <w:r>
        <w:rPr>
          <w:b w:val="0"/>
        </w:rPr>
        <w:tab/>
      </w:r>
      <w:r>
        <w:rPr>
          <w:b w:val="0"/>
        </w:rPr>
        <w:fldChar w:fldCharType="begin"/>
      </w:r>
      <w:r>
        <w:rPr>
          <w:b w:val="0"/>
        </w:rPr>
        <w:instrText xml:space="preserve"> PAGEREF _Toc197351259 \h </w:instrText>
      </w:r>
      <w:r>
        <w:rPr>
          <w:b w:val="0"/>
        </w:rPr>
        <w:fldChar w:fldCharType="separate"/>
      </w:r>
      <w:r>
        <w:rPr>
          <w:b w:val="0"/>
        </w:rPr>
        <w:t>82</w:t>
      </w:r>
      <w:r>
        <w:rPr>
          <w:b w:val="0"/>
        </w:rPr>
        <w:fldChar w:fldCharType="end"/>
      </w:r>
      <w:r>
        <w:rPr>
          <w:b w:val="0"/>
        </w:rPr>
        <w:fldChar w:fldCharType="end"/>
      </w:r>
    </w:p>
    <w:p w14:paraId="6E24F26B">
      <w:pPr>
        <w:pStyle w:val="17"/>
        <w:tabs>
          <w:tab w:val="right" w:leader="dot" w:pos="9054"/>
        </w:tabs>
        <w:spacing w:before="120" w:after="120"/>
        <w:rPr>
          <w:rFonts w:eastAsiaTheme="minorEastAsia"/>
          <w:b w:val="0"/>
          <w:bCs w:val="0"/>
          <w:sz w:val="24"/>
          <w:szCs w:val="24"/>
          <w:lang w:eastAsia="tr-TR"/>
        </w:rPr>
      </w:pPr>
      <w:r>
        <w:fldChar w:fldCharType="begin"/>
      </w:r>
      <w:r>
        <w:instrText xml:space="preserve"> HYPERLINK \l "_Toc197351260" </w:instrText>
      </w:r>
      <w:r>
        <w:fldChar w:fldCharType="separate"/>
      </w:r>
      <w:r>
        <w:rPr>
          <w:rStyle w:val="15"/>
          <w:b w:val="0"/>
          <w:spacing w:val="-2"/>
          <w:sz w:val="24"/>
          <w:szCs w:val="24"/>
        </w:rPr>
        <w:t>3. YÖNTEM</w:t>
      </w:r>
      <w:r>
        <w:rPr>
          <w:b w:val="0"/>
          <w:sz w:val="24"/>
          <w:szCs w:val="24"/>
        </w:rPr>
        <w:tab/>
      </w:r>
      <w:r>
        <w:rPr>
          <w:b w:val="0"/>
          <w:sz w:val="24"/>
          <w:szCs w:val="24"/>
        </w:rPr>
        <w:fldChar w:fldCharType="begin"/>
      </w:r>
      <w:r>
        <w:rPr>
          <w:b w:val="0"/>
          <w:sz w:val="24"/>
          <w:szCs w:val="24"/>
        </w:rPr>
        <w:instrText xml:space="preserve"> PAGEREF _Toc197351260 \h </w:instrText>
      </w:r>
      <w:r>
        <w:rPr>
          <w:b w:val="0"/>
          <w:sz w:val="24"/>
          <w:szCs w:val="24"/>
        </w:rPr>
        <w:fldChar w:fldCharType="separate"/>
      </w:r>
      <w:r>
        <w:rPr>
          <w:b w:val="0"/>
          <w:sz w:val="24"/>
          <w:szCs w:val="24"/>
        </w:rPr>
        <w:t>92</w:t>
      </w:r>
      <w:r>
        <w:rPr>
          <w:b w:val="0"/>
          <w:sz w:val="24"/>
          <w:szCs w:val="24"/>
        </w:rPr>
        <w:fldChar w:fldCharType="end"/>
      </w:r>
      <w:r>
        <w:rPr>
          <w:b w:val="0"/>
          <w:sz w:val="24"/>
          <w:szCs w:val="24"/>
        </w:rPr>
        <w:fldChar w:fldCharType="end"/>
      </w:r>
    </w:p>
    <w:p w14:paraId="08B26911">
      <w:pPr>
        <w:pStyle w:val="18"/>
        <w:tabs>
          <w:tab w:val="right" w:leader="dot" w:pos="9054"/>
        </w:tabs>
        <w:spacing w:before="120" w:after="120"/>
        <w:rPr>
          <w:rFonts w:eastAsiaTheme="minorEastAsia"/>
          <w:b w:val="0"/>
          <w:bCs w:val="0"/>
          <w:sz w:val="24"/>
          <w:szCs w:val="24"/>
          <w:lang w:eastAsia="tr-TR"/>
        </w:rPr>
      </w:pPr>
      <w:r>
        <w:fldChar w:fldCharType="begin"/>
      </w:r>
      <w:r>
        <w:instrText xml:space="preserve"> HYPERLINK \l "_Toc197351261" </w:instrText>
      </w:r>
      <w:r>
        <w:fldChar w:fldCharType="separate"/>
      </w:r>
      <w:r>
        <w:rPr>
          <w:rStyle w:val="15"/>
          <w:b w:val="0"/>
          <w:sz w:val="24"/>
          <w:szCs w:val="24"/>
        </w:rPr>
        <w:t>3.1. Araştırmanın</w:t>
      </w:r>
      <w:r>
        <w:rPr>
          <w:rStyle w:val="15"/>
          <w:b w:val="0"/>
          <w:spacing w:val="-6"/>
          <w:sz w:val="24"/>
          <w:szCs w:val="24"/>
        </w:rPr>
        <w:t xml:space="preserve"> </w:t>
      </w:r>
      <w:r>
        <w:rPr>
          <w:rStyle w:val="15"/>
          <w:b w:val="0"/>
          <w:spacing w:val="-2"/>
          <w:sz w:val="24"/>
          <w:szCs w:val="24"/>
        </w:rPr>
        <w:t>Modeli</w:t>
      </w:r>
      <w:r>
        <w:rPr>
          <w:b w:val="0"/>
          <w:sz w:val="24"/>
          <w:szCs w:val="24"/>
        </w:rPr>
        <w:tab/>
      </w:r>
      <w:r>
        <w:rPr>
          <w:b w:val="0"/>
          <w:sz w:val="24"/>
          <w:szCs w:val="24"/>
        </w:rPr>
        <w:fldChar w:fldCharType="begin"/>
      </w:r>
      <w:r>
        <w:rPr>
          <w:b w:val="0"/>
          <w:sz w:val="24"/>
          <w:szCs w:val="24"/>
        </w:rPr>
        <w:instrText xml:space="preserve"> PAGEREF _Toc197351261 \h </w:instrText>
      </w:r>
      <w:r>
        <w:rPr>
          <w:b w:val="0"/>
          <w:sz w:val="24"/>
          <w:szCs w:val="24"/>
        </w:rPr>
        <w:fldChar w:fldCharType="separate"/>
      </w:r>
      <w:r>
        <w:rPr>
          <w:b w:val="0"/>
          <w:sz w:val="24"/>
          <w:szCs w:val="24"/>
        </w:rPr>
        <w:t>92</w:t>
      </w:r>
      <w:r>
        <w:rPr>
          <w:b w:val="0"/>
          <w:sz w:val="24"/>
          <w:szCs w:val="24"/>
        </w:rPr>
        <w:fldChar w:fldCharType="end"/>
      </w:r>
      <w:r>
        <w:rPr>
          <w:b w:val="0"/>
          <w:sz w:val="24"/>
          <w:szCs w:val="24"/>
        </w:rPr>
        <w:fldChar w:fldCharType="end"/>
      </w:r>
    </w:p>
    <w:p w14:paraId="3FCE248C">
      <w:pPr>
        <w:pStyle w:val="18"/>
        <w:tabs>
          <w:tab w:val="right" w:leader="dot" w:pos="9054"/>
        </w:tabs>
        <w:spacing w:before="120" w:after="120"/>
        <w:rPr>
          <w:rFonts w:eastAsiaTheme="minorEastAsia"/>
          <w:b w:val="0"/>
          <w:bCs w:val="0"/>
          <w:sz w:val="24"/>
          <w:szCs w:val="24"/>
          <w:lang w:eastAsia="tr-TR"/>
        </w:rPr>
      </w:pPr>
      <w:r>
        <w:fldChar w:fldCharType="begin"/>
      </w:r>
      <w:r>
        <w:instrText xml:space="preserve"> HYPERLINK \l "_Toc197351262" </w:instrText>
      </w:r>
      <w:r>
        <w:fldChar w:fldCharType="separate"/>
      </w:r>
      <w:r>
        <w:rPr>
          <w:rStyle w:val="15"/>
          <w:b w:val="0"/>
          <w:sz w:val="24"/>
          <w:szCs w:val="24"/>
        </w:rPr>
        <w:t>3.2. Evren</w:t>
      </w:r>
      <w:r>
        <w:rPr>
          <w:rStyle w:val="15"/>
          <w:b w:val="0"/>
          <w:spacing w:val="-1"/>
          <w:sz w:val="24"/>
          <w:szCs w:val="24"/>
        </w:rPr>
        <w:t xml:space="preserve"> </w:t>
      </w:r>
      <w:r>
        <w:rPr>
          <w:rStyle w:val="15"/>
          <w:b w:val="0"/>
          <w:sz w:val="24"/>
          <w:szCs w:val="24"/>
        </w:rPr>
        <w:t>ve</w:t>
      </w:r>
      <w:r>
        <w:rPr>
          <w:rStyle w:val="15"/>
          <w:b w:val="0"/>
          <w:spacing w:val="-2"/>
          <w:sz w:val="24"/>
          <w:szCs w:val="24"/>
        </w:rPr>
        <w:t xml:space="preserve"> Örneklem</w:t>
      </w:r>
      <w:r>
        <w:rPr>
          <w:b w:val="0"/>
          <w:sz w:val="24"/>
          <w:szCs w:val="24"/>
        </w:rPr>
        <w:tab/>
      </w:r>
      <w:r>
        <w:rPr>
          <w:b w:val="0"/>
          <w:sz w:val="24"/>
          <w:szCs w:val="24"/>
        </w:rPr>
        <w:fldChar w:fldCharType="begin"/>
      </w:r>
      <w:r>
        <w:rPr>
          <w:b w:val="0"/>
          <w:sz w:val="24"/>
          <w:szCs w:val="24"/>
        </w:rPr>
        <w:instrText xml:space="preserve"> PAGEREF _Toc197351262 \h </w:instrText>
      </w:r>
      <w:r>
        <w:rPr>
          <w:b w:val="0"/>
          <w:sz w:val="24"/>
          <w:szCs w:val="24"/>
        </w:rPr>
        <w:fldChar w:fldCharType="separate"/>
      </w:r>
      <w:r>
        <w:rPr>
          <w:b w:val="0"/>
          <w:sz w:val="24"/>
          <w:szCs w:val="24"/>
        </w:rPr>
        <w:t>92</w:t>
      </w:r>
      <w:r>
        <w:rPr>
          <w:b w:val="0"/>
          <w:sz w:val="24"/>
          <w:szCs w:val="24"/>
        </w:rPr>
        <w:fldChar w:fldCharType="end"/>
      </w:r>
      <w:r>
        <w:rPr>
          <w:b w:val="0"/>
          <w:sz w:val="24"/>
          <w:szCs w:val="24"/>
        </w:rPr>
        <w:fldChar w:fldCharType="end"/>
      </w:r>
    </w:p>
    <w:p w14:paraId="039BD911">
      <w:pPr>
        <w:pStyle w:val="18"/>
        <w:tabs>
          <w:tab w:val="right" w:leader="dot" w:pos="9054"/>
        </w:tabs>
        <w:spacing w:before="120" w:after="120"/>
        <w:rPr>
          <w:rFonts w:eastAsiaTheme="minorEastAsia"/>
          <w:b w:val="0"/>
          <w:bCs w:val="0"/>
          <w:sz w:val="24"/>
          <w:szCs w:val="24"/>
          <w:lang w:eastAsia="tr-TR"/>
        </w:rPr>
      </w:pPr>
      <w:r>
        <w:fldChar w:fldCharType="begin"/>
      </w:r>
      <w:r>
        <w:instrText xml:space="preserve"> HYPERLINK \l "_Toc197351263" </w:instrText>
      </w:r>
      <w:r>
        <w:fldChar w:fldCharType="separate"/>
      </w:r>
      <w:r>
        <w:rPr>
          <w:rStyle w:val="15"/>
          <w:b w:val="0"/>
          <w:spacing w:val="-2"/>
          <w:sz w:val="24"/>
          <w:szCs w:val="24"/>
        </w:rPr>
        <w:t>3.3. Hipotezler</w:t>
      </w:r>
      <w:r>
        <w:rPr>
          <w:b w:val="0"/>
          <w:sz w:val="24"/>
          <w:szCs w:val="24"/>
        </w:rPr>
        <w:tab/>
      </w:r>
      <w:r>
        <w:rPr>
          <w:b w:val="0"/>
          <w:sz w:val="24"/>
          <w:szCs w:val="24"/>
        </w:rPr>
        <w:fldChar w:fldCharType="begin"/>
      </w:r>
      <w:r>
        <w:rPr>
          <w:b w:val="0"/>
          <w:sz w:val="24"/>
          <w:szCs w:val="24"/>
        </w:rPr>
        <w:instrText xml:space="preserve"> PAGEREF _Toc197351263 \h </w:instrText>
      </w:r>
      <w:r>
        <w:rPr>
          <w:b w:val="0"/>
          <w:sz w:val="24"/>
          <w:szCs w:val="24"/>
        </w:rPr>
        <w:fldChar w:fldCharType="separate"/>
      </w:r>
      <w:r>
        <w:rPr>
          <w:b w:val="0"/>
          <w:sz w:val="24"/>
          <w:szCs w:val="24"/>
        </w:rPr>
        <w:t>93</w:t>
      </w:r>
      <w:r>
        <w:rPr>
          <w:b w:val="0"/>
          <w:sz w:val="24"/>
          <w:szCs w:val="24"/>
        </w:rPr>
        <w:fldChar w:fldCharType="end"/>
      </w:r>
      <w:r>
        <w:rPr>
          <w:b w:val="0"/>
          <w:sz w:val="24"/>
          <w:szCs w:val="24"/>
        </w:rPr>
        <w:fldChar w:fldCharType="end"/>
      </w:r>
    </w:p>
    <w:p w14:paraId="091F19E9">
      <w:pPr>
        <w:pStyle w:val="18"/>
        <w:tabs>
          <w:tab w:val="right" w:leader="dot" w:pos="9054"/>
        </w:tabs>
        <w:spacing w:before="120" w:after="120"/>
        <w:rPr>
          <w:rFonts w:eastAsiaTheme="minorEastAsia"/>
          <w:b w:val="0"/>
          <w:bCs w:val="0"/>
          <w:sz w:val="24"/>
          <w:szCs w:val="24"/>
          <w:lang w:eastAsia="tr-TR"/>
        </w:rPr>
      </w:pPr>
      <w:r>
        <w:fldChar w:fldCharType="begin"/>
      </w:r>
      <w:r>
        <w:instrText xml:space="preserve"> HYPERLINK \l "_Toc197351264" </w:instrText>
      </w:r>
      <w:r>
        <w:fldChar w:fldCharType="separate"/>
      </w:r>
      <w:r>
        <w:rPr>
          <w:rStyle w:val="15"/>
          <w:b w:val="0"/>
          <w:sz w:val="24"/>
          <w:szCs w:val="24"/>
        </w:rPr>
        <w:t>3.4. Veri</w:t>
      </w:r>
      <w:r>
        <w:rPr>
          <w:rStyle w:val="15"/>
          <w:b w:val="0"/>
          <w:spacing w:val="-4"/>
          <w:sz w:val="24"/>
          <w:szCs w:val="24"/>
        </w:rPr>
        <w:t xml:space="preserve"> </w:t>
      </w:r>
      <w:r>
        <w:rPr>
          <w:rStyle w:val="15"/>
          <w:b w:val="0"/>
          <w:sz w:val="24"/>
          <w:szCs w:val="24"/>
        </w:rPr>
        <w:t>Toplama</w:t>
      </w:r>
      <w:r>
        <w:rPr>
          <w:rStyle w:val="15"/>
          <w:b w:val="0"/>
          <w:spacing w:val="-3"/>
          <w:sz w:val="24"/>
          <w:szCs w:val="24"/>
        </w:rPr>
        <w:t xml:space="preserve"> </w:t>
      </w:r>
      <w:r>
        <w:rPr>
          <w:rStyle w:val="15"/>
          <w:b w:val="0"/>
          <w:spacing w:val="-2"/>
          <w:sz w:val="24"/>
          <w:szCs w:val="24"/>
        </w:rPr>
        <w:t>Araçları</w:t>
      </w:r>
      <w:r>
        <w:rPr>
          <w:b w:val="0"/>
          <w:sz w:val="24"/>
          <w:szCs w:val="24"/>
        </w:rPr>
        <w:tab/>
      </w:r>
      <w:r>
        <w:rPr>
          <w:b w:val="0"/>
          <w:sz w:val="24"/>
          <w:szCs w:val="24"/>
        </w:rPr>
        <w:fldChar w:fldCharType="begin"/>
      </w:r>
      <w:r>
        <w:rPr>
          <w:b w:val="0"/>
          <w:sz w:val="24"/>
          <w:szCs w:val="24"/>
        </w:rPr>
        <w:instrText xml:space="preserve"> PAGEREF _Toc197351264 \h </w:instrText>
      </w:r>
      <w:r>
        <w:rPr>
          <w:b w:val="0"/>
          <w:sz w:val="24"/>
          <w:szCs w:val="24"/>
        </w:rPr>
        <w:fldChar w:fldCharType="separate"/>
      </w:r>
      <w:r>
        <w:rPr>
          <w:b w:val="0"/>
          <w:sz w:val="24"/>
          <w:szCs w:val="24"/>
        </w:rPr>
        <w:t>95</w:t>
      </w:r>
      <w:r>
        <w:rPr>
          <w:b w:val="0"/>
          <w:sz w:val="24"/>
          <w:szCs w:val="24"/>
        </w:rPr>
        <w:fldChar w:fldCharType="end"/>
      </w:r>
      <w:r>
        <w:rPr>
          <w:b w:val="0"/>
          <w:sz w:val="24"/>
          <w:szCs w:val="24"/>
        </w:rPr>
        <w:fldChar w:fldCharType="end"/>
      </w:r>
    </w:p>
    <w:p w14:paraId="7E14D5CF">
      <w:pPr>
        <w:pStyle w:val="19"/>
        <w:tabs>
          <w:tab w:val="right" w:leader="dot" w:pos="9054"/>
        </w:tabs>
        <w:spacing w:before="120" w:after="120"/>
        <w:rPr>
          <w:rFonts w:eastAsiaTheme="minorEastAsia"/>
          <w:b w:val="0"/>
          <w:bCs w:val="0"/>
          <w:lang w:eastAsia="tr-TR"/>
        </w:rPr>
      </w:pPr>
      <w:r>
        <w:fldChar w:fldCharType="begin"/>
      </w:r>
      <w:r>
        <w:instrText xml:space="preserve"> HYPERLINK \l "_Toc197351265" </w:instrText>
      </w:r>
      <w:r>
        <w:fldChar w:fldCharType="separate"/>
      </w:r>
      <w:r>
        <w:rPr>
          <w:rStyle w:val="15"/>
          <w:b w:val="0"/>
        </w:rPr>
        <w:t>3.4.1. Sanal Rekreasyon Ölçeği</w:t>
      </w:r>
      <w:r>
        <w:rPr>
          <w:b w:val="0"/>
        </w:rPr>
        <w:tab/>
      </w:r>
      <w:r>
        <w:rPr>
          <w:b w:val="0"/>
        </w:rPr>
        <w:fldChar w:fldCharType="begin"/>
      </w:r>
      <w:r>
        <w:rPr>
          <w:b w:val="0"/>
        </w:rPr>
        <w:instrText xml:space="preserve"> PAGEREF _Toc197351265 \h </w:instrText>
      </w:r>
      <w:r>
        <w:rPr>
          <w:b w:val="0"/>
        </w:rPr>
        <w:fldChar w:fldCharType="separate"/>
      </w:r>
      <w:r>
        <w:rPr>
          <w:b w:val="0"/>
        </w:rPr>
        <w:t>95</w:t>
      </w:r>
      <w:r>
        <w:rPr>
          <w:b w:val="0"/>
        </w:rPr>
        <w:fldChar w:fldCharType="end"/>
      </w:r>
      <w:r>
        <w:rPr>
          <w:b w:val="0"/>
        </w:rPr>
        <w:fldChar w:fldCharType="end"/>
      </w:r>
    </w:p>
    <w:p w14:paraId="14005F59">
      <w:pPr>
        <w:pStyle w:val="19"/>
        <w:tabs>
          <w:tab w:val="right" w:leader="dot" w:pos="9054"/>
        </w:tabs>
        <w:spacing w:before="120" w:after="120"/>
        <w:rPr>
          <w:rFonts w:eastAsiaTheme="minorEastAsia"/>
          <w:b w:val="0"/>
          <w:bCs w:val="0"/>
          <w:lang w:eastAsia="tr-TR"/>
        </w:rPr>
      </w:pPr>
      <w:r>
        <w:fldChar w:fldCharType="begin"/>
      </w:r>
      <w:r>
        <w:instrText xml:space="preserve"> HYPERLINK \l "_Toc197351266" </w:instrText>
      </w:r>
      <w:r>
        <w:fldChar w:fldCharType="separate"/>
      </w:r>
      <w:r>
        <w:rPr>
          <w:rStyle w:val="15"/>
          <w:b w:val="0"/>
        </w:rPr>
        <w:t>3.4.2. Yaşam Kalitesi Ölçeği</w:t>
      </w:r>
      <w:r>
        <w:rPr>
          <w:b w:val="0"/>
        </w:rPr>
        <w:tab/>
      </w:r>
      <w:r>
        <w:rPr>
          <w:b w:val="0"/>
        </w:rPr>
        <w:fldChar w:fldCharType="begin"/>
      </w:r>
      <w:r>
        <w:rPr>
          <w:b w:val="0"/>
        </w:rPr>
        <w:instrText xml:space="preserve"> PAGEREF _Toc197351266 \h </w:instrText>
      </w:r>
      <w:r>
        <w:rPr>
          <w:b w:val="0"/>
        </w:rPr>
        <w:fldChar w:fldCharType="separate"/>
      </w:r>
      <w:r>
        <w:rPr>
          <w:b w:val="0"/>
        </w:rPr>
        <w:t>96</w:t>
      </w:r>
      <w:r>
        <w:rPr>
          <w:b w:val="0"/>
        </w:rPr>
        <w:fldChar w:fldCharType="end"/>
      </w:r>
      <w:r>
        <w:rPr>
          <w:b w:val="0"/>
        </w:rPr>
        <w:fldChar w:fldCharType="end"/>
      </w:r>
    </w:p>
    <w:p w14:paraId="5515059F">
      <w:pPr>
        <w:pStyle w:val="18"/>
        <w:tabs>
          <w:tab w:val="right" w:leader="dot" w:pos="9054"/>
        </w:tabs>
        <w:spacing w:before="120" w:after="120"/>
        <w:rPr>
          <w:rFonts w:eastAsiaTheme="minorEastAsia"/>
          <w:b w:val="0"/>
          <w:bCs w:val="0"/>
          <w:sz w:val="24"/>
          <w:szCs w:val="24"/>
          <w:lang w:eastAsia="tr-TR"/>
        </w:rPr>
      </w:pPr>
      <w:r>
        <w:fldChar w:fldCharType="begin"/>
      </w:r>
      <w:r>
        <w:instrText xml:space="preserve"> HYPERLINK \l "_Toc197351267" </w:instrText>
      </w:r>
      <w:r>
        <w:fldChar w:fldCharType="separate"/>
      </w:r>
      <w:r>
        <w:rPr>
          <w:rStyle w:val="15"/>
          <w:b w:val="0"/>
          <w:sz w:val="24"/>
          <w:szCs w:val="24"/>
        </w:rPr>
        <w:t>3.5. Verilerin</w:t>
      </w:r>
      <w:r>
        <w:rPr>
          <w:rStyle w:val="15"/>
          <w:b w:val="0"/>
          <w:spacing w:val="-5"/>
          <w:sz w:val="24"/>
          <w:szCs w:val="24"/>
        </w:rPr>
        <w:t xml:space="preserve"> </w:t>
      </w:r>
      <w:r>
        <w:rPr>
          <w:rStyle w:val="15"/>
          <w:b w:val="0"/>
          <w:spacing w:val="-2"/>
          <w:sz w:val="24"/>
          <w:szCs w:val="24"/>
        </w:rPr>
        <w:t>Toplanması</w:t>
      </w:r>
      <w:r>
        <w:rPr>
          <w:b w:val="0"/>
          <w:sz w:val="24"/>
          <w:szCs w:val="24"/>
        </w:rPr>
        <w:tab/>
      </w:r>
      <w:r>
        <w:rPr>
          <w:b w:val="0"/>
          <w:sz w:val="24"/>
          <w:szCs w:val="24"/>
        </w:rPr>
        <w:fldChar w:fldCharType="begin"/>
      </w:r>
      <w:r>
        <w:rPr>
          <w:b w:val="0"/>
          <w:sz w:val="24"/>
          <w:szCs w:val="24"/>
        </w:rPr>
        <w:instrText xml:space="preserve"> PAGEREF _Toc197351267 \h </w:instrText>
      </w:r>
      <w:r>
        <w:rPr>
          <w:b w:val="0"/>
          <w:sz w:val="24"/>
          <w:szCs w:val="24"/>
        </w:rPr>
        <w:fldChar w:fldCharType="separate"/>
      </w:r>
      <w:r>
        <w:rPr>
          <w:b w:val="0"/>
          <w:sz w:val="24"/>
          <w:szCs w:val="24"/>
        </w:rPr>
        <w:t>98</w:t>
      </w:r>
      <w:r>
        <w:rPr>
          <w:b w:val="0"/>
          <w:sz w:val="24"/>
          <w:szCs w:val="24"/>
        </w:rPr>
        <w:fldChar w:fldCharType="end"/>
      </w:r>
      <w:r>
        <w:rPr>
          <w:b w:val="0"/>
          <w:sz w:val="24"/>
          <w:szCs w:val="24"/>
        </w:rPr>
        <w:fldChar w:fldCharType="end"/>
      </w:r>
    </w:p>
    <w:p w14:paraId="76DF66B2">
      <w:pPr>
        <w:pStyle w:val="18"/>
        <w:tabs>
          <w:tab w:val="right" w:leader="dot" w:pos="9054"/>
        </w:tabs>
        <w:spacing w:before="120" w:after="120"/>
        <w:rPr>
          <w:rFonts w:eastAsiaTheme="minorEastAsia"/>
          <w:b w:val="0"/>
          <w:bCs w:val="0"/>
          <w:sz w:val="24"/>
          <w:szCs w:val="24"/>
          <w:lang w:eastAsia="tr-TR"/>
        </w:rPr>
      </w:pPr>
      <w:r>
        <w:fldChar w:fldCharType="begin"/>
      </w:r>
      <w:r>
        <w:instrText xml:space="preserve"> HYPERLINK \l "_Toc197351268" </w:instrText>
      </w:r>
      <w:r>
        <w:fldChar w:fldCharType="separate"/>
      </w:r>
      <w:r>
        <w:rPr>
          <w:rStyle w:val="15"/>
          <w:b w:val="0"/>
          <w:sz w:val="24"/>
          <w:szCs w:val="24"/>
        </w:rPr>
        <w:t>3.6. Verilerin</w:t>
      </w:r>
      <w:r>
        <w:rPr>
          <w:rStyle w:val="15"/>
          <w:b w:val="0"/>
          <w:spacing w:val="-4"/>
          <w:sz w:val="24"/>
          <w:szCs w:val="24"/>
        </w:rPr>
        <w:t xml:space="preserve"> </w:t>
      </w:r>
      <w:r>
        <w:rPr>
          <w:rStyle w:val="15"/>
          <w:b w:val="0"/>
          <w:spacing w:val="-2"/>
          <w:sz w:val="24"/>
          <w:szCs w:val="24"/>
        </w:rPr>
        <w:t>Analizi</w:t>
      </w:r>
      <w:r>
        <w:rPr>
          <w:b w:val="0"/>
          <w:sz w:val="24"/>
          <w:szCs w:val="24"/>
        </w:rPr>
        <w:tab/>
      </w:r>
      <w:r>
        <w:rPr>
          <w:b w:val="0"/>
          <w:sz w:val="24"/>
          <w:szCs w:val="24"/>
        </w:rPr>
        <w:fldChar w:fldCharType="begin"/>
      </w:r>
      <w:r>
        <w:rPr>
          <w:b w:val="0"/>
          <w:sz w:val="24"/>
          <w:szCs w:val="24"/>
        </w:rPr>
        <w:instrText xml:space="preserve"> PAGEREF _Toc197351268 \h </w:instrText>
      </w:r>
      <w:r>
        <w:rPr>
          <w:b w:val="0"/>
          <w:sz w:val="24"/>
          <w:szCs w:val="24"/>
        </w:rPr>
        <w:fldChar w:fldCharType="separate"/>
      </w:r>
      <w:r>
        <w:rPr>
          <w:b w:val="0"/>
          <w:sz w:val="24"/>
          <w:szCs w:val="24"/>
        </w:rPr>
        <w:t>98</w:t>
      </w:r>
      <w:r>
        <w:rPr>
          <w:b w:val="0"/>
          <w:sz w:val="24"/>
          <w:szCs w:val="24"/>
        </w:rPr>
        <w:fldChar w:fldCharType="end"/>
      </w:r>
      <w:r>
        <w:rPr>
          <w:b w:val="0"/>
          <w:sz w:val="24"/>
          <w:szCs w:val="24"/>
        </w:rPr>
        <w:fldChar w:fldCharType="end"/>
      </w:r>
    </w:p>
    <w:p w14:paraId="4B5A8FA8">
      <w:pPr>
        <w:pStyle w:val="19"/>
        <w:tabs>
          <w:tab w:val="right" w:leader="dot" w:pos="9054"/>
        </w:tabs>
        <w:spacing w:before="120" w:after="120"/>
        <w:rPr>
          <w:rFonts w:eastAsiaTheme="minorEastAsia"/>
          <w:b w:val="0"/>
          <w:bCs w:val="0"/>
          <w:lang w:eastAsia="tr-TR"/>
        </w:rPr>
      </w:pPr>
      <w:r>
        <w:fldChar w:fldCharType="begin"/>
      </w:r>
      <w:r>
        <w:instrText xml:space="preserve"> HYPERLINK \l "_Toc197351269" </w:instrText>
      </w:r>
      <w:r>
        <w:fldChar w:fldCharType="separate"/>
      </w:r>
      <w:r>
        <w:rPr>
          <w:rStyle w:val="15"/>
          <w:b w:val="0"/>
        </w:rPr>
        <w:t>3.6.1. Sanal Rekreasyon Ölçeği'nin Araştırma Kapsamında Geliştirilmesi ve Geçerlik Güvenirlik Analizlerinin Süreçleri</w:t>
      </w:r>
      <w:r>
        <w:rPr>
          <w:b w:val="0"/>
        </w:rPr>
        <w:tab/>
      </w:r>
      <w:r>
        <w:rPr>
          <w:b w:val="0"/>
        </w:rPr>
        <w:fldChar w:fldCharType="begin"/>
      </w:r>
      <w:r>
        <w:rPr>
          <w:b w:val="0"/>
        </w:rPr>
        <w:instrText xml:space="preserve"> PAGEREF _Toc197351269 \h </w:instrText>
      </w:r>
      <w:r>
        <w:rPr>
          <w:b w:val="0"/>
        </w:rPr>
        <w:fldChar w:fldCharType="separate"/>
      </w:r>
      <w:r>
        <w:rPr>
          <w:b w:val="0"/>
        </w:rPr>
        <w:t>99</w:t>
      </w:r>
      <w:r>
        <w:rPr>
          <w:b w:val="0"/>
        </w:rPr>
        <w:fldChar w:fldCharType="end"/>
      </w:r>
      <w:r>
        <w:rPr>
          <w:b w:val="0"/>
        </w:rPr>
        <w:fldChar w:fldCharType="end"/>
      </w:r>
    </w:p>
    <w:p w14:paraId="6FB1694E">
      <w:pPr>
        <w:pStyle w:val="20"/>
        <w:tabs>
          <w:tab w:val="right" w:leader="dot" w:pos="9054"/>
        </w:tabs>
        <w:spacing w:before="120" w:after="120"/>
        <w:rPr>
          <w:rFonts w:eastAsiaTheme="minorEastAsia"/>
          <w:lang w:eastAsia="tr-TR"/>
        </w:rPr>
      </w:pPr>
      <w:r>
        <w:fldChar w:fldCharType="begin"/>
      </w:r>
      <w:r>
        <w:instrText xml:space="preserve"> HYPERLINK \l "_Toc197351270" </w:instrText>
      </w:r>
      <w:r>
        <w:fldChar w:fldCharType="separate"/>
      </w:r>
      <w:r>
        <w:rPr>
          <w:rStyle w:val="15"/>
        </w:rPr>
        <w:t>3.6.1.1. Ölçek Geliştirme Süreci</w:t>
      </w:r>
      <w:r>
        <w:tab/>
      </w:r>
      <w:r>
        <w:fldChar w:fldCharType="begin"/>
      </w:r>
      <w:r>
        <w:instrText xml:space="preserve"> PAGEREF _Toc197351270 \h </w:instrText>
      </w:r>
      <w:r>
        <w:fldChar w:fldCharType="separate"/>
      </w:r>
      <w:r>
        <w:t>100</w:t>
      </w:r>
      <w:r>
        <w:fldChar w:fldCharType="end"/>
      </w:r>
      <w:r>
        <w:fldChar w:fldCharType="end"/>
      </w:r>
    </w:p>
    <w:p w14:paraId="65DE3E7E">
      <w:pPr>
        <w:pStyle w:val="20"/>
        <w:tabs>
          <w:tab w:val="right" w:leader="dot" w:pos="9054"/>
        </w:tabs>
        <w:spacing w:before="120" w:after="120"/>
        <w:rPr>
          <w:rFonts w:eastAsiaTheme="minorEastAsia"/>
          <w:lang w:eastAsia="tr-TR"/>
        </w:rPr>
      </w:pPr>
      <w:r>
        <w:fldChar w:fldCharType="begin"/>
      </w:r>
      <w:r>
        <w:instrText xml:space="preserve"> HYPERLINK \l "_Toc197351271" </w:instrText>
      </w:r>
      <w:r>
        <w:fldChar w:fldCharType="separate"/>
      </w:r>
      <w:r>
        <w:rPr>
          <w:rStyle w:val="15"/>
        </w:rPr>
        <w:t>3.6.1.2. Kapsam Geçerliği</w:t>
      </w:r>
      <w:r>
        <w:tab/>
      </w:r>
      <w:r>
        <w:fldChar w:fldCharType="begin"/>
      </w:r>
      <w:r>
        <w:instrText xml:space="preserve"> PAGEREF _Toc197351271 \h </w:instrText>
      </w:r>
      <w:r>
        <w:fldChar w:fldCharType="separate"/>
      </w:r>
      <w:r>
        <w:t>101</w:t>
      </w:r>
      <w:r>
        <w:fldChar w:fldCharType="end"/>
      </w:r>
      <w:r>
        <w:fldChar w:fldCharType="end"/>
      </w:r>
    </w:p>
    <w:p w14:paraId="36303D2A">
      <w:pPr>
        <w:pStyle w:val="20"/>
        <w:tabs>
          <w:tab w:val="right" w:leader="dot" w:pos="9054"/>
        </w:tabs>
        <w:spacing w:before="120" w:after="120"/>
        <w:rPr>
          <w:rFonts w:eastAsiaTheme="minorEastAsia"/>
          <w:lang w:eastAsia="tr-TR"/>
        </w:rPr>
      </w:pPr>
      <w:r>
        <w:fldChar w:fldCharType="begin"/>
      </w:r>
      <w:r>
        <w:instrText xml:space="preserve"> HYPERLINK \l "_Toc197351272" </w:instrText>
      </w:r>
      <w:r>
        <w:fldChar w:fldCharType="separate"/>
      </w:r>
      <w:r>
        <w:rPr>
          <w:rStyle w:val="15"/>
        </w:rPr>
        <w:t>3.6.1.3. Yapı Geçerliği</w:t>
      </w:r>
      <w:r>
        <w:tab/>
      </w:r>
      <w:r>
        <w:fldChar w:fldCharType="begin"/>
      </w:r>
      <w:r>
        <w:instrText xml:space="preserve"> PAGEREF _Toc197351272 \h </w:instrText>
      </w:r>
      <w:r>
        <w:fldChar w:fldCharType="separate"/>
      </w:r>
      <w:r>
        <w:t>102</w:t>
      </w:r>
      <w:r>
        <w:fldChar w:fldCharType="end"/>
      </w:r>
      <w:r>
        <w:fldChar w:fldCharType="end"/>
      </w:r>
    </w:p>
    <w:p w14:paraId="7B45F7B9">
      <w:pPr>
        <w:pStyle w:val="20"/>
        <w:tabs>
          <w:tab w:val="right" w:leader="dot" w:pos="9054"/>
        </w:tabs>
        <w:spacing w:before="120" w:after="120"/>
        <w:rPr>
          <w:rFonts w:eastAsiaTheme="minorEastAsia"/>
          <w:lang w:eastAsia="tr-TR"/>
        </w:rPr>
      </w:pPr>
      <w:r>
        <w:fldChar w:fldCharType="begin"/>
      </w:r>
      <w:r>
        <w:instrText xml:space="preserve"> HYPERLINK \l "_Toc197351273" </w:instrText>
      </w:r>
      <w:r>
        <w:fldChar w:fldCharType="separate"/>
      </w:r>
      <w:r>
        <w:rPr>
          <w:rStyle w:val="15"/>
        </w:rPr>
        <w:t>3.6.1.4. Açımlayıcı faktör analizi (AFA)</w:t>
      </w:r>
      <w:r>
        <w:tab/>
      </w:r>
      <w:r>
        <w:fldChar w:fldCharType="begin"/>
      </w:r>
      <w:r>
        <w:instrText xml:space="preserve"> PAGEREF _Toc197351273 \h </w:instrText>
      </w:r>
      <w:r>
        <w:fldChar w:fldCharType="separate"/>
      </w:r>
      <w:r>
        <w:t>103</w:t>
      </w:r>
      <w:r>
        <w:fldChar w:fldCharType="end"/>
      </w:r>
      <w:r>
        <w:fldChar w:fldCharType="end"/>
      </w:r>
    </w:p>
    <w:p w14:paraId="106B33F3">
      <w:pPr>
        <w:pStyle w:val="20"/>
        <w:tabs>
          <w:tab w:val="left" w:pos="1537"/>
          <w:tab w:val="right" w:leader="dot" w:pos="9054"/>
        </w:tabs>
        <w:spacing w:before="120" w:after="120"/>
        <w:rPr>
          <w:rFonts w:eastAsiaTheme="minorEastAsia"/>
          <w:lang w:eastAsia="tr-TR"/>
        </w:rPr>
      </w:pPr>
      <w:r>
        <w:fldChar w:fldCharType="begin"/>
      </w:r>
      <w:r>
        <w:instrText xml:space="preserve"> HYPERLINK \l "_Toc197351274" </w:instrText>
      </w:r>
      <w:r>
        <w:fldChar w:fldCharType="separate"/>
      </w:r>
      <w:r>
        <w:rPr>
          <w:rStyle w:val="15"/>
        </w:rPr>
        <w:t>3.6.1.5.</w:t>
      </w:r>
      <w:r>
        <w:rPr>
          <w:rFonts w:eastAsiaTheme="minorEastAsia"/>
          <w:lang w:eastAsia="tr-TR"/>
        </w:rPr>
        <w:t xml:space="preserve"> </w:t>
      </w:r>
      <w:r>
        <w:rPr>
          <w:rStyle w:val="15"/>
        </w:rPr>
        <w:t>Kaiser-Meyer-Olkin (KMO) Örnekleme Yeterliliği ve Barlett Küresellik Testi</w:t>
      </w:r>
      <w:r>
        <w:tab/>
      </w:r>
      <w:r>
        <w:fldChar w:fldCharType="begin"/>
      </w:r>
      <w:r>
        <w:instrText xml:space="preserve"> PAGEREF _Toc197351274 \h </w:instrText>
      </w:r>
      <w:r>
        <w:fldChar w:fldCharType="separate"/>
      </w:r>
      <w:r>
        <w:t>103</w:t>
      </w:r>
      <w:r>
        <w:fldChar w:fldCharType="end"/>
      </w:r>
      <w:r>
        <w:fldChar w:fldCharType="end"/>
      </w:r>
    </w:p>
    <w:p w14:paraId="5A44C873">
      <w:pPr>
        <w:pStyle w:val="20"/>
        <w:tabs>
          <w:tab w:val="left" w:pos="1537"/>
          <w:tab w:val="right" w:leader="dot" w:pos="9054"/>
        </w:tabs>
        <w:spacing w:before="120" w:after="120"/>
      </w:pPr>
      <w:r>
        <w:fldChar w:fldCharType="begin"/>
      </w:r>
      <w:r>
        <w:instrText xml:space="preserve"> HYPERLINK \l "_Toc197351275" </w:instrText>
      </w:r>
      <w:r>
        <w:fldChar w:fldCharType="separate"/>
      </w:r>
      <w:r>
        <w:rPr>
          <w:rStyle w:val="15"/>
        </w:rPr>
        <w:t>3.6.1.6.</w:t>
      </w:r>
      <w:r>
        <w:rPr>
          <w:rFonts w:eastAsiaTheme="minorEastAsia"/>
          <w:lang w:eastAsia="tr-TR"/>
        </w:rPr>
        <w:t xml:space="preserve"> </w:t>
      </w:r>
      <w:r>
        <w:rPr>
          <w:rStyle w:val="15"/>
        </w:rPr>
        <w:t>Doğrulayıcı faktör analizi</w:t>
      </w:r>
      <w:r>
        <w:tab/>
      </w:r>
      <w:r>
        <w:fldChar w:fldCharType="begin"/>
      </w:r>
      <w:r>
        <w:instrText xml:space="preserve"> PAGEREF _Toc197351275 \h </w:instrText>
      </w:r>
      <w:r>
        <w:fldChar w:fldCharType="separate"/>
      </w:r>
      <w:r>
        <w:t>110</w:t>
      </w:r>
      <w:r>
        <w:fldChar w:fldCharType="end"/>
      </w:r>
      <w:r>
        <w:fldChar w:fldCharType="end"/>
      </w:r>
    </w:p>
    <w:p w14:paraId="3F1EF8F5">
      <w:pPr>
        <w:pStyle w:val="20"/>
        <w:tabs>
          <w:tab w:val="left" w:pos="1537"/>
          <w:tab w:val="right" w:leader="dot" w:pos="9054"/>
        </w:tabs>
        <w:spacing w:before="120" w:after="120"/>
        <w:jc w:val="right"/>
        <w:rPr>
          <w:rFonts w:eastAsiaTheme="minorEastAsia"/>
          <w:b/>
          <w:lang w:eastAsia="tr-TR"/>
        </w:rPr>
      </w:pPr>
      <w:r>
        <w:rPr>
          <w:rFonts w:eastAsiaTheme="minorEastAsia"/>
          <w:b/>
          <w:lang w:eastAsia="tr-TR"/>
        </w:rPr>
        <w:t>Sayfa</w:t>
      </w:r>
    </w:p>
    <w:p w14:paraId="4FCC9A4A">
      <w:pPr>
        <w:pStyle w:val="20"/>
        <w:tabs>
          <w:tab w:val="left" w:pos="1537"/>
          <w:tab w:val="right" w:leader="dot" w:pos="9054"/>
        </w:tabs>
        <w:spacing w:before="120" w:after="120"/>
        <w:rPr>
          <w:rFonts w:eastAsiaTheme="minorEastAsia"/>
          <w:lang w:eastAsia="tr-TR"/>
        </w:rPr>
      </w:pPr>
      <w:r>
        <w:fldChar w:fldCharType="begin"/>
      </w:r>
      <w:r>
        <w:instrText xml:space="preserve"> HYPERLINK \l "_Toc197351276" </w:instrText>
      </w:r>
      <w:r>
        <w:fldChar w:fldCharType="separate"/>
      </w:r>
      <w:r>
        <w:rPr>
          <w:rStyle w:val="15"/>
        </w:rPr>
        <w:t>3.6.1.7.</w:t>
      </w:r>
      <w:r>
        <w:rPr>
          <w:rFonts w:eastAsiaTheme="minorEastAsia"/>
          <w:lang w:eastAsia="tr-TR"/>
        </w:rPr>
        <w:t xml:space="preserve"> </w:t>
      </w:r>
      <w:r>
        <w:rPr>
          <w:rStyle w:val="15"/>
        </w:rPr>
        <w:t>Yaşam Kalitesi Ölçeği Geçerlilik ve Güvenirlik Analizleri</w:t>
      </w:r>
      <w:r>
        <w:tab/>
      </w:r>
      <w:r>
        <w:fldChar w:fldCharType="begin"/>
      </w:r>
      <w:r>
        <w:instrText xml:space="preserve"> PAGEREF _Toc197351276 \h </w:instrText>
      </w:r>
      <w:r>
        <w:fldChar w:fldCharType="separate"/>
      </w:r>
      <w:r>
        <w:t>114</w:t>
      </w:r>
      <w:r>
        <w:fldChar w:fldCharType="end"/>
      </w:r>
      <w:r>
        <w:fldChar w:fldCharType="end"/>
      </w:r>
    </w:p>
    <w:p w14:paraId="0E88593D">
      <w:pPr>
        <w:pStyle w:val="20"/>
        <w:tabs>
          <w:tab w:val="left" w:pos="1537"/>
          <w:tab w:val="right" w:leader="dot" w:pos="9054"/>
        </w:tabs>
        <w:spacing w:before="120" w:after="120"/>
        <w:rPr>
          <w:rFonts w:eastAsiaTheme="minorEastAsia"/>
          <w:lang w:eastAsia="tr-TR"/>
        </w:rPr>
      </w:pPr>
      <w:r>
        <w:fldChar w:fldCharType="begin"/>
      </w:r>
      <w:r>
        <w:instrText xml:space="preserve"> HYPERLINK \l "_Toc197351277" </w:instrText>
      </w:r>
      <w:r>
        <w:fldChar w:fldCharType="separate"/>
      </w:r>
      <w:r>
        <w:rPr>
          <w:rStyle w:val="15"/>
        </w:rPr>
        <w:t>3.6.1.8.</w:t>
      </w:r>
      <w:r>
        <w:rPr>
          <w:rFonts w:eastAsiaTheme="minorEastAsia"/>
          <w:lang w:eastAsia="tr-TR"/>
        </w:rPr>
        <w:t xml:space="preserve"> </w:t>
      </w:r>
      <w:r>
        <w:rPr>
          <w:rStyle w:val="15"/>
        </w:rPr>
        <w:t>Güvenirlik Analiz Sonuçları</w:t>
      </w:r>
      <w:r>
        <w:tab/>
      </w:r>
      <w:r>
        <w:fldChar w:fldCharType="begin"/>
      </w:r>
      <w:r>
        <w:instrText xml:space="preserve"> PAGEREF _Toc197351277 \h </w:instrText>
      </w:r>
      <w:r>
        <w:fldChar w:fldCharType="separate"/>
      </w:r>
      <w:r>
        <w:t>117</w:t>
      </w:r>
      <w:r>
        <w:fldChar w:fldCharType="end"/>
      </w:r>
      <w:r>
        <w:fldChar w:fldCharType="end"/>
      </w:r>
    </w:p>
    <w:p w14:paraId="7918531B">
      <w:pPr>
        <w:pStyle w:val="17"/>
        <w:tabs>
          <w:tab w:val="right" w:leader="dot" w:pos="9054"/>
        </w:tabs>
        <w:spacing w:before="120" w:after="120"/>
        <w:rPr>
          <w:rFonts w:eastAsiaTheme="minorEastAsia"/>
          <w:b w:val="0"/>
          <w:bCs w:val="0"/>
          <w:sz w:val="24"/>
          <w:szCs w:val="24"/>
          <w:lang w:eastAsia="tr-TR"/>
        </w:rPr>
      </w:pPr>
      <w:r>
        <w:fldChar w:fldCharType="begin"/>
      </w:r>
      <w:r>
        <w:instrText xml:space="preserve"> HYPERLINK \l "_Toc197351278" </w:instrText>
      </w:r>
      <w:r>
        <w:fldChar w:fldCharType="separate"/>
      </w:r>
      <w:r>
        <w:rPr>
          <w:rStyle w:val="15"/>
          <w:b w:val="0"/>
          <w:sz w:val="24"/>
          <w:szCs w:val="24"/>
        </w:rPr>
        <w:t>4.</w:t>
      </w:r>
      <w:r>
        <w:rPr>
          <w:rFonts w:eastAsiaTheme="minorEastAsia"/>
          <w:b w:val="0"/>
          <w:bCs w:val="0"/>
          <w:sz w:val="24"/>
          <w:szCs w:val="24"/>
          <w:lang w:eastAsia="tr-TR"/>
        </w:rPr>
        <w:tab/>
      </w:r>
      <w:r>
        <w:rPr>
          <w:rStyle w:val="15"/>
          <w:b w:val="0"/>
          <w:sz w:val="24"/>
          <w:szCs w:val="24"/>
        </w:rPr>
        <w:t>BULGULAR,</w:t>
      </w:r>
      <w:r>
        <w:rPr>
          <w:rStyle w:val="15"/>
          <w:b w:val="0"/>
          <w:spacing w:val="-5"/>
          <w:sz w:val="24"/>
          <w:szCs w:val="24"/>
        </w:rPr>
        <w:t xml:space="preserve"> </w:t>
      </w:r>
      <w:r>
        <w:rPr>
          <w:rStyle w:val="15"/>
          <w:b w:val="0"/>
          <w:sz w:val="24"/>
          <w:szCs w:val="24"/>
        </w:rPr>
        <w:t>ANALİZLER</w:t>
      </w:r>
      <w:r>
        <w:rPr>
          <w:rStyle w:val="15"/>
          <w:b w:val="0"/>
          <w:spacing w:val="-2"/>
          <w:sz w:val="24"/>
          <w:szCs w:val="24"/>
        </w:rPr>
        <w:t xml:space="preserve"> </w:t>
      </w:r>
      <w:r>
        <w:rPr>
          <w:rStyle w:val="15"/>
          <w:b w:val="0"/>
          <w:sz w:val="24"/>
          <w:szCs w:val="24"/>
        </w:rPr>
        <w:t>VE</w:t>
      </w:r>
      <w:r>
        <w:rPr>
          <w:rStyle w:val="15"/>
          <w:b w:val="0"/>
          <w:spacing w:val="-2"/>
          <w:sz w:val="24"/>
          <w:szCs w:val="24"/>
        </w:rPr>
        <w:t xml:space="preserve"> YORUMLAR</w:t>
      </w:r>
      <w:r>
        <w:rPr>
          <w:b w:val="0"/>
          <w:sz w:val="24"/>
          <w:szCs w:val="24"/>
        </w:rPr>
        <w:tab/>
      </w:r>
      <w:r>
        <w:rPr>
          <w:b w:val="0"/>
          <w:sz w:val="24"/>
          <w:szCs w:val="24"/>
        </w:rPr>
        <w:fldChar w:fldCharType="begin"/>
      </w:r>
      <w:r>
        <w:rPr>
          <w:b w:val="0"/>
          <w:sz w:val="24"/>
          <w:szCs w:val="24"/>
        </w:rPr>
        <w:instrText xml:space="preserve"> PAGEREF _Toc197351278 \h </w:instrText>
      </w:r>
      <w:r>
        <w:rPr>
          <w:b w:val="0"/>
          <w:sz w:val="24"/>
          <w:szCs w:val="24"/>
        </w:rPr>
        <w:fldChar w:fldCharType="separate"/>
      </w:r>
      <w:r>
        <w:rPr>
          <w:b w:val="0"/>
          <w:sz w:val="24"/>
          <w:szCs w:val="24"/>
        </w:rPr>
        <w:t>120</w:t>
      </w:r>
      <w:r>
        <w:rPr>
          <w:b w:val="0"/>
          <w:sz w:val="24"/>
          <w:szCs w:val="24"/>
        </w:rPr>
        <w:fldChar w:fldCharType="end"/>
      </w:r>
      <w:r>
        <w:rPr>
          <w:b w:val="0"/>
          <w:sz w:val="24"/>
          <w:szCs w:val="24"/>
        </w:rPr>
        <w:fldChar w:fldCharType="end"/>
      </w:r>
    </w:p>
    <w:p w14:paraId="2C28F752">
      <w:pPr>
        <w:pStyle w:val="18"/>
        <w:tabs>
          <w:tab w:val="right" w:leader="dot" w:pos="9054"/>
        </w:tabs>
        <w:spacing w:before="120" w:after="120"/>
        <w:rPr>
          <w:rFonts w:eastAsiaTheme="minorEastAsia"/>
          <w:b w:val="0"/>
          <w:bCs w:val="0"/>
          <w:sz w:val="24"/>
          <w:szCs w:val="24"/>
          <w:lang w:eastAsia="tr-TR"/>
        </w:rPr>
      </w:pPr>
      <w:r>
        <w:fldChar w:fldCharType="begin"/>
      </w:r>
      <w:r>
        <w:instrText xml:space="preserve"> HYPERLINK \l "_Toc197351279" </w:instrText>
      </w:r>
      <w:r>
        <w:fldChar w:fldCharType="separate"/>
      </w:r>
      <w:r>
        <w:rPr>
          <w:rStyle w:val="15"/>
          <w:b w:val="0"/>
          <w:sz w:val="24"/>
          <w:szCs w:val="24"/>
        </w:rPr>
        <w:t>4.1. Betimsel Analize İlişkin Bulgular</w:t>
      </w:r>
      <w:r>
        <w:rPr>
          <w:b w:val="0"/>
          <w:sz w:val="24"/>
          <w:szCs w:val="24"/>
        </w:rPr>
        <w:tab/>
      </w:r>
      <w:r>
        <w:rPr>
          <w:b w:val="0"/>
          <w:sz w:val="24"/>
          <w:szCs w:val="24"/>
        </w:rPr>
        <w:fldChar w:fldCharType="begin"/>
      </w:r>
      <w:r>
        <w:rPr>
          <w:b w:val="0"/>
          <w:sz w:val="24"/>
          <w:szCs w:val="24"/>
        </w:rPr>
        <w:instrText xml:space="preserve"> PAGEREF _Toc197351279 \h </w:instrText>
      </w:r>
      <w:r>
        <w:rPr>
          <w:b w:val="0"/>
          <w:sz w:val="24"/>
          <w:szCs w:val="24"/>
        </w:rPr>
        <w:fldChar w:fldCharType="separate"/>
      </w:r>
      <w:r>
        <w:rPr>
          <w:b w:val="0"/>
          <w:sz w:val="24"/>
          <w:szCs w:val="24"/>
        </w:rPr>
        <w:t>120</w:t>
      </w:r>
      <w:r>
        <w:rPr>
          <w:b w:val="0"/>
          <w:sz w:val="24"/>
          <w:szCs w:val="24"/>
        </w:rPr>
        <w:fldChar w:fldCharType="end"/>
      </w:r>
      <w:r>
        <w:rPr>
          <w:b w:val="0"/>
          <w:sz w:val="24"/>
          <w:szCs w:val="24"/>
        </w:rPr>
        <w:fldChar w:fldCharType="end"/>
      </w:r>
    </w:p>
    <w:p w14:paraId="7C2D11F1">
      <w:pPr>
        <w:pStyle w:val="19"/>
        <w:tabs>
          <w:tab w:val="right" w:leader="dot" w:pos="9054"/>
        </w:tabs>
        <w:spacing w:before="120" w:after="120"/>
        <w:rPr>
          <w:rFonts w:eastAsiaTheme="minorEastAsia"/>
          <w:b w:val="0"/>
          <w:bCs w:val="0"/>
          <w:lang w:eastAsia="tr-TR"/>
        </w:rPr>
      </w:pPr>
      <w:r>
        <w:fldChar w:fldCharType="begin"/>
      </w:r>
      <w:r>
        <w:instrText xml:space="preserve"> HYPERLINK \l "_Toc197351280" </w:instrText>
      </w:r>
      <w:r>
        <w:fldChar w:fldCharType="separate"/>
      </w:r>
      <w:r>
        <w:rPr>
          <w:rStyle w:val="15"/>
          <w:b w:val="0"/>
        </w:rPr>
        <w:t>4.1.1. Sanal Rekreasyon Ölçeği'ne İlişkin Bulgular</w:t>
      </w:r>
      <w:r>
        <w:rPr>
          <w:b w:val="0"/>
        </w:rPr>
        <w:tab/>
      </w:r>
      <w:r>
        <w:rPr>
          <w:b w:val="0"/>
        </w:rPr>
        <w:fldChar w:fldCharType="begin"/>
      </w:r>
      <w:r>
        <w:rPr>
          <w:b w:val="0"/>
        </w:rPr>
        <w:instrText xml:space="preserve"> PAGEREF _Toc197351280 \h </w:instrText>
      </w:r>
      <w:r>
        <w:rPr>
          <w:b w:val="0"/>
        </w:rPr>
        <w:fldChar w:fldCharType="separate"/>
      </w:r>
      <w:r>
        <w:rPr>
          <w:b w:val="0"/>
        </w:rPr>
        <w:t>120</w:t>
      </w:r>
      <w:r>
        <w:rPr>
          <w:b w:val="0"/>
        </w:rPr>
        <w:fldChar w:fldCharType="end"/>
      </w:r>
      <w:r>
        <w:rPr>
          <w:b w:val="0"/>
        </w:rPr>
        <w:fldChar w:fldCharType="end"/>
      </w:r>
    </w:p>
    <w:p w14:paraId="3DA84A08">
      <w:pPr>
        <w:pStyle w:val="19"/>
        <w:tabs>
          <w:tab w:val="right" w:leader="dot" w:pos="9054"/>
        </w:tabs>
        <w:spacing w:before="120" w:after="120"/>
        <w:rPr>
          <w:rFonts w:eastAsiaTheme="minorEastAsia"/>
          <w:b w:val="0"/>
          <w:bCs w:val="0"/>
          <w:lang w:eastAsia="tr-TR"/>
        </w:rPr>
      </w:pPr>
      <w:r>
        <w:fldChar w:fldCharType="begin"/>
      </w:r>
      <w:r>
        <w:instrText xml:space="preserve"> HYPERLINK \l "_Toc197351281" </w:instrText>
      </w:r>
      <w:r>
        <w:fldChar w:fldCharType="separate"/>
      </w:r>
      <w:r>
        <w:rPr>
          <w:rStyle w:val="15"/>
          <w:b w:val="0"/>
        </w:rPr>
        <w:t>4.1.2. Yaşam Kalitesi Ölçeği'ne İlişkin Bulgular</w:t>
      </w:r>
      <w:r>
        <w:rPr>
          <w:b w:val="0"/>
        </w:rPr>
        <w:tab/>
      </w:r>
      <w:r>
        <w:rPr>
          <w:b w:val="0"/>
        </w:rPr>
        <w:fldChar w:fldCharType="begin"/>
      </w:r>
      <w:r>
        <w:rPr>
          <w:b w:val="0"/>
        </w:rPr>
        <w:instrText xml:space="preserve"> PAGEREF _Toc197351281 \h </w:instrText>
      </w:r>
      <w:r>
        <w:rPr>
          <w:b w:val="0"/>
        </w:rPr>
        <w:fldChar w:fldCharType="separate"/>
      </w:r>
      <w:r>
        <w:rPr>
          <w:b w:val="0"/>
        </w:rPr>
        <w:t>128</w:t>
      </w:r>
      <w:r>
        <w:rPr>
          <w:b w:val="0"/>
        </w:rPr>
        <w:fldChar w:fldCharType="end"/>
      </w:r>
      <w:r>
        <w:rPr>
          <w:b w:val="0"/>
        </w:rPr>
        <w:fldChar w:fldCharType="end"/>
      </w:r>
    </w:p>
    <w:p w14:paraId="0EFB8456">
      <w:pPr>
        <w:pStyle w:val="18"/>
        <w:tabs>
          <w:tab w:val="right" w:leader="dot" w:pos="9054"/>
        </w:tabs>
        <w:spacing w:before="120" w:after="120"/>
        <w:rPr>
          <w:rFonts w:eastAsiaTheme="minorEastAsia"/>
          <w:b w:val="0"/>
          <w:bCs w:val="0"/>
          <w:sz w:val="24"/>
          <w:szCs w:val="24"/>
          <w:lang w:eastAsia="tr-TR"/>
        </w:rPr>
      </w:pPr>
      <w:r>
        <w:fldChar w:fldCharType="begin"/>
      </w:r>
      <w:r>
        <w:instrText xml:space="preserve"> HYPERLINK \l "_Toc197351282" </w:instrText>
      </w:r>
      <w:r>
        <w:fldChar w:fldCharType="separate"/>
      </w:r>
      <w:r>
        <w:rPr>
          <w:rStyle w:val="15"/>
          <w:b w:val="0"/>
          <w:sz w:val="24"/>
          <w:szCs w:val="24"/>
        </w:rPr>
        <w:t>4.2. Hipotezlerin Test Edilmesine İlişkin Bulgular</w:t>
      </w:r>
      <w:r>
        <w:rPr>
          <w:b w:val="0"/>
          <w:sz w:val="24"/>
          <w:szCs w:val="24"/>
        </w:rPr>
        <w:tab/>
      </w:r>
      <w:r>
        <w:rPr>
          <w:b w:val="0"/>
          <w:sz w:val="24"/>
          <w:szCs w:val="24"/>
        </w:rPr>
        <w:fldChar w:fldCharType="begin"/>
      </w:r>
      <w:r>
        <w:rPr>
          <w:b w:val="0"/>
          <w:sz w:val="24"/>
          <w:szCs w:val="24"/>
        </w:rPr>
        <w:instrText xml:space="preserve"> PAGEREF _Toc197351282 \h </w:instrText>
      </w:r>
      <w:r>
        <w:rPr>
          <w:b w:val="0"/>
          <w:sz w:val="24"/>
          <w:szCs w:val="24"/>
        </w:rPr>
        <w:fldChar w:fldCharType="separate"/>
      </w:r>
      <w:r>
        <w:rPr>
          <w:b w:val="0"/>
          <w:sz w:val="24"/>
          <w:szCs w:val="24"/>
        </w:rPr>
        <w:t>132</w:t>
      </w:r>
      <w:r>
        <w:rPr>
          <w:b w:val="0"/>
          <w:sz w:val="24"/>
          <w:szCs w:val="24"/>
        </w:rPr>
        <w:fldChar w:fldCharType="end"/>
      </w:r>
      <w:r>
        <w:rPr>
          <w:b w:val="0"/>
          <w:sz w:val="24"/>
          <w:szCs w:val="24"/>
        </w:rPr>
        <w:fldChar w:fldCharType="end"/>
      </w:r>
    </w:p>
    <w:p w14:paraId="0E23D3B5">
      <w:pPr>
        <w:pStyle w:val="19"/>
        <w:tabs>
          <w:tab w:val="right" w:leader="dot" w:pos="9054"/>
        </w:tabs>
        <w:spacing w:before="120" w:after="120"/>
        <w:rPr>
          <w:rFonts w:eastAsiaTheme="minorEastAsia"/>
          <w:b w:val="0"/>
          <w:bCs w:val="0"/>
          <w:lang w:eastAsia="tr-TR"/>
        </w:rPr>
      </w:pPr>
      <w:r>
        <w:fldChar w:fldCharType="begin"/>
      </w:r>
      <w:r>
        <w:instrText xml:space="preserve"> HYPERLINK \l "_Toc197351283" </w:instrText>
      </w:r>
      <w:r>
        <w:fldChar w:fldCharType="separate"/>
      </w:r>
      <w:r>
        <w:rPr>
          <w:rStyle w:val="15"/>
          <w:b w:val="0"/>
        </w:rPr>
        <w:t>4.2.1. Birinci Hipotezin Test Edilmesine İlişkin Bulgular</w:t>
      </w:r>
      <w:r>
        <w:rPr>
          <w:b w:val="0"/>
        </w:rPr>
        <w:tab/>
      </w:r>
      <w:r>
        <w:rPr>
          <w:b w:val="0"/>
        </w:rPr>
        <w:fldChar w:fldCharType="begin"/>
      </w:r>
      <w:r>
        <w:rPr>
          <w:b w:val="0"/>
        </w:rPr>
        <w:instrText xml:space="preserve"> PAGEREF _Toc197351283 \h </w:instrText>
      </w:r>
      <w:r>
        <w:rPr>
          <w:b w:val="0"/>
        </w:rPr>
        <w:fldChar w:fldCharType="separate"/>
      </w:r>
      <w:r>
        <w:rPr>
          <w:b w:val="0"/>
        </w:rPr>
        <w:t>132</w:t>
      </w:r>
      <w:r>
        <w:rPr>
          <w:b w:val="0"/>
        </w:rPr>
        <w:fldChar w:fldCharType="end"/>
      </w:r>
      <w:r>
        <w:rPr>
          <w:b w:val="0"/>
        </w:rPr>
        <w:fldChar w:fldCharType="end"/>
      </w:r>
    </w:p>
    <w:p w14:paraId="40E19DDB">
      <w:pPr>
        <w:pStyle w:val="19"/>
        <w:tabs>
          <w:tab w:val="right" w:leader="dot" w:pos="9054"/>
        </w:tabs>
        <w:spacing w:before="120" w:after="120"/>
        <w:rPr>
          <w:rFonts w:eastAsiaTheme="minorEastAsia"/>
          <w:b w:val="0"/>
          <w:bCs w:val="0"/>
          <w:lang w:eastAsia="tr-TR"/>
        </w:rPr>
      </w:pPr>
      <w:r>
        <w:fldChar w:fldCharType="begin"/>
      </w:r>
      <w:r>
        <w:instrText xml:space="preserve"> HYPERLINK \l "_Toc197351284" </w:instrText>
      </w:r>
      <w:r>
        <w:fldChar w:fldCharType="separate"/>
      </w:r>
      <w:r>
        <w:rPr>
          <w:rStyle w:val="15"/>
          <w:b w:val="0"/>
        </w:rPr>
        <w:t>4.2.2. İkinci Hipotezin Test Edilmesine İlişkin Bulgular</w:t>
      </w:r>
      <w:r>
        <w:rPr>
          <w:b w:val="0"/>
        </w:rPr>
        <w:tab/>
      </w:r>
      <w:r>
        <w:rPr>
          <w:b w:val="0"/>
        </w:rPr>
        <w:fldChar w:fldCharType="begin"/>
      </w:r>
      <w:r>
        <w:rPr>
          <w:b w:val="0"/>
        </w:rPr>
        <w:instrText xml:space="preserve"> PAGEREF _Toc197351284 \h </w:instrText>
      </w:r>
      <w:r>
        <w:rPr>
          <w:b w:val="0"/>
        </w:rPr>
        <w:fldChar w:fldCharType="separate"/>
      </w:r>
      <w:r>
        <w:rPr>
          <w:b w:val="0"/>
        </w:rPr>
        <w:t>132</w:t>
      </w:r>
      <w:r>
        <w:rPr>
          <w:b w:val="0"/>
        </w:rPr>
        <w:fldChar w:fldCharType="end"/>
      </w:r>
      <w:r>
        <w:rPr>
          <w:b w:val="0"/>
        </w:rPr>
        <w:fldChar w:fldCharType="end"/>
      </w:r>
    </w:p>
    <w:p w14:paraId="06C27C04">
      <w:pPr>
        <w:pStyle w:val="20"/>
        <w:tabs>
          <w:tab w:val="right" w:leader="dot" w:pos="9054"/>
        </w:tabs>
        <w:spacing w:before="120" w:after="120"/>
        <w:rPr>
          <w:rFonts w:eastAsiaTheme="minorEastAsia"/>
          <w:lang w:eastAsia="tr-TR"/>
        </w:rPr>
      </w:pPr>
      <w:r>
        <w:fldChar w:fldCharType="begin"/>
      </w:r>
      <w:r>
        <w:instrText xml:space="preserve"> HYPERLINK \l "_Toc197351285" </w:instrText>
      </w:r>
      <w:r>
        <w:fldChar w:fldCharType="separate"/>
      </w:r>
      <w:r>
        <w:rPr>
          <w:rStyle w:val="15"/>
        </w:rPr>
        <w:t>4.2.2.1. Cinsiyet Açısından Öğretmenlerin Sanal Rekreasyon Deneyimlerinin İstatistiksel İncelenmesi</w:t>
      </w:r>
      <w:r>
        <w:tab/>
      </w:r>
      <w:r>
        <w:fldChar w:fldCharType="begin"/>
      </w:r>
      <w:r>
        <w:instrText xml:space="preserve"> PAGEREF _Toc197351285 \h </w:instrText>
      </w:r>
      <w:r>
        <w:fldChar w:fldCharType="separate"/>
      </w:r>
      <w:r>
        <w:t>133</w:t>
      </w:r>
      <w:r>
        <w:fldChar w:fldCharType="end"/>
      </w:r>
      <w:r>
        <w:fldChar w:fldCharType="end"/>
      </w:r>
    </w:p>
    <w:p w14:paraId="64BABD54">
      <w:pPr>
        <w:pStyle w:val="20"/>
        <w:tabs>
          <w:tab w:val="right" w:leader="dot" w:pos="9054"/>
        </w:tabs>
        <w:spacing w:before="120" w:after="120"/>
        <w:ind w:left="975" w:hanging="601"/>
        <w:rPr>
          <w:rFonts w:eastAsiaTheme="minorEastAsia"/>
          <w:lang w:eastAsia="tr-TR"/>
        </w:rPr>
      </w:pPr>
      <w:r>
        <w:fldChar w:fldCharType="begin"/>
      </w:r>
      <w:r>
        <w:instrText xml:space="preserve"> HYPERLINK \l "_Toc197351286" </w:instrText>
      </w:r>
      <w:r>
        <w:fldChar w:fldCharType="separate"/>
      </w:r>
      <w:r>
        <w:rPr>
          <w:rStyle w:val="15"/>
        </w:rPr>
        <w:t xml:space="preserve">4.2.2.2. Kıdem </w:t>
      </w:r>
      <w:r>
        <w:rPr>
          <w:rStyle w:val="15"/>
          <w:u w:val="none"/>
        </w:rPr>
        <w:t>Yılı</w:t>
      </w:r>
      <w:r>
        <w:rPr>
          <w:rStyle w:val="15"/>
        </w:rPr>
        <w:t xml:space="preserve"> Açısından Öğretmenlerin Sanal Rekreasyon Deneyimlerinin İstatistiksel İncelenmesi</w:t>
      </w:r>
      <w:r>
        <w:tab/>
      </w:r>
      <w:r>
        <w:fldChar w:fldCharType="begin"/>
      </w:r>
      <w:r>
        <w:instrText xml:space="preserve"> PAGEREF _Toc197351286 \h </w:instrText>
      </w:r>
      <w:r>
        <w:fldChar w:fldCharType="separate"/>
      </w:r>
      <w:r>
        <w:t>133</w:t>
      </w:r>
      <w:r>
        <w:fldChar w:fldCharType="end"/>
      </w:r>
      <w:r>
        <w:fldChar w:fldCharType="end"/>
      </w:r>
    </w:p>
    <w:p w14:paraId="491CF0BA">
      <w:pPr>
        <w:pStyle w:val="20"/>
        <w:tabs>
          <w:tab w:val="right" w:leader="dot" w:pos="9054"/>
        </w:tabs>
        <w:spacing w:before="120" w:after="120"/>
        <w:rPr>
          <w:rFonts w:eastAsiaTheme="minorEastAsia"/>
          <w:lang w:eastAsia="tr-TR"/>
        </w:rPr>
      </w:pPr>
      <w:r>
        <w:fldChar w:fldCharType="begin"/>
      </w:r>
      <w:r>
        <w:instrText xml:space="preserve"> HYPERLINK \l "_Toc197351287" </w:instrText>
      </w:r>
      <w:r>
        <w:fldChar w:fldCharType="separate"/>
      </w:r>
      <w:r>
        <w:rPr>
          <w:rStyle w:val="15"/>
        </w:rPr>
        <w:t>4.2.2.3. Eğitim Durumları Açısından Öğretmenlerin Sanal Rekreasyon Deneyimlerinin İstatistiksel İncelenmesi</w:t>
      </w:r>
      <w:r>
        <w:tab/>
      </w:r>
      <w:r>
        <w:fldChar w:fldCharType="begin"/>
      </w:r>
      <w:r>
        <w:instrText xml:space="preserve"> PAGEREF _Toc197351287 \h </w:instrText>
      </w:r>
      <w:r>
        <w:fldChar w:fldCharType="separate"/>
      </w:r>
      <w:r>
        <w:t>134</w:t>
      </w:r>
      <w:r>
        <w:fldChar w:fldCharType="end"/>
      </w:r>
      <w:r>
        <w:fldChar w:fldCharType="end"/>
      </w:r>
    </w:p>
    <w:p w14:paraId="2D79EB3C">
      <w:pPr>
        <w:pStyle w:val="20"/>
        <w:tabs>
          <w:tab w:val="right" w:leader="dot" w:pos="9054"/>
        </w:tabs>
        <w:spacing w:before="120" w:after="120"/>
        <w:rPr>
          <w:rFonts w:eastAsiaTheme="minorEastAsia"/>
          <w:lang w:eastAsia="tr-TR"/>
        </w:rPr>
      </w:pPr>
      <w:r>
        <w:fldChar w:fldCharType="begin"/>
      </w:r>
      <w:r>
        <w:instrText xml:space="preserve"> HYPERLINK \l "_Toc197351288" </w:instrText>
      </w:r>
      <w:r>
        <w:fldChar w:fldCharType="separate"/>
      </w:r>
      <w:r>
        <w:rPr>
          <w:rStyle w:val="15"/>
        </w:rPr>
        <w:t>4.2.2.3. YaşlarıAçısından Öğretmenlerin Sanal Rekreasyon Deneyimlerinin İstatistiksel İncelenmesi</w:t>
      </w:r>
      <w:r>
        <w:tab/>
      </w:r>
      <w:r>
        <w:fldChar w:fldCharType="begin"/>
      </w:r>
      <w:r>
        <w:instrText xml:space="preserve"> PAGEREF _Toc197351288 \h </w:instrText>
      </w:r>
      <w:r>
        <w:fldChar w:fldCharType="separate"/>
      </w:r>
      <w:r>
        <w:t>135</w:t>
      </w:r>
      <w:r>
        <w:fldChar w:fldCharType="end"/>
      </w:r>
      <w:r>
        <w:fldChar w:fldCharType="end"/>
      </w:r>
    </w:p>
    <w:p w14:paraId="4ED59A33">
      <w:pPr>
        <w:pStyle w:val="20"/>
        <w:tabs>
          <w:tab w:val="left" w:pos="2149"/>
          <w:tab w:val="right" w:leader="dot" w:pos="9054"/>
        </w:tabs>
        <w:spacing w:before="120" w:after="120"/>
        <w:rPr>
          <w:rFonts w:eastAsiaTheme="minorEastAsia"/>
          <w:lang w:eastAsia="tr-TR"/>
        </w:rPr>
      </w:pPr>
      <w:r>
        <w:fldChar w:fldCharType="begin"/>
      </w:r>
      <w:r>
        <w:instrText xml:space="preserve"> HYPERLINK \l "_Toc197351289" </w:instrText>
      </w:r>
      <w:r>
        <w:fldChar w:fldCharType="separate"/>
      </w:r>
      <w:r>
        <w:rPr>
          <w:rStyle w:val="15"/>
        </w:rPr>
        <w:t>4.2.2.4. Medeni</w:t>
      </w:r>
      <w:r>
        <w:rPr>
          <w:rFonts w:eastAsiaTheme="minorEastAsia"/>
          <w:lang w:eastAsia="tr-TR"/>
        </w:rPr>
        <w:tab/>
      </w:r>
      <w:r>
        <w:rPr>
          <w:rStyle w:val="15"/>
        </w:rPr>
        <w:t>Durum Açısından Öğretmenlerin Sanal Rekreasyon Deneyimlerinin İstatistiksel İncelenmesi</w:t>
      </w:r>
      <w:r>
        <w:tab/>
      </w:r>
      <w:r>
        <w:fldChar w:fldCharType="begin"/>
      </w:r>
      <w:r>
        <w:instrText xml:space="preserve"> PAGEREF _Toc197351289 \h </w:instrText>
      </w:r>
      <w:r>
        <w:fldChar w:fldCharType="separate"/>
      </w:r>
      <w:r>
        <w:t>136</w:t>
      </w:r>
      <w:r>
        <w:fldChar w:fldCharType="end"/>
      </w:r>
      <w:r>
        <w:fldChar w:fldCharType="end"/>
      </w:r>
    </w:p>
    <w:p w14:paraId="4EBCE5FF">
      <w:pPr>
        <w:pStyle w:val="20"/>
        <w:tabs>
          <w:tab w:val="right" w:leader="dot" w:pos="9054"/>
        </w:tabs>
        <w:spacing w:before="120" w:after="120"/>
        <w:rPr>
          <w:rFonts w:eastAsiaTheme="minorEastAsia"/>
          <w:lang w:eastAsia="tr-TR"/>
        </w:rPr>
      </w:pPr>
      <w:r>
        <w:fldChar w:fldCharType="begin"/>
      </w:r>
      <w:r>
        <w:instrText xml:space="preserve"> HYPERLINK \l "_Toc197351290" </w:instrText>
      </w:r>
      <w:r>
        <w:fldChar w:fldCharType="separate"/>
      </w:r>
      <w:r>
        <w:rPr>
          <w:rStyle w:val="15"/>
        </w:rPr>
        <w:t>4.2.2.5. Gelir Düzeyleri Açısından Öğretmenlerin Sanal Rekreasyon Deneyimlerinin İstatistiksel İncelenmesi</w:t>
      </w:r>
      <w:r>
        <w:tab/>
      </w:r>
      <w:r>
        <w:fldChar w:fldCharType="begin"/>
      </w:r>
      <w:r>
        <w:instrText xml:space="preserve"> PAGEREF _Toc197351290 \h </w:instrText>
      </w:r>
      <w:r>
        <w:fldChar w:fldCharType="separate"/>
      </w:r>
      <w:r>
        <w:t>137</w:t>
      </w:r>
      <w:r>
        <w:fldChar w:fldCharType="end"/>
      </w:r>
      <w:r>
        <w:fldChar w:fldCharType="end"/>
      </w:r>
    </w:p>
    <w:p w14:paraId="09759DDE">
      <w:pPr>
        <w:pStyle w:val="17"/>
        <w:tabs>
          <w:tab w:val="right" w:leader="dot" w:pos="9054"/>
        </w:tabs>
        <w:spacing w:before="120" w:after="120"/>
        <w:rPr>
          <w:rFonts w:eastAsiaTheme="minorEastAsia"/>
          <w:b w:val="0"/>
          <w:bCs w:val="0"/>
          <w:sz w:val="24"/>
          <w:szCs w:val="24"/>
          <w:lang w:eastAsia="tr-TR"/>
        </w:rPr>
      </w:pPr>
      <w:r>
        <w:fldChar w:fldCharType="begin"/>
      </w:r>
      <w:r>
        <w:instrText xml:space="preserve"> HYPERLINK \l "_Toc197351291" </w:instrText>
      </w:r>
      <w:r>
        <w:fldChar w:fldCharType="separate"/>
      </w:r>
      <w:r>
        <w:rPr>
          <w:rStyle w:val="15"/>
          <w:b w:val="0"/>
          <w:sz w:val="24"/>
          <w:szCs w:val="24"/>
        </w:rPr>
        <w:t>5.</w:t>
      </w:r>
      <w:r>
        <w:rPr>
          <w:rFonts w:eastAsiaTheme="minorEastAsia"/>
          <w:b w:val="0"/>
          <w:bCs w:val="0"/>
          <w:sz w:val="24"/>
          <w:szCs w:val="24"/>
          <w:lang w:eastAsia="tr-TR"/>
        </w:rPr>
        <w:tab/>
      </w:r>
      <w:r>
        <w:rPr>
          <w:rStyle w:val="15"/>
          <w:b w:val="0"/>
          <w:sz w:val="24"/>
          <w:szCs w:val="24"/>
        </w:rPr>
        <w:t>TARTIŞMA,</w:t>
      </w:r>
      <w:r>
        <w:rPr>
          <w:rStyle w:val="15"/>
          <w:b w:val="0"/>
          <w:spacing w:val="-3"/>
          <w:sz w:val="24"/>
          <w:szCs w:val="24"/>
        </w:rPr>
        <w:t xml:space="preserve"> </w:t>
      </w:r>
      <w:r>
        <w:rPr>
          <w:rStyle w:val="15"/>
          <w:b w:val="0"/>
          <w:sz w:val="24"/>
          <w:szCs w:val="24"/>
        </w:rPr>
        <w:t>SONUÇ</w:t>
      </w:r>
      <w:r>
        <w:rPr>
          <w:rStyle w:val="15"/>
          <w:b w:val="0"/>
          <w:spacing w:val="-3"/>
          <w:sz w:val="24"/>
          <w:szCs w:val="24"/>
        </w:rPr>
        <w:t xml:space="preserve"> </w:t>
      </w:r>
      <w:r>
        <w:rPr>
          <w:rStyle w:val="15"/>
          <w:b w:val="0"/>
          <w:sz w:val="24"/>
          <w:szCs w:val="24"/>
        </w:rPr>
        <w:t>VE</w:t>
      </w:r>
      <w:r>
        <w:rPr>
          <w:rStyle w:val="15"/>
          <w:b w:val="0"/>
          <w:spacing w:val="-2"/>
          <w:sz w:val="24"/>
          <w:szCs w:val="24"/>
        </w:rPr>
        <w:t xml:space="preserve"> ÖNERİLER</w:t>
      </w:r>
      <w:r>
        <w:rPr>
          <w:b w:val="0"/>
          <w:sz w:val="24"/>
          <w:szCs w:val="24"/>
        </w:rPr>
        <w:tab/>
      </w:r>
      <w:r>
        <w:rPr>
          <w:b w:val="0"/>
          <w:sz w:val="24"/>
          <w:szCs w:val="24"/>
        </w:rPr>
        <w:fldChar w:fldCharType="begin"/>
      </w:r>
      <w:r>
        <w:rPr>
          <w:b w:val="0"/>
          <w:sz w:val="24"/>
          <w:szCs w:val="24"/>
        </w:rPr>
        <w:instrText xml:space="preserve"> PAGEREF _Toc197351291 \h </w:instrText>
      </w:r>
      <w:r>
        <w:rPr>
          <w:b w:val="0"/>
          <w:sz w:val="24"/>
          <w:szCs w:val="24"/>
        </w:rPr>
        <w:fldChar w:fldCharType="separate"/>
      </w:r>
      <w:r>
        <w:rPr>
          <w:b w:val="0"/>
          <w:sz w:val="24"/>
          <w:szCs w:val="24"/>
        </w:rPr>
        <w:t>140</w:t>
      </w:r>
      <w:r>
        <w:rPr>
          <w:b w:val="0"/>
          <w:sz w:val="24"/>
          <w:szCs w:val="24"/>
        </w:rPr>
        <w:fldChar w:fldCharType="end"/>
      </w:r>
      <w:r>
        <w:rPr>
          <w:b w:val="0"/>
          <w:sz w:val="24"/>
          <w:szCs w:val="24"/>
        </w:rPr>
        <w:fldChar w:fldCharType="end"/>
      </w:r>
    </w:p>
    <w:p w14:paraId="4BA5D50F">
      <w:pPr>
        <w:pStyle w:val="17"/>
        <w:tabs>
          <w:tab w:val="right" w:leader="dot" w:pos="9054"/>
        </w:tabs>
        <w:spacing w:before="120" w:after="120"/>
        <w:rPr>
          <w:rFonts w:eastAsiaTheme="minorEastAsia"/>
          <w:b w:val="0"/>
          <w:bCs w:val="0"/>
          <w:sz w:val="24"/>
          <w:szCs w:val="24"/>
          <w:lang w:eastAsia="tr-TR"/>
        </w:rPr>
      </w:pPr>
      <w:r>
        <w:fldChar w:fldCharType="begin"/>
      </w:r>
      <w:r>
        <w:instrText xml:space="preserve"> HYPERLINK \l "_Toc197351292" </w:instrText>
      </w:r>
      <w:r>
        <w:fldChar w:fldCharType="separate"/>
      </w:r>
      <w:r>
        <w:rPr>
          <w:rStyle w:val="15"/>
          <w:b w:val="0"/>
          <w:spacing w:val="-2"/>
          <w:sz w:val="24"/>
          <w:szCs w:val="24"/>
        </w:rPr>
        <w:t>KAYNAKÇA</w:t>
      </w:r>
      <w:r>
        <w:rPr>
          <w:b w:val="0"/>
          <w:sz w:val="24"/>
          <w:szCs w:val="24"/>
        </w:rPr>
        <w:tab/>
      </w:r>
      <w:r>
        <w:rPr>
          <w:b w:val="0"/>
          <w:sz w:val="24"/>
          <w:szCs w:val="24"/>
        </w:rPr>
        <w:fldChar w:fldCharType="begin"/>
      </w:r>
      <w:r>
        <w:rPr>
          <w:b w:val="0"/>
          <w:sz w:val="24"/>
          <w:szCs w:val="24"/>
        </w:rPr>
        <w:instrText xml:space="preserve"> PAGEREF _Toc197351292 \h </w:instrText>
      </w:r>
      <w:r>
        <w:rPr>
          <w:b w:val="0"/>
          <w:sz w:val="24"/>
          <w:szCs w:val="24"/>
        </w:rPr>
        <w:fldChar w:fldCharType="separate"/>
      </w:r>
      <w:r>
        <w:rPr>
          <w:b w:val="0"/>
          <w:sz w:val="24"/>
          <w:szCs w:val="24"/>
        </w:rPr>
        <w:t>152</w:t>
      </w:r>
      <w:r>
        <w:rPr>
          <w:b w:val="0"/>
          <w:sz w:val="24"/>
          <w:szCs w:val="24"/>
        </w:rPr>
        <w:fldChar w:fldCharType="end"/>
      </w:r>
      <w:r>
        <w:rPr>
          <w:b w:val="0"/>
          <w:sz w:val="24"/>
          <w:szCs w:val="24"/>
        </w:rPr>
        <w:fldChar w:fldCharType="end"/>
      </w:r>
    </w:p>
    <w:p w14:paraId="14EEED83">
      <w:pPr>
        <w:pStyle w:val="17"/>
        <w:tabs>
          <w:tab w:val="right" w:leader="dot" w:pos="9054"/>
        </w:tabs>
        <w:spacing w:before="120" w:after="120"/>
        <w:rPr>
          <w:rFonts w:eastAsiaTheme="minorEastAsia"/>
          <w:b w:val="0"/>
          <w:bCs w:val="0"/>
          <w:sz w:val="24"/>
          <w:szCs w:val="24"/>
          <w:lang w:eastAsia="tr-TR"/>
        </w:rPr>
      </w:pPr>
      <w:r>
        <w:fldChar w:fldCharType="begin"/>
      </w:r>
      <w:r>
        <w:instrText xml:space="preserve"> HYPERLINK \l "_Toc197351293" </w:instrText>
      </w:r>
      <w:r>
        <w:fldChar w:fldCharType="separate"/>
      </w:r>
      <w:r>
        <w:rPr>
          <w:rStyle w:val="15"/>
          <w:b w:val="0"/>
          <w:spacing w:val="-2"/>
          <w:sz w:val="24"/>
          <w:szCs w:val="24"/>
        </w:rPr>
        <w:t>Ekler</w:t>
      </w:r>
      <w:r>
        <w:rPr>
          <w:b w:val="0"/>
          <w:sz w:val="24"/>
          <w:szCs w:val="24"/>
        </w:rPr>
        <w:tab/>
      </w:r>
      <w:r>
        <w:rPr>
          <w:b w:val="0"/>
          <w:sz w:val="24"/>
          <w:szCs w:val="24"/>
        </w:rPr>
        <w:fldChar w:fldCharType="begin"/>
      </w:r>
      <w:r>
        <w:rPr>
          <w:b w:val="0"/>
          <w:sz w:val="24"/>
          <w:szCs w:val="24"/>
        </w:rPr>
        <w:instrText xml:space="preserve"> PAGEREF _Toc197351293 \h </w:instrText>
      </w:r>
      <w:r>
        <w:rPr>
          <w:b w:val="0"/>
          <w:sz w:val="24"/>
          <w:szCs w:val="24"/>
        </w:rPr>
        <w:fldChar w:fldCharType="separate"/>
      </w:r>
      <w:r>
        <w:rPr>
          <w:b w:val="0"/>
          <w:sz w:val="24"/>
          <w:szCs w:val="24"/>
        </w:rPr>
        <w:t>179</w:t>
      </w:r>
      <w:r>
        <w:rPr>
          <w:b w:val="0"/>
          <w:sz w:val="24"/>
          <w:szCs w:val="24"/>
        </w:rPr>
        <w:fldChar w:fldCharType="end"/>
      </w:r>
      <w:r>
        <w:rPr>
          <w:b w:val="0"/>
          <w:sz w:val="24"/>
          <w:szCs w:val="24"/>
        </w:rPr>
        <w:fldChar w:fldCharType="end"/>
      </w:r>
    </w:p>
    <w:p w14:paraId="43461574">
      <w:pPr>
        <w:pStyle w:val="17"/>
        <w:tabs>
          <w:tab w:val="right" w:leader="dot" w:pos="9054"/>
        </w:tabs>
        <w:spacing w:before="120" w:after="120"/>
        <w:rPr>
          <w:rFonts w:eastAsiaTheme="minorEastAsia"/>
          <w:b w:val="0"/>
          <w:bCs w:val="0"/>
          <w:sz w:val="24"/>
          <w:szCs w:val="24"/>
          <w:lang w:eastAsia="tr-TR"/>
        </w:rPr>
      </w:pPr>
      <w:r>
        <w:fldChar w:fldCharType="begin"/>
      </w:r>
      <w:r>
        <w:instrText xml:space="preserve"> HYPERLINK \l "_Toc197351294" </w:instrText>
      </w:r>
      <w:r>
        <w:fldChar w:fldCharType="separate"/>
      </w:r>
      <w:r>
        <w:fldChar w:fldCharType="end"/>
      </w:r>
    </w:p>
    <w:p w14:paraId="0009D577">
      <w:pPr>
        <w:rPr>
          <w:sz w:val="24"/>
          <w:szCs w:val="24"/>
        </w:rPr>
        <w:sectPr>
          <w:pgSz w:w="11900" w:h="16850"/>
          <w:pgMar w:top="1985" w:right="1418" w:bottom="1418" w:left="1418" w:header="0" w:footer="652" w:gutter="0"/>
          <w:pgNumType w:fmt="lowerRoman"/>
          <w:cols w:space="720" w:num="1"/>
        </w:sectPr>
      </w:pPr>
      <w:r>
        <w:rPr>
          <w:sz w:val="24"/>
          <w:szCs w:val="24"/>
        </w:rPr>
        <w:fldChar w:fldCharType="end"/>
      </w:r>
    </w:p>
    <w:p w14:paraId="3C1556C5">
      <w:pPr>
        <w:pStyle w:val="2"/>
        <w:spacing w:before="240" w:after="240" w:line="360" w:lineRule="auto"/>
        <w:ind w:left="3249"/>
        <w:jc w:val="left"/>
      </w:pPr>
      <w:bookmarkStart w:id="18" w:name="_Toc195877764"/>
      <w:bookmarkStart w:id="19" w:name="_Toc195875780"/>
      <w:bookmarkStart w:id="20" w:name="_Toc197351217"/>
      <w:r>
        <w:t>TABLOLARIN</w:t>
      </w:r>
      <w:r>
        <w:rPr>
          <w:spacing w:val="-1"/>
        </w:rPr>
        <w:t xml:space="preserve"> </w:t>
      </w:r>
      <w:r>
        <w:rPr>
          <w:spacing w:val="-2"/>
        </w:rPr>
        <w:t>LİSTESİ</w:t>
      </w:r>
      <w:bookmarkEnd w:id="18"/>
      <w:bookmarkEnd w:id="19"/>
      <w:bookmarkEnd w:id="20"/>
    </w:p>
    <w:p w14:paraId="3FA102EC">
      <w:pPr>
        <w:rPr>
          <w:b/>
          <w:spacing w:val="-2"/>
        </w:rPr>
      </w:pPr>
      <w:r>
        <w:rPr>
          <w:b/>
          <w:spacing w:val="-2"/>
        </w:rPr>
        <w:t>Tablo</w:t>
      </w:r>
      <w:r>
        <w:rPr>
          <w:b/>
          <w:spacing w:val="-2"/>
        </w:rPr>
        <w:tab/>
      </w:r>
      <w:r>
        <w:rPr>
          <w:b/>
          <w:spacing w:val="-2"/>
        </w:rPr>
        <w:tab/>
      </w:r>
      <w:r>
        <w:rPr>
          <w:b/>
          <w:spacing w:val="-2"/>
        </w:rPr>
        <w:tab/>
      </w:r>
      <w:r>
        <w:rPr>
          <w:b/>
          <w:spacing w:val="-2"/>
        </w:rPr>
        <w:tab/>
      </w:r>
      <w:r>
        <w:rPr>
          <w:b/>
          <w:spacing w:val="-2"/>
        </w:rPr>
        <w:tab/>
      </w:r>
      <w:r>
        <w:rPr>
          <w:b/>
          <w:spacing w:val="-2"/>
        </w:rPr>
        <w:tab/>
      </w:r>
      <w:r>
        <w:rPr>
          <w:b/>
          <w:spacing w:val="-2"/>
        </w:rPr>
        <w:tab/>
      </w:r>
      <w:r>
        <w:rPr>
          <w:b/>
          <w:spacing w:val="-2"/>
        </w:rPr>
        <w:tab/>
      </w:r>
      <w:r>
        <w:rPr>
          <w:b/>
          <w:spacing w:val="-2"/>
        </w:rPr>
        <w:tab/>
      </w:r>
      <w:r>
        <w:rPr>
          <w:b/>
          <w:spacing w:val="-2"/>
        </w:rPr>
        <w:tab/>
      </w:r>
      <w:r>
        <w:rPr>
          <w:b/>
          <w:spacing w:val="-2"/>
        </w:rPr>
        <w:tab/>
      </w:r>
      <w:r>
        <w:rPr>
          <w:b/>
          <w:spacing w:val="-2"/>
        </w:rPr>
        <w:t xml:space="preserve">          Sayfa</w:t>
      </w:r>
    </w:p>
    <w:p w14:paraId="51BD2E22">
      <w:pPr>
        <w:pStyle w:val="3"/>
        <w:ind w:left="0"/>
        <w:jc w:val="left"/>
      </w:pPr>
    </w:p>
    <w:p w14:paraId="5F165758">
      <w:pPr>
        <w:pStyle w:val="9"/>
        <w:tabs>
          <w:tab w:val="left" w:leader="dot" w:pos="8384"/>
        </w:tabs>
        <w:spacing w:before="120" w:after="120" w:line="360" w:lineRule="auto"/>
        <w:ind w:left="0"/>
        <w:jc w:val="left"/>
        <w:rPr>
          <w:spacing w:val="-10"/>
        </w:rPr>
      </w:pPr>
      <w:r>
        <w:rPr>
          <w:b/>
          <w:spacing w:val="-2"/>
        </w:rPr>
        <w:t>Tablo 3.1</w:t>
      </w:r>
      <w:r>
        <w:rPr>
          <w:spacing w:val="-2"/>
        </w:rPr>
        <w:t>.</w:t>
      </w:r>
      <w:r>
        <w:t xml:space="preserve"> Demografik</w:t>
      </w:r>
      <w:r>
        <w:rPr>
          <w:spacing w:val="-1"/>
        </w:rPr>
        <w:t xml:space="preserve"> </w:t>
      </w:r>
      <w:r>
        <w:t>Değişkenlere</w:t>
      </w:r>
      <w:r>
        <w:rPr>
          <w:spacing w:val="-3"/>
        </w:rPr>
        <w:t xml:space="preserve"> </w:t>
      </w:r>
      <w:r>
        <w:t>Göre</w:t>
      </w:r>
      <w:r>
        <w:rPr>
          <w:spacing w:val="-2"/>
        </w:rPr>
        <w:t xml:space="preserve"> </w:t>
      </w:r>
      <w:r>
        <w:t>Frekans</w:t>
      </w:r>
      <w:r>
        <w:rPr>
          <w:spacing w:val="1"/>
        </w:rPr>
        <w:t xml:space="preserve"> </w:t>
      </w:r>
      <w:r>
        <w:t>ve</w:t>
      </w:r>
      <w:r>
        <w:rPr>
          <w:spacing w:val="-2"/>
        </w:rPr>
        <w:t xml:space="preserve"> </w:t>
      </w:r>
      <w:r>
        <w:t>Yüzdelik</w:t>
      </w:r>
      <w:r>
        <w:rPr>
          <w:spacing w:val="-1"/>
        </w:rPr>
        <w:t xml:space="preserve"> </w:t>
      </w:r>
      <w:r>
        <w:rPr>
          <w:spacing w:val="-2"/>
        </w:rPr>
        <w:t>Dağılım</w:t>
      </w:r>
      <w:r>
        <w:tab/>
      </w:r>
      <w:r>
        <w:tab/>
      </w:r>
      <w:r>
        <w:t xml:space="preserve"> </w:t>
      </w:r>
      <w:r>
        <w:rPr>
          <w:spacing w:val="-10"/>
        </w:rPr>
        <w:t>108</w:t>
      </w:r>
    </w:p>
    <w:p w14:paraId="0E0F32F9">
      <w:pPr>
        <w:pStyle w:val="9"/>
        <w:tabs>
          <w:tab w:val="left" w:leader="dot" w:pos="8384"/>
        </w:tabs>
        <w:spacing w:before="120" w:after="120" w:line="360" w:lineRule="auto"/>
        <w:ind w:left="0"/>
        <w:jc w:val="left"/>
        <w:rPr>
          <w:spacing w:val="-5"/>
        </w:rPr>
      </w:pPr>
      <w:r>
        <w:rPr>
          <w:b/>
          <w:spacing w:val="-2"/>
        </w:rPr>
        <w:t>Tablo 3.2.</w:t>
      </w:r>
      <w:r>
        <w:t xml:space="preserve"> Ölçek Geliştirme Örneği</w:t>
      </w:r>
      <w:r>
        <w:rPr>
          <w:spacing w:val="-2"/>
        </w:rPr>
        <w:t>.</w:t>
      </w:r>
      <w:r>
        <w:tab/>
      </w:r>
      <w:r>
        <w:tab/>
      </w:r>
      <w:r>
        <w:t xml:space="preserve"> </w:t>
      </w:r>
      <w:r>
        <w:rPr>
          <w:spacing w:val="-5"/>
        </w:rPr>
        <w:t>116</w:t>
      </w:r>
    </w:p>
    <w:p w14:paraId="25EDBC16">
      <w:pPr>
        <w:pStyle w:val="9"/>
        <w:tabs>
          <w:tab w:val="left" w:leader="dot" w:pos="8384"/>
        </w:tabs>
        <w:spacing w:before="120" w:after="120" w:line="360" w:lineRule="auto"/>
        <w:ind w:left="0"/>
        <w:jc w:val="left"/>
      </w:pPr>
      <w:r>
        <w:rPr>
          <w:b/>
          <w:spacing w:val="-2"/>
        </w:rPr>
        <w:t>Tablo 3.3.</w:t>
      </w:r>
      <w:r>
        <w:t xml:space="preserve"> KMO</w:t>
      </w:r>
      <w:r>
        <w:rPr>
          <w:spacing w:val="-2"/>
        </w:rPr>
        <w:t xml:space="preserve"> </w:t>
      </w:r>
      <w:r>
        <w:t>ve Bartlett</w:t>
      </w:r>
      <w:r>
        <w:rPr>
          <w:spacing w:val="-1"/>
        </w:rPr>
        <w:t xml:space="preserve"> </w:t>
      </w:r>
      <w:r>
        <w:rPr>
          <w:spacing w:val="-2"/>
        </w:rPr>
        <w:t>Değerleri.</w:t>
      </w:r>
      <w:r>
        <w:tab/>
      </w:r>
      <w:r>
        <w:tab/>
      </w:r>
      <w:r>
        <w:t xml:space="preserve"> </w:t>
      </w:r>
      <w:r>
        <w:rPr>
          <w:spacing w:val="-5"/>
        </w:rPr>
        <w:t>119</w:t>
      </w:r>
    </w:p>
    <w:p w14:paraId="6B99235F">
      <w:pPr>
        <w:pStyle w:val="9"/>
        <w:tabs>
          <w:tab w:val="left" w:leader="dot" w:pos="8384"/>
        </w:tabs>
        <w:spacing w:before="120" w:after="120" w:line="360" w:lineRule="auto"/>
        <w:ind w:left="0"/>
        <w:jc w:val="left"/>
      </w:pPr>
      <w:r>
        <w:rPr>
          <w:b/>
          <w:spacing w:val="-2"/>
        </w:rPr>
        <w:t>Tablo 3.4.</w:t>
      </w:r>
      <w:r>
        <w:t xml:space="preserve"> Faktör</w:t>
      </w:r>
      <w:r>
        <w:rPr>
          <w:spacing w:val="-1"/>
        </w:rPr>
        <w:t xml:space="preserve"> </w:t>
      </w:r>
      <w:r>
        <w:t>Analizi</w:t>
      </w:r>
      <w:r>
        <w:rPr>
          <w:spacing w:val="-1"/>
        </w:rPr>
        <w:t xml:space="preserve"> </w:t>
      </w:r>
      <w:r>
        <w:rPr>
          <w:spacing w:val="-2"/>
        </w:rPr>
        <w:t>Sonuçları.</w:t>
      </w:r>
      <w:r>
        <w:tab/>
      </w:r>
      <w:r>
        <w:tab/>
      </w:r>
      <w:r>
        <w:t xml:space="preserve"> </w:t>
      </w:r>
      <w:r>
        <w:rPr>
          <w:spacing w:val="-5"/>
        </w:rPr>
        <w:t>120</w:t>
      </w:r>
    </w:p>
    <w:p w14:paraId="1970EE70">
      <w:pPr>
        <w:pStyle w:val="9"/>
        <w:tabs>
          <w:tab w:val="left" w:leader="dot" w:pos="8384"/>
        </w:tabs>
        <w:spacing w:before="120" w:after="120" w:line="360" w:lineRule="auto"/>
        <w:ind w:left="0"/>
        <w:jc w:val="left"/>
      </w:pPr>
      <w:r>
        <w:rPr>
          <w:b/>
          <w:spacing w:val="-2"/>
        </w:rPr>
        <w:t>Tablo 3.5.</w:t>
      </w:r>
      <w:r>
        <w:t xml:space="preserve"> Ölçeğe</w:t>
      </w:r>
      <w:r>
        <w:rPr>
          <w:spacing w:val="-3"/>
        </w:rPr>
        <w:t xml:space="preserve"> </w:t>
      </w:r>
      <w:r>
        <w:t>ilişkin</w:t>
      </w:r>
      <w:r>
        <w:rPr>
          <w:spacing w:val="-2"/>
        </w:rPr>
        <w:t xml:space="preserve"> </w:t>
      </w:r>
      <w:r>
        <w:t>Özdeğerleri</w:t>
      </w:r>
      <w:r>
        <w:rPr>
          <w:spacing w:val="-2"/>
        </w:rPr>
        <w:t xml:space="preserve"> </w:t>
      </w:r>
      <w:r>
        <w:t>ve</w:t>
      </w:r>
      <w:r>
        <w:rPr>
          <w:spacing w:val="-1"/>
        </w:rPr>
        <w:t xml:space="preserve"> </w:t>
      </w:r>
      <w:r>
        <w:t>açıklanan</w:t>
      </w:r>
      <w:r>
        <w:rPr>
          <w:spacing w:val="-2"/>
        </w:rPr>
        <w:t xml:space="preserve"> </w:t>
      </w:r>
      <w:r>
        <w:t>varyans</w:t>
      </w:r>
      <w:r>
        <w:rPr>
          <w:spacing w:val="3"/>
        </w:rPr>
        <w:t xml:space="preserve"> </w:t>
      </w:r>
      <w:r>
        <w:rPr>
          <w:spacing w:val="-2"/>
        </w:rPr>
        <w:t>yüzdeleri.</w:t>
      </w:r>
      <w:r>
        <w:tab/>
      </w:r>
      <w:r>
        <w:tab/>
      </w:r>
      <w:r>
        <w:t xml:space="preserve"> </w:t>
      </w:r>
      <w:r>
        <w:rPr>
          <w:spacing w:val="-5"/>
        </w:rPr>
        <w:t>122</w:t>
      </w:r>
    </w:p>
    <w:p w14:paraId="0972D201">
      <w:pPr>
        <w:pStyle w:val="9"/>
        <w:tabs>
          <w:tab w:val="left" w:leader="dot" w:pos="8384"/>
        </w:tabs>
        <w:spacing w:before="120" w:after="120" w:line="360" w:lineRule="auto"/>
        <w:ind w:left="0"/>
        <w:jc w:val="left"/>
      </w:pPr>
      <w:r>
        <w:rPr>
          <w:b/>
          <w:spacing w:val="-2"/>
        </w:rPr>
        <w:t>Tablo 3.6.</w:t>
      </w:r>
      <w:r>
        <w:t xml:space="preserve"> Uyum İyiliği</w:t>
      </w:r>
      <w:r>
        <w:rPr>
          <w:spacing w:val="-1"/>
        </w:rPr>
        <w:t xml:space="preserve"> </w:t>
      </w:r>
      <w:r>
        <w:t>İndeksleri</w:t>
      </w:r>
      <w:r>
        <w:rPr>
          <w:spacing w:val="-2"/>
        </w:rPr>
        <w:t xml:space="preserve"> </w:t>
      </w:r>
      <w:r>
        <w:t>Normallik</w:t>
      </w:r>
      <w:r>
        <w:rPr>
          <w:spacing w:val="-2"/>
        </w:rPr>
        <w:t xml:space="preserve"> Değerleri.</w:t>
      </w:r>
      <w:r>
        <w:tab/>
      </w:r>
      <w:r>
        <w:tab/>
      </w:r>
      <w:r>
        <w:t xml:space="preserve"> </w:t>
      </w:r>
      <w:r>
        <w:rPr>
          <w:spacing w:val="-5"/>
        </w:rPr>
        <w:t>125</w:t>
      </w:r>
    </w:p>
    <w:p w14:paraId="73174A75">
      <w:pPr>
        <w:pStyle w:val="9"/>
        <w:tabs>
          <w:tab w:val="left" w:leader="dot" w:pos="8384"/>
        </w:tabs>
        <w:spacing w:before="120" w:after="120" w:line="360" w:lineRule="auto"/>
        <w:ind w:left="0"/>
        <w:jc w:val="left"/>
        <w:rPr>
          <w:spacing w:val="-5"/>
        </w:rPr>
      </w:pPr>
      <w:r>
        <w:rPr>
          <w:b/>
          <w:spacing w:val="-2"/>
        </w:rPr>
        <w:t>Tablo 3.7.</w:t>
      </w:r>
      <w:r>
        <w:t xml:space="preserve"> Sanal</w:t>
      </w:r>
      <w:r>
        <w:rPr>
          <w:spacing w:val="-2"/>
        </w:rPr>
        <w:t xml:space="preserve"> </w:t>
      </w:r>
      <w:r>
        <w:t>Rekreasyon</w:t>
      </w:r>
      <w:r>
        <w:rPr>
          <w:spacing w:val="-2"/>
        </w:rPr>
        <w:t xml:space="preserve"> </w:t>
      </w:r>
      <w:r>
        <w:t>Ölçeği Uyum</w:t>
      </w:r>
      <w:r>
        <w:rPr>
          <w:spacing w:val="-1"/>
        </w:rPr>
        <w:t xml:space="preserve"> </w:t>
      </w:r>
      <w:r>
        <w:t>İndeksleri</w:t>
      </w:r>
      <w:r>
        <w:rPr>
          <w:spacing w:val="-1"/>
        </w:rPr>
        <w:t xml:space="preserve"> </w:t>
      </w:r>
      <w:r>
        <w:rPr>
          <w:spacing w:val="-2"/>
        </w:rPr>
        <w:t>Analizi.</w:t>
      </w:r>
      <w:r>
        <w:tab/>
      </w:r>
      <w:r>
        <w:tab/>
      </w:r>
      <w:r>
        <w:t xml:space="preserve"> 126</w:t>
      </w:r>
    </w:p>
    <w:p w14:paraId="737564F7">
      <w:pPr>
        <w:pStyle w:val="9"/>
        <w:tabs>
          <w:tab w:val="left" w:leader="dot" w:pos="8384"/>
        </w:tabs>
        <w:spacing w:before="120" w:after="120" w:line="360" w:lineRule="auto"/>
        <w:ind w:left="0"/>
        <w:jc w:val="left"/>
      </w:pPr>
      <w:r>
        <w:rPr>
          <w:b/>
          <w:spacing w:val="-2"/>
        </w:rPr>
        <w:t>Tablo 3.8.</w:t>
      </w:r>
      <w:r>
        <w:t xml:space="preserve"> Yaşam</w:t>
      </w:r>
      <w:r>
        <w:rPr>
          <w:spacing w:val="-7"/>
        </w:rPr>
        <w:t xml:space="preserve"> </w:t>
      </w:r>
      <w:r>
        <w:t>Kalitesi</w:t>
      </w:r>
      <w:r>
        <w:rPr>
          <w:spacing w:val="-6"/>
        </w:rPr>
        <w:t xml:space="preserve"> </w:t>
      </w:r>
      <w:r>
        <w:t>Ölçeği</w:t>
      </w:r>
      <w:r>
        <w:rPr>
          <w:spacing w:val="47"/>
        </w:rPr>
        <w:t xml:space="preserve"> </w:t>
      </w:r>
      <w:r>
        <w:t>KMO</w:t>
      </w:r>
      <w:r>
        <w:rPr>
          <w:spacing w:val="-7"/>
        </w:rPr>
        <w:t xml:space="preserve"> </w:t>
      </w:r>
      <w:r>
        <w:t>–</w:t>
      </w:r>
      <w:r>
        <w:rPr>
          <w:spacing w:val="-6"/>
        </w:rPr>
        <w:t xml:space="preserve"> </w:t>
      </w:r>
      <w:r>
        <w:t>Barlett’s</w:t>
      </w:r>
      <w:r>
        <w:rPr>
          <w:spacing w:val="-15"/>
        </w:rPr>
        <w:t xml:space="preserve"> </w:t>
      </w:r>
      <w:r>
        <w:rPr>
          <w:spacing w:val="-2"/>
        </w:rPr>
        <w:t>Analizi.</w:t>
      </w:r>
      <w:r>
        <w:tab/>
      </w:r>
      <w:r>
        <w:tab/>
      </w:r>
      <w:r>
        <w:t xml:space="preserve"> </w:t>
      </w:r>
      <w:r>
        <w:rPr>
          <w:spacing w:val="-5"/>
        </w:rPr>
        <w:t>129</w:t>
      </w:r>
    </w:p>
    <w:p w14:paraId="6EC662F0">
      <w:pPr>
        <w:pStyle w:val="9"/>
        <w:tabs>
          <w:tab w:val="left" w:leader="dot" w:pos="8384"/>
        </w:tabs>
        <w:spacing w:before="120" w:after="120" w:line="360" w:lineRule="auto"/>
        <w:ind w:left="0"/>
        <w:jc w:val="left"/>
      </w:pPr>
      <w:r>
        <w:rPr>
          <w:b/>
          <w:spacing w:val="-2"/>
        </w:rPr>
        <w:t>Tablo 3.9.</w:t>
      </w:r>
      <w:r>
        <w:t xml:space="preserve"> Yaşam</w:t>
      </w:r>
      <w:r>
        <w:rPr>
          <w:spacing w:val="-1"/>
        </w:rPr>
        <w:t xml:space="preserve"> </w:t>
      </w:r>
      <w:r>
        <w:t>Kalitesi</w:t>
      </w:r>
      <w:r>
        <w:rPr>
          <w:spacing w:val="-2"/>
        </w:rPr>
        <w:t xml:space="preserve"> </w:t>
      </w:r>
      <w:r>
        <w:t>Ölçeği</w:t>
      </w:r>
      <w:r>
        <w:rPr>
          <w:spacing w:val="-1"/>
        </w:rPr>
        <w:t xml:space="preserve"> </w:t>
      </w:r>
      <w:r>
        <w:t>Açımlayıcı</w:t>
      </w:r>
      <w:r>
        <w:rPr>
          <w:spacing w:val="-1"/>
        </w:rPr>
        <w:t xml:space="preserve"> </w:t>
      </w:r>
      <w:r>
        <w:t>Faktör</w:t>
      </w:r>
      <w:r>
        <w:rPr>
          <w:spacing w:val="-1"/>
        </w:rPr>
        <w:t xml:space="preserve"> </w:t>
      </w:r>
      <w:r>
        <w:rPr>
          <w:spacing w:val="-2"/>
        </w:rPr>
        <w:t>Analizi.</w:t>
      </w:r>
      <w:r>
        <w:tab/>
      </w:r>
      <w:r>
        <w:tab/>
      </w:r>
      <w:r>
        <w:t xml:space="preserve"> </w:t>
      </w:r>
      <w:r>
        <w:rPr>
          <w:spacing w:val="-5"/>
        </w:rPr>
        <w:t>130</w:t>
      </w:r>
    </w:p>
    <w:p w14:paraId="2A79900E">
      <w:pPr>
        <w:pStyle w:val="9"/>
        <w:tabs>
          <w:tab w:val="left" w:leader="dot" w:pos="8384"/>
        </w:tabs>
        <w:spacing w:before="120" w:after="120" w:line="360" w:lineRule="auto"/>
        <w:ind w:left="0"/>
        <w:jc w:val="left"/>
      </w:pPr>
      <w:r>
        <w:rPr>
          <w:b/>
          <w:spacing w:val="-2"/>
        </w:rPr>
        <w:t>Tablo 3.10.</w:t>
      </w:r>
      <w:r>
        <w:t xml:space="preserve"> Yaşam</w:t>
      </w:r>
      <w:r>
        <w:rPr>
          <w:spacing w:val="-10"/>
        </w:rPr>
        <w:t xml:space="preserve"> </w:t>
      </w:r>
      <w:r>
        <w:t>Kalitesi</w:t>
      </w:r>
      <w:r>
        <w:rPr>
          <w:spacing w:val="-6"/>
        </w:rPr>
        <w:t xml:space="preserve"> </w:t>
      </w:r>
      <w:r>
        <w:t>Ölçeği</w:t>
      </w:r>
      <w:r>
        <w:rPr>
          <w:spacing w:val="-7"/>
        </w:rPr>
        <w:t xml:space="preserve"> </w:t>
      </w:r>
      <w:r>
        <w:t>Uyum</w:t>
      </w:r>
      <w:r>
        <w:rPr>
          <w:spacing w:val="-8"/>
        </w:rPr>
        <w:t xml:space="preserve"> </w:t>
      </w:r>
      <w:r>
        <w:t>İndeksleri</w:t>
      </w:r>
      <w:r>
        <w:rPr>
          <w:spacing w:val="-4"/>
        </w:rPr>
        <w:t xml:space="preserve"> </w:t>
      </w:r>
      <w:r>
        <w:rPr>
          <w:spacing w:val="-2"/>
        </w:rPr>
        <w:t>Analizi.</w:t>
      </w:r>
      <w:r>
        <w:tab/>
      </w:r>
      <w:r>
        <w:tab/>
      </w:r>
      <w:r>
        <w:t xml:space="preserve"> </w:t>
      </w:r>
      <w:r>
        <w:rPr>
          <w:spacing w:val="-5"/>
        </w:rPr>
        <w:t>131</w:t>
      </w:r>
    </w:p>
    <w:p w14:paraId="13CC5FA4">
      <w:pPr>
        <w:pStyle w:val="9"/>
        <w:tabs>
          <w:tab w:val="left" w:leader="dot" w:pos="8384"/>
        </w:tabs>
        <w:spacing w:before="120" w:after="120" w:line="360" w:lineRule="auto"/>
        <w:ind w:left="0"/>
        <w:jc w:val="left"/>
      </w:pPr>
      <w:r>
        <w:rPr>
          <w:b/>
          <w:spacing w:val="-2"/>
        </w:rPr>
        <w:t>Tablo 4.1.</w:t>
      </w:r>
      <w:r>
        <w:t xml:space="preserve"> Sanal</w:t>
      </w:r>
      <w:r>
        <w:rPr>
          <w:spacing w:val="-2"/>
        </w:rPr>
        <w:t xml:space="preserve"> </w:t>
      </w:r>
      <w:r>
        <w:t>Rekreasyon</w:t>
      </w:r>
      <w:r>
        <w:rPr>
          <w:spacing w:val="-3"/>
        </w:rPr>
        <w:t xml:space="preserve"> </w:t>
      </w:r>
      <w:r>
        <w:t>Ölçeği Maddelerine</w:t>
      </w:r>
      <w:r>
        <w:rPr>
          <w:spacing w:val="-1"/>
        </w:rPr>
        <w:t xml:space="preserve"> </w:t>
      </w:r>
      <w:r>
        <w:t>İlişkin</w:t>
      </w:r>
      <w:r>
        <w:rPr>
          <w:spacing w:val="-2"/>
        </w:rPr>
        <w:t xml:space="preserve"> </w:t>
      </w:r>
      <w:r>
        <w:t>Betimsel</w:t>
      </w:r>
      <w:r>
        <w:rPr>
          <w:spacing w:val="-2"/>
        </w:rPr>
        <w:t xml:space="preserve"> </w:t>
      </w:r>
      <w:r>
        <w:t>Analiz</w:t>
      </w:r>
      <w:r>
        <w:rPr>
          <w:spacing w:val="1"/>
        </w:rPr>
        <w:t xml:space="preserve"> </w:t>
      </w:r>
      <w:r>
        <w:rPr>
          <w:spacing w:val="-2"/>
        </w:rPr>
        <w:t>Değerleri.</w:t>
      </w:r>
      <w:r>
        <w:tab/>
      </w:r>
      <w:r>
        <w:tab/>
      </w:r>
      <w:r>
        <w:t xml:space="preserve"> </w:t>
      </w:r>
      <w:r>
        <w:rPr>
          <w:spacing w:val="-5"/>
        </w:rPr>
        <w:t>136</w:t>
      </w:r>
    </w:p>
    <w:p w14:paraId="14FC415A">
      <w:pPr>
        <w:pStyle w:val="9"/>
        <w:tabs>
          <w:tab w:val="left" w:leader="dot" w:pos="8384"/>
        </w:tabs>
        <w:spacing w:before="120" w:after="120" w:line="360" w:lineRule="auto"/>
        <w:ind w:left="0"/>
        <w:jc w:val="left"/>
      </w:pPr>
      <w:r>
        <w:rPr>
          <w:b/>
          <w:spacing w:val="-2"/>
        </w:rPr>
        <w:t>Tablo 4.2.</w:t>
      </w:r>
      <w:r>
        <w:t xml:space="preserve"> Yaşam</w:t>
      </w:r>
      <w:r>
        <w:rPr>
          <w:spacing w:val="-1"/>
        </w:rPr>
        <w:t xml:space="preserve"> </w:t>
      </w:r>
      <w:r>
        <w:t>Kalitesi</w:t>
      </w:r>
      <w:r>
        <w:rPr>
          <w:spacing w:val="-2"/>
        </w:rPr>
        <w:t xml:space="preserve"> </w:t>
      </w:r>
      <w:r>
        <w:t>Ölçeği</w:t>
      </w:r>
      <w:r>
        <w:rPr>
          <w:spacing w:val="-1"/>
        </w:rPr>
        <w:t xml:space="preserve"> </w:t>
      </w:r>
      <w:r>
        <w:t>Maddelerine İlişkin</w:t>
      </w:r>
      <w:r>
        <w:rPr>
          <w:spacing w:val="-1"/>
        </w:rPr>
        <w:t xml:space="preserve"> </w:t>
      </w:r>
      <w:r>
        <w:t>Betimsel</w:t>
      </w:r>
      <w:r>
        <w:rPr>
          <w:spacing w:val="-2"/>
        </w:rPr>
        <w:t xml:space="preserve"> </w:t>
      </w:r>
      <w:r>
        <w:t>Analiz</w:t>
      </w:r>
      <w:r>
        <w:rPr>
          <w:spacing w:val="1"/>
        </w:rPr>
        <w:t xml:space="preserve"> </w:t>
      </w:r>
      <w:r>
        <w:rPr>
          <w:spacing w:val="-2"/>
        </w:rPr>
        <w:t>Değerleri.</w:t>
      </w:r>
      <w:r>
        <w:tab/>
      </w:r>
      <w:r>
        <w:tab/>
      </w:r>
      <w:r>
        <w:t xml:space="preserve"> </w:t>
      </w:r>
      <w:r>
        <w:rPr>
          <w:spacing w:val="-5"/>
        </w:rPr>
        <w:t>143</w:t>
      </w:r>
    </w:p>
    <w:p w14:paraId="5AB4075F">
      <w:pPr>
        <w:pStyle w:val="9"/>
        <w:tabs>
          <w:tab w:val="left" w:leader="dot" w:pos="8384"/>
        </w:tabs>
        <w:spacing w:before="120" w:after="120" w:line="360" w:lineRule="auto"/>
        <w:ind w:left="567" w:hanging="567"/>
        <w:jc w:val="left"/>
        <w:rPr>
          <w:spacing w:val="-5"/>
        </w:rPr>
      </w:pPr>
      <w:r>
        <w:rPr>
          <w:b/>
          <w:spacing w:val="-2"/>
        </w:rPr>
        <w:t>Tablo 4.3.</w:t>
      </w:r>
      <w:r>
        <w:t xml:space="preserve"> Öğretmenlerin Sanal Rekreasyon Deneyimlerinin Yaşam Kalitesi Üzerindeki Etkisine İlişkin Regresyon Analizi Sonuçları</w:t>
      </w:r>
      <w:r>
        <w:rPr>
          <w:spacing w:val="-2"/>
        </w:rPr>
        <w:t>.</w:t>
      </w:r>
      <w:r>
        <w:tab/>
      </w:r>
      <w:r>
        <w:tab/>
      </w:r>
      <w:r>
        <w:t xml:space="preserve"> </w:t>
      </w:r>
      <w:r>
        <w:rPr>
          <w:spacing w:val="-5"/>
        </w:rPr>
        <w:t>147</w:t>
      </w:r>
    </w:p>
    <w:p w14:paraId="188F6C02">
      <w:pPr>
        <w:pStyle w:val="9"/>
        <w:tabs>
          <w:tab w:val="left" w:leader="dot" w:pos="8384"/>
        </w:tabs>
        <w:spacing w:before="120" w:after="120" w:line="360" w:lineRule="auto"/>
        <w:ind w:left="567" w:hanging="567"/>
        <w:jc w:val="left"/>
        <w:rPr>
          <w:spacing w:val="-10"/>
        </w:rPr>
      </w:pPr>
      <w:r>
        <w:rPr>
          <w:b/>
          <w:spacing w:val="-2"/>
        </w:rPr>
        <w:t>Tablo 4.4.</w:t>
      </w:r>
      <w:r>
        <w:t xml:space="preserve"> Cinsiyet</w:t>
      </w:r>
      <w:r>
        <w:rPr>
          <w:spacing w:val="-15"/>
        </w:rPr>
        <w:t xml:space="preserve"> </w:t>
      </w:r>
      <w:r>
        <w:t>Açısından</w:t>
      </w:r>
      <w:r>
        <w:rPr>
          <w:spacing w:val="-11"/>
        </w:rPr>
        <w:t xml:space="preserve"> </w:t>
      </w:r>
      <w:r>
        <w:t>Öğretmenlerin</w:t>
      </w:r>
      <w:r>
        <w:rPr>
          <w:spacing w:val="-12"/>
        </w:rPr>
        <w:t xml:space="preserve"> </w:t>
      </w:r>
      <w:r>
        <w:t>Sanal</w:t>
      </w:r>
      <w:r>
        <w:rPr>
          <w:spacing w:val="-12"/>
        </w:rPr>
        <w:t xml:space="preserve"> </w:t>
      </w:r>
      <w:r>
        <w:t>Rekreasyon</w:t>
      </w:r>
      <w:r>
        <w:rPr>
          <w:spacing w:val="-12"/>
        </w:rPr>
        <w:t xml:space="preserve"> </w:t>
      </w:r>
      <w:r>
        <w:t>Deneyimlerinin</w:t>
      </w:r>
      <w:r>
        <w:rPr>
          <w:spacing w:val="-10"/>
        </w:rPr>
        <w:t xml:space="preserve"> </w:t>
      </w:r>
    </w:p>
    <w:p w14:paraId="1AC6DF0B">
      <w:pPr>
        <w:pStyle w:val="9"/>
        <w:tabs>
          <w:tab w:val="left" w:leader="dot" w:pos="8384"/>
        </w:tabs>
        <w:spacing w:before="120" w:after="120" w:line="360" w:lineRule="auto"/>
        <w:ind w:left="567" w:hanging="567"/>
        <w:jc w:val="left"/>
      </w:pPr>
      <w:r>
        <w:tab/>
      </w:r>
      <w:r>
        <w:t xml:space="preserve">İstatistiksel </w:t>
      </w:r>
      <w:r>
        <w:rPr>
          <w:spacing w:val="-2"/>
        </w:rPr>
        <w:t>İncelenmesi.</w:t>
      </w:r>
      <w:r>
        <w:tab/>
      </w:r>
      <w:r>
        <w:tab/>
      </w:r>
      <w:r>
        <w:t xml:space="preserve"> </w:t>
      </w:r>
      <w:r>
        <w:rPr>
          <w:spacing w:val="-5"/>
        </w:rPr>
        <w:t>148</w:t>
      </w:r>
    </w:p>
    <w:p w14:paraId="112324B9">
      <w:pPr>
        <w:pStyle w:val="9"/>
        <w:tabs>
          <w:tab w:val="left" w:leader="dot" w:pos="8384"/>
        </w:tabs>
        <w:spacing w:before="120" w:after="120" w:line="360" w:lineRule="auto"/>
        <w:ind w:left="567" w:hanging="567"/>
        <w:jc w:val="left"/>
      </w:pPr>
      <w:r>
        <w:rPr>
          <w:b/>
          <w:spacing w:val="-2"/>
        </w:rPr>
        <w:t>Tablo 4.5.</w:t>
      </w:r>
      <w:r>
        <w:t xml:space="preserve"> Kıdem</w:t>
      </w:r>
      <w:r>
        <w:rPr>
          <w:spacing w:val="-15"/>
        </w:rPr>
        <w:t xml:space="preserve"> </w:t>
      </w:r>
      <w:r>
        <w:t>Yılı</w:t>
      </w:r>
      <w:r>
        <w:rPr>
          <w:spacing w:val="-15"/>
        </w:rPr>
        <w:t xml:space="preserve"> </w:t>
      </w:r>
      <w:r>
        <w:t>Açısından</w:t>
      </w:r>
      <w:r>
        <w:rPr>
          <w:spacing w:val="-10"/>
        </w:rPr>
        <w:t xml:space="preserve"> </w:t>
      </w:r>
      <w:r>
        <w:t>Öğretmenlerin</w:t>
      </w:r>
      <w:r>
        <w:rPr>
          <w:spacing w:val="-9"/>
        </w:rPr>
        <w:t xml:space="preserve"> </w:t>
      </w:r>
      <w:r>
        <w:t>Sanal</w:t>
      </w:r>
      <w:r>
        <w:rPr>
          <w:spacing w:val="-9"/>
        </w:rPr>
        <w:t xml:space="preserve"> </w:t>
      </w:r>
      <w:r>
        <w:t>Rekreasyon</w:t>
      </w:r>
      <w:r>
        <w:rPr>
          <w:spacing w:val="-8"/>
        </w:rPr>
        <w:t xml:space="preserve"> </w:t>
      </w:r>
      <w:r>
        <w:t>Deneyimlerinin  İstatistiksel İncelenmesi</w:t>
      </w:r>
      <w:r>
        <w:rPr>
          <w:spacing w:val="-2"/>
        </w:rPr>
        <w:t>.</w:t>
      </w:r>
      <w:r>
        <w:tab/>
      </w:r>
      <w:r>
        <w:tab/>
      </w:r>
      <w:r>
        <w:t xml:space="preserve"> </w:t>
      </w:r>
      <w:r>
        <w:rPr>
          <w:spacing w:val="-5"/>
        </w:rPr>
        <w:t>149</w:t>
      </w:r>
    </w:p>
    <w:p w14:paraId="47BA4E61">
      <w:pPr>
        <w:pStyle w:val="9"/>
        <w:tabs>
          <w:tab w:val="left" w:leader="dot" w:pos="8384"/>
        </w:tabs>
        <w:spacing w:before="120" w:after="120" w:line="360" w:lineRule="auto"/>
        <w:ind w:left="567" w:hanging="567"/>
        <w:jc w:val="left"/>
      </w:pPr>
      <w:r>
        <w:rPr>
          <w:b/>
          <w:spacing w:val="-2"/>
        </w:rPr>
        <w:t>Tablo 4.6.</w:t>
      </w:r>
      <w:r>
        <w:t xml:space="preserve"> Eğitim</w:t>
      </w:r>
      <w:r>
        <w:rPr>
          <w:spacing w:val="-9"/>
        </w:rPr>
        <w:t xml:space="preserve"> </w:t>
      </w:r>
      <w:r>
        <w:t>DurumlarıAçısından</w:t>
      </w:r>
      <w:r>
        <w:rPr>
          <w:spacing w:val="-9"/>
        </w:rPr>
        <w:t xml:space="preserve"> </w:t>
      </w:r>
      <w:r>
        <w:t>Öğretmenlerin</w:t>
      </w:r>
      <w:r>
        <w:rPr>
          <w:spacing w:val="-9"/>
        </w:rPr>
        <w:t xml:space="preserve"> </w:t>
      </w:r>
      <w:r>
        <w:t>Sanal</w:t>
      </w:r>
      <w:r>
        <w:rPr>
          <w:spacing w:val="-9"/>
        </w:rPr>
        <w:t xml:space="preserve"> </w:t>
      </w:r>
      <w:r>
        <w:t>Rekreasyon</w:t>
      </w:r>
      <w:r>
        <w:rPr>
          <w:spacing w:val="-9"/>
        </w:rPr>
        <w:t xml:space="preserve"> </w:t>
      </w:r>
      <w:r>
        <w:t>Deneyimlerinin İstatistiksel İncelenmesi</w:t>
      </w:r>
      <w:r>
        <w:rPr>
          <w:spacing w:val="-2"/>
        </w:rPr>
        <w:t>.</w:t>
      </w:r>
      <w:r>
        <w:tab/>
      </w:r>
      <w:r>
        <w:tab/>
      </w:r>
      <w:r>
        <w:t xml:space="preserve"> </w:t>
      </w:r>
      <w:r>
        <w:rPr>
          <w:spacing w:val="-5"/>
        </w:rPr>
        <w:t>150</w:t>
      </w:r>
    </w:p>
    <w:p w14:paraId="5B622E3F">
      <w:pPr>
        <w:pStyle w:val="9"/>
        <w:tabs>
          <w:tab w:val="left" w:leader="dot" w:pos="8384"/>
        </w:tabs>
        <w:spacing w:before="120" w:after="120" w:line="360" w:lineRule="auto"/>
        <w:ind w:left="567" w:hanging="567"/>
        <w:jc w:val="left"/>
      </w:pPr>
      <w:r>
        <w:rPr>
          <w:b/>
          <w:spacing w:val="-2"/>
        </w:rPr>
        <w:t>Tablo 4.7.</w:t>
      </w:r>
      <w:r>
        <w:t xml:space="preserve"> Yaşları Açısından Öğretmenlerin Sanal Rekreasyon Deneyimlerinin  </w:t>
      </w:r>
    </w:p>
    <w:p w14:paraId="57A0C4D9">
      <w:pPr>
        <w:pStyle w:val="9"/>
        <w:tabs>
          <w:tab w:val="left" w:leader="dot" w:pos="8384"/>
        </w:tabs>
        <w:spacing w:before="120" w:after="120" w:line="360" w:lineRule="auto"/>
        <w:ind w:left="567" w:hanging="567"/>
        <w:jc w:val="left"/>
      </w:pPr>
      <w:r>
        <w:tab/>
      </w:r>
      <w:r>
        <w:t>İstatistiksel İncelenmesi</w:t>
      </w:r>
      <w:r>
        <w:rPr>
          <w:spacing w:val="-2"/>
        </w:rPr>
        <w:t>.</w:t>
      </w:r>
      <w:r>
        <w:tab/>
      </w:r>
      <w:r>
        <w:tab/>
      </w:r>
      <w:r>
        <w:t xml:space="preserve"> </w:t>
      </w:r>
      <w:r>
        <w:rPr>
          <w:spacing w:val="-5"/>
        </w:rPr>
        <w:t>151</w:t>
      </w:r>
    </w:p>
    <w:p w14:paraId="741FF2BE">
      <w:pPr>
        <w:pStyle w:val="9"/>
        <w:tabs>
          <w:tab w:val="left" w:leader="dot" w:pos="8384"/>
        </w:tabs>
        <w:spacing w:before="120" w:after="120" w:line="360" w:lineRule="auto"/>
        <w:ind w:left="567" w:hanging="567"/>
        <w:jc w:val="left"/>
      </w:pPr>
      <w:r>
        <w:rPr>
          <w:b/>
          <w:spacing w:val="-2"/>
        </w:rPr>
        <w:t>Tablo 4.8.</w:t>
      </w:r>
      <w:r>
        <w:t xml:space="preserve"> Medeni Durum Açısından Öğretmenlerin Sanal Rekreasyon Deneyimlerinin İstatistiksel İncelenmesi</w:t>
      </w:r>
      <w:r>
        <w:rPr>
          <w:spacing w:val="-2"/>
        </w:rPr>
        <w:t>.</w:t>
      </w:r>
      <w:r>
        <w:tab/>
      </w:r>
      <w:r>
        <w:tab/>
      </w:r>
      <w:r>
        <w:t xml:space="preserve"> </w:t>
      </w:r>
      <w:r>
        <w:rPr>
          <w:spacing w:val="-5"/>
        </w:rPr>
        <w:t>152</w:t>
      </w:r>
    </w:p>
    <w:p w14:paraId="25A5EEAA">
      <w:pPr>
        <w:pStyle w:val="9"/>
        <w:tabs>
          <w:tab w:val="left" w:leader="dot" w:pos="8384"/>
        </w:tabs>
        <w:spacing w:before="120" w:after="120" w:line="360" w:lineRule="auto"/>
        <w:ind w:left="567" w:hanging="567"/>
        <w:jc w:val="left"/>
        <w:rPr>
          <w:spacing w:val="-5"/>
        </w:rPr>
      </w:pPr>
      <w:r>
        <w:rPr>
          <w:b/>
          <w:spacing w:val="-2"/>
        </w:rPr>
        <w:t>Tablo 4.9.</w:t>
      </w:r>
      <w:r>
        <w:t xml:space="preserve"> Gelir Düzeyleri Açısından Öğretmenlerin Sanal Rekreasyon Deneyimlerinin ANOVA Sonuçları</w:t>
      </w:r>
      <w:r>
        <w:rPr>
          <w:spacing w:val="-2"/>
        </w:rPr>
        <w:t>.</w:t>
      </w:r>
      <w:r>
        <w:tab/>
      </w:r>
      <w:r>
        <w:tab/>
      </w:r>
      <w:r>
        <w:t xml:space="preserve"> </w:t>
      </w:r>
      <w:r>
        <w:rPr>
          <w:spacing w:val="-5"/>
        </w:rPr>
        <w:t>153</w:t>
      </w:r>
    </w:p>
    <w:p w14:paraId="6229D1EB">
      <w:pPr>
        <w:pStyle w:val="9"/>
        <w:tabs>
          <w:tab w:val="left" w:leader="dot" w:pos="8384"/>
        </w:tabs>
        <w:spacing w:before="120" w:after="120" w:line="360" w:lineRule="auto"/>
        <w:ind w:left="567" w:hanging="567"/>
        <w:jc w:val="left"/>
      </w:pPr>
      <w:r>
        <w:rPr>
          <w:b/>
          <w:spacing w:val="-2"/>
        </w:rPr>
        <w:t>Tablo 4.10.</w:t>
      </w:r>
      <w:r>
        <w:rPr>
          <w:spacing w:val="-2"/>
        </w:rPr>
        <w:t>Hipotezlerin Test Sonuçlarına Göre Kabul/Red Durumu</w:t>
      </w:r>
      <w:r>
        <w:tab/>
      </w:r>
      <w:r>
        <w:tab/>
      </w:r>
      <w:r>
        <w:t xml:space="preserve"> </w:t>
      </w:r>
      <w:r>
        <w:rPr>
          <w:spacing w:val="-5"/>
        </w:rPr>
        <w:t>153</w:t>
      </w:r>
    </w:p>
    <w:p w14:paraId="3CCE49B8"/>
    <w:p w14:paraId="13589027">
      <w:pPr>
        <w:sectPr>
          <w:pgSz w:w="11900" w:h="16850"/>
          <w:pgMar w:top="1985" w:right="1418" w:bottom="1418" w:left="1418" w:header="0" w:footer="652" w:gutter="0"/>
          <w:pgNumType w:fmt="lowerRoman"/>
          <w:cols w:space="720" w:num="1"/>
        </w:sectPr>
      </w:pPr>
    </w:p>
    <w:p w14:paraId="047934E8">
      <w:pPr>
        <w:pStyle w:val="2"/>
        <w:spacing w:before="68"/>
        <w:ind w:left="3307"/>
        <w:jc w:val="left"/>
      </w:pPr>
      <w:bookmarkStart w:id="21" w:name="_Toc195875781"/>
      <w:bookmarkStart w:id="22" w:name="_Toc195877765"/>
      <w:bookmarkStart w:id="23" w:name="_Toc197351218"/>
      <w:r>
        <w:t>ŞEKİLLERİN</w:t>
      </w:r>
      <w:r>
        <w:rPr>
          <w:spacing w:val="-4"/>
        </w:rPr>
        <w:t xml:space="preserve"> </w:t>
      </w:r>
      <w:r>
        <w:rPr>
          <w:spacing w:val="-2"/>
        </w:rPr>
        <w:t>LİSTESİ</w:t>
      </w:r>
      <w:bookmarkEnd w:id="21"/>
      <w:bookmarkEnd w:id="22"/>
      <w:bookmarkEnd w:id="23"/>
    </w:p>
    <w:p w14:paraId="45E27677">
      <w:pPr>
        <w:pStyle w:val="9"/>
        <w:ind w:left="0"/>
        <w:jc w:val="left"/>
        <w:rPr>
          <w:b/>
          <w:sz w:val="26"/>
        </w:rPr>
      </w:pPr>
    </w:p>
    <w:p w14:paraId="0D64ABFB">
      <w:pPr>
        <w:pStyle w:val="9"/>
        <w:spacing w:before="9"/>
        <w:ind w:left="0"/>
        <w:jc w:val="left"/>
        <w:rPr>
          <w:b/>
          <w:sz w:val="21"/>
        </w:rPr>
      </w:pPr>
    </w:p>
    <w:p w14:paraId="712AFAAF">
      <w:pPr>
        <w:rPr>
          <w:b/>
        </w:rPr>
      </w:pPr>
      <w:r>
        <w:rPr>
          <w:b/>
          <w:spacing w:val="-2"/>
        </w:rPr>
        <w:t>Şekil</w:t>
      </w:r>
      <w:r>
        <w:rPr>
          <w:b/>
        </w:rPr>
        <w:tab/>
      </w:r>
      <w:r>
        <w:rPr>
          <w:b/>
        </w:rPr>
        <w:tab/>
      </w:r>
      <w:r>
        <w:rPr>
          <w:b/>
        </w:rPr>
        <w:tab/>
      </w:r>
      <w:r>
        <w:rPr>
          <w:b/>
        </w:rPr>
        <w:t xml:space="preserve">     </w:t>
      </w:r>
      <w:r>
        <w:rPr>
          <w:b/>
        </w:rPr>
        <w:tab/>
      </w:r>
      <w:r>
        <w:rPr>
          <w:b/>
        </w:rPr>
        <w:tab/>
      </w:r>
      <w:r>
        <w:rPr>
          <w:b/>
        </w:rPr>
        <w:tab/>
      </w:r>
      <w:r>
        <w:rPr>
          <w:b/>
        </w:rPr>
        <w:tab/>
      </w:r>
      <w:r>
        <w:rPr>
          <w:b/>
        </w:rPr>
        <w:tab/>
      </w:r>
      <w:r>
        <w:rPr>
          <w:b/>
        </w:rPr>
        <w:tab/>
      </w:r>
      <w:r>
        <w:rPr>
          <w:b/>
        </w:rPr>
        <w:tab/>
      </w:r>
      <w:r>
        <w:rPr>
          <w:b/>
        </w:rPr>
        <w:tab/>
      </w:r>
      <w:r>
        <w:rPr>
          <w:b/>
        </w:rPr>
        <w:t xml:space="preserve">          </w:t>
      </w:r>
      <w:r>
        <w:rPr>
          <w:b/>
          <w:spacing w:val="-2"/>
        </w:rPr>
        <w:t>Sayfa</w:t>
      </w:r>
    </w:p>
    <w:p w14:paraId="58E42645">
      <w:pPr>
        <w:pStyle w:val="9"/>
        <w:spacing w:before="7"/>
        <w:ind w:left="0"/>
        <w:jc w:val="left"/>
        <w:rPr>
          <w:b/>
          <w:sz w:val="23"/>
        </w:rPr>
      </w:pPr>
    </w:p>
    <w:p w14:paraId="160F293D">
      <w:pPr>
        <w:pStyle w:val="9"/>
        <w:tabs>
          <w:tab w:val="left" w:leader="dot" w:pos="8384"/>
        </w:tabs>
        <w:spacing w:before="120" w:after="120" w:line="360" w:lineRule="auto"/>
        <w:ind w:left="0"/>
        <w:jc w:val="left"/>
      </w:pPr>
      <w:r>
        <w:rPr>
          <w:b/>
        </w:rPr>
        <w:t>Şekil</w:t>
      </w:r>
      <w:r>
        <w:rPr>
          <w:b/>
          <w:spacing w:val="-1"/>
        </w:rPr>
        <w:t xml:space="preserve"> </w:t>
      </w:r>
      <w:r>
        <w:rPr>
          <w:b/>
          <w:spacing w:val="-4"/>
        </w:rPr>
        <w:t>2.1.</w:t>
      </w:r>
      <w:r>
        <w:t xml:space="preserve"> Milgram’ın</w:t>
      </w:r>
      <w:r>
        <w:rPr>
          <w:spacing w:val="-2"/>
        </w:rPr>
        <w:t xml:space="preserve"> </w:t>
      </w:r>
      <w:r>
        <w:t>Gerçeklik-Sanallık</w:t>
      </w:r>
      <w:r>
        <w:rPr>
          <w:spacing w:val="-1"/>
        </w:rPr>
        <w:t xml:space="preserve"> </w:t>
      </w:r>
      <w:r>
        <w:rPr>
          <w:spacing w:val="-2"/>
        </w:rPr>
        <w:t>Sürekliliği</w:t>
      </w:r>
      <w:r>
        <w:tab/>
      </w:r>
      <w:r>
        <w:tab/>
      </w:r>
      <w:r>
        <w:rPr>
          <w:spacing w:val="-5"/>
        </w:rPr>
        <w:t>21</w:t>
      </w:r>
    </w:p>
    <w:p w14:paraId="78E08512">
      <w:pPr>
        <w:pStyle w:val="9"/>
        <w:tabs>
          <w:tab w:val="left" w:leader="dot" w:pos="8384"/>
        </w:tabs>
        <w:spacing w:before="120" w:after="120" w:line="360" w:lineRule="auto"/>
        <w:ind w:left="0"/>
        <w:jc w:val="left"/>
      </w:pPr>
      <w:r>
        <w:rPr>
          <w:b/>
        </w:rPr>
        <w:t>Şekil</w:t>
      </w:r>
      <w:r>
        <w:rPr>
          <w:b/>
          <w:spacing w:val="-1"/>
        </w:rPr>
        <w:t xml:space="preserve"> </w:t>
      </w:r>
      <w:r>
        <w:rPr>
          <w:b/>
          <w:spacing w:val="-4"/>
        </w:rPr>
        <w:t>2.2.</w:t>
      </w:r>
      <w:r>
        <w:t xml:space="preserve"> Teknoloji</w:t>
      </w:r>
      <w:r>
        <w:rPr>
          <w:spacing w:val="-1"/>
        </w:rPr>
        <w:t xml:space="preserve"> </w:t>
      </w:r>
      <w:r>
        <w:t>Kabul</w:t>
      </w:r>
      <w:r>
        <w:rPr>
          <w:spacing w:val="-1"/>
        </w:rPr>
        <w:t xml:space="preserve"> </w:t>
      </w:r>
      <w:r>
        <w:t xml:space="preserve">Modelinin </w:t>
      </w:r>
      <w:r>
        <w:rPr>
          <w:spacing w:val="-2"/>
        </w:rPr>
        <w:t>Gösterimi</w:t>
      </w:r>
      <w:r>
        <w:tab/>
      </w:r>
      <w:r>
        <w:tab/>
      </w:r>
      <w:r>
        <w:rPr>
          <w:spacing w:val="-5"/>
        </w:rPr>
        <w:t>54</w:t>
      </w:r>
    </w:p>
    <w:p w14:paraId="1584FDA3">
      <w:pPr>
        <w:pStyle w:val="9"/>
        <w:tabs>
          <w:tab w:val="left" w:leader="dot" w:pos="8384"/>
        </w:tabs>
        <w:spacing w:before="120" w:after="120" w:line="360" w:lineRule="auto"/>
        <w:ind w:left="0"/>
        <w:jc w:val="left"/>
      </w:pPr>
      <w:r>
        <w:rPr>
          <w:b/>
        </w:rPr>
        <w:t>Şekil</w:t>
      </w:r>
      <w:r>
        <w:rPr>
          <w:b/>
          <w:spacing w:val="-1"/>
        </w:rPr>
        <w:t xml:space="preserve"> </w:t>
      </w:r>
      <w:r>
        <w:rPr>
          <w:b/>
          <w:spacing w:val="-4"/>
        </w:rPr>
        <w:t>3.2.</w:t>
      </w:r>
      <w:r>
        <w:rPr>
          <w:spacing w:val="-4"/>
        </w:rPr>
        <w:t xml:space="preserve"> Araştırmanın Modeli</w:t>
      </w:r>
      <w:r>
        <w:tab/>
      </w:r>
      <w:r>
        <w:tab/>
      </w:r>
      <w:r>
        <w:rPr>
          <w:spacing w:val="-5"/>
        </w:rPr>
        <w:t>94</w:t>
      </w:r>
    </w:p>
    <w:p w14:paraId="0634E832">
      <w:pPr>
        <w:pStyle w:val="9"/>
        <w:tabs>
          <w:tab w:val="left" w:leader="dot" w:pos="8384"/>
        </w:tabs>
        <w:spacing w:before="120" w:after="120" w:line="360" w:lineRule="auto"/>
        <w:ind w:left="0"/>
        <w:jc w:val="left"/>
      </w:pPr>
      <w:r>
        <w:rPr>
          <w:b/>
        </w:rPr>
        <w:t>Şekil</w:t>
      </w:r>
      <w:r>
        <w:rPr>
          <w:b/>
          <w:spacing w:val="-1"/>
        </w:rPr>
        <w:t xml:space="preserve"> </w:t>
      </w:r>
      <w:r>
        <w:rPr>
          <w:b/>
          <w:spacing w:val="-4"/>
        </w:rPr>
        <w:t>3.2.</w:t>
      </w:r>
      <w:r>
        <w:rPr>
          <w:color w:val="000000"/>
        </w:rPr>
        <w:t xml:space="preserve"> Churchill, (1979:66) Ölçek Geliştirme Örneği</w:t>
      </w:r>
      <w:r>
        <w:tab/>
      </w:r>
      <w:r>
        <w:tab/>
      </w:r>
      <w:r>
        <w:rPr>
          <w:spacing w:val="-5"/>
        </w:rPr>
        <w:t>100</w:t>
      </w:r>
    </w:p>
    <w:p w14:paraId="586D512B">
      <w:pPr>
        <w:pStyle w:val="9"/>
        <w:ind w:left="0"/>
        <w:jc w:val="left"/>
      </w:pPr>
    </w:p>
    <w:p w14:paraId="0FC44666">
      <w:pPr>
        <w:spacing w:line="256" w:lineRule="exact"/>
        <w:jc w:val="center"/>
        <w:rPr>
          <w:sz w:val="24"/>
        </w:rPr>
        <w:sectPr>
          <w:pgSz w:w="11900" w:h="16850"/>
          <w:pgMar w:top="1985" w:right="1418" w:bottom="1418" w:left="1418" w:header="0" w:footer="652" w:gutter="0"/>
          <w:pgNumType w:fmt="lowerRoman"/>
          <w:cols w:space="720" w:num="1"/>
        </w:sectPr>
      </w:pPr>
    </w:p>
    <w:p w14:paraId="4A940C8A">
      <w:pPr>
        <w:pStyle w:val="2"/>
        <w:ind w:left="3281"/>
        <w:jc w:val="left"/>
      </w:pPr>
      <w:bookmarkStart w:id="24" w:name="_Toc195877766"/>
      <w:bookmarkStart w:id="25" w:name="_Toc195875782"/>
      <w:bookmarkStart w:id="26" w:name="_Toc197351219"/>
      <w:r>
        <w:t>RESİMLERİN</w:t>
      </w:r>
      <w:r>
        <w:rPr>
          <w:spacing w:val="-6"/>
        </w:rPr>
        <w:t xml:space="preserve"> </w:t>
      </w:r>
      <w:r>
        <w:rPr>
          <w:spacing w:val="-2"/>
        </w:rPr>
        <w:t>LİSTESİ</w:t>
      </w:r>
      <w:bookmarkEnd w:id="24"/>
      <w:bookmarkEnd w:id="25"/>
      <w:bookmarkEnd w:id="26"/>
    </w:p>
    <w:p w14:paraId="50F0504D">
      <w:pPr>
        <w:pStyle w:val="9"/>
        <w:ind w:left="0"/>
        <w:jc w:val="left"/>
        <w:rPr>
          <w:b/>
          <w:sz w:val="26"/>
        </w:rPr>
      </w:pPr>
    </w:p>
    <w:p w14:paraId="251D0E0F">
      <w:pPr>
        <w:pStyle w:val="9"/>
        <w:spacing w:before="9"/>
        <w:ind w:left="0"/>
        <w:jc w:val="left"/>
        <w:rPr>
          <w:b/>
          <w:sz w:val="21"/>
        </w:rPr>
      </w:pPr>
    </w:p>
    <w:p w14:paraId="163B2907">
      <w:pPr>
        <w:tabs>
          <w:tab w:val="left" w:pos="7642"/>
        </w:tabs>
        <w:ind w:left="160"/>
        <w:rPr>
          <w:b/>
          <w:sz w:val="24"/>
        </w:rPr>
      </w:pPr>
      <w:r>
        <w:rPr>
          <w:b/>
          <w:spacing w:val="-2"/>
          <w:sz w:val="24"/>
        </w:rPr>
        <w:t>Resim</w:t>
      </w:r>
      <w:r>
        <w:rPr>
          <w:b/>
          <w:sz w:val="24"/>
        </w:rPr>
        <w:tab/>
      </w:r>
      <w:r>
        <w:rPr>
          <w:b/>
          <w:sz w:val="24"/>
        </w:rPr>
        <w:t xml:space="preserve">         </w:t>
      </w:r>
      <w:r>
        <w:rPr>
          <w:b/>
          <w:spacing w:val="-2"/>
          <w:sz w:val="24"/>
        </w:rPr>
        <w:t>Sayfa</w:t>
      </w:r>
    </w:p>
    <w:p w14:paraId="4486043E">
      <w:pPr>
        <w:pStyle w:val="9"/>
        <w:tabs>
          <w:tab w:val="right" w:leader="dot" w:pos="8621"/>
        </w:tabs>
        <w:spacing w:before="120" w:after="120" w:line="360" w:lineRule="auto"/>
        <w:ind w:left="159"/>
        <w:jc w:val="left"/>
      </w:pPr>
      <w:r>
        <w:rPr>
          <w:b/>
          <w:spacing w:val="-2"/>
        </w:rPr>
        <w:t>Resim 2.1</w:t>
      </w:r>
      <w:r>
        <w:rPr>
          <w:spacing w:val="-2"/>
        </w:rPr>
        <w:t>.</w:t>
      </w:r>
      <w:r>
        <w:t xml:space="preserve"> Google</w:t>
      </w:r>
      <w:r>
        <w:rPr>
          <w:spacing w:val="-1"/>
        </w:rPr>
        <w:t xml:space="preserve"> </w:t>
      </w:r>
      <w:r>
        <w:rPr>
          <w:spacing w:val="-2"/>
        </w:rPr>
        <w:t>Cardboard.</w:t>
      </w:r>
      <w:r>
        <w:tab/>
      </w:r>
      <w:r>
        <w:t xml:space="preserve">   </w:t>
      </w:r>
      <w:r>
        <w:rPr>
          <w:spacing w:val="-5"/>
        </w:rPr>
        <w:t>18</w:t>
      </w:r>
    </w:p>
    <w:p w14:paraId="2592FC6F">
      <w:pPr>
        <w:pStyle w:val="9"/>
        <w:tabs>
          <w:tab w:val="right" w:leader="dot" w:pos="8624"/>
        </w:tabs>
        <w:spacing w:before="120" w:after="120" w:line="360" w:lineRule="auto"/>
        <w:ind w:left="159"/>
        <w:jc w:val="left"/>
      </w:pPr>
      <w:r>
        <w:rPr>
          <w:b/>
          <w:spacing w:val="-2"/>
        </w:rPr>
        <w:t>Resim 2.2.</w:t>
      </w:r>
      <w:r>
        <w:t xml:space="preserve"> Artırılmış</w:t>
      </w:r>
      <w:r>
        <w:rPr>
          <w:spacing w:val="-2"/>
        </w:rPr>
        <w:t xml:space="preserve"> </w:t>
      </w:r>
      <w:r>
        <w:t>Gerçeklik</w:t>
      </w:r>
      <w:r>
        <w:rPr>
          <w:spacing w:val="-2"/>
        </w:rPr>
        <w:t xml:space="preserve"> </w:t>
      </w:r>
      <w:r>
        <w:t>Uygulamasından</w:t>
      </w:r>
      <w:r>
        <w:rPr>
          <w:spacing w:val="-2"/>
        </w:rPr>
        <w:t xml:space="preserve"> </w:t>
      </w:r>
      <w:r>
        <w:t>Bir</w:t>
      </w:r>
      <w:r>
        <w:rPr>
          <w:spacing w:val="-1"/>
        </w:rPr>
        <w:t xml:space="preserve"> </w:t>
      </w:r>
      <w:r>
        <w:rPr>
          <w:spacing w:val="-2"/>
        </w:rPr>
        <w:t>Örnek.</w:t>
      </w:r>
      <w:r>
        <w:tab/>
      </w:r>
      <w:r>
        <w:t xml:space="preserve">   </w:t>
      </w:r>
      <w:r>
        <w:rPr>
          <w:spacing w:val="-5"/>
        </w:rPr>
        <w:t>19</w:t>
      </w:r>
    </w:p>
    <w:p w14:paraId="7E35427F">
      <w:pPr>
        <w:pStyle w:val="9"/>
        <w:tabs>
          <w:tab w:val="right" w:leader="dot" w:pos="8624"/>
        </w:tabs>
        <w:spacing w:before="120" w:after="120" w:line="360" w:lineRule="auto"/>
        <w:ind w:left="159"/>
        <w:jc w:val="left"/>
      </w:pPr>
      <w:r>
        <w:rPr>
          <w:b/>
          <w:spacing w:val="-2"/>
        </w:rPr>
        <w:t>Resim 2.3.</w:t>
      </w:r>
      <w:r>
        <w:t xml:space="preserve"> Karma</w:t>
      </w:r>
      <w:r>
        <w:rPr>
          <w:spacing w:val="-3"/>
        </w:rPr>
        <w:t xml:space="preserve"> </w:t>
      </w:r>
      <w:r>
        <w:t>Gerçeklik</w:t>
      </w:r>
      <w:r>
        <w:rPr>
          <w:spacing w:val="-2"/>
        </w:rPr>
        <w:t xml:space="preserve"> </w:t>
      </w:r>
      <w:r>
        <w:t>Uygulamasından</w:t>
      </w:r>
      <w:r>
        <w:rPr>
          <w:spacing w:val="-1"/>
        </w:rPr>
        <w:t xml:space="preserve"> </w:t>
      </w:r>
      <w:r>
        <w:t xml:space="preserve">Bir </w:t>
      </w:r>
      <w:r>
        <w:rPr>
          <w:spacing w:val="-2"/>
        </w:rPr>
        <w:t>Örnek.</w:t>
      </w:r>
      <w:r>
        <w:tab/>
      </w:r>
      <w:r>
        <w:t xml:space="preserve">   </w:t>
      </w:r>
      <w:r>
        <w:rPr>
          <w:spacing w:val="-5"/>
        </w:rPr>
        <w:t>20</w:t>
      </w:r>
    </w:p>
    <w:p w14:paraId="4F2C9137">
      <w:pPr>
        <w:pStyle w:val="9"/>
        <w:tabs>
          <w:tab w:val="right" w:leader="dot" w:pos="8602"/>
        </w:tabs>
        <w:spacing w:before="120" w:after="120" w:line="360" w:lineRule="auto"/>
        <w:ind w:left="159"/>
        <w:jc w:val="left"/>
      </w:pPr>
      <w:r>
        <w:rPr>
          <w:b/>
          <w:spacing w:val="-2"/>
        </w:rPr>
        <w:t>Resim 2.4.</w:t>
      </w:r>
      <w:r>
        <w:rPr>
          <w:spacing w:val="-2"/>
        </w:rPr>
        <w:t xml:space="preserve"> İlk Sanal Gerçeklik Simülatörü “Sensorama”.</w:t>
      </w:r>
      <w:r>
        <w:tab/>
      </w:r>
      <w:r>
        <w:t xml:space="preserve"> </w:t>
      </w:r>
      <w:r>
        <w:rPr>
          <w:spacing w:val="-5"/>
        </w:rPr>
        <w:t>22</w:t>
      </w:r>
    </w:p>
    <w:p w14:paraId="1DB42E5D">
      <w:pPr>
        <w:pStyle w:val="9"/>
        <w:tabs>
          <w:tab w:val="right" w:leader="dot" w:pos="8624"/>
        </w:tabs>
        <w:spacing w:before="120" w:after="120" w:line="360" w:lineRule="auto"/>
        <w:ind w:left="159"/>
        <w:jc w:val="left"/>
        <w:rPr>
          <w:spacing w:val="-5"/>
        </w:rPr>
      </w:pPr>
      <w:r>
        <w:rPr>
          <w:b/>
          <w:spacing w:val="-2"/>
        </w:rPr>
        <w:t>Resim 2.5.</w:t>
      </w:r>
      <w:r>
        <w:rPr>
          <w:spacing w:val="-2"/>
        </w:rPr>
        <w:t xml:space="preserve"> The Sword Of Damocles: İlk HMD Sistemi.</w:t>
      </w:r>
      <w:r>
        <w:tab/>
      </w:r>
      <w:r>
        <w:t xml:space="preserve">  </w:t>
      </w:r>
      <w:r>
        <w:rPr>
          <w:spacing w:val="-5"/>
        </w:rPr>
        <w:t>23</w:t>
      </w:r>
    </w:p>
    <w:p w14:paraId="5A7AD578">
      <w:pPr>
        <w:pStyle w:val="9"/>
        <w:tabs>
          <w:tab w:val="right" w:leader="dot" w:pos="8624"/>
        </w:tabs>
        <w:spacing w:before="120" w:after="120" w:line="360" w:lineRule="auto"/>
        <w:ind w:left="159"/>
        <w:jc w:val="left"/>
      </w:pPr>
      <w:r>
        <w:rPr>
          <w:b/>
          <w:spacing w:val="-2"/>
        </w:rPr>
        <w:t>Resim 2.6.</w:t>
      </w:r>
      <w:r>
        <w:rPr>
          <w:spacing w:val="-2"/>
        </w:rPr>
        <w:t xml:space="preserve"> Sürükleyici Olmayan VR Sistemlerine Örnek.</w:t>
      </w:r>
      <w:r>
        <w:tab/>
      </w:r>
      <w:r>
        <w:t xml:space="preserve">   </w:t>
      </w:r>
      <w:r>
        <w:rPr>
          <w:spacing w:val="-5"/>
        </w:rPr>
        <w:t>26</w:t>
      </w:r>
    </w:p>
    <w:p w14:paraId="6682D969">
      <w:pPr>
        <w:pStyle w:val="9"/>
        <w:tabs>
          <w:tab w:val="right" w:leader="dot" w:pos="8624"/>
        </w:tabs>
        <w:spacing w:before="120" w:after="120" w:line="360" w:lineRule="auto"/>
        <w:ind w:left="159"/>
        <w:jc w:val="left"/>
      </w:pPr>
      <w:r>
        <w:rPr>
          <w:b/>
          <w:spacing w:val="-2"/>
        </w:rPr>
        <w:t>Resim 2.7.</w:t>
      </w:r>
      <w:r>
        <w:rPr>
          <w:spacing w:val="-2"/>
        </w:rPr>
        <w:t xml:space="preserve"> Yarı Sürükleyici VR Sistemlerine Örnek.</w:t>
      </w:r>
      <w:r>
        <w:tab/>
      </w:r>
      <w:r>
        <w:t xml:space="preserve">   </w:t>
      </w:r>
      <w:r>
        <w:rPr>
          <w:spacing w:val="-5"/>
        </w:rPr>
        <w:t>26</w:t>
      </w:r>
    </w:p>
    <w:p w14:paraId="570051C4">
      <w:pPr>
        <w:pStyle w:val="9"/>
        <w:tabs>
          <w:tab w:val="right" w:leader="dot" w:pos="8624"/>
        </w:tabs>
        <w:spacing w:before="120" w:after="120" w:line="360" w:lineRule="auto"/>
        <w:ind w:left="159"/>
        <w:jc w:val="left"/>
      </w:pPr>
      <w:r>
        <w:rPr>
          <w:b/>
          <w:spacing w:val="-2"/>
        </w:rPr>
        <w:t>Resim 2.8.</w:t>
      </w:r>
      <w:r>
        <w:rPr>
          <w:spacing w:val="-2"/>
        </w:rPr>
        <w:t xml:space="preserve"> Tam Sürükleyici VR Sistemlerine Örnek.</w:t>
      </w:r>
      <w:r>
        <w:tab/>
      </w:r>
      <w:r>
        <w:t xml:space="preserve">   </w:t>
      </w:r>
      <w:r>
        <w:rPr>
          <w:spacing w:val="-5"/>
        </w:rPr>
        <w:t>27</w:t>
      </w:r>
    </w:p>
    <w:p w14:paraId="7D8E77FA"/>
    <w:p w14:paraId="2390A240"/>
    <w:p w14:paraId="358BC680"/>
    <w:p w14:paraId="4C05FAC6">
      <w:pPr>
        <w:sectPr>
          <w:pgSz w:w="11900" w:h="16850"/>
          <w:pgMar w:top="1985" w:right="1418" w:bottom="1418" w:left="1418" w:header="0" w:footer="652" w:gutter="0"/>
          <w:pgNumType w:fmt="lowerRoman"/>
          <w:cols w:space="720" w:num="1"/>
        </w:sectPr>
      </w:pPr>
    </w:p>
    <w:p w14:paraId="2DCAAA6A">
      <w:pPr>
        <w:pStyle w:val="2"/>
        <w:spacing w:before="0"/>
        <w:ind w:left="3580" w:right="3358"/>
      </w:pPr>
      <w:bookmarkStart w:id="27" w:name="_Toc197351220"/>
      <w:bookmarkStart w:id="28" w:name="_Toc195877767"/>
      <w:bookmarkStart w:id="29" w:name="_Toc195875783"/>
      <w:r>
        <w:rPr>
          <w:spacing w:val="-2"/>
        </w:rPr>
        <w:t>KISALTMALAR</w:t>
      </w:r>
      <w:bookmarkEnd w:id="27"/>
      <w:bookmarkEnd w:id="28"/>
      <w:bookmarkEnd w:id="29"/>
    </w:p>
    <w:p w14:paraId="70FD20D1">
      <w:pPr>
        <w:pStyle w:val="9"/>
        <w:ind w:left="0"/>
        <w:jc w:val="left"/>
        <w:rPr>
          <w:b/>
          <w:sz w:val="26"/>
        </w:rPr>
      </w:pPr>
    </w:p>
    <w:p w14:paraId="3321F1A3">
      <w:pPr>
        <w:pStyle w:val="9"/>
        <w:spacing w:before="7"/>
        <w:ind w:left="0"/>
        <w:jc w:val="left"/>
        <w:rPr>
          <w:b/>
          <w:sz w:val="21"/>
        </w:rPr>
      </w:pPr>
    </w:p>
    <w:p w14:paraId="0D0EC1D7">
      <w:pPr>
        <w:pStyle w:val="9"/>
        <w:ind w:left="100"/>
        <w:jc w:val="left"/>
      </w:pPr>
      <w:r>
        <w:t>Bu</w:t>
      </w:r>
      <w:r>
        <w:rPr>
          <w:spacing w:val="-2"/>
        </w:rPr>
        <w:t xml:space="preserve"> </w:t>
      </w:r>
      <w:r>
        <w:t>çalışmada</w:t>
      </w:r>
      <w:r>
        <w:rPr>
          <w:spacing w:val="-2"/>
        </w:rPr>
        <w:t xml:space="preserve"> </w:t>
      </w:r>
      <w:r>
        <w:t>kullanılmış</w:t>
      </w:r>
      <w:r>
        <w:rPr>
          <w:spacing w:val="-1"/>
        </w:rPr>
        <w:t xml:space="preserve"> </w:t>
      </w:r>
      <w:r>
        <w:t>kısaltmalar,</w:t>
      </w:r>
      <w:r>
        <w:rPr>
          <w:spacing w:val="-1"/>
        </w:rPr>
        <w:t xml:space="preserve"> </w:t>
      </w:r>
      <w:r>
        <w:t>açıklamaları</w:t>
      </w:r>
      <w:r>
        <w:rPr>
          <w:spacing w:val="-1"/>
        </w:rPr>
        <w:t xml:space="preserve"> </w:t>
      </w:r>
      <w:r>
        <w:t>ile</w:t>
      </w:r>
      <w:r>
        <w:rPr>
          <w:spacing w:val="-2"/>
        </w:rPr>
        <w:t xml:space="preserve"> </w:t>
      </w:r>
      <w:r>
        <w:t>birlikte</w:t>
      </w:r>
      <w:r>
        <w:rPr>
          <w:spacing w:val="-2"/>
        </w:rPr>
        <w:t xml:space="preserve"> </w:t>
      </w:r>
      <w:r>
        <w:t>aşağıda</w:t>
      </w:r>
      <w:r>
        <w:rPr>
          <w:spacing w:val="-1"/>
        </w:rPr>
        <w:t xml:space="preserve"> </w:t>
      </w:r>
      <w:r>
        <w:rPr>
          <w:spacing w:val="-2"/>
        </w:rPr>
        <w:t>sunulmuştur.</w:t>
      </w:r>
    </w:p>
    <w:p w14:paraId="26C0FB73">
      <w:pPr>
        <w:pStyle w:val="9"/>
        <w:ind w:left="0"/>
        <w:jc w:val="left"/>
        <w:rPr>
          <w:sz w:val="26"/>
        </w:rPr>
      </w:pPr>
    </w:p>
    <w:p w14:paraId="68081175">
      <w:pPr>
        <w:pStyle w:val="9"/>
        <w:ind w:left="0"/>
        <w:jc w:val="left"/>
        <w:rPr>
          <w:sz w:val="26"/>
        </w:rPr>
      </w:pPr>
    </w:p>
    <w:p w14:paraId="43E14F97">
      <w:pPr>
        <w:pStyle w:val="9"/>
        <w:ind w:left="0"/>
        <w:jc w:val="left"/>
        <w:rPr>
          <w:sz w:val="26"/>
        </w:rPr>
      </w:pPr>
    </w:p>
    <w:p w14:paraId="48246344">
      <w:pPr>
        <w:rPr>
          <w:b/>
          <w:sz w:val="24"/>
        </w:rPr>
      </w:pPr>
      <w:r>
        <w:rPr>
          <w:b/>
          <w:spacing w:val="-2"/>
          <w:sz w:val="24"/>
        </w:rPr>
        <w:t>Kısaltmalar</w:t>
      </w:r>
      <w:r>
        <w:rPr>
          <w:b/>
          <w:sz w:val="24"/>
        </w:rPr>
        <w:tab/>
      </w:r>
      <w:r>
        <w:rPr>
          <w:b/>
          <w:sz w:val="24"/>
        </w:rPr>
        <w:tab/>
      </w:r>
      <w:r>
        <w:rPr>
          <w:b/>
          <w:sz w:val="24"/>
        </w:rPr>
        <w:tab/>
      </w:r>
      <w:r>
        <w:rPr>
          <w:b/>
          <w:sz w:val="24"/>
        </w:rPr>
        <w:tab/>
      </w:r>
      <w:r>
        <w:rPr>
          <w:b/>
          <w:spacing w:val="-2"/>
          <w:sz w:val="24"/>
        </w:rPr>
        <w:t>Açıklamalar</w:t>
      </w:r>
    </w:p>
    <w:p w14:paraId="71716025">
      <w:pPr>
        <w:pStyle w:val="9"/>
        <w:ind w:left="0"/>
        <w:jc w:val="left"/>
        <w:rPr>
          <w:b/>
          <w:sz w:val="26"/>
        </w:rPr>
      </w:pPr>
    </w:p>
    <w:p w14:paraId="581DEA60">
      <w:pPr>
        <w:pStyle w:val="9"/>
        <w:spacing w:before="7"/>
        <w:ind w:left="0"/>
        <w:jc w:val="left"/>
        <w:rPr>
          <w:b/>
          <w:sz w:val="21"/>
        </w:rPr>
      </w:pPr>
    </w:p>
    <w:p w14:paraId="05EC5330">
      <w:pPr>
        <w:pStyle w:val="9"/>
        <w:tabs>
          <w:tab w:val="left" w:pos="3645"/>
        </w:tabs>
        <w:ind w:left="100"/>
        <w:jc w:val="left"/>
      </w:pPr>
      <w:r>
        <w:rPr>
          <w:b/>
          <w:spacing w:val="-5"/>
        </w:rPr>
        <w:t>AR</w:t>
      </w:r>
      <w:r>
        <w:rPr>
          <w:b/>
        </w:rPr>
        <w:tab/>
      </w:r>
      <w:r>
        <w:rPr>
          <w:spacing w:val="-2"/>
        </w:rPr>
        <w:t>Artırılmış Gerçeklik</w:t>
      </w:r>
    </w:p>
    <w:p w14:paraId="00D3DD86">
      <w:pPr>
        <w:pStyle w:val="9"/>
        <w:tabs>
          <w:tab w:val="left" w:pos="3640"/>
        </w:tabs>
        <w:spacing w:before="137"/>
        <w:ind w:left="100"/>
        <w:jc w:val="left"/>
      </w:pPr>
      <w:r>
        <w:rPr>
          <w:b/>
        </w:rPr>
        <w:t>CAVE</w:t>
      </w:r>
      <w:r>
        <w:rPr>
          <w:b/>
        </w:rPr>
        <w:tab/>
      </w:r>
      <w:r>
        <w:t>Bilgisayar Destekli Sanal Ortam</w:t>
      </w:r>
    </w:p>
    <w:p w14:paraId="73C87D41">
      <w:pPr>
        <w:pStyle w:val="9"/>
        <w:tabs>
          <w:tab w:val="left" w:pos="3640"/>
        </w:tabs>
        <w:spacing w:before="139"/>
        <w:ind w:left="100"/>
        <w:jc w:val="left"/>
        <w:rPr>
          <w:bCs/>
        </w:rPr>
      </w:pPr>
      <w:r>
        <w:rPr>
          <w:b/>
        </w:rPr>
        <w:t>CRT</w:t>
      </w:r>
      <w:r>
        <w:rPr>
          <w:b/>
        </w:rPr>
        <w:tab/>
      </w:r>
      <w:r>
        <w:rPr>
          <w:bCs/>
        </w:rPr>
        <w:t>Katot Işınlı Tüp</w:t>
      </w:r>
    </w:p>
    <w:p w14:paraId="68569E38">
      <w:pPr>
        <w:pStyle w:val="9"/>
        <w:tabs>
          <w:tab w:val="left" w:pos="3640"/>
        </w:tabs>
        <w:spacing w:before="137"/>
        <w:ind w:left="100"/>
        <w:jc w:val="left"/>
        <w:rPr>
          <w:bCs/>
        </w:rPr>
      </w:pPr>
      <w:r>
        <w:rPr>
          <w:b/>
        </w:rPr>
        <w:t>DARPA</w:t>
      </w:r>
      <w:r>
        <w:rPr>
          <w:b/>
        </w:rPr>
        <w:tab/>
      </w:r>
      <w:r>
        <w:rPr>
          <w:bCs/>
        </w:rPr>
        <w:t>Savunma İleri Araştırma Projeleri Ajansı</w:t>
      </w:r>
    </w:p>
    <w:p w14:paraId="0804F13A">
      <w:pPr>
        <w:pStyle w:val="9"/>
        <w:tabs>
          <w:tab w:val="left" w:pos="3640"/>
        </w:tabs>
        <w:spacing w:before="139"/>
        <w:ind w:left="100"/>
        <w:jc w:val="left"/>
        <w:rPr>
          <w:bCs/>
        </w:rPr>
      </w:pPr>
      <w:r>
        <w:rPr>
          <w:b/>
        </w:rPr>
        <w:t>MR</w:t>
      </w:r>
      <w:r>
        <w:rPr>
          <w:b/>
        </w:rPr>
        <w:tab/>
      </w:r>
      <w:r>
        <w:rPr>
          <w:bCs/>
        </w:rPr>
        <w:t>Karma Gerçeklik</w:t>
      </w:r>
    </w:p>
    <w:p w14:paraId="52DD5FDD">
      <w:pPr>
        <w:pStyle w:val="9"/>
        <w:tabs>
          <w:tab w:val="left" w:pos="3640"/>
        </w:tabs>
        <w:spacing w:before="137"/>
        <w:ind w:left="100"/>
        <w:jc w:val="left"/>
        <w:rPr>
          <w:bCs/>
        </w:rPr>
      </w:pPr>
      <w:r>
        <w:rPr>
          <w:b/>
        </w:rPr>
        <w:t>VR</w:t>
      </w:r>
      <w:r>
        <w:rPr>
          <w:b/>
        </w:rPr>
        <w:tab/>
      </w:r>
      <w:r>
        <w:rPr>
          <w:bCs/>
        </w:rPr>
        <w:t>Sanal Gerçeklik</w:t>
      </w:r>
    </w:p>
    <w:p w14:paraId="7938F5EA">
      <w:pPr>
        <w:pStyle w:val="9"/>
        <w:tabs>
          <w:tab w:val="left" w:pos="3645"/>
        </w:tabs>
        <w:spacing w:before="139"/>
        <w:ind w:left="100"/>
        <w:jc w:val="left"/>
        <w:rPr>
          <w:bCs/>
        </w:rPr>
      </w:pPr>
      <w:r>
        <w:rPr>
          <w:b/>
        </w:rPr>
        <w:t>WHO</w:t>
      </w:r>
      <w:r>
        <w:rPr>
          <w:b/>
        </w:rPr>
        <w:tab/>
      </w:r>
      <w:r>
        <w:rPr>
          <w:bCs/>
        </w:rPr>
        <w:t>Dünya Sağlık Örgütü</w:t>
      </w:r>
    </w:p>
    <w:p w14:paraId="70A9C3DA">
      <w:pPr>
        <w:pStyle w:val="9"/>
        <w:ind w:left="0"/>
        <w:jc w:val="left"/>
        <w:rPr>
          <w:sz w:val="20"/>
        </w:rPr>
      </w:pPr>
    </w:p>
    <w:p w14:paraId="165685EF">
      <w:pPr>
        <w:pStyle w:val="9"/>
        <w:ind w:left="0"/>
        <w:jc w:val="left"/>
        <w:rPr>
          <w:sz w:val="20"/>
        </w:rPr>
      </w:pPr>
    </w:p>
    <w:p w14:paraId="164A6659">
      <w:pPr>
        <w:pStyle w:val="9"/>
        <w:ind w:left="0"/>
        <w:jc w:val="left"/>
        <w:rPr>
          <w:sz w:val="20"/>
        </w:rPr>
      </w:pPr>
    </w:p>
    <w:p w14:paraId="6257F470">
      <w:pPr>
        <w:pStyle w:val="9"/>
        <w:ind w:left="0"/>
        <w:jc w:val="left"/>
        <w:rPr>
          <w:sz w:val="20"/>
        </w:rPr>
      </w:pPr>
    </w:p>
    <w:p w14:paraId="757D5C59">
      <w:pPr>
        <w:pStyle w:val="9"/>
        <w:ind w:left="0"/>
        <w:jc w:val="left"/>
        <w:rPr>
          <w:sz w:val="20"/>
        </w:rPr>
      </w:pPr>
    </w:p>
    <w:p w14:paraId="063B9D7D">
      <w:pPr>
        <w:pStyle w:val="9"/>
        <w:ind w:left="0"/>
        <w:jc w:val="left"/>
        <w:rPr>
          <w:sz w:val="20"/>
        </w:rPr>
      </w:pPr>
    </w:p>
    <w:p w14:paraId="7BD6A044">
      <w:pPr>
        <w:pStyle w:val="9"/>
        <w:ind w:left="0"/>
        <w:jc w:val="left"/>
        <w:rPr>
          <w:sz w:val="20"/>
        </w:rPr>
      </w:pPr>
    </w:p>
    <w:p w14:paraId="10C0785C">
      <w:pPr>
        <w:pStyle w:val="9"/>
        <w:ind w:left="0"/>
        <w:jc w:val="left"/>
        <w:rPr>
          <w:sz w:val="20"/>
        </w:rPr>
      </w:pPr>
    </w:p>
    <w:p w14:paraId="745F3568">
      <w:pPr>
        <w:pStyle w:val="9"/>
        <w:ind w:left="0"/>
        <w:jc w:val="left"/>
        <w:rPr>
          <w:sz w:val="20"/>
        </w:rPr>
      </w:pPr>
    </w:p>
    <w:p w14:paraId="62EB3F9F">
      <w:pPr>
        <w:pStyle w:val="9"/>
        <w:ind w:left="0"/>
        <w:jc w:val="left"/>
        <w:rPr>
          <w:sz w:val="20"/>
        </w:rPr>
      </w:pPr>
    </w:p>
    <w:p w14:paraId="268C6CAE">
      <w:pPr>
        <w:pStyle w:val="9"/>
        <w:ind w:left="0"/>
        <w:jc w:val="left"/>
        <w:rPr>
          <w:sz w:val="20"/>
        </w:rPr>
      </w:pPr>
    </w:p>
    <w:p w14:paraId="106AF0C5">
      <w:pPr>
        <w:pStyle w:val="9"/>
        <w:ind w:left="0"/>
        <w:jc w:val="left"/>
        <w:rPr>
          <w:sz w:val="20"/>
        </w:rPr>
      </w:pPr>
    </w:p>
    <w:p w14:paraId="7BA948D0">
      <w:pPr>
        <w:pStyle w:val="9"/>
        <w:ind w:left="0"/>
        <w:jc w:val="left"/>
        <w:rPr>
          <w:sz w:val="20"/>
        </w:rPr>
      </w:pPr>
    </w:p>
    <w:p w14:paraId="20E432B8">
      <w:pPr>
        <w:pStyle w:val="9"/>
        <w:ind w:left="0"/>
        <w:jc w:val="left"/>
        <w:rPr>
          <w:sz w:val="20"/>
        </w:rPr>
      </w:pPr>
    </w:p>
    <w:p w14:paraId="26B92277">
      <w:pPr>
        <w:pStyle w:val="9"/>
        <w:ind w:left="0"/>
        <w:jc w:val="left"/>
        <w:rPr>
          <w:sz w:val="20"/>
        </w:rPr>
      </w:pPr>
    </w:p>
    <w:p w14:paraId="4F5563F8">
      <w:pPr>
        <w:pStyle w:val="9"/>
        <w:ind w:left="0"/>
        <w:jc w:val="left"/>
        <w:rPr>
          <w:sz w:val="20"/>
        </w:rPr>
      </w:pPr>
    </w:p>
    <w:p w14:paraId="54FDE719">
      <w:pPr>
        <w:pStyle w:val="9"/>
        <w:ind w:left="0"/>
        <w:jc w:val="left"/>
        <w:rPr>
          <w:sz w:val="20"/>
        </w:rPr>
      </w:pPr>
    </w:p>
    <w:p w14:paraId="4B9579AE">
      <w:pPr>
        <w:pStyle w:val="9"/>
        <w:ind w:left="0"/>
        <w:jc w:val="left"/>
        <w:rPr>
          <w:sz w:val="20"/>
        </w:rPr>
      </w:pPr>
    </w:p>
    <w:p w14:paraId="33748FAF">
      <w:pPr>
        <w:pStyle w:val="9"/>
        <w:ind w:left="0"/>
        <w:jc w:val="left"/>
        <w:rPr>
          <w:sz w:val="20"/>
        </w:rPr>
      </w:pPr>
    </w:p>
    <w:p w14:paraId="2E60477C">
      <w:pPr>
        <w:pStyle w:val="9"/>
        <w:ind w:left="0"/>
        <w:jc w:val="left"/>
        <w:rPr>
          <w:sz w:val="20"/>
        </w:rPr>
      </w:pPr>
    </w:p>
    <w:p w14:paraId="28809400">
      <w:pPr>
        <w:pStyle w:val="9"/>
        <w:ind w:left="0"/>
        <w:jc w:val="left"/>
        <w:rPr>
          <w:sz w:val="20"/>
        </w:rPr>
      </w:pPr>
    </w:p>
    <w:p w14:paraId="19B901BE">
      <w:pPr>
        <w:pStyle w:val="9"/>
        <w:ind w:left="0"/>
        <w:jc w:val="left"/>
        <w:rPr>
          <w:sz w:val="20"/>
        </w:rPr>
      </w:pPr>
    </w:p>
    <w:p w14:paraId="03923BF5">
      <w:pPr>
        <w:pStyle w:val="9"/>
        <w:ind w:left="0"/>
        <w:jc w:val="left"/>
        <w:rPr>
          <w:sz w:val="20"/>
        </w:rPr>
      </w:pPr>
    </w:p>
    <w:p w14:paraId="53E12675">
      <w:pPr>
        <w:pStyle w:val="9"/>
        <w:ind w:left="0"/>
        <w:jc w:val="left"/>
        <w:rPr>
          <w:sz w:val="20"/>
        </w:rPr>
      </w:pPr>
    </w:p>
    <w:p w14:paraId="136294F2">
      <w:pPr>
        <w:pStyle w:val="9"/>
        <w:ind w:left="0"/>
        <w:jc w:val="left"/>
        <w:rPr>
          <w:sz w:val="20"/>
        </w:rPr>
      </w:pPr>
    </w:p>
    <w:p w14:paraId="72327B32">
      <w:pPr>
        <w:spacing w:before="92"/>
        <w:ind w:right="3355"/>
        <w:sectPr>
          <w:footerReference r:id="rId5" w:type="default"/>
          <w:pgSz w:w="11910" w:h="16840"/>
          <w:pgMar w:top="1985" w:right="1418" w:bottom="1418" w:left="1418" w:header="0" w:footer="454" w:gutter="0"/>
          <w:pgNumType w:fmt="lowerRoman"/>
          <w:cols w:space="720" w:num="1"/>
          <w:docGrid w:linePitch="299" w:charSpace="0"/>
        </w:sectPr>
      </w:pPr>
    </w:p>
    <w:p w14:paraId="132F1C65">
      <w:pPr>
        <w:pStyle w:val="2"/>
        <w:numPr>
          <w:ilvl w:val="0"/>
          <w:numId w:val="1"/>
        </w:numPr>
        <w:tabs>
          <w:tab w:val="left" w:pos="340"/>
        </w:tabs>
        <w:spacing w:before="240" w:after="240" w:line="360" w:lineRule="auto"/>
        <w:jc w:val="both"/>
      </w:pPr>
      <w:bookmarkStart w:id="30" w:name="_Toc195875784"/>
      <w:bookmarkStart w:id="31" w:name="_Toc197351221"/>
      <w:bookmarkStart w:id="32" w:name="_Toc195877768"/>
      <w:r>
        <w:rPr>
          <w:spacing w:val="-2"/>
        </w:rPr>
        <w:t>GİRİŞ</w:t>
      </w:r>
      <w:bookmarkEnd w:id="30"/>
      <w:bookmarkEnd w:id="31"/>
      <w:bookmarkEnd w:id="32"/>
    </w:p>
    <w:p w14:paraId="02632E84">
      <w:pPr>
        <w:pStyle w:val="9"/>
        <w:spacing w:before="120" w:after="120" w:line="360" w:lineRule="auto"/>
        <w:ind w:left="0" w:firstLine="567"/>
      </w:pPr>
      <w:r>
        <w:t>Teknolojinin özellikle son yüzyılda baş döndürücü bir şekilde gelişmesi insanlığın bilgi birikimini geometrik olarak artırmıştır. Amerikalı felsefeci Buckminster Fuller’in bilgi katlanma eğrisi, 20. yüzyılın başına kadar insanlığın enformasyon ve bilgi birikiminin her yüzyılda ikiye katlandığını ortaya koymaktadır. Söz konusu eğri 1945’te II. Dünya Savaşı’nın</w:t>
      </w:r>
      <w:r>
        <w:rPr>
          <w:spacing w:val="-6"/>
        </w:rPr>
        <w:t xml:space="preserve"> </w:t>
      </w:r>
      <w:r>
        <w:t>bitişi</w:t>
      </w:r>
      <w:r>
        <w:rPr>
          <w:spacing w:val="-6"/>
        </w:rPr>
        <w:t xml:space="preserve"> </w:t>
      </w:r>
      <w:r>
        <w:t>itibariyle</w:t>
      </w:r>
      <w:r>
        <w:rPr>
          <w:spacing w:val="-7"/>
        </w:rPr>
        <w:t xml:space="preserve"> </w:t>
      </w:r>
      <w:r>
        <w:t>anılan</w:t>
      </w:r>
      <w:r>
        <w:rPr>
          <w:spacing w:val="-7"/>
        </w:rPr>
        <w:t xml:space="preserve"> </w:t>
      </w:r>
      <w:r>
        <w:t>birikimin</w:t>
      </w:r>
      <w:r>
        <w:rPr>
          <w:spacing w:val="-7"/>
        </w:rPr>
        <w:t xml:space="preserve"> </w:t>
      </w:r>
      <w:r>
        <w:t>her</w:t>
      </w:r>
      <w:r>
        <w:rPr>
          <w:spacing w:val="-7"/>
        </w:rPr>
        <w:t xml:space="preserve"> </w:t>
      </w:r>
      <w:r>
        <w:t>25</w:t>
      </w:r>
      <w:r>
        <w:rPr>
          <w:spacing w:val="-8"/>
        </w:rPr>
        <w:t xml:space="preserve"> </w:t>
      </w:r>
      <w:r>
        <w:t>yılda</w:t>
      </w:r>
      <w:r>
        <w:rPr>
          <w:spacing w:val="-7"/>
        </w:rPr>
        <w:t xml:space="preserve"> </w:t>
      </w:r>
      <w:r>
        <w:t>iki</w:t>
      </w:r>
      <w:r>
        <w:rPr>
          <w:spacing w:val="-6"/>
        </w:rPr>
        <w:t xml:space="preserve"> </w:t>
      </w:r>
      <w:r>
        <w:t>katına</w:t>
      </w:r>
      <w:r>
        <w:rPr>
          <w:spacing w:val="-7"/>
        </w:rPr>
        <w:t xml:space="preserve"> </w:t>
      </w:r>
      <w:r>
        <w:t>çıktığını</w:t>
      </w:r>
      <w:r>
        <w:rPr>
          <w:spacing w:val="-2"/>
        </w:rPr>
        <w:t xml:space="preserve"> </w:t>
      </w:r>
      <w:r>
        <w:t>ileri</w:t>
      </w:r>
      <w:r>
        <w:rPr>
          <w:spacing w:val="-7"/>
        </w:rPr>
        <w:t xml:space="preserve"> </w:t>
      </w:r>
      <w:r>
        <w:t>sürmektedir. Hâlihazırda ise insanlığın ortalama bilgi birikiminin katlanması yaklaşık bir yıla kadar düşmüştür. Dünyanın öndegelen bilişim teknolojisi üreticilerinden IBM’e göre “şeylerin interneti”</w:t>
      </w:r>
      <w:r>
        <w:rPr>
          <w:spacing w:val="-11"/>
        </w:rPr>
        <w:t xml:space="preserve"> </w:t>
      </w:r>
      <w:r>
        <w:t>(internet</w:t>
      </w:r>
      <w:r>
        <w:rPr>
          <w:spacing w:val="-9"/>
        </w:rPr>
        <w:t xml:space="preserve"> </w:t>
      </w:r>
      <w:r>
        <w:t>of</w:t>
      </w:r>
      <w:r>
        <w:rPr>
          <w:spacing w:val="-10"/>
        </w:rPr>
        <w:t xml:space="preserve"> </w:t>
      </w:r>
      <w:r>
        <w:t>things)</w:t>
      </w:r>
      <w:r>
        <w:rPr>
          <w:spacing w:val="-10"/>
        </w:rPr>
        <w:t xml:space="preserve"> </w:t>
      </w:r>
      <w:r>
        <w:t>kavramının</w:t>
      </w:r>
      <w:r>
        <w:rPr>
          <w:spacing w:val="-9"/>
        </w:rPr>
        <w:t xml:space="preserve"> </w:t>
      </w:r>
      <w:r>
        <w:t>hayata</w:t>
      </w:r>
      <w:r>
        <w:rPr>
          <w:spacing w:val="-9"/>
        </w:rPr>
        <w:t xml:space="preserve"> </w:t>
      </w:r>
      <w:r>
        <w:t>adapte</w:t>
      </w:r>
      <w:r>
        <w:rPr>
          <w:spacing w:val="-10"/>
        </w:rPr>
        <w:t xml:space="preserve"> </w:t>
      </w:r>
      <w:r>
        <w:t>olmasıyla</w:t>
      </w:r>
      <w:r>
        <w:rPr>
          <w:spacing w:val="-11"/>
        </w:rPr>
        <w:t xml:space="preserve"> </w:t>
      </w:r>
      <w:r>
        <w:t>beraber</w:t>
      </w:r>
      <w:r>
        <w:rPr>
          <w:spacing w:val="-10"/>
        </w:rPr>
        <w:t xml:space="preserve"> </w:t>
      </w:r>
      <w:r>
        <w:t>bu</w:t>
      </w:r>
      <w:r>
        <w:rPr>
          <w:spacing w:val="-9"/>
        </w:rPr>
        <w:t xml:space="preserve"> </w:t>
      </w:r>
      <w:r>
        <w:t>sürenin</w:t>
      </w:r>
      <w:r>
        <w:rPr>
          <w:spacing w:val="-9"/>
        </w:rPr>
        <w:t xml:space="preserve"> </w:t>
      </w:r>
      <w:r>
        <w:t>12</w:t>
      </w:r>
      <w:r>
        <w:rPr>
          <w:spacing w:val="-10"/>
        </w:rPr>
        <w:t xml:space="preserve"> </w:t>
      </w:r>
      <w:r>
        <w:t>saat gibi hayal edilemeyecek bir zaman dilimine inmesi beklenmektedir (Schilling,2013:19). Bu bağlamda, anılan verilerden de çıkarılabileceği gibi son 15 yılda insanlığın ürettiği enformasyon ve bilgi 2000 yıllık bilgi birikimden daha fazladır.</w:t>
      </w:r>
    </w:p>
    <w:p w14:paraId="66C66A33">
      <w:pPr>
        <w:pStyle w:val="9"/>
        <w:spacing w:before="120" w:after="120" w:line="360" w:lineRule="auto"/>
        <w:ind w:left="0" w:firstLine="567"/>
      </w:pPr>
      <w:r>
        <w:t>Günümüz dünyasındaki rekabeti en önemli unsurunun bilgi olduğunu söylemek abartılı olmayacaktır. Dünya ticaretine de yön vermeye başlayan bilgi ve enformasyon gerek reel sektördeki gerekse hizmet sektöründeki işletmeler için stratejik bir değer ifade etmeye başlamıştır.</w:t>
      </w:r>
      <w:r>
        <w:rPr>
          <w:spacing w:val="-15"/>
        </w:rPr>
        <w:t xml:space="preserve"> </w:t>
      </w:r>
      <w:r>
        <w:t>Bilginin</w:t>
      </w:r>
      <w:r>
        <w:rPr>
          <w:spacing w:val="-15"/>
        </w:rPr>
        <w:t xml:space="preserve"> </w:t>
      </w:r>
      <w:r>
        <w:t>temini,</w:t>
      </w:r>
      <w:r>
        <w:rPr>
          <w:spacing w:val="-15"/>
        </w:rPr>
        <w:t xml:space="preserve"> </w:t>
      </w:r>
      <w:r>
        <w:t>sistematik</w:t>
      </w:r>
      <w:r>
        <w:rPr>
          <w:spacing w:val="-15"/>
        </w:rPr>
        <w:t xml:space="preserve"> </w:t>
      </w:r>
      <w:r>
        <w:t>biçimde</w:t>
      </w:r>
      <w:r>
        <w:rPr>
          <w:spacing w:val="-15"/>
        </w:rPr>
        <w:t xml:space="preserve"> </w:t>
      </w:r>
      <w:r>
        <w:t>tasnif</w:t>
      </w:r>
      <w:r>
        <w:rPr>
          <w:spacing w:val="-15"/>
        </w:rPr>
        <w:t xml:space="preserve"> </w:t>
      </w:r>
      <w:r>
        <w:t>edilmesi,</w:t>
      </w:r>
      <w:r>
        <w:rPr>
          <w:spacing w:val="-15"/>
        </w:rPr>
        <w:t xml:space="preserve"> </w:t>
      </w:r>
      <w:r>
        <w:t>korunması</w:t>
      </w:r>
      <w:r>
        <w:rPr>
          <w:spacing w:val="-15"/>
        </w:rPr>
        <w:t xml:space="preserve"> </w:t>
      </w:r>
      <w:r>
        <w:t>ve</w:t>
      </w:r>
      <w:r>
        <w:rPr>
          <w:spacing w:val="-15"/>
        </w:rPr>
        <w:t xml:space="preserve"> </w:t>
      </w:r>
      <w:r>
        <w:t>ihtiyaç</w:t>
      </w:r>
      <w:r>
        <w:rPr>
          <w:spacing w:val="-15"/>
        </w:rPr>
        <w:t xml:space="preserve"> </w:t>
      </w:r>
      <w:r>
        <w:t>halinde iletilmesi şeklinde tanımlanabilecek olan bilgi yönetimine verilen önemin her geçen gün gelişmesi, bilgi ve enformasyonu stratejik bir kaynağa dönüştürmektedir. Bu strateji de gerek şirketlerin hem sürdürülebilir rekabeti sağlamalarını gerek bireylerin hayatlarını kolaylaştırmada en temel bileşen haline gelmiştir.</w:t>
      </w:r>
    </w:p>
    <w:p w14:paraId="68EF7B61">
      <w:pPr>
        <w:pStyle w:val="9"/>
        <w:spacing w:before="120" w:after="120" w:line="360" w:lineRule="auto"/>
        <w:ind w:left="0" w:firstLine="567"/>
      </w:pPr>
      <w:r>
        <w:t>Mevcut yerleşik ekonomiyi dönüştüren bu yeni ekonominin esasını teşkil eden stratejik birikim 21. yüzyılda şirketlerin faaliyetlerini sürdürebilmeleri ve rakipleriyle mücadelede bilginin temini, çalışılması ve yönetilmesi büyük önem arzetmektedir. Bilgiyi üretenin ve kullananın insan olduğu tartışılmaz da olsa, enformasyonun teminine ve yönetilmesine olanak sağlayan araç yine iletişim teknolojileri olarak karşımıza çıkmaktadır. Bilgi ve iletişim</w:t>
      </w:r>
      <w:r>
        <w:rPr>
          <w:spacing w:val="-11"/>
        </w:rPr>
        <w:t xml:space="preserve"> </w:t>
      </w:r>
      <w:r>
        <w:t>teknolojilerinin</w:t>
      </w:r>
      <w:r>
        <w:rPr>
          <w:spacing w:val="-12"/>
        </w:rPr>
        <w:t xml:space="preserve"> </w:t>
      </w:r>
      <w:r>
        <w:t>birlikte</w:t>
      </w:r>
      <w:r>
        <w:rPr>
          <w:spacing w:val="-12"/>
        </w:rPr>
        <w:t xml:space="preserve"> </w:t>
      </w:r>
      <w:r>
        <w:t>kullanımı</w:t>
      </w:r>
      <w:r>
        <w:rPr>
          <w:spacing w:val="-11"/>
        </w:rPr>
        <w:t xml:space="preserve"> </w:t>
      </w:r>
      <w:r>
        <w:t>sonucu</w:t>
      </w:r>
      <w:r>
        <w:rPr>
          <w:spacing w:val="-12"/>
        </w:rPr>
        <w:t xml:space="preserve"> </w:t>
      </w:r>
      <w:r>
        <w:t>ortaya</w:t>
      </w:r>
      <w:r>
        <w:rPr>
          <w:spacing w:val="-10"/>
        </w:rPr>
        <w:t xml:space="preserve"> </w:t>
      </w:r>
      <w:r>
        <w:t>çıkan</w:t>
      </w:r>
      <w:r>
        <w:rPr>
          <w:spacing w:val="-12"/>
        </w:rPr>
        <w:t xml:space="preserve"> </w:t>
      </w:r>
      <w:r>
        <w:t>teknoloji</w:t>
      </w:r>
      <w:r>
        <w:rPr>
          <w:spacing w:val="-11"/>
        </w:rPr>
        <w:t xml:space="preserve"> </w:t>
      </w:r>
      <w:r>
        <w:t>olarak</w:t>
      </w:r>
      <w:r>
        <w:rPr>
          <w:spacing w:val="-12"/>
        </w:rPr>
        <w:t xml:space="preserve"> </w:t>
      </w:r>
      <w:r>
        <w:t>nitelenebilen bilişim</w:t>
      </w:r>
      <w:r>
        <w:rPr>
          <w:spacing w:val="-11"/>
        </w:rPr>
        <w:t xml:space="preserve"> </w:t>
      </w:r>
      <w:r>
        <w:t>teknolojisi,</w:t>
      </w:r>
      <w:r>
        <w:rPr>
          <w:spacing w:val="-11"/>
        </w:rPr>
        <w:t xml:space="preserve"> </w:t>
      </w:r>
      <w:r>
        <w:t>bilgi</w:t>
      </w:r>
      <w:r>
        <w:rPr>
          <w:spacing w:val="-11"/>
        </w:rPr>
        <w:t xml:space="preserve"> </w:t>
      </w:r>
      <w:r>
        <w:t>teknolojileriyle</w:t>
      </w:r>
      <w:r>
        <w:rPr>
          <w:spacing w:val="-11"/>
        </w:rPr>
        <w:t xml:space="preserve"> </w:t>
      </w:r>
      <w:r>
        <w:t>benzer</w:t>
      </w:r>
      <w:r>
        <w:rPr>
          <w:spacing w:val="-12"/>
        </w:rPr>
        <w:t xml:space="preserve"> </w:t>
      </w:r>
      <w:r>
        <w:t>olmasına</w:t>
      </w:r>
      <w:r>
        <w:rPr>
          <w:spacing w:val="-12"/>
        </w:rPr>
        <w:t xml:space="preserve"> </w:t>
      </w:r>
      <w:r>
        <w:t>rağmen</w:t>
      </w:r>
      <w:r>
        <w:rPr>
          <w:spacing w:val="-12"/>
        </w:rPr>
        <w:t xml:space="preserve"> </w:t>
      </w:r>
      <w:r>
        <w:t>onları</w:t>
      </w:r>
      <w:r>
        <w:rPr>
          <w:spacing w:val="-11"/>
        </w:rPr>
        <w:t xml:space="preserve"> </w:t>
      </w:r>
      <w:r>
        <w:t>da</w:t>
      </w:r>
      <w:r>
        <w:rPr>
          <w:spacing w:val="-10"/>
        </w:rPr>
        <w:t xml:space="preserve"> </w:t>
      </w:r>
      <w:r>
        <w:t>aşan</w:t>
      </w:r>
      <w:r>
        <w:rPr>
          <w:spacing w:val="-11"/>
        </w:rPr>
        <w:t xml:space="preserve"> </w:t>
      </w:r>
      <w:r>
        <w:t>kablosuz</w:t>
      </w:r>
      <w:r>
        <w:rPr>
          <w:spacing w:val="-10"/>
        </w:rPr>
        <w:t xml:space="preserve"> </w:t>
      </w:r>
      <w:r>
        <w:rPr>
          <w:spacing w:val="-5"/>
        </w:rPr>
        <w:t>ağ,</w:t>
      </w:r>
      <w:r>
        <w:t xml:space="preserve"> internet, akıllı telefonlar, intranet, extranet, e-posta</w:t>
      </w:r>
      <w:r>
        <w:rPr>
          <w:rFonts w:hint="default"/>
          <w:lang w:val="tr-TR"/>
        </w:rPr>
        <w:t>,</w:t>
      </w:r>
      <w:r>
        <w:t xml:space="preserve"> vb. araçlarla sembolize edilmektedir. Sanayi devriminden günümüze “Sanayi 1.0 ve Sanayi 2.0” şeklinde literatürde yer bulan bilgi ve iletişim teknolojilerinin endüstriyle entegrasyonu, bilgi teknolojilerinin sanayide kullanılmasıyla Sanayi 3.0’a ulaşmıştır. Sanayi 3.0 süreci, elektronik ve bilişim teknolojilerinin entegre kullanılmasıyla programlanabilir mantık devreleri ortaya çıkmıştır (Akben ve Avşar, 2018: 27-28).</w:t>
      </w:r>
      <w:r>
        <w:rPr>
          <w:spacing w:val="40"/>
        </w:rPr>
        <w:t xml:space="preserve"> </w:t>
      </w:r>
      <w:r>
        <w:t>Bu süreç yazılımın kontrolündeki elektronik olarak da tanımlanabilmektedir. Günümüzde ise dünya dijital teknolojilerle, endüstriyel ürünleri ve lojistiği</w:t>
      </w:r>
      <w:r>
        <w:rPr>
          <w:spacing w:val="-2"/>
        </w:rPr>
        <w:t xml:space="preserve"> </w:t>
      </w:r>
      <w:r>
        <w:t>bağlamak</w:t>
      </w:r>
      <w:r>
        <w:rPr>
          <w:spacing w:val="-3"/>
        </w:rPr>
        <w:t xml:space="preserve"> </w:t>
      </w:r>
      <w:r>
        <w:t>suretiyle,</w:t>
      </w:r>
      <w:r>
        <w:rPr>
          <w:spacing w:val="-3"/>
        </w:rPr>
        <w:t xml:space="preserve"> </w:t>
      </w:r>
      <w:r>
        <w:t>birbirleriyle</w:t>
      </w:r>
      <w:r>
        <w:rPr>
          <w:spacing w:val="-3"/>
        </w:rPr>
        <w:t xml:space="preserve"> </w:t>
      </w:r>
      <w:r>
        <w:t>haberleşebilen,</w:t>
      </w:r>
      <w:r>
        <w:rPr>
          <w:spacing w:val="-2"/>
        </w:rPr>
        <w:t xml:space="preserve"> </w:t>
      </w:r>
      <w:r>
        <w:t>sensörlerle</w:t>
      </w:r>
      <w:r>
        <w:rPr>
          <w:spacing w:val="-1"/>
        </w:rPr>
        <w:t xml:space="preserve"> </w:t>
      </w:r>
      <w:r>
        <w:t>ortamı algılayabilen</w:t>
      </w:r>
      <w:r>
        <w:rPr>
          <w:spacing w:val="-2"/>
        </w:rPr>
        <w:t xml:space="preserve"> </w:t>
      </w:r>
      <w:r>
        <w:t>ve veri</w:t>
      </w:r>
      <w:r>
        <w:rPr>
          <w:spacing w:val="-7"/>
        </w:rPr>
        <w:t xml:space="preserve"> </w:t>
      </w:r>
      <w:r>
        <w:t>analizi</w:t>
      </w:r>
      <w:r>
        <w:rPr>
          <w:spacing w:val="-5"/>
        </w:rPr>
        <w:t xml:space="preserve"> </w:t>
      </w:r>
      <w:r>
        <w:t>yaparak</w:t>
      </w:r>
      <w:r>
        <w:rPr>
          <w:spacing w:val="-5"/>
        </w:rPr>
        <w:t xml:space="preserve"> </w:t>
      </w:r>
      <w:r>
        <w:t>gereksinimleri</w:t>
      </w:r>
      <w:r>
        <w:rPr>
          <w:spacing w:val="-7"/>
        </w:rPr>
        <w:t xml:space="preserve"> </w:t>
      </w:r>
      <w:r>
        <w:t>fark</w:t>
      </w:r>
      <w:r>
        <w:rPr>
          <w:spacing w:val="-8"/>
        </w:rPr>
        <w:t xml:space="preserve"> </w:t>
      </w:r>
      <w:r>
        <w:t>edebilen</w:t>
      </w:r>
      <w:r>
        <w:rPr>
          <w:spacing w:val="-7"/>
        </w:rPr>
        <w:t xml:space="preserve"> </w:t>
      </w:r>
      <w:r>
        <w:t>robotların</w:t>
      </w:r>
      <w:r>
        <w:rPr>
          <w:spacing w:val="-7"/>
        </w:rPr>
        <w:t xml:space="preserve"> </w:t>
      </w:r>
      <w:r>
        <w:t>üretimi</w:t>
      </w:r>
      <w:r>
        <w:rPr>
          <w:spacing w:val="-7"/>
        </w:rPr>
        <w:t xml:space="preserve"> </w:t>
      </w:r>
      <w:r>
        <w:t>devraldığı,</w:t>
      </w:r>
      <w:r>
        <w:rPr>
          <w:spacing w:val="-7"/>
        </w:rPr>
        <w:t xml:space="preserve"> </w:t>
      </w:r>
      <w:r>
        <w:t>daha</w:t>
      </w:r>
      <w:r>
        <w:rPr>
          <w:spacing w:val="-8"/>
        </w:rPr>
        <w:t xml:space="preserve"> </w:t>
      </w:r>
      <w:r>
        <w:t>kaliteli, daha ucuz, daha hızlı ve daha az israf yapan bir üretim modelini hayata geçirmektedir (Akben</w:t>
      </w:r>
      <w:r>
        <w:rPr>
          <w:spacing w:val="-15"/>
        </w:rPr>
        <w:t xml:space="preserve"> </w:t>
      </w:r>
      <w:r>
        <w:t>ve</w:t>
      </w:r>
      <w:r>
        <w:rPr>
          <w:spacing w:val="-15"/>
        </w:rPr>
        <w:t xml:space="preserve"> </w:t>
      </w:r>
      <w:r>
        <w:t>Avşar,</w:t>
      </w:r>
      <w:r>
        <w:rPr>
          <w:spacing w:val="-15"/>
        </w:rPr>
        <w:t xml:space="preserve"> </w:t>
      </w:r>
      <w:r>
        <w:t>2018:</w:t>
      </w:r>
      <w:r>
        <w:rPr>
          <w:spacing w:val="-15"/>
        </w:rPr>
        <w:t xml:space="preserve"> </w:t>
      </w:r>
      <w:r>
        <w:t>28).Gelişen</w:t>
      </w:r>
      <w:r>
        <w:rPr>
          <w:spacing w:val="-15"/>
        </w:rPr>
        <w:t xml:space="preserve"> </w:t>
      </w:r>
      <w:r>
        <w:t>teknoloji</w:t>
      </w:r>
      <w:r>
        <w:rPr>
          <w:spacing w:val="-15"/>
        </w:rPr>
        <w:t xml:space="preserve"> </w:t>
      </w:r>
      <w:r>
        <w:t>ve</w:t>
      </w:r>
      <w:r>
        <w:rPr>
          <w:spacing w:val="-15"/>
        </w:rPr>
        <w:t xml:space="preserve"> </w:t>
      </w:r>
      <w:r>
        <w:t>dijitalleşme,</w:t>
      </w:r>
      <w:r>
        <w:rPr>
          <w:spacing w:val="-15"/>
        </w:rPr>
        <w:t xml:space="preserve"> </w:t>
      </w:r>
      <w:r>
        <w:t>özellikle</w:t>
      </w:r>
      <w:r>
        <w:rPr>
          <w:spacing w:val="-15"/>
        </w:rPr>
        <w:t xml:space="preserve"> </w:t>
      </w:r>
      <w:r>
        <w:t>Sanayi</w:t>
      </w:r>
      <w:r>
        <w:rPr>
          <w:spacing w:val="-15"/>
        </w:rPr>
        <w:t xml:space="preserve"> </w:t>
      </w:r>
      <w:r>
        <w:t>4.0</w:t>
      </w:r>
      <w:r>
        <w:rPr>
          <w:spacing w:val="-15"/>
        </w:rPr>
        <w:t xml:space="preserve"> </w:t>
      </w:r>
      <w:r>
        <w:t>ile</w:t>
      </w:r>
      <w:r>
        <w:rPr>
          <w:spacing w:val="-15"/>
        </w:rPr>
        <w:t xml:space="preserve"> </w:t>
      </w:r>
      <w:r>
        <w:t>birlikte robotların üretim ve hizmet sektörlerindeki ihtiyacı tespit ederek tamamen otonom bir şekilde üretim süreçlerini yönetmelerine olanak sağlamaktadır.</w:t>
      </w:r>
    </w:p>
    <w:p w14:paraId="45988F2E">
      <w:pPr>
        <w:pStyle w:val="9"/>
        <w:spacing w:before="120" w:after="120" w:line="360" w:lineRule="auto"/>
        <w:ind w:left="0" w:firstLine="567"/>
      </w:pPr>
      <w:r>
        <w:t>Diğer yandan, sanal gerçeklik de bu alandaki önemli gelişmelerden biri olarak öne çıkmaktadır. Anılan kavram, kullanıcının yönü ve konumu hakkında bilgi alarak bir veya daha fazla duyunun sentetik olarak uyarılmasını sağlayan bilgisayar uyarımı olarak tanımlanabilmektedir. Sanal gerçeklikte daha çok görsel ve işitsel uyaranlar kullanılırken, nadiren</w:t>
      </w:r>
      <w:r>
        <w:rPr>
          <w:spacing w:val="-7"/>
        </w:rPr>
        <w:t xml:space="preserve"> </w:t>
      </w:r>
      <w:r>
        <w:t>dokunma,</w:t>
      </w:r>
      <w:r>
        <w:rPr>
          <w:spacing w:val="-7"/>
        </w:rPr>
        <w:t xml:space="preserve"> </w:t>
      </w:r>
      <w:r>
        <w:t>denge,</w:t>
      </w:r>
      <w:r>
        <w:rPr>
          <w:spacing w:val="-5"/>
        </w:rPr>
        <w:t xml:space="preserve"> </w:t>
      </w:r>
      <w:r>
        <w:t>tat</w:t>
      </w:r>
      <w:r>
        <w:rPr>
          <w:spacing w:val="-7"/>
        </w:rPr>
        <w:t xml:space="preserve"> </w:t>
      </w:r>
      <w:r>
        <w:t>ve</w:t>
      </w:r>
      <w:r>
        <w:rPr>
          <w:spacing w:val="-8"/>
        </w:rPr>
        <w:t xml:space="preserve"> </w:t>
      </w:r>
      <w:r>
        <w:t>koku</w:t>
      </w:r>
      <w:r>
        <w:rPr>
          <w:spacing w:val="-7"/>
        </w:rPr>
        <w:t xml:space="preserve"> </w:t>
      </w:r>
      <w:r>
        <w:t>alma</w:t>
      </w:r>
      <w:r>
        <w:rPr>
          <w:spacing w:val="-7"/>
        </w:rPr>
        <w:t xml:space="preserve"> </w:t>
      </w:r>
      <w:r>
        <w:t>duyularını</w:t>
      </w:r>
      <w:r>
        <w:rPr>
          <w:spacing w:val="-6"/>
        </w:rPr>
        <w:t xml:space="preserve"> </w:t>
      </w:r>
      <w:r>
        <w:t>içermektedir.</w:t>
      </w:r>
      <w:r>
        <w:rPr>
          <w:spacing w:val="-7"/>
        </w:rPr>
        <w:t xml:space="preserve"> </w:t>
      </w:r>
      <w:r>
        <w:t>Sanal</w:t>
      </w:r>
      <w:r>
        <w:rPr>
          <w:spacing w:val="-6"/>
        </w:rPr>
        <w:t xml:space="preserve"> </w:t>
      </w:r>
      <w:r>
        <w:t>gerçeklik</w:t>
      </w:r>
      <w:r>
        <w:rPr>
          <w:spacing w:val="-7"/>
        </w:rPr>
        <w:t xml:space="preserve"> </w:t>
      </w:r>
      <w:r>
        <w:t>mimari, doğal deneyimler, tıp, sosyal bilimler, psikoloji, dijital pazarlama, öğrenme, uçuş, uzay ve sanat</w:t>
      </w:r>
      <w:r>
        <w:rPr>
          <w:spacing w:val="-3"/>
        </w:rPr>
        <w:t xml:space="preserve"> </w:t>
      </w:r>
      <w:r>
        <w:t>gibi</w:t>
      </w:r>
      <w:r>
        <w:rPr>
          <w:spacing w:val="-4"/>
        </w:rPr>
        <w:t xml:space="preserve"> </w:t>
      </w:r>
      <w:r>
        <w:t>birçok</w:t>
      </w:r>
      <w:r>
        <w:rPr>
          <w:spacing w:val="-3"/>
        </w:rPr>
        <w:t xml:space="preserve"> </w:t>
      </w:r>
      <w:r>
        <w:t>alanda</w:t>
      </w:r>
      <w:r>
        <w:rPr>
          <w:spacing w:val="-4"/>
        </w:rPr>
        <w:t xml:space="preserve"> </w:t>
      </w:r>
      <w:r>
        <w:t>kullanılmaktadır.</w:t>
      </w:r>
      <w:r>
        <w:rPr>
          <w:spacing w:val="-4"/>
        </w:rPr>
        <w:t xml:space="preserve"> </w:t>
      </w:r>
      <w:r>
        <w:t>Ancak</w:t>
      </w:r>
      <w:r>
        <w:rPr>
          <w:spacing w:val="-3"/>
        </w:rPr>
        <w:t xml:space="preserve"> </w:t>
      </w:r>
      <w:r>
        <w:t>özellikle</w:t>
      </w:r>
      <w:r>
        <w:rPr>
          <w:spacing w:val="-5"/>
        </w:rPr>
        <w:t xml:space="preserve"> </w:t>
      </w:r>
      <w:r>
        <w:t>1990’lı</w:t>
      </w:r>
      <w:r>
        <w:rPr>
          <w:spacing w:val="-3"/>
        </w:rPr>
        <w:t xml:space="preserve"> </w:t>
      </w:r>
      <w:r>
        <w:t>yılların</w:t>
      </w:r>
      <w:r>
        <w:rPr>
          <w:spacing w:val="-4"/>
        </w:rPr>
        <w:t xml:space="preserve"> </w:t>
      </w:r>
      <w:r>
        <w:t>başından</w:t>
      </w:r>
      <w:r>
        <w:rPr>
          <w:spacing w:val="-4"/>
        </w:rPr>
        <w:t xml:space="preserve"> </w:t>
      </w:r>
      <w:r>
        <w:t>itibaren fizyoterapi ve rehabilitasyon alanında hızla kullanılmaya başlanmıştır.</w:t>
      </w:r>
    </w:p>
    <w:p w14:paraId="60A0B19B">
      <w:pPr>
        <w:pStyle w:val="9"/>
        <w:spacing w:before="120" w:after="120" w:line="360" w:lineRule="auto"/>
        <w:ind w:left="0" w:firstLine="567"/>
      </w:pPr>
      <w:r>
        <w:t>Sağlık,</w:t>
      </w:r>
      <w:r>
        <w:rPr>
          <w:spacing w:val="-13"/>
        </w:rPr>
        <w:t xml:space="preserve"> </w:t>
      </w:r>
      <w:r>
        <w:t>eğitim</w:t>
      </w:r>
      <w:r>
        <w:rPr>
          <w:spacing w:val="-12"/>
        </w:rPr>
        <w:t xml:space="preserve"> </w:t>
      </w:r>
      <w:r>
        <w:t>ve</w:t>
      </w:r>
      <w:r>
        <w:rPr>
          <w:spacing w:val="-14"/>
        </w:rPr>
        <w:t xml:space="preserve"> </w:t>
      </w:r>
      <w:r>
        <w:t>teknoloji</w:t>
      </w:r>
      <w:r>
        <w:rPr>
          <w:spacing w:val="-13"/>
        </w:rPr>
        <w:t xml:space="preserve"> </w:t>
      </w:r>
      <w:r>
        <w:t>alanlarındaki</w:t>
      </w:r>
      <w:r>
        <w:rPr>
          <w:spacing w:val="-11"/>
        </w:rPr>
        <w:t xml:space="preserve"> </w:t>
      </w:r>
      <w:r>
        <w:t>gelişmelere</w:t>
      </w:r>
      <w:r>
        <w:rPr>
          <w:spacing w:val="-14"/>
        </w:rPr>
        <w:t xml:space="preserve"> </w:t>
      </w:r>
      <w:r>
        <w:t>bağlı</w:t>
      </w:r>
      <w:r>
        <w:rPr>
          <w:spacing w:val="-12"/>
        </w:rPr>
        <w:t xml:space="preserve"> </w:t>
      </w:r>
      <w:r>
        <w:t>olarak</w:t>
      </w:r>
      <w:r>
        <w:rPr>
          <w:spacing w:val="-9"/>
        </w:rPr>
        <w:t xml:space="preserve"> </w:t>
      </w:r>
      <w:r>
        <w:t>yaşam</w:t>
      </w:r>
      <w:r>
        <w:rPr>
          <w:spacing w:val="-13"/>
        </w:rPr>
        <w:t xml:space="preserve"> </w:t>
      </w:r>
      <w:r>
        <w:t>boyu</w:t>
      </w:r>
      <w:r>
        <w:rPr>
          <w:spacing w:val="-13"/>
        </w:rPr>
        <w:t xml:space="preserve"> </w:t>
      </w:r>
      <w:r>
        <w:t>uzadıkça,</w:t>
      </w:r>
      <w:r>
        <w:rPr>
          <w:spacing w:val="-13"/>
        </w:rPr>
        <w:t xml:space="preserve"> </w:t>
      </w:r>
      <w:r>
        <w:t>aynı zamanda</w:t>
      </w:r>
      <w:r>
        <w:rPr>
          <w:spacing w:val="-7"/>
        </w:rPr>
        <w:t xml:space="preserve"> </w:t>
      </w:r>
      <w:r>
        <w:t>kaliteli</w:t>
      </w:r>
      <w:r>
        <w:rPr>
          <w:spacing w:val="-4"/>
        </w:rPr>
        <w:t xml:space="preserve"> </w:t>
      </w:r>
      <w:r>
        <w:t>yaşam</w:t>
      </w:r>
      <w:r>
        <w:rPr>
          <w:spacing w:val="-6"/>
        </w:rPr>
        <w:t xml:space="preserve"> </w:t>
      </w:r>
      <w:r>
        <w:t>bilinci</w:t>
      </w:r>
      <w:r>
        <w:rPr>
          <w:spacing w:val="-7"/>
        </w:rPr>
        <w:t xml:space="preserve"> </w:t>
      </w:r>
      <w:r>
        <w:t>de</w:t>
      </w:r>
      <w:r>
        <w:rPr>
          <w:spacing w:val="-7"/>
        </w:rPr>
        <w:t xml:space="preserve"> </w:t>
      </w:r>
      <w:r>
        <w:t>artmaktadır.</w:t>
      </w:r>
      <w:r>
        <w:rPr>
          <w:spacing w:val="-7"/>
        </w:rPr>
        <w:t xml:space="preserve"> </w:t>
      </w:r>
      <w:r>
        <w:t>Dünya</w:t>
      </w:r>
      <w:r>
        <w:rPr>
          <w:spacing w:val="-7"/>
        </w:rPr>
        <w:t xml:space="preserve"> </w:t>
      </w:r>
      <w:r>
        <w:t>Sağlık</w:t>
      </w:r>
      <w:r>
        <w:rPr>
          <w:spacing w:val="-7"/>
        </w:rPr>
        <w:t xml:space="preserve"> </w:t>
      </w:r>
      <w:r>
        <w:t>Örgütü’ne</w:t>
      </w:r>
      <w:r>
        <w:rPr>
          <w:spacing w:val="-7"/>
        </w:rPr>
        <w:t xml:space="preserve"> </w:t>
      </w:r>
      <w:r>
        <w:t>(WHO)</w:t>
      </w:r>
      <w:r>
        <w:rPr>
          <w:spacing w:val="-4"/>
        </w:rPr>
        <w:t xml:space="preserve"> </w:t>
      </w:r>
      <w:r>
        <w:t>göre</w:t>
      </w:r>
      <w:r>
        <w:rPr>
          <w:spacing w:val="-4"/>
        </w:rPr>
        <w:t xml:space="preserve"> </w:t>
      </w:r>
      <w:r>
        <w:t>yaşam kalitesi, bireylerin içinde yaşadıkları kültür ve değerler sistemi içinde amaç, beklenti ve standartlar çerçevesinde hayatlarını nasıl algıladıkları ve kendilerini fiziksel, psikolojik ve sosyal</w:t>
      </w:r>
      <w:r>
        <w:rPr>
          <w:spacing w:val="-9"/>
        </w:rPr>
        <w:t xml:space="preserve"> </w:t>
      </w:r>
      <w:r>
        <w:t>olarak</w:t>
      </w:r>
      <w:r>
        <w:rPr>
          <w:spacing w:val="-9"/>
        </w:rPr>
        <w:t xml:space="preserve"> </w:t>
      </w:r>
      <w:r>
        <w:t>nasıl</w:t>
      </w:r>
      <w:r>
        <w:rPr>
          <w:spacing w:val="-8"/>
        </w:rPr>
        <w:t xml:space="preserve"> </w:t>
      </w:r>
      <w:r>
        <w:t>hissettikleriyle</w:t>
      </w:r>
      <w:r>
        <w:rPr>
          <w:spacing w:val="-4"/>
        </w:rPr>
        <w:t xml:space="preserve"> </w:t>
      </w:r>
      <w:r>
        <w:t>yakından</w:t>
      </w:r>
      <w:r>
        <w:rPr>
          <w:spacing w:val="-10"/>
        </w:rPr>
        <w:t xml:space="preserve"> </w:t>
      </w:r>
      <w:r>
        <w:t>ilgilidir.</w:t>
      </w:r>
      <w:r>
        <w:rPr>
          <w:spacing w:val="-9"/>
        </w:rPr>
        <w:t xml:space="preserve"> </w:t>
      </w:r>
      <w:r>
        <w:t>Farklı</w:t>
      </w:r>
      <w:r>
        <w:rPr>
          <w:spacing w:val="-9"/>
        </w:rPr>
        <w:t xml:space="preserve"> </w:t>
      </w:r>
      <w:r>
        <w:t>bir</w:t>
      </w:r>
      <w:r>
        <w:rPr>
          <w:spacing w:val="-10"/>
        </w:rPr>
        <w:t xml:space="preserve"> </w:t>
      </w:r>
      <w:r>
        <w:t>bakış</w:t>
      </w:r>
      <w:r>
        <w:rPr>
          <w:spacing w:val="-9"/>
        </w:rPr>
        <w:t xml:space="preserve"> </w:t>
      </w:r>
      <w:r>
        <w:t>açısıyla</w:t>
      </w:r>
      <w:r>
        <w:rPr>
          <w:spacing w:val="-5"/>
        </w:rPr>
        <w:t xml:space="preserve"> </w:t>
      </w:r>
      <w:r>
        <w:t>yaşam</w:t>
      </w:r>
      <w:r>
        <w:rPr>
          <w:spacing w:val="-9"/>
        </w:rPr>
        <w:t xml:space="preserve"> </w:t>
      </w:r>
      <w:r>
        <w:t>kalitesi, yaşam</w:t>
      </w:r>
      <w:r>
        <w:rPr>
          <w:spacing w:val="-1"/>
        </w:rPr>
        <w:t xml:space="preserve"> </w:t>
      </w:r>
      <w:r>
        <w:t>kalitesinin</w:t>
      </w:r>
      <w:r>
        <w:rPr>
          <w:spacing w:val="-1"/>
        </w:rPr>
        <w:t xml:space="preserve"> </w:t>
      </w:r>
      <w:r>
        <w:t>içinde</w:t>
      </w:r>
      <w:r>
        <w:rPr>
          <w:spacing w:val="-2"/>
        </w:rPr>
        <w:t xml:space="preserve"> </w:t>
      </w:r>
      <w:r>
        <w:t>bulunduğu,</w:t>
      </w:r>
      <w:r>
        <w:rPr>
          <w:spacing w:val="-1"/>
        </w:rPr>
        <w:t xml:space="preserve"> </w:t>
      </w:r>
      <w:r>
        <w:t>tatmin</w:t>
      </w:r>
      <w:r>
        <w:rPr>
          <w:spacing w:val="-1"/>
        </w:rPr>
        <w:t xml:space="preserve"> </w:t>
      </w:r>
      <w:r>
        <w:t>ve</w:t>
      </w:r>
      <w:r>
        <w:rPr>
          <w:spacing w:val="-2"/>
        </w:rPr>
        <w:t xml:space="preserve"> </w:t>
      </w:r>
      <w:r>
        <w:t>mutluluk</w:t>
      </w:r>
      <w:r>
        <w:rPr>
          <w:spacing w:val="-1"/>
        </w:rPr>
        <w:t xml:space="preserve"> </w:t>
      </w:r>
      <w:r>
        <w:t>kapasitesine</w:t>
      </w:r>
      <w:r>
        <w:rPr>
          <w:spacing w:val="-2"/>
        </w:rPr>
        <w:t xml:space="preserve"> </w:t>
      </w:r>
      <w:r>
        <w:t>sahip</w:t>
      </w:r>
      <w:r>
        <w:rPr>
          <w:spacing w:val="-1"/>
        </w:rPr>
        <w:t xml:space="preserve"> </w:t>
      </w:r>
      <w:r>
        <w:t>ortak</w:t>
      </w:r>
      <w:r>
        <w:rPr>
          <w:spacing w:val="-1"/>
        </w:rPr>
        <w:t xml:space="preserve"> </w:t>
      </w:r>
      <w:r>
        <w:t>bir</w:t>
      </w:r>
      <w:r>
        <w:rPr>
          <w:spacing w:val="-2"/>
        </w:rPr>
        <w:t xml:space="preserve"> </w:t>
      </w:r>
      <w:r>
        <w:t>boyutu içermektedir.</w:t>
      </w:r>
      <w:r>
        <w:rPr>
          <w:spacing w:val="46"/>
        </w:rPr>
        <w:t xml:space="preserve">  </w:t>
      </w:r>
      <w:r>
        <w:t>Hayatın</w:t>
      </w:r>
      <w:r>
        <w:rPr>
          <w:spacing w:val="49"/>
        </w:rPr>
        <w:t xml:space="preserve"> </w:t>
      </w:r>
      <w:r>
        <w:t>alt</w:t>
      </w:r>
      <w:r>
        <w:rPr>
          <w:spacing w:val="48"/>
        </w:rPr>
        <w:t xml:space="preserve"> </w:t>
      </w:r>
      <w:r>
        <w:t>alanlarına</w:t>
      </w:r>
      <w:r>
        <w:rPr>
          <w:spacing w:val="47"/>
        </w:rPr>
        <w:t xml:space="preserve"> </w:t>
      </w:r>
      <w:r>
        <w:t>ilişkin</w:t>
      </w:r>
      <w:r>
        <w:rPr>
          <w:spacing w:val="49"/>
        </w:rPr>
        <w:t xml:space="preserve"> </w:t>
      </w:r>
      <w:r>
        <w:t>iyilik</w:t>
      </w:r>
      <w:r>
        <w:rPr>
          <w:spacing w:val="48"/>
        </w:rPr>
        <w:t xml:space="preserve"> </w:t>
      </w:r>
      <w:r>
        <w:t>ifadeler</w:t>
      </w:r>
      <w:r>
        <w:rPr>
          <w:spacing w:val="47"/>
        </w:rPr>
        <w:t xml:space="preserve"> </w:t>
      </w:r>
      <w:r>
        <w:t>ise</w:t>
      </w:r>
      <w:r>
        <w:rPr>
          <w:spacing w:val="50"/>
        </w:rPr>
        <w:t xml:space="preserve"> </w:t>
      </w:r>
      <w:r>
        <w:t>yaşam</w:t>
      </w:r>
      <w:r>
        <w:rPr>
          <w:spacing w:val="49"/>
        </w:rPr>
        <w:t xml:space="preserve"> </w:t>
      </w:r>
      <w:r>
        <w:rPr>
          <w:spacing w:val="-2"/>
        </w:rPr>
        <w:t>kalitesini</w:t>
      </w:r>
      <w:r>
        <w:t xml:space="preserve"> belirlemektedir (Tunç,</w:t>
      </w:r>
      <w:r>
        <w:rPr>
          <w:spacing w:val="-4"/>
        </w:rPr>
        <w:t xml:space="preserve"> </w:t>
      </w:r>
      <w:r>
        <w:t>2011:34). Yaşam</w:t>
      </w:r>
      <w:r>
        <w:rPr>
          <w:spacing w:val="-4"/>
        </w:rPr>
        <w:t xml:space="preserve"> </w:t>
      </w:r>
      <w:r>
        <w:t>kalitesi,</w:t>
      </w:r>
      <w:r>
        <w:rPr>
          <w:spacing w:val="-4"/>
        </w:rPr>
        <w:t xml:space="preserve"> </w:t>
      </w:r>
      <w:r>
        <w:t>kişisel</w:t>
      </w:r>
      <w:r>
        <w:rPr>
          <w:spacing w:val="-4"/>
        </w:rPr>
        <w:t xml:space="preserve"> </w:t>
      </w:r>
      <w:r>
        <w:t>fiziksel</w:t>
      </w:r>
      <w:r>
        <w:rPr>
          <w:spacing w:val="-4"/>
        </w:rPr>
        <w:t xml:space="preserve"> </w:t>
      </w:r>
      <w:r>
        <w:t>durumun</w:t>
      </w:r>
      <w:r>
        <w:rPr>
          <w:spacing w:val="-4"/>
        </w:rPr>
        <w:t xml:space="preserve"> </w:t>
      </w:r>
      <w:r>
        <w:t>ötesinde</w:t>
      </w:r>
      <w:r>
        <w:rPr>
          <w:spacing w:val="-5"/>
        </w:rPr>
        <w:t xml:space="preserve"> </w:t>
      </w:r>
      <w:r>
        <w:t>kişisel</w:t>
      </w:r>
      <w:r>
        <w:rPr>
          <w:spacing w:val="-4"/>
        </w:rPr>
        <w:t xml:space="preserve"> </w:t>
      </w:r>
      <w:r>
        <w:t>refahı kapsayan daha geniş bir kavramdır. Yaşam kalitesi ölçümü, kişinin rolü, ruh hali, hastalık ve benzeri durumlarla ilgili deneyimleri, genel psikolojik durumu, mutluluğu ve yaşam doyumu gibi kavramları ele almaktadır (Doğduay, 2013:42).</w:t>
      </w:r>
    </w:p>
    <w:p w14:paraId="04468017">
      <w:pPr>
        <w:pStyle w:val="9"/>
        <w:spacing w:before="120" w:after="120" w:line="360" w:lineRule="auto"/>
        <w:ind w:left="0" w:firstLine="567"/>
      </w:pPr>
      <w:r>
        <w:t>Yaşam kalitesi kendini geliştirme, kişisel yaşamı zenginleştirme ve hedeflere ulaşmayla ilgilidir (Zorba, 2004:58). Yaşamdan memnuniyet ve mutluluk olarak nitelendirilebilecek yaşam kalitesi, kişilerin fiziksel işlevlerini, psikolojik durumlarını, aile içi ve dışı sosyal ilişkilerini, çevreyle olan etkileşimlerini ve inançlarını kapsar (Arslantaş vd., 2006:81).</w:t>
      </w:r>
    </w:p>
    <w:p w14:paraId="7FAE271C">
      <w:pPr>
        <w:pStyle w:val="9"/>
        <w:spacing w:before="120" w:after="120" w:line="360" w:lineRule="auto"/>
        <w:ind w:left="0" w:firstLine="567"/>
      </w:pPr>
      <w:r>
        <w:t>Yaşam kalitesini artırmaya yönelik yapılan faaliyetler ise genel olarak rekreasyonun içeriğini oluşturmaktadır (Tütüncü vd., 2011:118). Yaşlılar için yaşam kalitesini artırmaya, sağlıklı ve mutlu olmaya yönelik rekreatif faaliyetler daha önemlidir. Hücre ölümüyle başlayan yaşlanma</w:t>
      </w:r>
      <w:r>
        <w:rPr>
          <w:spacing w:val="-4"/>
        </w:rPr>
        <w:t xml:space="preserve"> </w:t>
      </w:r>
      <w:r>
        <w:t>süreci yaşamın</w:t>
      </w:r>
      <w:r>
        <w:rPr>
          <w:spacing w:val="-3"/>
        </w:rPr>
        <w:t xml:space="preserve"> </w:t>
      </w:r>
      <w:r>
        <w:t>sonuna</w:t>
      </w:r>
      <w:r>
        <w:rPr>
          <w:spacing w:val="-3"/>
        </w:rPr>
        <w:t xml:space="preserve"> </w:t>
      </w:r>
      <w:r>
        <w:t>kadar</w:t>
      </w:r>
      <w:r>
        <w:rPr>
          <w:spacing w:val="-3"/>
        </w:rPr>
        <w:t xml:space="preserve"> </w:t>
      </w:r>
      <w:r>
        <w:t>devam</w:t>
      </w:r>
      <w:r>
        <w:rPr>
          <w:spacing w:val="-3"/>
        </w:rPr>
        <w:t xml:space="preserve"> </w:t>
      </w:r>
      <w:r>
        <w:t>etmekte</w:t>
      </w:r>
      <w:r>
        <w:rPr>
          <w:spacing w:val="-4"/>
        </w:rPr>
        <w:t xml:space="preserve"> </w:t>
      </w:r>
      <w:r>
        <w:t>olup,</w:t>
      </w:r>
      <w:r>
        <w:rPr>
          <w:spacing w:val="-3"/>
        </w:rPr>
        <w:t xml:space="preserve"> </w:t>
      </w:r>
      <w:r>
        <w:t>fiziksel</w:t>
      </w:r>
      <w:r>
        <w:rPr>
          <w:spacing w:val="-3"/>
        </w:rPr>
        <w:t xml:space="preserve"> </w:t>
      </w:r>
      <w:r>
        <w:t>ve</w:t>
      </w:r>
      <w:r>
        <w:rPr>
          <w:spacing w:val="-4"/>
        </w:rPr>
        <w:t xml:space="preserve"> </w:t>
      </w:r>
      <w:r>
        <w:t>psikolojik engeller ile hastalıklar yoluyla da kendini göstermektedir. Bu sürece izolasyon da dahil olduğunda sağlıklı yaşlanma kavramı ile yaşam kalitesi ön plana çıkmaktadır. Yaşlıların hayata iki eliyle tutunmasını sağlayan ve yaşlılığın olumsuzluklarını en aza indiren etkinliklerden biri de rekreasyonel etkinliklerdir.</w:t>
      </w:r>
    </w:p>
    <w:p w14:paraId="2AE7EEC9">
      <w:pPr>
        <w:pStyle w:val="9"/>
        <w:spacing w:before="120" w:after="120" w:line="360" w:lineRule="auto"/>
        <w:ind w:left="0" w:firstLine="567"/>
      </w:pPr>
      <w:r>
        <w:t>Rekreasyon etkinliklerine katılım, boş zaman değerlendirmesinin yanı sıra, duygusal iyilik ve yaşam doyumunu garanti etmektedir. Terapötik rekreasyonel etkinlikler ise bireylerin yaşam kalitelerini artırmalarına yardımcı olmanın yanı sıra fiziksel ve psikolojik sağlık, sosyalleşme,</w:t>
      </w:r>
      <w:r>
        <w:rPr>
          <w:spacing w:val="-15"/>
        </w:rPr>
        <w:t xml:space="preserve"> </w:t>
      </w:r>
      <w:r>
        <w:t>bireysel</w:t>
      </w:r>
      <w:r>
        <w:rPr>
          <w:spacing w:val="-15"/>
        </w:rPr>
        <w:t xml:space="preserve"> </w:t>
      </w:r>
      <w:r>
        <w:t>işlevlerde</w:t>
      </w:r>
      <w:r>
        <w:rPr>
          <w:spacing w:val="-15"/>
        </w:rPr>
        <w:t xml:space="preserve"> </w:t>
      </w:r>
      <w:r>
        <w:t>gelişme,</w:t>
      </w:r>
      <w:r>
        <w:rPr>
          <w:spacing w:val="-15"/>
        </w:rPr>
        <w:t xml:space="preserve"> </w:t>
      </w:r>
      <w:r>
        <w:t>özgüven,</w:t>
      </w:r>
      <w:r>
        <w:rPr>
          <w:spacing w:val="-15"/>
        </w:rPr>
        <w:t xml:space="preserve"> </w:t>
      </w:r>
      <w:r>
        <w:t>bağımsız</w:t>
      </w:r>
      <w:r>
        <w:rPr>
          <w:spacing w:val="-15"/>
        </w:rPr>
        <w:t xml:space="preserve"> </w:t>
      </w:r>
      <w:r>
        <w:t>bir</w:t>
      </w:r>
      <w:r>
        <w:rPr>
          <w:spacing w:val="-15"/>
        </w:rPr>
        <w:t xml:space="preserve"> </w:t>
      </w:r>
      <w:r>
        <w:t>yaşam</w:t>
      </w:r>
      <w:r>
        <w:rPr>
          <w:spacing w:val="-15"/>
        </w:rPr>
        <w:t xml:space="preserve"> </w:t>
      </w:r>
      <w:r>
        <w:t>sürdürebilme</w:t>
      </w:r>
      <w:r>
        <w:rPr>
          <w:spacing w:val="-15"/>
        </w:rPr>
        <w:t xml:space="preserve"> </w:t>
      </w:r>
      <w:r>
        <w:t>gibi</w:t>
      </w:r>
      <w:r>
        <w:rPr>
          <w:spacing w:val="-15"/>
        </w:rPr>
        <w:t xml:space="preserve"> </w:t>
      </w:r>
      <w:r>
        <w:t>pek çok faydaları da beraberinde getirmektedir.</w:t>
      </w:r>
    </w:p>
    <w:p w14:paraId="10CB725A">
      <w:pPr>
        <w:pStyle w:val="9"/>
        <w:spacing w:before="120" w:after="120" w:line="360" w:lineRule="auto"/>
        <w:ind w:left="0" w:firstLine="567"/>
      </w:pPr>
      <w:r>
        <w:t>Son yıllarda internetin ve teknolojinin hızla gelişmesi ile ortaya çıkan sanal ve artırılmış gerçeklik kavramları, birçok alanda olduğu gibi turizm ve rekreasyon sektöründe de kullanılmaya</w:t>
      </w:r>
      <w:r>
        <w:rPr>
          <w:spacing w:val="-5"/>
        </w:rPr>
        <w:t xml:space="preserve"> </w:t>
      </w:r>
      <w:r>
        <w:t>başlayarak</w:t>
      </w:r>
      <w:r>
        <w:rPr>
          <w:spacing w:val="-3"/>
        </w:rPr>
        <w:t xml:space="preserve"> </w:t>
      </w:r>
      <w:r>
        <w:t>dönüşüme</w:t>
      </w:r>
      <w:r>
        <w:rPr>
          <w:spacing w:val="-3"/>
        </w:rPr>
        <w:t xml:space="preserve"> </w:t>
      </w:r>
      <w:r>
        <w:t>yol</w:t>
      </w:r>
      <w:r>
        <w:rPr>
          <w:spacing w:val="-4"/>
        </w:rPr>
        <w:t xml:space="preserve"> </w:t>
      </w:r>
      <w:r>
        <w:t>açmıştır.</w:t>
      </w:r>
      <w:r>
        <w:rPr>
          <w:spacing w:val="-4"/>
        </w:rPr>
        <w:t xml:space="preserve"> </w:t>
      </w:r>
      <w:r>
        <w:t>Özellikle</w:t>
      </w:r>
      <w:r>
        <w:rPr>
          <w:spacing w:val="-5"/>
        </w:rPr>
        <w:t xml:space="preserve"> </w:t>
      </w:r>
      <w:r>
        <w:t>boş</w:t>
      </w:r>
      <w:r>
        <w:rPr>
          <w:spacing w:val="-5"/>
        </w:rPr>
        <w:t xml:space="preserve"> </w:t>
      </w:r>
      <w:r>
        <w:t>zaman</w:t>
      </w:r>
      <w:r>
        <w:rPr>
          <w:spacing w:val="-4"/>
        </w:rPr>
        <w:t xml:space="preserve"> </w:t>
      </w:r>
      <w:r>
        <w:t>değerlendirme</w:t>
      </w:r>
      <w:r>
        <w:rPr>
          <w:spacing w:val="-5"/>
        </w:rPr>
        <w:t xml:space="preserve"> </w:t>
      </w:r>
      <w:r>
        <w:t>biçimi de</w:t>
      </w:r>
      <w:r>
        <w:rPr>
          <w:spacing w:val="-15"/>
        </w:rPr>
        <w:t xml:space="preserve"> </w:t>
      </w:r>
      <w:r>
        <w:t>sanal</w:t>
      </w:r>
      <w:r>
        <w:rPr>
          <w:spacing w:val="-15"/>
        </w:rPr>
        <w:t xml:space="preserve"> </w:t>
      </w:r>
      <w:r>
        <w:t>sistemlerdeki</w:t>
      </w:r>
      <w:r>
        <w:rPr>
          <w:spacing w:val="-14"/>
        </w:rPr>
        <w:t xml:space="preserve"> </w:t>
      </w:r>
      <w:r>
        <w:t>gelişmelerden</w:t>
      </w:r>
      <w:r>
        <w:rPr>
          <w:spacing w:val="-15"/>
        </w:rPr>
        <w:t xml:space="preserve"> </w:t>
      </w:r>
      <w:r>
        <w:t>etkilenmiş</w:t>
      </w:r>
      <w:r>
        <w:rPr>
          <w:spacing w:val="-14"/>
        </w:rPr>
        <w:t xml:space="preserve"> </w:t>
      </w:r>
      <w:r>
        <w:t>ve</w:t>
      </w:r>
      <w:r>
        <w:rPr>
          <w:spacing w:val="-15"/>
        </w:rPr>
        <w:t xml:space="preserve"> </w:t>
      </w:r>
      <w:r>
        <w:t>rekreasyon</w:t>
      </w:r>
      <w:r>
        <w:rPr>
          <w:spacing w:val="-15"/>
        </w:rPr>
        <w:t xml:space="preserve"> </w:t>
      </w:r>
      <w:r>
        <w:t>faaliyetlerinin</w:t>
      </w:r>
      <w:r>
        <w:rPr>
          <w:spacing w:val="-15"/>
        </w:rPr>
        <w:t xml:space="preserve"> </w:t>
      </w:r>
      <w:r>
        <w:t>çeşitlenmesine neden olmaktadır. Örneğin, bu çeşitlilikle beraber kişiler boş zamanlarını değerlendirme sürecinde</w:t>
      </w:r>
      <w:r>
        <w:rPr>
          <w:spacing w:val="36"/>
        </w:rPr>
        <w:t xml:space="preserve"> </w:t>
      </w:r>
      <w:r>
        <w:t>evlerinden</w:t>
      </w:r>
      <w:r>
        <w:rPr>
          <w:spacing w:val="39"/>
        </w:rPr>
        <w:t xml:space="preserve"> </w:t>
      </w:r>
      <w:r>
        <w:t>çıkmadan</w:t>
      </w:r>
      <w:r>
        <w:rPr>
          <w:spacing w:val="36"/>
        </w:rPr>
        <w:t xml:space="preserve"> </w:t>
      </w:r>
      <w:r>
        <w:t>da</w:t>
      </w:r>
      <w:r>
        <w:rPr>
          <w:spacing w:val="36"/>
        </w:rPr>
        <w:t xml:space="preserve"> </w:t>
      </w:r>
      <w:r>
        <w:t>sanal</w:t>
      </w:r>
      <w:r>
        <w:rPr>
          <w:spacing w:val="36"/>
        </w:rPr>
        <w:t xml:space="preserve"> </w:t>
      </w:r>
      <w:r>
        <w:t>sistemlerde</w:t>
      </w:r>
      <w:r>
        <w:rPr>
          <w:spacing w:val="36"/>
        </w:rPr>
        <w:t xml:space="preserve"> </w:t>
      </w:r>
      <w:r>
        <w:t>var</w:t>
      </w:r>
      <w:r>
        <w:rPr>
          <w:spacing w:val="38"/>
        </w:rPr>
        <w:t xml:space="preserve"> </w:t>
      </w:r>
      <w:r>
        <w:t>olan</w:t>
      </w:r>
      <w:r>
        <w:rPr>
          <w:spacing w:val="35"/>
        </w:rPr>
        <w:t xml:space="preserve"> </w:t>
      </w:r>
      <w:r>
        <w:t>uygulamalarla</w:t>
      </w:r>
      <w:r>
        <w:rPr>
          <w:spacing w:val="36"/>
        </w:rPr>
        <w:t xml:space="preserve"> </w:t>
      </w:r>
      <w:r>
        <w:t>hoşça</w:t>
      </w:r>
      <w:r>
        <w:rPr>
          <w:spacing w:val="36"/>
        </w:rPr>
        <w:t xml:space="preserve"> </w:t>
      </w:r>
      <w:r>
        <w:rPr>
          <w:spacing w:val="-2"/>
        </w:rPr>
        <w:t>vakit</w:t>
      </w:r>
      <w:r>
        <w:t xml:space="preserve"> geçirebilmekte, istedikleri müzeleri oturdukları yerden gezebilmektedir. Böylelikle bireyler günlük yaşamın sıkıcılığından uzaklaşarak daha kaliteli bir yaşam düzeyi elde edebilmektedirler. Bu kapsamda, bu çalışmanın amacı sanal rekreasyon faaliyetlerinin yaşam kalitesine olan etkisini araştırmaktır.</w:t>
      </w:r>
    </w:p>
    <w:p w14:paraId="60666833">
      <w:pPr>
        <w:pStyle w:val="9"/>
        <w:spacing w:before="120" w:after="120" w:line="360" w:lineRule="auto"/>
        <w:ind w:left="0" w:firstLine="567"/>
      </w:pPr>
      <w:r>
        <w:t>“Sanal Rekreasyon Faaliyetlerinin Yaşam Kalitesi Üzerine Etkisi, Sınıf Öğretmenleri Üzerine Bir Uygulama, Mamak İlçesi Örneği” başlıklı bu tez çalışmasının ilk bölümünde bazı kavramların teorik çerçevesi üzerinde durulmaktadır. Bölümde, rekreasyon kavramı, rekreasyonun özellikleri ve rekreasyonun sınıflandırılması ile immersiyon teknolojileri, sanal gerçeklik, artırılmış gerçeklik, sanal rekreasyon</w:t>
      </w:r>
      <w:r>
        <w:rPr>
          <w:rFonts w:hint="default"/>
          <w:lang w:val="tr-TR"/>
        </w:rPr>
        <w:t xml:space="preserve"> </w:t>
      </w:r>
      <w:r>
        <w:t>ve yaşam kalitesi kavramları detaylandırılmaya çalışılmaktadır.</w:t>
      </w:r>
    </w:p>
    <w:p w14:paraId="7E914E11">
      <w:pPr>
        <w:pStyle w:val="9"/>
        <w:spacing w:before="120" w:after="120" w:line="360" w:lineRule="auto"/>
        <w:ind w:left="0" w:firstLine="567"/>
      </w:pPr>
      <w:r>
        <w:t>Çalışmanın yöntem bölümünde, nicel araştırma türlerinden tarama modeli kullanılarak yapılmaktadır.</w:t>
      </w:r>
      <w:r>
        <w:rPr>
          <w:spacing w:val="-4"/>
        </w:rPr>
        <w:t xml:space="preserve"> </w:t>
      </w:r>
      <w:r>
        <w:t>Tarama</w:t>
      </w:r>
      <w:r>
        <w:rPr>
          <w:spacing w:val="-3"/>
        </w:rPr>
        <w:t xml:space="preserve"> </w:t>
      </w:r>
      <w:r>
        <w:t>araştırması,</w:t>
      </w:r>
      <w:r>
        <w:rPr>
          <w:spacing w:val="-4"/>
        </w:rPr>
        <w:t xml:space="preserve"> </w:t>
      </w:r>
      <w:r>
        <w:rPr>
          <w:i/>
        </w:rPr>
        <w:t>“bir</w:t>
      </w:r>
      <w:r>
        <w:rPr>
          <w:i/>
          <w:spacing w:val="-5"/>
        </w:rPr>
        <w:t xml:space="preserve"> </w:t>
      </w:r>
      <w:r>
        <w:rPr>
          <w:i/>
        </w:rPr>
        <w:t>konu</w:t>
      </w:r>
      <w:r>
        <w:rPr>
          <w:i/>
          <w:spacing w:val="-6"/>
        </w:rPr>
        <w:t xml:space="preserve"> </w:t>
      </w:r>
      <w:r>
        <w:rPr>
          <w:i/>
        </w:rPr>
        <w:t>ya</w:t>
      </w:r>
      <w:r>
        <w:rPr>
          <w:i/>
          <w:spacing w:val="-6"/>
        </w:rPr>
        <w:t xml:space="preserve"> </w:t>
      </w:r>
      <w:r>
        <w:rPr>
          <w:i/>
        </w:rPr>
        <w:t>da</w:t>
      </w:r>
      <w:r>
        <w:rPr>
          <w:i/>
          <w:spacing w:val="-6"/>
        </w:rPr>
        <w:t xml:space="preserve"> </w:t>
      </w:r>
      <w:r>
        <w:rPr>
          <w:i/>
        </w:rPr>
        <w:t>olaya</w:t>
      </w:r>
      <w:r>
        <w:rPr>
          <w:i/>
          <w:spacing w:val="-6"/>
        </w:rPr>
        <w:t xml:space="preserve"> </w:t>
      </w:r>
      <w:r>
        <w:rPr>
          <w:i/>
        </w:rPr>
        <w:t>ilişkin</w:t>
      </w:r>
      <w:r>
        <w:rPr>
          <w:i/>
          <w:spacing w:val="-6"/>
        </w:rPr>
        <w:t xml:space="preserve"> </w:t>
      </w:r>
      <w:r>
        <w:rPr>
          <w:i/>
        </w:rPr>
        <w:t>katılımcıların</w:t>
      </w:r>
      <w:r>
        <w:rPr>
          <w:i/>
          <w:spacing w:val="-5"/>
        </w:rPr>
        <w:t xml:space="preserve"> </w:t>
      </w:r>
      <w:r>
        <w:rPr>
          <w:i/>
        </w:rPr>
        <w:t xml:space="preserve">görüşlerinin ya da ilgi, beceri, yetenek, tutum gibi özelliklerinin belirlendiği” </w:t>
      </w:r>
      <w:r>
        <w:t>çalışmalardır (Büyüköztürk, Kılıç-Çakmak, Akgün, Karadeniz ve Demirel, 2009:56). Bu araştırma kapsamında</w:t>
      </w:r>
      <w:r>
        <w:rPr>
          <w:spacing w:val="-3"/>
        </w:rPr>
        <w:t xml:space="preserve"> </w:t>
      </w:r>
      <w:r>
        <w:t>da</w:t>
      </w:r>
      <w:r>
        <w:rPr>
          <w:spacing w:val="-1"/>
        </w:rPr>
        <w:t xml:space="preserve"> </w:t>
      </w:r>
      <w:r>
        <w:t>sınıf</w:t>
      </w:r>
      <w:r>
        <w:rPr>
          <w:spacing w:val="-3"/>
        </w:rPr>
        <w:t xml:space="preserve"> </w:t>
      </w:r>
      <w:r>
        <w:t>öğretmenlerinin</w:t>
      </w:r>
      <w:r>
        <w:rPr>
          <w:spacing w:val="-2"/>
        </w:rPr>
        <w:t xml:space="preserve"> </w:t>
      </w:r>
      <w:r>
        <w:t>sanal</w:t>
      </w:r>
      <w:r>
        <w:rPr>
          <w:spacing w:val="-2"/>
        </w:rPr>
        <w:t xml:space="preserve"> </w:t>
      </w:r>
      <w:r>
        <w:t>rekreasyon faaliyetleriyle yaşadığı</w:t>
      </w:r>
      <w:r>
        <w:rPr>
          <w:spacing w:val="-2"/>
        </w:rPr>
        <w:t xml:space="preserve"> </w:t>
      </w:r>
      <w:r>
        <w:t>deneyimlerin yaşam</w:t>
      </w:r>
      <w:r>
        <w:rPr>
          <w:spacing w:val="-13"/>
        </w:rPr>
        <w:t xml:space="preserve"> </w:t>
      </w:r>
      <w:r>
        <w:t>kalitelerine</w:t>
      </w:r>
      <w:r>
        <w:rPr>
          <w:spacing w:val="-14"/>
        </w:rPr>
        <w:t xml:space="preserve"> </w:t>
      </w:r>
      <w:r>
        <w:t>olan</w:t>
      </w:r>
      <w:r>
        <w:rPr>
          <w:spacing w:val="-11"/>
        </w:rPr>
        <w:t xml:space="preserve"> </w:t>
      </w:r>
      <w:r>
        <w:t>etkisini</w:t>
      </w:r>
      <w:r>
        <w:rPr>
          <w:spacing w:val="-13"/>
        </w:rPr>
        <w:t xml:space="preserve"> </w:t>
      </w:r>
      <w:r>
        <w:t>elde</w:t>
      </w:r>
      <w:r>
        <w:rPr>
          <w:spacing w:val="-14"/>
        </w:rPr>
        <w:t xml:space="preserve"> </w:t>
      </w:r>
      <w:r>
        <w:t>edilen</w:t>
      </w:r>
      <w:r>
        <w:rPr>
          <w:spacing w:val="-13"/>
        </w:rPr>
        <w:t xml:space="preserve"> </w:t>
      </w:r>
      <w:r>
        <w:t>verilere</w:t>
      </w:r>
      <w:r>
        <w:rPr>
          <w:spacing w:val="-12"/>
        </w:rPr>
        <w:t xml:space="preserve"> </w:t>
      </w:r>
      <w:r>
        <w:t>göre</w:t>
      </w:r>
      <w:r>
        <w:rPr>
          <w:spacing w:val="-15"/>
        </w:rPr>
        <w:t xml:space="preserve"> </w:t>
      </w:r>
      <w:r>
        <w:t>betimlenmektedir.</w:t>
      </w:r>
      <w:r>
        <w:rPr>
          <w:spacing w:val="-11"/>
        </w:rPr>
        <w:t xml:space="preserve"> </w:t>
      </w:r>
      <w:r>
        <w:t>Tez</w:t>
      </w:r>
      <w:r>
        <w:rPr>
          <w:spacing w:val="-12"/>
        </w:rPr>
        <w:t xml:space="preserve"> </w:t>
      </w:r>
      <w:r>
        <w:t>çalışmasının kalanında ise, bulgular analiz edilmeye çalışılmakta, araştırmanın sonuçlarına ilişkin tartışma, sonuç ve öneriler sunulmaya çaba sarf edilmektedir.</w:t>
      </w:r>
    </w:p>
    <w:p w14:paraId="206F637F">
      <w:pPr>
        <w:pStyle w:val="9"/>
        <w:spacing w:before="120" w:after="120" w:line="360" w:lineRule="auto"/>
        <w:ind w:left="0" w:firstLine="567"/>
      </w:pPr>
      <w:r>
        <w:t>Diğer yandan, sosyal ve fen bilimlerinde araştırma, bir problemin veya sorular silsilesinin sistematik ve rasyonel bir şekilde yanıtlanıp anlamlandırılması çabasıdır. Bu çerçevede, üzerinde kafa yorulan konunun tanımlanması ve bir kısım neticelere ulaşma faaliyeti de bu sürecin bir parçasıdır. Araştırmacı, mevcut soru ya da sorulara yanıtları oluşturacak bilgi toplamakta, bu bilgileri yorumlamakta, analiz ve sentezlerle neticeye ulaşmaktadır. Araştırmanın sistematize edilmesi, malumat edinme, analiz ve neticeye ulaşma sürecinde birbirlerinin tek bir resim olarak görülebilmesi bakımından oldukça önemlidir (Yıldırım, 1999: 8-9)</w:t>
      </w:r>
    </w:p>
    <w:p w14:paraId="12E4E4D4">
      <w:pPr>
        <w:pStyle w:val="9"/>
        <w:spacing w:before="120" w:after="120" w:line="360" w:lineRule="auto"/>
        <w:ind w:left="0" w:firstLine="567"/>
      </w:pPr>
      <w:r>
        <w:t>Bu itibarla, bilimsel araştırmalarda verilerin sistematik bir şekilde toplanması ve analiz edilmesi büyük önem arz etmektedir. Çalışmada, nicel veri analiz yöntemi kullanılmakta olup,</w:t>
      </w:r>
      <w:r>
        <w:rPr>
          <w:spacing w:val="25"/>
        </w:rPr>
        <w:t xml:space="preserve"> </w:t>
      </w:r>
      <w:r>
        <w:t>ikincil</w:t>
      </w:r>
      <w:r>
        <w:rPr>
          <w:spacing w:val="28"/>
        </w:rPr>
        <w:t xml:space="preserve"> </w:t>
      </w:r>
      <w:r>
        <w:t>kaynaklar</w:t>
      </w:r>
      <w:r>
        <w:rPr>
          <w:spacing w:val="28"/>
        </w:rPr>
        <w:t xml:space="preserve"> </w:t>
      </w:r>
      <w:r>
        <w:t>ele</w:t>
      </w:r>
      <w:r>
        <w:rPr>
          <w:spacing w:val="26"/>
        </w:rPr>
        <w:t xml:space="preserve"> </w:t>
      </w:r>
      <w:r>
        <w:t>alınmaktadır.</w:t>
      </w:r>
      <w:r>
        <w:rPr>
          <w:spacing w:val="27"/>
        </w:rPr>
        <w:t xml:space="preserve"> </w:t>
      </w:r>
      <w:r>
        <w:t>Bu</w:t>
      </w:r>
      <w:r>
        <w:rPr>
          <w:spacing w:val="27"/>
        </w:rPr>
        <w:t xml:space="preserve"> </w:t>
      </w:r>
      <w:r>
        <w:t>kapsamda,</w:t>
      </w:r>
      <w:r>
        <w:rPr>
          <w:spacing w:val="26"/>
        </w:rPr>
        <w:t xml:space="preserve"> </w:t>
      </w:r>
      <w:r>
        <w:t>arşiv</w:t>
      </w:r>
      <w:r>
        <w:rPr>
          <w:spacing w:val="27"/>
        </w:rPr>
        <w:t xml:space="preserve"> </w:t>
      </w:r>
      <w:r>
        <w:t>taraması</w:t>
      </w:r>
      <w:r>
        <w:rPr>
          <w:spacing w:val="30"/>
        </w:rPr>
        <w:t xml:space="preserve"> </w:t>
      </w:r>
      <w:r>
        <w:t>yapılmak</w:t>
      </w:r>
      <w:r>
        <w:rPr>
          <w:spacing w:val="27"/>
        </w:rPr>
        <w:t xml:space="preserve"> </w:t>
      </w:r>
      <w:r>
        <w:rPr>
          <w:spacing w:val="-2"/>
        </w:rPr>
        <w:t>suretiyle</w:t>
      </w:r>
      <w:r>
        <w:t xml:space="preserve"> Türkçe ve İngilizce kaynaklardan istifade edilecektir. Ayrıca, yüksek lisans ve doktora tezleri, basılı materyaller, süreli yayınlar, raporlar, kuramsal kitaplar, makaleler, internet yayınları, çeşitli kuruluşlarının yayın ve raporları üzerinde yoğunlaşılmaktadır.</w:t>
      </w:r>
    </w:p>
    <w:p w14:paraId="40309F5E">
      <w:pPr>
        <w:spacing w:line="360" w:lineRule="auto"/>
      </w:pPr>
    </w:p>
    <w:p w14:paraId="599F1FDB">
      <w:pPr>
        <w:spacing w:line="360" w:lineRule="auto"/>
      </w:pPr>
    </w:p>
    <w:p w14:paraId="5A771D5A">
      <w:pPr>
        <w:widowControl/>
        <w:autoSpaceDE/>
        <w:autoSpaceDN/>
      </w:pPr>
      <w:r>
        <w:br w:type="page"/>
      </w:r>
    </w:p>
    <w:p w14:paraId="22FF3AF6">
      <w:pPr>
        <w:widowControl/>
        <w:autoSpaceDE/>
        <w:autoSpaceDN/>
      </w:pPr>
    </w:p>
    <w:p w14:paraId="31E1AE5E">
      <w:pPr>
        <w:spacing w:line="360" w:lineRule="auto"/>
        <w:sectPr>
          <w:footerReference r:id="rId6" w:type="default"/>
          <w:pgSz w:w="11900" w:h="16850"/>
          <w:pgMar w:top="1985" w:right="1418" w:bottom="1418" w:left="1418" w:header="0" w:footer="652" w:gutter="0"/>
          <w:pgNumType w:start="1"/>
          <w:cols w:space="720" w:num="1"/>
        </w:sectPr>
      </w:pPr>
    </w:p>
    <w:p w14:paraId="1F57532F">
      <w:pPr>
        <w:pStyle w:val="2"/>
        <w:tabs>
          <w:tab w:val="left" w:pos="340"/>
        </w:tabs>
        <w:spacing w:before="240" w:after="240" w:line="120" w:lineRule="auto"/>
        <w:ind w:left="0"/>
      </w:pPr>
      <w:bookmarkStart w:id="33" w:name="_Toc195875785"/>
      <w:bookmarkStart w:id="34" w:name="_Toc197351222"/>
      <w:bookmarkStart w:id="35" w:name="_Toc195877769"/>
      <w:r>
        <w:t>2. KAVRAMSAL</w:t>
      </w:r>
      <w:r>
        <w:rPr>
          <w:spacing w:val="-5"/>
        </w:rPr>
        <w:t xml:space="preserve"> </w:t>
      </w:r>
      <w:r>
        <w:rPr>
          <w:spacing w:val="-2"/>
        </w:rPr>
        <w:t>ÇERÇEVE</w:t>
      </w:r>
      <w:bookmarkEnd w:id="33"/>
      <w:bookmarkEnd w:id="34"/>
      <w:bookmarkEnd w:id="35"/>
    </w:p>
    <w:p w14:paraId="0659FE9E">
      <w:pPr>
        <w:pStyle w:val="3"/>
        <w:spacing w:before="240" w:after="240" w:line="360" w:lineRule="auto"/>
        <w:ind w:left="567"/>
      </w:pPr>
      <w:bookmarkStart w:id="36" w:name="_Toc195875786"/>
      <w:bookmarkStart w:id="37" w:name="_Toc195877770"/>
      <w:bookmarkStart w:id="38" w:name="_Toc197351223"/>
      <w:r>
        <w:rPr>
          <w:spacing w:val="-2"/>
        </w:rPr>
        <w:t>2.1. Rekreasyon</w:t>
      </w:r>
      <w:bookmarkEnd w:id="36"/>
      <w:bookmarkEnd w:id="37"/>
      <w:bookmarkEnd w:id="38"/>
    </w:p>
    <w:p w14:paraId="013EFABD">
      <w:pPr>
        <w:pStyle w:val="4"/>
        <w:spacing w:before="240" w:after="240" w:line="360" w:lineRule="auto"/>
        <w:ind w:left="567" w:firstLine="0"/>
        <w:rPr>
          <w:i w:val="0"/>
        </w:rPr>
      </w:pPr>
      <w:bookmarkStart w:id="39" w:name="_Toc197351224"/>
      <w:bookmarkStart w:id="40" w:name="_Toc195875787"/>
      <w:bookmarkStart w:id="41" w:name="_Toc195877771"/>
      <w:r>
        <w:rPr>
          <w:i w:val="0"/>
        </w:rPr>
        <w:t>2.1.1. Rekreasyon Kavramı</w:t>
      </w:r>
      <w:bookmarkEnd w:id="39"/>
      <w:bookmarkEnd w:id="40"/>
      <w:bookmarkEnd w:id="41"/>
    </w:p>
    <w:p w14:paraId="3417B464">
      <w:pPr>
        <w:pStyle w:val="9"/>
        <w:spacing w:before="120" w:after="120" w:line="360" w:lineRule="auto"/>
        <w:ind w:left="0" w:firstLine="567"/>
      </w:pPr>
      <w:r>
        <w:t xml:space="preserve">Rekreasyon kavramı, Latince’de yaratmak, iyileştirmek, yenilenmek anlamlarına gelen “recratio” sözcüğünden türetilmiştir. En genel şekliyle serbest zamanda yapılan yararlı etkinlikleri ifade etmektedir (Erdemli, 2008: 14). Rekreasyon bir deneyim olarak grup şeklinde ya da bireysel olarak serbest zamanlarda belirli duygusal, sosyal ve fiziksel davranışları kazanmak için gönüllü şekilde katılımın olduğu etkinliklerdir (Kılbaş, 2010: </w:t>
      </w:r>
      <w:r>
        <w:rPr>
          <w:spacing w:val="-2"/>
        </w:rPr>
        <w:t>180).</w:t>
      </w:r>
    </w:p>
    <w:p w14:paraId="610C1844">
      <w:pPr>
        <w:pStyle w:val="9"/>
        <w:spacing w:before="120" w:after="120" w:line="360" w:lineRule="auto"/>
        <w:ind w:left="0" w:firstLine="567"/>
      </w:pPr>
      <w:r>
        <w:t>Türk Dil Kurumu (TDK) rekreasyon, “insanların boş zamanlarında, eğlence ve spor amacı ile gönüllü olarak katıldıkları etkinlikler” ve “bir bölgeyi insanların eğlenme, dinlenme amacıyla kullanabilecekleri bir duruma getirme” şeklinde tanımlamaktadır (TDK, 2022). Literatürde bu kavramla ilgili çeşitli tanım çalışmaları da yapılmıştır. Rekreasyonu bazı toplumsal değerleri gerçekleştirmek için genellikle eğlenceli ve zevkli, boş zamanlarda yapılan etkinlikler olarak da ifade edilmektedir (Ardahan vd., 2016: 10).</w:t>
      </w:r>
    </w:p>
    <w:p w14:paraId="7ACB0D4F">
      <w:pPr>
        <w:pStyle w:val="9"/>
        <w:spacing w:before="120" w:after="120" w:line="360" w:lineRule="auto"/>
        <w:ind w:left="0" w:firstLine="567"/>
      </w:pPr>
      <w:r>
        <w:t>Sağcan (1986:5) rekreasyonu insanların boş zamanlarında, eğlence ve tatmin dürtüleriyle gönüllü olarak katıldıkları etkinlikler olarak ele almıştır. Karaküçük’e (2005: 61) göre rekreasyon,</w:t>
      </w:r>
      <w:r>
        <w:rPr>
          <w:spacing w:val="-9"/>
        </w:rPr>
        <w:t xml:space="preserve"> </w:t>
      </w:r>
      <w:r>
        <w:t>insanın</w:t>
      </w:r>
      <w:r>
        <w:rPr>
          <w:spacing w:val="-4"/>
        </w:rPr>
        <w:t xml:space="preserve"> </w:t>
      </w:r>
      <w:r>
        <w:t>yoğun</w:t>
      </w:r>
      <w:r>
        <w:rPr>
          <w:spacing w:val="-9"/>
        </w:rPr>
        <w:t xml:space="preserve"> </w:t>
      </w:r>
      <w:r>
        <w:t>iş</w:t>
      </w:r>
      <w:r>
        <w:rPr>
          <w:spacing w:val="-6"/>
        </w:rPr>
        <w:t xml:space="preserve"> </w:t>
      </w:r>
      <w:r>
        <w:t>yükü,</w:t>
      </w:r>
      <w:r>
        <w:rPr>
          <w:spacing w:val="-9"/>
        </w:rPr>
        <w:t xml:space="preserve"> </w:t>
      </w:r>
      <w:r>
        <w:t>rutin</w:t>
      </w:r>
      <w:r>
        <w:rPr>
          <w:spacing w:val="-4"/>
        </w:rPr>
        <w:t xml:space="preserve"> </w:t>
      </w:r>
      <w:r>
        <w:t>yaşam</w:t>
      </w:r>
      <w:r>
        <w:rPr>
          <w:spacing w:val="-9"/>
        </w:rPr>
        <w:t xml:space="preserve"> </w:t>
      </w:r>
      <w:r>
        <w:t>tarzını</w:t>
      </w:r>
      <w:r>
        <w:rPr>
          <w:spacing w:val="-9"/>
        </w:rPr>
        <w:t xml:space="preserve"> </w:t>
      </w:r>
      <w:r>
        <w:t>tehlikeye</w:t>
      </w:r>
      <w:r>
        <w:rPr>
          <w:spacing w:val="-10"/>
        </w:rPr>
        <w:t xml:space="preserve"> </w:t>
      </w:r>
      <w:r>
        <w:t>atan</w:t>
      </w:r>
      <w:r>
        <w:rPr>
          <w:spacing w:val="-10"/>
        </w:rPr>
        <w:t xml:space="preserve"> </w:t>
      </w:r>
      <w:r>
        <w:t>veya</w:t>
      </w:r>
      <w:r>
        <w:rPr>
          <w:spacing w:val="-10"/>
        </w:rPr>
        <w:t xml:space="preserve"> </w:t>
      </w:r>
      <w:r>
        <w:t>olumsuz</w:t>
      </w:r>
      <w:r>
        <w:rPr>
          <w:spacing w:val="-8"/>
        </w:rPr>
        <w:t xml:space="preserve"> </w:t>
      </w:r>
      <w:r>
        <w:t>çevresel etkilerden</w:t>
      </w:r>
      <w:r>
        <w:rPr>
          <w:spacing w:val="-12"/>
        </w:rPr>
        <w:t xml:space="preserve"> </w:t>
      </w:r>
      <w:r>
        <w:t>mustarip</w:t>
      </w:r>
      <w:r>
        <w:rPr>
          <w:spacing w:val="-10"/>
        </w:rPr>
        <w:t xml:space="preserve"> </w:t>
      </w:r>
      <w:r>
        <w:t>vücut</w:t>
      </w:r>
      <w:r>
        <w:rPr>
          <w:spacing w:val="-9"/>
        </w:rPr>
        <w:t xml:space="preserve"> </w:t>
      </w:r>
      <w:r>
        <w:t>ve</w:t>
      </w:r>
      <w:r>
        <w:rPr>
          <w:spacing w:val="-12"/>
        </w:rPr>
        <w:t xml:space="preserve"> </w:t>
      </w:r>
      <w:r>
        <w:t>ruh</w:t>
      </w:r>
      <w:r>
        <w:rPr>
          <w:spacing w:val="-12"/>
        </w:rPr>
        <w:t xml:space="preserve"> </w:t>
      </w:r>
      <w:r>
        <w:t>sağlığını</w:t>
      </w:r>
      <w:r>
        <w:rPr>
          <w:spacing w:val="-6"/>
        </w:rPr>
        <w:t xml:space="preserve"> </w:t>
      </w:r>
      <w:r>
        <w:t>yeniden</w:t>
      </w:r>
      <w:r>
        <w:rPr>
          <w:spacing w:val="-8"/>
        </w:rPr>
        <w:t xml:space="preserve"> </w:t>
      </w:r>
      <w:r>
        <w:t>kazanmak,</w:t>
      </w:r>
      <w:r>
        <w:rPr>
          <w:spacing w:val="-12"/>
        </w:rPr>
        <w:t xml:space="preserve"> </w:t>
      </w:r>
      <w:r>
        <w:t>korumak</w:t>
      </w:r>
      <w:r>
        <w:rPr>
          <w:spacing w:val="-10"/>
        </w:rPr>
        <w:t xml:space="preserve"> </w:t>
      </w:r>
      <w:r>
        <w:t>veya</w:t>
      </w:r>
      <w:r>
        <w:rPr>
          <w:spacing w:val="-10"/>
        </w:rPr>
        <w:t xml:space="preserve"> </w:t>
      </w:r>
      <w:r>
        <w:t>sürdürmek</w:t>
      </w:r>
      <w:r>
        <w:rPr>
          <w:spacing w:val="-10"/>
        </w:rPr>
        <w:t xml:space="preserve"> </w:t>
      </w:r>
      <w:r>
        <w:t>için değil,</w:t>
      </w:r>
      <w:r>
        <w:rPr>
          <w:spacing w:val="-15"/>
        </w:rPr>
        <w:t xml:space="preserve"> </w:t>
      </w:r>
      <w:r>
        <w:t>aynı</w:t>
      </w:r>
      <w:r>
        <w:rPr>
          <w:spacing w:val="-15"/>
        </w:rPr>
        <w:t xml:space="preserve"> </w:t>
      </w:r>
      <w:r>
        <w:t>zamanda</w:t>
      </w:r>
      <w:r>
        <w:rPr>
          <w:spacing w:val="-15"/>
        </w:rPr>
        <w:t xml:space="preserve"> </w:t>
      </w:r>
      <w:r>
        <w:t>zevk</w:t>
      </w:r>
      <w:r>
        <w:rPr>
          <w:spacing w:val="-15"/>
        </w:rPr>
        <w:t xml:space="preserve"> </w:t>
      </w:r>
      <w:r>
        <w:t>ve</w:t>
      </w:r>
      <w:r>
        <w:rPr>
          <w:spacing w:val="-15"/>
        </w:rPr>
        <w:t xml:space="preserve"> </w:t>
      </w:r>
      <w:r>
        <w:t>keyif</w:t>
      </w:r>
      <w:r>
        <w:rPr>
          <w:spacing w:val="-15"/>
        </w:rPr>
        <w:t xml:space="preserve"> </w:t>
      </w:r>
      <w:r>
        <w:t>için</w:t>
      </w:r>
      <w:r>
        <w:rPr>
          <w:spacing w:val="-15"/>
        </w:rPr>
        <w:t xml:space="preserve"> </w:t>
      </w:r>
      <w:r>
        <w:t>ayrılan</w:t>
      </w:r>
      <w:r>
        <w:rPr>
          <w:spacing w:val="-15"/>
        </w:rPr>
        <w:t xml:space="preserve"> </w:t>
      </w:r>
      <w:r>
        <w:t>zaman</w:t>
      </w:r>
      <w:r>
        <w:rPr>
          <w:spacing w:val="-15"/>
        </w:rPr>
        <w:t xml:space="preserve"> </w:t>
      </w:r>
      <w:r>
        <w:t>dışındaki</w:t>
      </w:r>
      <w:r>
        <w:rPr>
          <w:spacing w:val="-15"/>
        </w:rPr>
        <w:t xml:space="preserve"> </w:t>
      </w:r>
      <w:r>
        <w:t>boş</w:t>
      </w:r>
      <w:r>
        <w:rPr>
          <w:spacing w:val="-15"/>
        </w:rPr>
        <w:t xml:space="preserve"> </w:t>
      </w:r>
      <w:r>
        <w:t>zamanlarda</w:t>
      </w:r>
      <w:r>
        <w:rPr>
          <w:spacing w:val="-15"/>
        </w:rPr>
        <w:t xml:space="preserve"> </w:t>
      </w:r>
      <w:r>
        <w:t>kişisel</w:t>
      </w:r>
      <w:r>
        <w:rPr>
          <w:spacing w:val="-15"/>
        </w:rPr>
        <w:t xml:space="preserve"> </w:t>
      </w:r>
      <w:r>
        <w:t>tatmin sağlayacak etkinliklerdir. Ayrıca, rekreasyon tamamen iş ve kompulsif ihtiyaçlar çerçevesinde gönüllü ve bireysel olarak veya grup içinden seçim yaparak icra ettiği “faaliyetler” olarak tanımlanmıştır. Ancak, en son tanımda rekreasyon, bireyin önceden planlı veya kendiliğinden kendini yenilemesi, sosyalleşmesi, mutlu ve sağlıklı kaliteli bir yaşam sürmesi için boş zamanlarını özgürce seçeceği etkinliklerle geçirmesi olarak tanımlanmaktadır</w:t>
      </w:r>
      <w:r>
        <w:rPr>
          <w:spacing w:val="38"/>
        </w:rPr>
        <w:t xml:space="preserve"> </w:t>
      </w:r>
      <w:r>
        <w:t>(Karaküçük,</w:t>
      </w:r>
      <w:r>
        <w:rPr>
          <w:spacing w:val="39"/>
        </w:rPr>
        <w:t xml:space="preserve"> </w:t>
      </w:r>
      <w:r>
        <w:t>2019:</w:t>
      </w:r>
      <w:r>
        <w:rPr>
          <w:spacing w:val="40"/>
        </w:rPr>
        <w:t xml:space="preserve"> </w:t>
      </w:r>
      <w:r>
        <w:t>100).</w:t>
      </w:r>
      <w:r>
        <w:rPr>
          <w:spacing w:val="37"/>
        </w:rPr>
        <w:t xml:space="preserve"> </w:t>
      </w:r>
      <w:r>
        <w:t>Rekreasyon</w:t>
      </w:r>
      <w:r>
        <w:rPr>
          <w:spacing w:val="39"/>
        </w:rPr>
        <w:t xml:space="preserve"> </w:t>
      </w:r>
      <w:r>
        <w:t>katılımcının</w:t>
      </w:r>
      <w:r>
        <w:rPr>
          <w:spacing w:val="40"/>
        </w:rPr>
        <w:t xml:space="preserve"> </w:t>
      </w:r>
      <w:r>
        <w:t>bu</w:t>
      </w:r>
      <w:r>
        <w:rPr>
          <w:spacing w:val="43"/>
        </w:rPr>
        <w:t xml:space="preserve"> </w:t>
      </w:r>
      <w:r>
        <w:t>aktivite</w:t>
      </w:r>
      <w:r>
        <w:rPr>
          <w:spacing w:val="38"/>
        </w:rPr>
        <w:t xml:space="preserve"> </w:t>
      </w:r>
      <w:r>
        <w:t>için</w:t>
      </w:r>
      <w:r>
        <w:rPr>
          <w:spacing w:val="39"/>
        </w:rPr>
        <w:t xml:space="preserve"> </w:t>
      </w:r>
      <w:r>
        <w:rPr>
          <w:spacing w:val="-5"/>
        </w:rPr>
        <w:t>boş</w:t>
      </w:r>
      <w:r>
        <w:t xml:space="preserve"> zamanı ve bu aktiviteyi özgürce ve gönüllü olarak gerçekleştirmesi olarak da nitelenebilmektedir (Güncan, 2021: 16).</w:t>
      </w:r>
    </w:p>
    <w:p w14:paraId="2C69BEDB">
      <w:pPr>
        <w:pStyle w:val="9"/>
        <w:spacing w:before="120" w:after="120" w:line="360" w:lineRule="auto"/>
        <w:ind w:left="0" w:firstLine="567"/>
      </w:pPr>
      <w:r>
        <w:t>Rekreasyon kavramı, kişisel olarak bireylerin kendilerini yeniden yapılandırmasına olanak sağlayan sosyal ve eğlenceli etkinlikleri ifade etmektedir. Rekreasyonla eğlence, haz ve doyum amacıyla gönüllü olarak seçilen ve genelde serbest zamanda yapılan deneyim ve aktiviteler kastedilmektedir (Serdar, 2020:150).</w:t>
      </w:r>
    </w:p>
    <w:p w14:paraId="508B1D29">
      <w:pPr>
        <w:pStyle w:val="9"/>
        <w:spacing w:before="120" w:after="120" w:line="360" w:lineRule="auto"/>
        <w:ind w:left="0" w:firstLine="567"/>
      </w:pPr>
      <w:r>
        <w:t>Rekreasyon, genellikle bir mesleğin amaçlı, yapıcı ve onarıcı bir şekilde sürdürülmesiyle ilişkilendirilmektedir. Birey ve yaşam arasında mutlu bir bağ kuran rekreasyon, bireyin rahatlatıcı, eğlenceli ve/veya zevkli etkinliklere katılmasına olanak sağlayarak bireye canlılık ve gelişme sağlamaktadır. Bu çerçevede, rekreasyonun bireyin hayatındaki birçok problemden kurtulmasında, kendisini ve ilişkilerini geliştirmesinde, ayrıca sosyo-kültürel uyumunda oldukça etkili olduğu ifade edilmektedir (Tütüncü vd., 2011: 71).</w:t>
      </w:r>
    </w:p>
    <w:p w14:paraId="15834133">
      <w:pPr>
        <w:pStyle w:val="9"/>
        <w:spacing w:before="120" w:after="120" w:line="360" w:lineRule="auto"/>
        <w:ind w:left="0" w:firstLine="567"/>
      </w:pPr>
      <w:r>
        <w:t>Rekreasyon bu açıdan ele alındığında, birçok araştırmacı tarafından kabul edilen kendine has</w:t>
      </w:r>
      <w:r>
        <w:rPr>
          <w:spacing w:val="-15"/>
        </w:rPr>
        <w:t xml:space="preserve"> </w:t>
      </w:r>
      <w:r>
        <w:t>bazı</w:t>
      </w:r>
      <w:r>
        <w:rPr>
          <w:spacing w:val="-15"/>
        </w:rPr>
        <w:t xml:space="preserve"> </w:t>
      </w:r>
      <w:r>
        <w:t>özelliklerinin</w:t>
      </w:r>
      <w:r>
        <w:rPr>
          <w:spacing w:val="-15"/>
        </w:rPr>
        <w:t xml:space="preserve"> </w:t>
      </w:r>
      <w:r>
        <w:t>bulunduğu</w:t>
      </w:r>
      <w:r>
        <w:rPr>
          <w:spacing w:val="-15"/>
        </w:rPr>
        <w:t xml:space="preserve"> </w:t>
      </w:r>
      <w:r>
        <w:t>görülmektedir. Buna</w:t>
      </w:r>
      <w:r>
        <w:rPr>
          <w:spacing w:val="-15"/>
        </w:rPr>
        <w:t xml:space="preserve"> </w:t>
      </w:r>
      <w:r>
        <w:t>göre;</w:t>
      </w:r>
      <w:r>
        <w:rPr>
          <w:spacing w:val="-15"/>
        </w:rPr>
        <w:t xml:space="preserve"> </w:t>
      </w:r>
      <w:r>
        <w:t>rekreasyonun</w:t>
      </w:r>
      <w:r>
        <w:rPr>
          <w:spacing w:val="-15"/>
        </w:rPr>
        <w:t xml:space="preserve"> </w:t>
      </w:r>
      <w:r>
        <w:t>en</w:t>
      </w:r>
      <w:r>
        <w:rPr>
          <w:spacing w:val="-15"/>
        </w:rPr>
        <w:t xml:space="preserve"> </w:t>
      </w:r>
      <w:r>
        <w:t>önemli</w:t>
      </w:r>
      <w:r>
        <w:rPr>
          <w:spacing w:val="-15"/>
        </w:rPr>
        <w:t xml:space="preserve"> </w:t>
      </w:r>
      <w:r>
        <w:t>özelliği boş ve müsait zamanlarında yürütülmesidir. Burada bahsedilen boş zaman, bireyin çalışmadığı ve tembellik olarak nitelenmeyen zaman dilimine ilişkindir. Bu bağlamda, boş zaman</w:t>
      </w:r>
      <w:r>
        <w:rPr>
          <w:spacing w:val="-5"/>
        </w:rPr>
        <w:t xml:space="preserve"> </w:t>
      </w:r>
      <w:r>
        <w:t>kavramına</w:t>
      </w:r>
      <w:r>
        <w:rPr>
          <w:spacing w:val="-6"/>
        </w:rPr>
        <w:t xml:space="preserve"> </w:t>
      </w:r>
      <w:r>
        <w:t>da</w:t>
      </w:r>
      <w:r>
        <w:rPr>
          <w:spacing w:val="-6"/>
        </w:rPr>
        <w:t xml:space="preserve"> </w:t>
      </w:r>
      <w:r>
        <w:t>değinmenin</w:t>
      </w:r>
      <w:r>
        <w:rPr>
          <w:spacing w:val="-4"/>
        </w:rPr>
        <w:t xml:space="preserve"> </w:t>
      </w:r>
      <w:r>
        <w:t>yararlı</w:t>
      </w:r>
      <w:r>
        <w:rPr>
          <w:spacing w:val="-5"/>
        </w:rPr>
        <w:t xml:space="preserve"> </w:t>
      </w:r>
      <w:r>
        <w:t>olacağı</w:t>
      </w:r>
      <w:r>
        <w:rPr>
          <w:spacing w:val="-5"/>
        </w:rPr>
        <w:t xml:space="preserve"> </w:t>
      </w:r>
      <w:r>
        <w:t>değerlendirilmektedir. Boş</w:t>
      </w:r>
      <w:r>
        <w:rPr>
          <w:spacing w:val="-4"/>
        </w:rPr>
        <w:t xml:space="preserve"> </w:t>
      </w:r>
      <w:r>
        <w:t>zaman,</w:t>
      </w:r>
      <w:r>
        <w:rPr>
          <w:spacing w:val="-5"/>
        </w:rPr>
        <w:t xml:space="preserve"> </w:t>
      </w:r>
      <w:r>
        <w:t>kişilerin zorunlu ihtiyaçlarını karşıladıktan sonra bunları özgürce kullanabilecekleri bir zaman dilimidir (Kılbaş, 2010:21). Başka bir ifadeyle, boş zaman insanların özgürce kullandığı zaman dilimi olarak ele alınmaktadır (Howe ve Carpenter, 1985:14).</w:t>
      </w:r>
    </w:p>
    <w:p w14:paraId="6CCC1BE3">
      <w:pPr>
        <w:pStyle w:val="9"/>
        <w:spacing w:before="120" w:after="120" w:line="360" w:lineRule="auto"/>
        <w:ind w:left="0" w:firstLine="567"/>
      </w:pPr>
      <w:r>
        <w:t>Boş zaman unsuruna ek olarak, rekreasyon en az bir aktivite gerektirmektedir. Ancak, çok çeşitli aktiviteleri de içerebilmektedir. Bu nedenle, rekreasyon bireyin bu etkinliklere katılması sonucunda elde ettiği tecrübelerle de yakından ilintilidir. Rekreasyon aktivitelerinin ruhsal ve fiziksel yenilenmede oldukça önemli bir rolü bulunmaktadır. Rekreasyon</w:t>
      </w:r>
      <w:r>
        <w:rPr>
          <w:spacing w:val="-11"/>
        </w:rPr>
        <w:t xml:space="preserve"> </w:t>
      </w:r>
      <w:r>
        <w:t>psikolojik,</w:t>
      </w:r>
      <w:r>
        <w:rPr>
          <w:spacing w:val="-13"/>
        </w:rPr>
        <w:t xml:space="preserve"> </w:t>
      </w:r>
      <w:r>
        <w:t>ekonomik,</w:t>
      </w:r>
      <w:r>
        <w:rPr>
          <w:spacing w:val="-13"/>
        </w:rPr>
        <w:t xml:space="preserve"> </w:t>
      </w:r>
      <w:r>
        <w:t>çevresel,</w:t>
      </w:r>
      <w:r>
        <w:rPr>
          <w:spacing w:val="-13"/>
        </w:rPr>
        <w:t xml:space="preserve"> </w:t>
      </w:r>
      <w:r>
        <w:t>sosyal</w:t>
      </w:r>
      <w:r>
        <w:rPr>
          <w:spacing w:val="-13"/>
        </w:rPr>
        <w:t xml:space="preserve"> </w:t>
      </w:r>
      <w:r>
        <w:t>ve</w:t>
      </w:r>
      <w:r>
        <w:rPr>
          <w:spacing w:val="-14"/>
        </w:rPr>
        <w:t xml:space="preserve"> </w:t>
      </w:r>
      <w:r>
        <w:t>bireysel</w:t>
      </w:r>
      <w:r>
        <w:rPr>
          <w:spacing w:val="-13"/>
        </w:rPr>
        <w:t xml:space="preserve"> </w:t>
      </w:r>
      <w:r>
        <w:t>olmak</w:t>
      </w:r>
      <w:r>
        <w:rPr>
          <w:spacing w:val="-13"/>
        </w:rPr>
        <w:t xml:space="preserve"> </w:t>
      </w:r>
      <w:r>
        <w:t>üzere</w:t>
      </w:r>
      <w:r>
        <w:rPr>
          <w:spacing w:val="-12"/>
        </w:rPr>
        <w:t xml:space="preserve"> </w:t>
      </w:r>
      <w:r>
        <w:t>çok</w:t>
      </w:r>
      <w:r>
        <w:rPr>
          <w:spacing w:val="-13"/>
        </w:rPr>
        <w:t xml:space="preserve"> </w:t>
      </w:r>
      <w:r>
        <w:t>sayıda</w:t>
      </w:r>
      <w:r>
        <w:rPr>
          <w:spacing w:val="-11"/>
        </w:rPr>
        <w:t xml:space="preserve"> </w:t>
      </w:r>
      <w:r>
        <w:t xml:space="preserve">fayda içermektedir. Rekreasyonun başlıca faydaları şu şekilde özetlenebilmektedir (O’Sullivan, </w:t>
      </w:r>
      <w:r>
        <w:rPr>
          <w:spacing w:val="-2"/>
        </w:rPr>
        <w:t>2006:3):</w:t>
      </w:r>
    </w:p>
    <w:p w14:paraId="0D625513">
      <w:pPr>
        <w:pStyle w:val="28"/>
        <w:numPr>
          <w:ilvl w:val="0"/>
          <w:numId w:val="2"/>
        </w:numPr>
        <w:tabs>
          <w:tab w:val="left" w:pos="880"/>
        </w:tabs>
        <w:spacing w:before="120" w:after="120" w:line="360" w:lineRule="auto"/>
        <w:ind w:left="0" w:firstLine="567"/>
        <w:jc w:val="both"/>
        <w:rPr>
          <w:sz w:val="24"/>
        </w:rPr>
      </w:pPr>
      <w:r>
        <w:rPr>
          <w:sz w:val="24"/>
        </w:rPr>
        <w:t>Yaşlı insanlar için sosyal destek sağlamakta, kendilerini geliştirme ve arkadaşlık ilişkilerini sürdürme fırsatı sunmaktadır.</w:t>
      </w:r>
    </w:p>
    <w:p w14:paraId="2928191D">
      <w:pPr>
        <w:pStyle w:val="28"/>
        <w:numPr>
          <w:ilvl w:val="0"/>
          <w:numId w:val="2"/>
        </w:numPr>
        <w:tabs>
          <w:tab w:val="left" w:pos="880"/>
        </w:tabs>
        <w:spacing w:before="120" w:after="120" w:line="360" w:lineRule="auto"/>
        <w:ind w:left="0" w:firstLine="567"/>
        <w:jc w:val="both"/>
        <w:rPr>
          <w:sz w:val="24"/>
        </w:rPr>
      </w:pPr>
      <w:r>
        <w:rPr>
          <w:sz w:val="24"/>
        </w:rPr>
        <w:t>Toplumsal</w:t>
      </w:r>
      <w:r>
        <w:rPr>
          <w:spacing w:val="-14"/>
          <w:sz w:val="24"/>
        </w:rPr>
        <w:t xml:space="preserve"> </w:t>
      </w:r>
      <w:r>
        <w:rPr>
          <w:sz w:val="24"/>
        </w:rPr>
        <w:t>bütünleşme</w:t>
      </w:r>
      <w:r>
        <w:rPr>
          <w:spacing w:val="-14"/>
          <w:sz w:val="24"/>
        </w:rPr>
        <w:t xml:space="preserve"> </w:t>
      </w:r>
      <w:r>
        <w:rPr>
          <w:sz w:val="24"/>
        </w:rPr>
        <w:t>ve</w:t>
      </w:r>
      <w:r>
        <w:rPr>
          <w:spacing w:val="-15"/>
          <w:sz w:val="24"/>
        </w:rPr>
        <w:t xml:space="preserve"> </w:t>
      </w:r>
      <w:r>
        <w:rPr>
          <w:sz w:val="24"/>
        </w:rPr>
        <w:t>dayanışma</w:t>
      </w:r>
      <w:r>
        <w:rPr>
          <w:spacing w:val="-15"/>
          <w:sz w:val="24"/>
        </w:rPr>
        <w:t xml:space="preserve"> </w:t>
      </w:r>
      <w:r>
        <w:rPr>
          <w:sz w:val="24"/>
        </w:rPr>
        <w:t>için</w:t>
      </w:r>
      <w:r>
        <w:rPr>
          <w:spacing w:val="-14"/>
          <w:sz w:val="24"/>
        </w:rPr>
        <w:t xml:space="preserve"> </w:t>
      </w:r>
      <w:r>
        <w:rPr>
          <w:sz w:val="24"/>
        </w:rPr>
        <w:t>önemlidir.</w:t>
      </w:r>
      <w:r>
        <w:rPr>
          <w:spacing w:val="-15"/>
          <w:sz w:val="24"/>
        </w:rPr>
        <w:t xml:space="preserve"> </w:t>
      </w:r>
      <w:r>
        <w:rPr>
          <w:sz w:val="24"/>
        </w:rPr>
        <w:t>Yabancılaşmayı</w:t>
      </w:r>
      <w:r>
        <w:rPr>
          <w:spacing w:val="-11"/>
          <w:sz w:val="24"/>
        </w:rPr>
        <w:t xml:space="preserve"> </w:t>
      </w:r>
      <w:r>
        <w:rPr>
          <w:sz w:val="24"/>
        </w:rPr>
        <w:t>azaltmakta,</w:t>
      </w:r>
      <w:r>
        <w:rPr>
          <w:spacing w:val="-14"/>
          <w:sz w:val="24"/>
        </w:rPr>
        <w:t xml:space="preserve"> </w:t>
      </w:r>
      <w:r>
        <w:rPr>
          <w:sz w:val="24"/>
        </w:rPr>
        <w:t xml:space="preserve">bir topluluğa ya da gruba ait olma duygusunu ve sosyal bağların oluşumunu </w:t>
      </w:r>
      <w:r>
        <w:rPr>
          <w:spacing w:val="-2"/>
          <w:sz w:val="24"/>
        </w:rPr>
        <w:t>sağlamaktadır.</w:t>
      </w:r>
    </w:p>
    <w:p w14:paraId="12386F52">
      <w:pPr>
        <w:pStyle w:val="9"/>
        <w:spacing w:before="120" w:after="120" w:line="360" w:lineRule="auto"/>
        <w:ind w:left="0" w:firstLine="567"/>
      </w:pPr>
      <w:r>
        <w:t>Öte yandan Trew ve Malle (2004: 23) çevrimiçi aktif ve pasif eğlence arasında bir ayrım yapmıştır ve onlara göre pasif eğlence, program ve kullanıcı arasında yalnızca minimum etkileşime izin vermektedir. Verdikleri pasif eğlence örnekleri arasında filmler, müzik</w:t>
      </w:r>
      <w:r>
        <w:rPr>
          <w:spacing w:val="-9"/>
        </w:rPr>
        <w:t xml:space="preserve"> </w:t>
      </w:r>
      <w:r>
        <w:t>ve</w:t>
      </w:r>
      <w:r>
        <w:rPr>
          <w:spacing w:val="-10"/>
        </w:rPr>
        <w:t xml:space="preserve"> </w:t>
      </w:r>
      <w:r>
        <w:t>çoğu</w:t>
      </w:r>
      <w:r>
        <w:rPr>
          <w:spacing w:val="-9"/>
        </w:rPr>
        <w:t xml:space="preserve"> </w:t>
      </w:r>
      <w:r>
        <w:t>web</w:t>
      </w:r>
      <w:r>
        <w:rPr>
          <w:spacing w:val="-9"/>
        </w:rPr>
        <w:t xml:space="preserve"> </w:t>
      </w:r>
      <w:r>
        <w:t>sayfası</w:t>
      </w:r>
      <w:r>
        <w:rPr>
          <w:spacing w:val="-6"/>
        </w:rPr>
        <w:t xml:space="preserve"> </w:t>
      </w:r>
      <w:r>
        <w:t>yer</w:t>
      </w:r>
      <w:r>
        <w:rPr>
          <w:spacing w:val="-10"/>
        </w:rPr>
        <w:t xml:space="preserve"> </w:t>
      </w:r>
      <w:r>
        <w:t>almaktadır.</w:t>
      </w:r>
      <w:r>
        <w:rPr>
          <w:spacing w:val="-9"/>
        </w:rPr>
        <w:t xml:space="preserve"> </w:t>
      </w:r>
      <w:r>
        <w:t>Trew</w:t>
      </w:r>
      <w:r>
        <w:rPr>
          <w:spacing w:val="-10"/>
        </w:rPr>
        <w:t xml:space="preserve"> </w:t>
      </w:r>
      <w:r>
        <w:t>ve</w:t>
      </w:r>
      <w:r>
        <w:rPr>
          <w:spacing w:val="-10"/>
        </w:rPr>
        <w:t xml:space="preserve"> </w:t>
      </w:r>
      <w:r>
        <w:t>Malle’ye</w:t>
      </w:r>
      <w:r>
        <w:rPr>
          <w:spacing w:val="-8"/>
        </w:rPr>
        <w:t xml:space="preserve"> </w:t>
      </w:r>
      <w:r>
        <w:t>göre,</w:t>
      </w:r>
      <w:r>
        <w:rPr>
          <w:spacing w:val="-9"/>
        </w:rPr>
        <w:t xml:space="preserve"> </w:t>
      </w:r>
      <w:r>
        <w:t>aktif</w:t>
      </w:r>
      <w:r>
        <w:rPr>
          <w:spacing w:val="-10"/>
        </w:rPr>
        <w:t xml:space="preserve"> </w:t>
      </w:r>
      <w:r>
        <w:t>eğlence</w:t>
      </w:r>
      <w:r>
        <w:rPr>
          <w:spacing w:val="-6"/>
        </w:rPr>
        <w:t xml:space="preserve"> </w:t>
      </w:r>
      <w:r>
        <w:t>oyuncunun sanal bir dünyadaki sanal nesneler ve karakterlerle etkileşime girmesini gerektirmektedir. Boş</w:t>
      </w:r>
      <w:r>
        <w:rPr>
          <w:spacing w:val="-15"/>
        </w:rPr>
        <w:t xml:space="preserve"> </w:t>
      </w:r>
      <w:r>
        <w:t>zamanlarda</w:t>
      </w:r>
      <w:r>
        <w:rPr>
          <w:spacing w:val="-15"/>
        </w:rPr>
        <w:t xml:space="preserve"> </w:t>
      </w:r>
      <w:r>
        <w:t>çevrimiçi</w:t>
      </w:r>
      <w:r>
        <w:rPr>
          <w:spacing w:val="-15"/>
        </w:rPr>
        <w:t xml:space="preserve"> </w:t>
      </w:r>
      <w:r>
        <w:t>aktif</w:t>
      </w:r>
      <w:r>
        <w:rPr>
          <w:spacing w:val="-15"/>
        </w:rPr>
        <w:t xml:space="preserve"> </w:t>
      </w:r>
      <w:r>
        <w:t>ve</w:t>
      </w:r>
      <w:r>
        <w:rPr>
          <w:spacing w:val="-15"/>
        </w:rPr>
        <w:t xml:space="preserve"> </w:t>
      </w:r>
      <w:r>
        <w:t>pasif</w:t>
      </w:r>
      <w:r>
        <w:rPr>
          <w:spacing w:val="-15"/>
        </w:rPr>
        <w:t xml:space="preserve"> </w:t>
      </w:r>
      <w:r>
        <w:t>eğlence</w:t>
      </w:r>
      <w:r>
        <w:rPr>
          <w:spacing w:val="-15"/>
        </w:rPr>
        <w:t xml:space="preserve"> </w:t>
      </w:r>
      <w:r>
        <w:t>anlayışları</w:t>
      </w:r>
      <w:r>
        <w:rPr>
          <w:spacing w:val="-15"/>
        </w:rPr>
        <w:t xml:space="preserve"> </w:t>
      </w:r>
      <w:r>
        <w:t>ve</w:t>
      </w:r>
      <w:r>
        <w:rPr>
          <w:spacing w:val="-15"/>
        </w:rPr>
        <w:t xml:space="preserve"> </w:t>
      </w:r>
      <w:r>
        <w:t>insanları</w:t>
      </w:r>
      <w:r>
        <w:rPr>
          <w:spacing w:val="-13"/>
        </w:rPr>
        <w:t xml:space="preserve"> </w:t>
      </w:r>
      <w:r>
        <w:t>çevrimiçi</w:t>
      </w:r>
      <w:r>
        <w:rPr>
          <w:spacing w:val="-14"/>
        </w:rPr>
        <w:t xml:space="preserve"> </w:t>
      </w:r>
      <w:r>
        <w:t xml:space="preserve">ortamlarda yapılacak başka faaliyetleri araştırmaya yönlendirmiştir. Bunlardan birisi de sanal </w:t>
      </w:r>
      <w:r>
        <w:rPr>
          <w:spacing w:val="-2"/>
        </w:rPr>
        <w:t>rekreasyondur.</w:t>
      </w:r>
    </w:p>
    <w:p w14:paraId="5CD6D5E2">
      <w:pPr>
        <w:pStyle w:val="4"/>
        <w:spacing w:before="240" w:after="240" w:line="360" w:lineRule="auto"/>
        <w:ind w:left="567" w:firstLine="0"/>
        <w:rPr>
          <w:i w:val="0"/>
        </w:rPr>
      </w:pPr>
      <w:bookmarkStart w:id="42" w:name="_Toc195877772"/>
      <w:bookmarkStart w:id="43" w:name="_Toc197351225"/>
      <w:bookmarkStart w:id="44" w:name="_Toc195875788"/>
      <w:r>
        <w:rPr>
          <w:i w:val="0"/>
        </w:rPr>
        <w:t>2.1.2. Rekreasyonun Özellikleri</w:t>
      </w:r>
      <w:bookmarkEnd w:id="42"/>
      <w:bookmarkEnd w:id="43"/>
      <w:bookmarkEnd w:id="44"/>
    </w:p>
    <w:p w14:paraId="3D01DED6">
      <w:pPr>
        <w:pStyle w:val="9"/>
        <w:spacing w:before="120" w:after="120" w:line="360" w:lineRule="auto"/>
        <w:ind w:left="0" w:firstLine="567"/>
      </w:pPr>
      <w:r>
        <w:t>Boş zamanlarında rekreasyonel faaliyetlerde bulunmak bünyeye birçok fayda sağlamanın yanı sıra bireylerin kişisel gelişimine de katkı sunmaktadır. Birçok rekreasyonel aktivitede insanlar ortak paydada birlikte hareket ederler. Anılan birlikte hareket etme hali, bireylerin kendilerini iyi hissetmeleri ve rekreasyon aktivitelerinden keyif almaları gibi rekreasyonun özelliklerini göstermektedir</w:t>
      </w:r>
    </w:p>
    <w:p w14:paraId="292D5A22">
      <w:pPr>
        <w:pStyle w:val="9"/>
        <w:spacing w:before="120" w:after="120" w:line="360" w:lineRule="auto"/>
        <w:ind w:left="0" w:firstLine="567"/>
      </w:pPr>
      <w:r>
        <w:t xml:space="preserve">Rekreasyonun birçok ortak paydası mevcut olup, bunlar şöyle sıralanmaktadır (Erken, </w:t>
      </w:r>
      <w:r>
        <w:rPr>
          <w:spacing w:val="-2"/>
        </w:rPr>
        <w:t>2008:17);</w:t>
      </w:r>
    </w:p>
    <w:p w14:paraId="3472F212">
      <w:pPr>
        <w:pStyle w:val="28"/>
        <w:numPr>
          <w:ilvl w:val="0"/>
          <w:numId w:val="3"/>
        </w:numPr>
        <w:tabs>
          <w:tab w:val="left" w:pos="880"/>
        </w:tabs>
        <w:spacing w:before="120" w:after="120" w:line="360" w:lineRule="auto"/>
        <w:ind w:left="0" w:firstLine="567"/>
        <w:rPr>
          <w:sz w:val="24"/>
        </w:rPr>
      </w:pPr>
      <w:r>
        <w:rPr>
          <w:sz w:val="24"/>
        </w:rPr>
        <w:t>Başta</w:t>
      </w:r>
      <w:r>
        <w:rPr>
          <w:spacing w:val="-4"/>
          <w:sz w:val="24"/>
        </w:rPr>
        <w:t xml:space="preserve"> </w:t>
      </w:r>
      <w:r>
        <w:rPr>
          <w:sz w:val="24"/>
        </w:rPr>
        <w:t>farklı</w:t>
      </w:r>
      <w:r>
        <w:rPr>
          <w:spacing w:val="-1"/>
          <w:sz w:val="24"/>
        </w:rPr>
        <w:t xml:space="preserve"> </w:t>
      </w:r>
      <w:r>
        <w:rPr>
          <w:sz w:val="24"/>
        </w:rPr>
        <w:t>iklim</w:t>
      </w:r>
      <w:r>
        <w:rPr>
          <w:spacing w:val="-1"/>
          <w:sz w:val="24"/>
        </w:rPr>
        <w:t xml:space="preserve"> </w:t>
      </w:r>
      <w:r>
        <w:rPr>
          <w:sz w:val="24"/>
        </w:rPr>
        <w:t>koşulları</w:t>
      </w:r>
      <w:r>
        <w:rPr>
          <w:spacing w:val="-1"/>
          <w:sz w:val="24"/>
        </w:rPr>
        <w:t xml:space="preserve"> </w:t>
      </w:r>
      <w:r>
        <w:rPr>
          <w:sz w:val="24"/>
        </w:rPr>
        <w:t>da</w:t>
      </w:r>
      <w:r>
        <w:rPr>
          <w:spacing w:val="-3"/>
          <w:sz w:val="24"/>
        </w:rPr>
        <w:t xml:space="preserve"> </w:t>
      </w:r>
      <w:r>
        <w:rPr>
          <w:sz w:val="24"/>
        </w:rPr>
        <w:t>olmak</w:t>
      </w:r>
      <w:r>
        <w:rPr>
          <w:spacing w:val="-2"/>
          <w:sz w:val="24"/>
        </w:rPr>
        <w:t xml:space="preserve"> </w:t>
      </w:r>
      <w:r>
        <w:rPr>
          <w:sz w:val="24"/>
        </w:rPr>
        <w:t>üzere</w:t>
      </w:r>
      <w:r>
        <w:rPr>
          <w:spacing w:val="-3"/>
          <w:sz w:val="24"/>
        </w:rPr>
        <w:t xml:space="preserve"> </w:t>
      </w:r>
      <w:r>
        <w:rPr>
          <w:sz w:val="24"/>
        </w:rPr>
        <w:t>birçok</w:t>
      </w:r>
      <w:r>
        <w:rPr>
          <w:spacing w:val="1"/>
          <w:sz w:val="24"/>
        </w:rPr>
        <w:t xml:space="preserve"> </w:t>
      </w:r>
      <w:r>
        <w:rPr>
          <w:sz w:val="24"/>
        </w:rPr>
        <w:t>alanda</w:t>
      </w:r>
      <w:r>
        <w:rPr>
          <w:spacing w:val="-3"/>
          <w:sz w:val="24"/>
        </w:rPr>
        <w:t xml:space="preserve"> </w:t>
      </w:r>
      <w:r>
        <w:rPr>
          <w:sz w:val="24"/>
        </w:rPr>
        <w:t>rekreasyon</w:t>
      </w:r>
      <w:r>
        <w:rPr>
          <w:spacing w:val="3"/>
          <w:sz w:val="24"/>
        </w:rPr>
        <w:t xml:space="preserve"> </w:t>
      </w:r>
      <w:r>
        <w:rPr>
          <w:spacing w:val="-2"/>
          <w:sz w:val="24"/>
        </w:rPr>
        <w:t>yapılabilir.</w:t>
      </w:r>
    </w:p>
    <w:p w14:paraId="58DFDD9D">
      <w:pPr>
        <w:pStyle w:val="28"/>
        <w:numPr>
          <w:ilvl w:val="0"/>
          <w:numId w:val="3"/>
        </w:numPr>
        <w:tabs>
          <w:tab w:val="left" w:pos="880"/>
        </w:tabs>
        <w:spacing w:before="120" w:after="120" w:line="360" w:lineRule="auto"/>
        <w:ind w:left="0" w:firstLine="567"/>
        <w:jc w:val="both"/>
        <w:rPr>
          <w:sz w:val="24"/>
        </w:rPr>
      </w:pPr>
      <w:r>
        <w:rPr>
          <w:sz w:val="24"/>
        </w:rPr>
        <w:t>Rekreasyonel</w:t>
      </w:r>
      <w:r>
        <w:rPr>
          <w:spacing w:val="-10"/>
          <w:sz w:val="24"/>
        </w:rPr>
        <w:t xml:space="preserve"> </w:t>
      </w:r>
      <w:r>
        <w:rPr>
          <w:sz w:val="24"/>
        </w:rPr>
        <w:t>aktivitelere</w:t>
      </w:r>
      <w:r>
        <w:rPr>
          <w:spacing w:val="-11"/>
          <w:sz w:val="24"/>
        </w:rPr>
        <w:t xml:space="preserve"> </w:t>
      </w:r>
      <w:r>
        <w:rPr>
          <w:sz w:val="24"/>
        </w:rPr>
        <w:t>katılımda,</w:t>
      </w:r>
      <w:r>
        <w:rPr>
          <w:spacing w:val="-13"/>
          <w:sz w:val="24"/>
        </w:rPr>
        <w:t xml:space="preserve"> </w:t>
      </w:r>
      <w:r>
        <w:rPr>
          <w:sz w:val="24"/>
        </w:rPr>
        <w:t>kişilerin</w:t>
      </w:r>
      <w:r>
        <w:rPr>
          <w:spacing w:val="-12"/>
          <w:sz w:val="24"/>
        </w:rPr>
        <w:t xml:space="preserve"> </w:t>
      </w:r>
      <w:r>
        <w:rPr>
          <w:sz w:val="24"/>
        </w:rPr>
        <w:t>özgür</w:t>
      </w:r>
      <w:r>
        <w:rPr>
          <w:spacing w:val="-13"/>
          <w:sz w:val="24"/>
        </w:rPr>
        <w:t xml:space="preserve"> </w:t>
      </w:r>
      <w:r>
        <w:rPr>
          <w:sz w:val="24"/>
        </w:rPr>
        <w:t>iradesi</w:t>
      </w:r>
      <w:r>
        <w:rPr>
          <w:spacing w:val="-12"/>
          <w:sz w:val="24"/>
        </w:rPr>
        <w:t xml:space="preserve"> </w:t>
      </w:r>
      <w:r>
        <w:rPr>
          <w:sz w:val="24"/>
        </w:rPr>
        <w:t>önemli</w:t>
      </w:r>
      <w:r>
        <w:rPr>
          <w:spacing w:val="-12"/>
          <w:sz w:val="24"/>
        </w:rPr>
        <w:t xml:space="preserve"> </w:t>
      </w:r>
      <w:r>
        <w:rPr>
          <w:sz w:val="24"/>
        </w:rPr>
        <w:t>rol</w:t>
      </w:r>
      <w:r>
        <w:rPr>
          <w:spacing w:val="-13"/>
          <w:sz w:val="24"/>
        </w:rPr>
        <w:t xml:space="preserve"> </w:t>
      </w:r>
      <w:r>
        <w:rPr>
          <w:sz w:val="24"/>
        </w:rPr>
        <w:t>oynamaktadır. Kişiler, kendilerine has aktivitelerden hangilerinin kendilerine en uygun aktivite olduğunu değerlendirmek suretiyle karar verirler.</w:t>
      </w:r>
    </w:p>
    <w:p w14:paraId="2758C202">
      <w:pPr>
        <w:pStyle w:val="28"/>
        <w:numPr>
          <w:ilvl w:val="0"/>
          <w:numId w:val="3"/>
        </w:numPr>
        <w:tabs>
          <w:tab w:val="left" w:pos="880"/>
        </w:tabs>
        <w:spacing w:before="120" w:after="120" w:line="360" w:lineRule="auto"/>
        <w:ind w:left="0" w:firstLine="567"/>
        <w:jc w:val="both"/>
        <w:rPr>
          <w:sz w:val="24"/>
        </w:rPr>
      </w:pPr>
      <w:r>
        <w:rPr>
          <w:sz w:val="24"/>
        </w:rPr>
        <w:t>Aktiviteler,</w:t>
      </w:r>
      <w:r>
        <w:rPr>
          <w:spacing w:val="-5"/>
          <w:sz w:val="24"/>
        </w:rPr>
        <w:t xml:space="preserve"> </w:t>
      </w:r>
      <w:r>
        <w:rPr>
          <w:sz w:val="24"/>
        </w:rPr>
        <w:t>bireylerin</w:t>
      </w:r>
      <w:r>
        <w:rPr>
          <w:spacing w:val="-5"/>
          <w:sz w:val="24"/>
        </w:rPr>
        <w:t xml:space="preserve"> </w:t>
      </w:r>
      <w:r>
        <w:rPr>
          <w:sz w:val="24"/>
        </w:rPr>
        <w:t>özgür</w:t>
      </w:r>
      <w:r>
        <w:rPr>
          <w:spacing w:val="-5"/>
          <w:sz w:val="24"/>
        </w:rPr>
        <w:t xml:space="preserve"> </w:t>
      </w:r>
      <w:r>
        <w:rPr>
          <w:sz w:val="24"/>
        </w:rPr>
        <w:t>iradelerinin</w:t>
      </w:r>
      <w:r>
        <w:rPr>
          <w:spacing w:val="-3"/>
          <w:sz w:val="24"/>
        </w:rPr>
        <w:t xml:space="preserve"> </w:t>
      </w:r>
      <w:r>
        <w:rPr>
          <w:sz w:val="24"/>
        </w:rPr>
        <w:t>yanı</w:t>
      </w:r>
      <w:r>
        <w:rPr>
          <w:spacing w:val="-5"/>
          <w:sz w:val="24"/>
        </w:rPr>
        <w:t xml:space="preserve"> </w:t>
      </w:r>
      <w:r>
        <w:rPr>
          <w:sz w:val="24"/>
        </w:rPr>
        <w:t>sıra,</w:t>
      </w:r>
      <w:r>
        <w:rPr>
          <w:spacing w:val="-3"/>
          <w:sz w:val="24"/>
        </w:rPr>
        <w:t xml:space="preserve"> </w:t>
      </w:r>
      <w:r>
        <w:rPr>
          <w:sz w:val="24"/>
        </w:rPr>
        <w:t>farklı</w:t>
      </w:r>
      <w:r>
        <w:rPr>
          <w:spacing w:val="-3"/>
          <w:sz w:val="24"/>
        </w:rPr>
        <w:t xml:space="preserve"> </w:t>
      </w:r>
      <w:r>
        <w:rPr>
          <w:sz w:val="24"/>
        </w:rPr>
        <w:t>yaş</w:t>
      </w:r>
      <w:r>
        <w:rPr>
          <w:spacing w:val="-6"/>
          <w:sz w:val="24"/>
        </w:rPr>
        <w:t xml:space="preserve"> </w:t>
      </w:r>
      <w:r>
        <w:rPr>
          <w:sz w:val="24"/>
        </w:rPr>
        <w:t>ve</w:t>
      </w:r>
      <w:r>
        <w:rPr>
          <w:spacing w:val="-6"/>
          <w:sz w:val="24"/>
        </w:rPr>
        <w:t xml:space="preserve"> </w:t>
      </w:r>
      <w:r>
        <w:rPr>
          <w:sz w:val="24"/>
        </w:rPr>
        <w:t>cinsiyetteki</w:t>
      </w:r>
      <w:r>
        <w:rPr>
          <w:spacing w:val="-3"/>
          <w:sz w:val="24"/>
        </w:rPr>
        <w:t xml:space="preserve"> </w:t>
      </w:r>
      <w:r>
        <w:rPr>
          <w:sz w:val="24"/>
        </w:rPr>
        <w:t>kişilerin katılımlarına da uygundur.</w:t>
      </w:r>
    </w:p>
    <w:p w14:paraId="20EE0783">
      <w:pPr>
        <w:pStyle w:val="28"/>
        <w:numPr>
          <w:ilvl w:val="0"/>
          <w:numId w:val="3"/>
        </w:numPr>
        <w:tabs>
          <w:tab w:val="left" w:pos="880"/>
        </w:tabs>
        <w:spacing w:before="120" w:after="120" w:line="360" w:lineRule="auto"/>
        <w:ind w:left="0" w:firstLine="567"/>
        <w:jc w:val="both"/>
        <w:rPr>
          <w:sz w:val="24"/>
        </w:rPr>
      </w:pPr>
      <w:r>
        <w:rPr>
          <w:sz w:val="24"/>
        </w:rPr>
        <w:t>Tek bir aktiviteden ziyade birden fazla aktiviteyle ilgilenilmek suretiyle bu aktivitelerden daha fazla tecrübe ve keyif elde edilebilir.</w:t>
      </w:r>
    </w:p>
    <w:p w14:paraId="4E78D158">
      <w:pPr>
        <w:pStyle w:val="28"/>
        <w:numPr>
          <w:ilvl w:val="0"/>
          <w:numId w:val="3"/>
        </w:numPr>
        <w:tabs>
          <w:tab w:val="left" w:pos="880"/>
        </w:tabs>
        <w:spacing w:before="120" w:after="120" w:line="360" w:lineRule="auto"/>
        <w:ind w:left="0" w:firstLine="567"/>
        <w:jc w:val="both"/>
        <w:rPr>
          <w:sz w:val="24"/>
        </w:rPr>
      </w:pPr>
      <w:r>
        <w:rPr>
          <w:sz w:val="24"/>
        </w:rPr>
        <w:t>Pek</w:t>
      </w:r>
      <w:r>
        <w:rPr>
          <w:spacing w:val="-4"/>
          <w:sz w:val="24"/>
        </w:rPr>
        <w:t xml:space="preserve"> </w:t>
      </w:r>
      <w:r>
        <w:rPr>
          <w:sz w:val="24"/>
        </w:rPr>
        <w:t>çok</w:t>
      </w:r>
      <w:r>
        <w:rPr>
          <w:spacing w:val="-4"/>
          <w:sz w:val="24"/>
        </w:rPr>
        <w:t xml:space="preserve"> </w:t>
      </w:r>
      <w:r>
        <w:rPr>
          <w:sz w:val="24"/>
        </w:rPr>
        <w:t>toplumda</w:t>
      </w:r>
      <w:r>
        <w:rPr>
          <w:spacing w:val="-4"/>
          <w:sz w:val="24"/>
        </w:rPr>
        <w:t xml:space="preserve"> </w:t>
      </w:r>
      <w:r>
        <w:rPr>
          <w:sz w:val="24"/>
        </w:rPr>
        <w:t>pek</w:t>
      </w:r>
      <w:r>
        <w:rPr>
          <w:spacing w:val="-4"/>
          <w:sz w:val="24"/>
        </w:rPr>
        <w:t xml:space="preserve"> </w:t>
      </w:r>
      <w:r>
        <w:rPr>
          <w:sz w:val="24"/>
        </w:rPr>
        <w:t>çok</w:t>
      </w:r>
      <w:r>
        <w:rPr>
          <w:spacing w:val="-4"/>
          <w:sz w:val="24"/>
        </w:rPr>
        <w:t xml:space="preserve"> </w:t>
      </w:r>
      <w:r>
        <w:rPr>
          <w:sz w:val="24"/>
        </w:rPr>
        <w:t>farklı</w:t>
      </w:r>
      <w:r>
        <w:rPr>
          <w:spacing w:val="-4"/>
          <w:sz w:val="24"/>
        </w:rPr>
        <w:t xml:space="preserve"> </w:t>
      </w:r>
      <w:r>
        <w:rPr>
          <w:sz w:val="24"/>
        </w:rPr>
        <w:t>aktivite</w:t>
      </w:r>
      <w:r>
        <w:rPr>
          <w:spacing w:val="-5"/>
          <w:sz w:val="24"/>
        </w:rPr>
        <w:t xml:space="preserve"> </w:t>
      </w:r>
      <w:r>
        <w:rPr>
          <w:sz w:val="24"/>
        </w:rPr>
        <w:t>benimsenebilir.</w:t>
      </w:r>
      <w:r>
        <w:rPr>
          <w:spacing w:val="-4"/>
          <w:sz w:val="24"/>
        </w:rPr>
        <w:t xml:space="preserve"> </w:t>
      </w:r>
      <w:r>
        <w:rPr>
          <w:sz w:val="24"/>
        </w:rPr>
        <w:t>Bunun</w:t>
      </w:r>
      <w:r>
        <w:rPr>
          <w:spacing w:val="-4"/>
          <w:sz w:val="24"/>
        </w:rPr>
        <w:t xml:space="preserve"> </w:t>
      </w:r>
      <w:r>
        <w:rPr>
          <w:sz w:val="24"/>
        </w:rPr>
        <w:t>en</w:t>
      </w:r>
      <w:r>
        <w:rPr>
          <w:spacing w:val="-4"/>
          <w:sz w:val="24"/>
        </w:rPr>
        <w:t xml:space="preserve"> </w:t>
      </w:r>
      <w:r>
        <w:rPr>
          <w:sz w:val="24"/>
        </w:rPr>
        <w:t>bariz</w:t>
      </w:r>
      <w:r>
        <w:rPr>
          <w:spacing w:val="-3"/>
          <w:sz w:val="24"/>
        </w:rPr>
        <w:t xml:space="preserve"> </w:t>
      </w:r>
      <w:r>
        <w:rPr>
          <w:sz w:val="24"/>
        </w:rPr>
        <w:t>açıklaması toplumların gelenek ve görenekleri olarak ifade edilebilir.</w:t>
      </w:r>
    </w:p>
    <w:p w14:paraId="55DDD405">
      <w:pPr>
        <w:pStyle w:val="28"/>
        <w:numPr>
          <w:ilvl w:val="0"/>
          <w:numId w:val="3"/>
        </w:numPr>
        <w:tabs>
          <w:tab w:val="left" w:pos="880"/>
        </w:tabs>
        <w:spacing w:before="120" w:after="120" w:line="360" w:lineRule="auto"/>
        <w:ind w:left="0" w:firstLine="567"/>
        <w:jc w:val="both"/>
        <w:rPr>
          <w:sz w:val="24"/>
        </w:rPr>
      </w:pPr>
      <w:r>
        <w:rPr>
          <w:sz w:val="24"/>
        </w:rPr>
        <w:t>Rekreasyonel aktiviteler insanlara birçok fayda sağlar. Bu faydaların başında bireylerin duyduğu zevk ve mutluluk gelmektedir.</w:t>
      </w:r>
    </w:p>
    <w:p w14:paraId="2B8531A7">
      <w:pPr>
        <w:pStyle w:val="28"/>
        <w:numPr>
          <w:ilvl w:val="0"/>
          <w:numId w:val="3"/>
        </w:numPr>
        <w:tabs>
          <w:tab w:val="left" w:pos="880"/>
        </w:tabs>
        <w:spacing w:before="120" w:after="120" w:line="360" w:lineRule="auto"/>
        <w:ind w:left="0" w:firstLine="567"/>
        <w:rPr>
          <w:sz w:val="24"/>
        </w:rPr>
      </w:pPr>
      <w:r>
        <w:rPr>
          <w:sz w:val="24"/>
        </w:rPr>
        <w:t>Rekreasyonel</w:t>
      </w:r>
      <w:r>
        <w:rPr>
          <w:spacing w:val="-2"/>
          <w:sz w:val="24"/>
        </w:rPr>
        <w:t xml:space="preserve"> </w:t>
      </w:r>
      <w:r>
        <w:rPr>
          <w:sz w:val="24"/>
        </w:rPr>
        <w:t>aktiviteler</w:t>
      </w:r>
      <w:r>
        <w:rPr>
          <w:spacing w:val="-3"/>
          <w:sz w:val="24"/>
        </w:rPr>
        <w:t xml:space="preserve"> </w:t>
      </w:r>
      <w:r>
        <w:rPr>
          <w:sz w:val="24"/>
        </w:rPr>
        <w:t>harcama</w:t>
      </w:r>
      <w:r>
        <w:rPr>
          <w:spacing w:val="-2"/>
          <w:sz w:val="24"/>
        </w:rPr>
        <w:t xml:space="preserve"> gerektirebilir.</w:t>
      </w:r>
    </w:p>
    <w:p w14:paraId="2C4C6148">
      <w:pPr>
        <w:pStyle w:val="4"/>
        <w:spacing w:before="240" w:after="240" w:line="360" w:lineRule="auto"/>
        <w:ind w:left="567" w:firstLine="0"/>
        <w:rPr>
          <w:i w:val="0"/>
        </w:rPr>
      </w:pPr>
      <w:bookmarkStart w:id="45" w:name="_Toc195877773"/>
      <w:bookmarkStart w:id="46" w:name="_Toc197351226"/>
      <w:bookmarkStart w:id="47" w:name="_Toc195875789"/>
      <w:r>
        <w:rPr>
          <w:i w:val="0"/>
        </w:rPr>
        <w:t>2.1.3. Rekreasyonun Sınıflandırılması</w:t>
      </w:r>
      <w:bookmarkEnd w:id="45"/>
      <w:bookmarkEnd w:id="46"/>
      <w:bookmarkEnd w:id="47"/>
    </w:p>
    <w:p w14:paraId="4B8E62FA">
      <w:pPr>
        <w:pStyle w:val="9"/>
        <w:spacing w:before="120" w:after="120" w:line="360" w:lineRule="auto"/>
        <w:ind w:left="0" w:firstLine="567"/>
      </w:pPr>
      <w:r>
        <w:t>Literatürdeki çalışmalar incelendiğinde rekreasyonun farklı şekillerde sınıflandırıldığı görülmektedir. Örneğin, Tribe (2020:87) rekreasyonu evde rekreasyon faaliyetleri, ev dışında rekreasyon faaliyetleri ve seyahat ve turizm olmak üzere üç gruba ayırmaktadır (Öztürk,</w:t>
      </w:r>
      <w:r>
        <w:rPr>
          <w:spacing w:val="-13"/>
        </w:rPr>
        <w:t xml:space="preserve"> </w:t>
      </w:r>
      <w:r>
        <w:t>2018:</w:t>
      </w:r>
      <w:r>
        <w:rPr>
          <w:spacing w:val="-13"/>
        </w:rPr>
        <w:t xml:space="preserve"> </w:t>
      </w:r>
      <w:r>
        <w:t>37).</w:t>
      </w:r>
      <w:r>
        <w:rPr>
          <w:spacing w:val="-14"/>
        </w:rPr>
        <w:t xml:space="preserve"> </w:t>
      </w:r>
      <w:r>
        <w:t>Rekreasyon</w:t>
      </w:r>
      <w:r>
        <w:rPr>
          <w:spacing w:val="-13"/>
        </w:rPr>
        <w:t xml:space="preserve"> </w:t>
      </w:r>
      <w:r>
        <w:t>amaçlarına</w:t>
      </w:r>
      <w:r>
        <w:rPr>
          <w:spacing w:val="-12"/>
        </w:rPr>
        <w:t xml:space="preserve"> </w:t>
      </w:r>
      <w:r>
        <w:t>göre</w:t>
      </w:r>
      <w:r>
        <w:rPr>
          <w:spacing w:val="-11"/>
        </w:rPr>
        <w:t xml:space="preserve"> </w:t>
      </w:r>
      <w:r>
        <w:t>dinlenme,</w:t>
      </w:r>
      <w:r>
        <w:rPr>
          <w:spacing w:val="-14"/>
        </w:rPr>
        <w:t xml:space="preserve"> </w:t>
      </w:r>
      <w:r>
        <w:t>kültürel,</w:t>
      </w:r>
      <w:r>
        <w:rPr>
          <w:spacing w:val="-13"/>
        </w:rPr>
        <w:t xml:space="preserve"> </w:t>
      </w:r>
      <w:r>
        <w:t>sportif</w:t>
      </w:r>
      <w:r>
        <w:rPr>
          <w:spacing w:val="-11"/>
        </w:rPr>
        <w:t xml:space="preserve"> </w:t>
      </w:r>
      <w:r>
        <w:t>ve</w:t>
      </w:r>
      <w:r>
        <w:rPr>
          <w:spacing w:val="-14"/>
        </w:rPr>
        <w:t xml:space="preserve"> </w:t>
      </w:r>
      <w:r>
        <w:t>turizm,</w:t>
      </w:r>
      <w:r>
        <w:rPr>
          <w:spacing w:val="-13"/>
        </w:rPr>
        <w:t xml:space="preserve"> </w:t>
      </w:r>
      <w:r>
        <w:t>çeşitli kriterlere göre</w:t>
      </w:r>
      <w:r>
        <w:rPr>
          <w:spacing w:val="-1"/>
        </w:rPr>
        <w:t xml:space="preserve"> </w:t>
      </w:r>
      <w:r>
        <w:t>(yaş, zaman, yer, katılımcı sayısı vb.) ve özel işlevlerine göre</w:t>
      </w:r>
      <w:r>
        <w:rPr>
          <w:spacing w:val="-1"/>
        </w:rPr>
        <w:t xml:space="preserve"> </w:t>
      </w:r>
      <w:r>
        <w:t>(ticari, sosyal, estetik ve fiziksel) sınıflandırılmaktadır (Karaküçük, 2005: 77).</w:t>
      </w:r>
    </w:p>
    <w:p w14:paraId="146E747C">
      <w:pPr>
        <w:pStyle w:val="9"/>
        <w:spacing w:before="120" w:after="120" w:line="360" w:lineRule="auto"/>
        <w:ind w:left="0" w:firstLine="567"/>
      </w:pPr>
      <w:r>
        <w:t>Anılan</w:t>
      </w:r>
      <w:r>
        <w:rPr>
          <w:spacing w:val="-10"/>
        </w:rPr>
        <w:t xml:space="preserve"> </w:t>
      </w:r>
      <w:r>
        <w:t>sınıflandırma</w:t>
      </w:r>
      <w:r>
        <w:rPr>
          <w:spacing w:val="-10"/>
        </w:rPr>
        <w:t xml:space="preserve"> </w:t>
      </w:r>
      <w:r>
        <w:t>ayrıca,</w:t>
      </w:r>
      <w:r>
        <w:rPr>
          <w:spacing w:val="-10"/>
        </w:rPr>
        <w:t xml:space="preserve"> </w:t>
      </w:r>
      <w:r>
        <w:t>amacına</w:t>
      </w:r>
      <w:r>
        <w:rPr>
          <w:spacing w:val="-10"/>
        </w:rPr>
        <w:t xml:space="preserve"> </w:t>
      </w:r>
      <w:r>
        <w:t>göre,</w:t>
      </w:r>
      <w:r>
        <w:rPr>
          <w:spacing w:val="-10"/>
        </w:rPr>
        <w:t xml:space="preserve"> </w:t>
      </w:r>
      <w:r>
        <w:t>katılım</w:t>
      </w:r>
      <w:r>
        <w:rPr>
          <w:spacing w:val="-10"/>
        </w:rPr>
        <w:t xml:space="preserve"> </w:t>
      </w:r>
      <w:r>
        <w:t>şekline</w:t>
      </w:r>
      <w:r>
        <w:rPr>
          <w:spacing w:val="-10"/>
        </w:rPr>
        <w:t xml:space="preserve"> </w:t>
      </w:r>
      <w:r>
        <w:t>göre,</w:t>
      </w:r>
      <w:r>
        <w:rPr>
          <w:spacing w:val="-10"/>
        </w:rPr>
        <w:t xml:space="preserve"> </w:t>
      </w:r>
      <w:r>
        <w:t>mekâna</w:t>
      </w:r>
      <w:r>
        <w:rPr>
          <w:spacing w:val="-9"/>
        </w:rPr>
        <w:t xml:space="preserve"> </w:t>
      </w:r>
      <w:r>
        <w:t>göre,</w:t>
      </w:r>
      <w:r>
        <w:rPr>
          <w:spacing w:val="-10"/>
        </w:rPr>
        <w:t xml:space="preserve"> </w:t>
      </w:r>
      <w:r>
        <w:t>katılımcıların uyruğuna</w:t>
      </w:r>
      <w:r>
        <w:rPr>
          <w:spacing w:val="-5"/>
        </w:rPr>
        <w:t xml:space="preserve"> </w:t>
      </w:r>
      <w:r>
        <w:t>göre,</w:t>
      </w:r>
      <w:r>
        <w:rPr>
          <w:spacing w:val="-7"/>
        </w:rPr>
        <w:t xml:space="preserve"> </w:t>
      </w:r>
      <w:r>
        <w:t>katılımcıların</w:t>
      </w:r>
      <w:r>
        <w:rPr>
          <w:spacing w:val="-2"/>
        </w:rPr>
        <w:t xml:space="preserve"> </w:t>
      </w:r>
      <w:r>
        <w:t>yaş</w:t>
      </w:r>
      <w:r>
        <w:rPr>
          <w:spacing w:val="-5"/>
        </w:rPr>
        <w:t xml:space="preserve"> </w:t>
      </w:r>
      <w:r>
        <w:t>gruplarına</w:t>
      </w:r>
      <w:r>
        <w:rPr>
          <w:spacing w:val="-6"/>
        </w:rPr>
        <w:t xml:space="preserve"> </w:t>
      </w:r>
      <w:r>
        <w:t>göre</w:t>
      </w:r>
      <w:r>
        <w:rPr>
          <w:spacing w:val="-5"/>
        </w:rPr>
        <w:t xml:space="preserve"> </w:t>
      </w:r>
      <w:r>
        <w:t>ve</w:t>
      </w:r>
      <w:r>
        <w:rPr>
          <w:spacing w:val="-8"/>
        </w:rPr>
        <w:t xml:space="preserve"> </w:t>
      </w:r>
      <w:r>
        <w:t>işlevine</w:t>
      </w:r>
      <w:r>
        <w:rPr>
          <w:spacing w:val="-4"/>
        </w:rPr>
        <w:t xml:space="preserve"> </w:t>
      </w:r>
      <w:r>
        <w:t>göre</w:t>
      </w:r>
      <w:r>
        <w:rPr>
          <w:spacing w:val="-9"/>
        </w:rPr>
        <w:t xml:space="preserve"> </w:t>
      </w:r>
      <w:r>
        <w:t>de</w:t>
      </w:r>
      <w:r>
        <w:rPr>
          <w:spacing w:val="-8"/>
        </w:rPr>
        <w:t xml:space="preserve"> </w:t>
      </w:r>
      <w:r>
        <w:t>ele</w:t>
      </w:r>
      <w:r>
        <w:rPr>
          <w:spacing w:val="-4"/>
        </w:rPr>
        <w:t xml:space="preserve"> </w:t>
      </w:r>
      <w:r>
        <w:t>almaktadır</w:t>
      </w:r>
      <w:r>
        <w:rPr>
          <w:spacing w:val="-8"/>
        </w:rPr>
        <w:t xml:space="preserve"> </w:t>
      </w:r>
      <w:r>
        <w:t>(Argan, 2007: 33). Başka bir çalışmada ise rekreasyon, etkinliklere katılım şekline, katılımcıların mekân</w:t>
      </w:r>
      <w:r>
        <w:rPr>
          <w:spacing w:val="70"/>
          <w:w w:val="150"/>
        </w:rPr>
        <w:t xml:space="preserve"> </w:t>
      </w:r>
      <w:r>
        <w:t>tercihlerine,</w:t>
      </w:r>
      <w:r>
        <w:rPr>
          <w:spacing w:val="74"/>
          <w:w w:val="150"/>
        </w:rPr>
        <w:t xml:space="preserve"> </w:t>
      </w:r>
      <w:r>
        <w:t>katılımcı</w:t>
      </w:r>
      <w:r>
        <w:rPr>
          <w:spacing w:val="72"/>
          <w:w w:val="150"/>
        </w:rPr>
        <w:t xml:space="preserve"> </w:t>
      </w:r>
      <w:r>
        <w:t>sayısına,</w:t>
      </w:r>
      <w:r>
        <w:rPr>
          <w:spacing w:val="73"/>
          <w:w w:val="150"/>
        </w:rPr>
        <w:t xml:space="preserve"> </w:t>
      </w:r>
      <w:r>
        <w:t>katılımcıların</w:t>
      </w:r>
      <w:r>
        <w:rPr>
          <w:spacing w:val="76"/>
          <w:w w:val="150"/>
        </w:rPr>
        <w:t xml:space="preserve"> </w:t>
      </w:r>
      <w:r>
        <w:t>yaşlarına,</w:t>
      </w:r>
      <w:r>
        <w:rPr>
          <w:spacing w:val="72"/>
          <w:w w:val="150"/>
        </w:rPr>
        <w:t xml:space="preserve"> </w:t>
      </w:r>
      <w:r>
        <w:t>etkinliklerin</w:t>
      </w:r>
      <w:r>
        <w:rPr>
          <w:spacing w:val="73"/>
          <w:w w:val="150"/>
        </w:rPr>
        <w:t xml:space="preserve"> </w:t>
      </w:r>
      <w:r>
        <w:rPr>
          <w:spacing w:val="-2"/>
        </w:rPr>
        <w:t>kültürel</w:t>
      </w:r>
      <w:r>
        <w:t xml:space="preserve"> değerlerine,</w:t>
      </w:r>
      <w:r>
        <w:rPr>
          <w:spacing w:val="-3"/>
        </w:rPr>
        <w:t xml:space="preserve"> </w:t>
      </w:r>
      <w:r>
        <w:t>zaman</w:t>
      </w:r>
      <w:r>
        <w:rPr>
          <w:spacing w:val="-4"/>
        </w:rPr>
        <w:t xml:space="preserve"> </w:t>
      </w:r>
      <w:r>
        <w:t>tercihlerine</w:t>
      </w:r>
      <w:r>
        <w:rPr>
          <w:spacing w:val="-4"/>
        </w:rPr>
        <w:t xml:space="preserve"> </w:t>
      </w:r>
      <w:r>
        <w:t>ve</w:t>
      </w:r>
      <w:r>
        <w:rPr>
          <w:spacing w:val="-2"/>
        </w:rPr>
        <w:t xml:space="preserve"> </w:t>
      </w:r>
      <w:r>
        <w:t>etkinliklerin</w:t>
      </w:r>
      <w:r>
        <w:rPr>
          <w:spacing w:val="-3"/>
        </w:rPr>
        <w:t xml:space="preserve"> </w:t>
      </w:r>
      <w:r>
        <w:t>fonksiyonlarına göre</w:t>
      </w:r>
      <w:r>
        <w:rPr>
          <w:spacing w:val="-3"/>
        </w:rPr>
        <w:t xml:space="preserve"> </w:t>
      </w:r>
      <w:r>
        <w:t>belirlenmektedir</w:t>
      </w:r>
      <w:r>
        <w:rPr>
          <w:spacing w:val="-4"/>
        </w:rPr>
        <w:t xml:space="preserve"> </w:t>
      </w:r>
      <w:r>
        <w:t>(Gül, 2014: 20).</w:t>
      </w:r>
    </w:p>
    <w:p w14:paraId="432F92E5">
      <w:pPr>
        <w:pStyle w:val="9"/>
        <w:spacing w:before="120" w:after="120" w:line="360" w:lineRule="auto"/>
        <w:ind w:left="0" w:firstLine="567"/>
      </w:pPr>
      <w:r>
        <w:t>Literatürdeki</w:t>
      </w:r>
      <w:r>
        <w:rPr>
          <w:spacing w:val="-4"/>
        </w:rPr>
        <w:t xml:space="preserve"> </w:t>
      </w:r>
      <w:r>
        <w:t>bazı</w:t>
      </w:r>
      <w:r>
        <w:rPr>
          <w:spacing w:val="-4"/>
        </w:rPr>
        <w:t xml:space="preserve"> </w:t>
      </w:r>
      <w:r>
        <w:t>çalışmalarda</w:t>
      </w:r>
      <w:r>
        <w:rPr>
          <w:spacing w:val="-5"/>
        </w:rPr>
        <w:t xml:space="preserve"> </w:t>
      </w:r>
      <w:r>
        <w:t>benzer</w:t>
      </w:r>
      <w:r>
        <w:rPr>
          <w:spacing w:val="-5"/>
        </w:rPr>
        <w:t xml:space="preserve"> </w:t>
      </w:r>
      <w:r>
        <w:t>sınıflandırmaların yapıldığı görülmektedir</w:t>
      </w:r>
      <w:r>
        <w:rPr>
          <w:spacing w:val="-5"/>
        </w:rPr>
        <w:t xml:space="preserve"> </w:t>
      </w:r>
      <w:r>
        <w:t>(Ardahan vd., 2011:1327). Rekreasyon temel eğlence, zihinsel etkinlikler, spor etkinlikleri, müzik, sanat, dans, kişisel hobiler, oyunlar, sosyal etkinlikler, dezavantajlı gruplara yönelik hizmetler, açık hava rekreasyonu ve hedonik etkinlikler olmak üzere 12 kategoride değerlendirilmektedir (Metin vd., 2017: 551).</w:t>
      </w:r>
    </w:p>
    <w:p w14:paraId="430C0A13">
      <w:pPr>
        <w:pStyle w:val="9"/>
        <w:spacing w:before="120" w:after="120" w:line="360" w:lineRule="auto"/>
        <w:ind w:left="0" w:firstLine="567"/>
      </w:pPr>
      <w:r>
        <w:t>Başka</w:t>
      </w:r>
      <w:r>
        <w:rPr>
          <w:spacing w:val="-3"/>
        </w:rPr>
        <w:t xml:space="preserve"> </w:t>
      </w:r>
      <w:r>
        <w:t>bir</w:t>
      </w:r>
      <w:r>
        <w:rPr>
          <w:spacing w:val="-3"/>
        </w:rPr>
        <w:t xml:space="preserve"> </w:t>
      </w:r>
      <w:r>
        <w:t>tasnifte</w:t>
      </w:r>
      <w:r>
        <w:rPr>
          <w:spacing w:val="-3"/>
        </w:rPr>
        <w:t xml:space="preserve"> </w:t>
      </w:r>
      <w:r>
        <w:t>rekreasyon</w:t>
      </w:r>
      <w:r>
        <w:rPr>
          <w:spacing w:val="-2"/>
        </w:rPr>
        <w:t xml:space="preserve"> </w:t>
      </w:r>
      <w:r>
        <w:t>turizm</w:t>
      </w:r>
      <w:r>
        <w:rPr>
          <w:spacing w:val="-2"/>
        </w:rPr>
        <w:t xml:space="preserve"> </w:t>
      </w:r>
      <w:r>
        <w:t>ve</w:t>
      </w:r>
      <w:r>
        <w:rPr>
          <w:spacing w:val="-3"/>
        </w:rPr>
        <w:t xml:space="preserve"> </w:t>
      </w:r>
      <w:r>
        <w:t>rekreasyon,</w:t>
      </w:r>
      <w:r>
        <w:rPr>
          <w:spacing w:val="-2"/>
        </w:rPr>
        <w:t xml:space="preserve"> </w:t>
      </w:r>
      <w:r>
        <w:t>sağlık</w:t>
      </w:r>
      <w:r>
        <w:rPr>
          <w:spacing w:val="-2"/>
        </w:rPr>
        <w:t xml:space="preserve"> </w:t>
      </w:r>
      <w:r>
        <w:t>terapisi</w:t>
      </w:r>
      <w:r>
        <w:rPr>
          <w:spacing w:val="-1"/>
        </w:rPr>
        <w:t xml:space="preserve"> </w:t>
      </w:r>
      <w:r>
        <w:t>rekreasyonu,</w:t>
      </w:r>
      <w:r>
        <w:rPr>
          <w:spacing w:val="-2"/>
        </w:rPr>
        <w:t xml:space="preserve"> </w:t>
      </w:r>
      <w:r>
        <w:t>endüstriyel rekreasyon, sportif rekreasyon, kültürel rekreasyon ve boş zaman eğitimi ve rekreasyonu olarak değerlendirilmektedir (Geri vd., 2019: 49). Öte yandan, sportif, kültürel, sanatsal, sosyal ve turistik amaçlarına, yaş, cinsiyet, yer, zaman ve etkinliğe katılan sayısı türleri olmak üzere ikiye de rekreasyon ayrılmaktadır (Taştan, 2020: 5).</w:t>
      </w:r>
    </w:p>
    <w:p w14:paraId="2F09EF09">
      <w:pPr>
        <w:pStyle w:val="9"/>
        <w:spacing w:before="120" w:after="120" w:line="360" w:lineRule="auto"/>
        <w:ind w:left="0" w:firstLine="567"/>
      </w:pPr>
      <w:r>
        <w:t>Bu</w:t>
      </w:r>
      <w:r>
        <w:rPr>
          <w:spacing w:val="-12"/>
        </w:rPr>
        <w:t xml:space="preserve"> </w:t>
      </w:r>
      <w:r>
        <w:t>çerçevede,</w:t>
      </w:r>
      <w:r>
        <w:rPr>
          <w:spacing w:val="-12"/>
        </w:rPr>
        <w:t xml:space="preserve"> </w:t>
      </w:r>
      <w:r>
        <w:t>rekreasyon</w:t>
      </w:r>
      <w:r>
        <w:rPr>
          <w:spacing w:val="-12"/>
        </w:rPr>
        <w:t xml:space="preserve"> </w:t>
      </w:r>
      <w:r>
        <w:t>türleri</w:t>
      </w:r>
      <w:r>
        <w:rPr>
          <w:spacing w:val="-12"/>
        </w:rPr>
        <w:t xml:space="preserve"> </w:t>
      </w:r>
      <w:r>
        <w:t>analiz</w:t>
      </w:r>
      <w:r>
        <w:rPr>
          <w:spacing w:val="-10"/>
        </w:rPr>
        <w:t xml:space="preserve"> </w:t>
      </w:r>
      <w:r>
        <w:t>edildiğinde</w:t>
      </w:r>
      <w:r>
        <w:rPr>
          <w:spacing w:val="-12"/>
        </w:rPr>
        <w:t xml:space="preserve"> </w:t>
      </w:r>
      <w:r>
        <w:t>her</w:t>
      </w:r>
      <w:r>
        <w:rPr>
          <w:spacing w:val="-12"/>
        </w:rPr>
        <w:t xml:space="preserve"> </w:t>
      </w:r>
      <w:r>
        <w:t>bir</w:t>
      </w:r>
      <w:r>
        <w:rPr>
          <w:spacing w:val="-12"/>
        </w:rPr>
        <w:t xml:space="preserve"> </w:t>
      </w:r>
      <w:r>
        <w:t>sınıflandırmanın</w:t>
      </w:r>
      <w:r>
        <w:rPr>
          <w:spacing w:val="-9"/>
        </w:rPr>
        <w:t xml:space="preserve"> </w:t>
      </w:r>
      <w:r>
        <w:t>dünyadaki</w:t>
      </w:r>
      <w:r>
        <w:rPr>
          <w:spacing w:val="-11"/>
        </w:rPr>
        <w:t xml:space="preserve"> </w:t>
      </w:r>
      <w:r>
        <w:t xml:space="preserve">fiziki rekreasyonel aktivitelerini ele aldığı, sanal rekreasyon ise henüz bu ayrım kapsamına alınmadığı gözlemlenmektedir. Ancak, gelişen teknolojinin yanı sıra, küresel Covid-19 pandemisinin de getirdiği birtakım alışkanlarla birlikte, mevcut rekreasyon aktivitelerine sanal rekreasyon uygulamalarının da önemli bir başlık olarak ilave edileceği akla </w:t>
      </w:r>
      <w:r>
        <w:rPr>
          <w:spacing w:val="-2"/>
        </w:rPr>
        <w:t>gelmektedir (Bishop ve Gimblett,2000:423).</w:t>
      </w:r>
    </w:p>
    <w:p w14:paraId="3F99D57B">
      <w:pPr>
        <w:pStyle w:val="9"/>
        <w:spacing w:before="120" w:after="120" w:line="360" w:lineRule="auto"/>
        <w:ind w:left="0" w:firstLine="567"/>
      </w:pPr>
      <w:r>
        <w:t>Bu</w:t>
      </w:r>
      <w:r>
        <w:rPr>
          <w:spacing w:val="-8"/>
        </w:rPr>
        <w:t xml:space="preserve"> </w:t>
      </w:r>
      <w:r>
        <w:t>durumda</w:t>
      </w:r>
      <w:r>
        <w:rPr>
          <w:spacing w:val="-9"/>
        </w:rPr>
        <w:t xml:space="preserve"> </w:t>
      </w:r>
      <w:r>
        <w:t>sanal</w:t>
      </w:r>
      <w:r>
        <w:rPr>
          <w:spacing w:val="-7"/>
        </w:rPr>
        <w:t xml:space="preserve"> </w:t>
      </w:r>
      <w:r>
        <w:t>rekreasyonun</w:t>
      </w:r>
      <w:r>
        <w:rPr>
          <w:spacing w:val="-8"/>
        </w:rPr>
        <w:t xml:space="preserve"> </w:t>
      </w:r>
      <w:r>
        <w:t>ilave</w:t>
      </w:r>
      <w:r>
        <w:rPr>
          <w:spacing w:val="-9"/>
        </w:rPr>
        <w:t xml:space="preserve"> </w:t>
      </w:r>
      <w:r>
        <w:t>edileceği</w:t>
      </w:r>
      <w:r>
        <w:rPr>
          <w:spacing w:val="-7"/>
        </w:rPr>
        <w:t xml:space="preserve"> </w:t>
      </w:r>
      <w:r>
        <w:t>bir</w:t>
      </w:r>
      <w:r>
        <w:rPr>
          <w:spacing w:val="-8"/>
        </w:rPr>
        <w:t xml:space="preserve"> </w:t>
      </w:r>
      <w:r>
        <w:t>sınıflandırmaya</w:t>
      </w:r>
      <w:r>
        <w:rPr>
          <w:spacing w:val="-6"/>
        </w:rPr>
        <w:t xml:space="preserve"> </w:t>
      </w:r>
      <w:r>
        <w:t>gidilmesi</w:t>
      </w:r>
      <w:r>
        <w:rPr>
          <w:spacing w:val="-7"/>
        </w:rPr>
        <w:t xml:space="preserve"> </w:t>
      </w:r>
      <w:r>
        <w:t>planlanıyorsa, bu rekreasyonun mevcut fiziki rekreasyon türlerinden farklı bir şekilde tasnif edilmesi gerektiği</w:t>
      </w:r>
      <w:r>
        <w:rPr>
          <w:spacing w:val="-15"/>
        </w:rPr>
        <w:t xml:space="preserve"> </w:t>
      </w:r>
      <w:r>
        <w:t>değerlendirilmektedir.</w:t>
      </w:r>
      <w:r>
        <w:rPr>
          <w:spacing w:val="-15"/>
        </w:rPr>
        <w:t xml:space="preserve"> </w:t>
      </w:r>
      <w:r>
        <w:t>Burada</w:t>
      </w:r>
      <w:r>
        <w:rPr>
          <w:spacing w:val="-15"/>
        </w:rPr>
        <w:t xml:space="preserve"> </w:t>
      </w:r>
      <w:r>
        <w:t>sanal</w:t>
      </w:r>
      <w:r>
        <w:rPr>
          <w:spacing w:val="-15"/>
        </w:rPr>
        <w:t xml:space="preserve"> </w:t>
      </w:r>
      <w:r>
        <w:t>rekreasyonu</w:t>
      </w:r>
      <w:r>
        <w:rPr>
          <w:spacing w:val="-15"/>
        </w:rPr>
        <w:t xml:space="preserve"> </w:t>
      </w:r>
      <w:r>
        <w:t>içeren</w:t>
      </w:r>
      <w:r>
        <w:rPr>
          <w:spacing w:val="-15"/>
        </w:rPr>
        <w:t xml:space="preserve"> </w:t>
      </w:r>
      <w:r>
        <w:t>rekreasyon</w:t>
      </w:r>
      <w:r>
        <w:rPr>
          <w:spacing w:val="-15"/>
        </w:rPr>
        <w:t xml:space="preserve"> </w:t>
      </w:r>
      <w:r>
        <w:t>sınıflandırması yapıldığında</w:t>
      </w:r>
      <w:r>
        <w:rPr>
          <w:spacing w:val="-4"/>
        </w:rPr>
        <w:t xml:space="preserve"> </w:t>
      </w:r>
      <w:r>
        <w:t>rekreasyon,</w:t>
      </w:r>
      <w:r>
        <w:rPr>
          <w:spacing w:val="-2"/>
        </w:rPr>
        <w:t xml:space="preserve"> </w:t>
      </w:r>
      <w:r>
        <w:t>fiziki</w:t>
      </w:r>
      <w:r>
        <w:rPr>
          <w:spacing w:val="-4"/>
        </w:rPr>
        <w:t xml:space="preserve"> </w:t>
      </w:r>
      <w:r>
        <w:t>rekreasyon</w:t>
      </w:r>
      <w:r>
        <w:rPr>
          <w:spacing w:val="-4"/>
        </w:rPr>
        <w:t xml:space="preserve"> </w:t>
      </w:r>
      <w:r>
        <w:t>ve</w:t>
      </w:r>
      <w:r>
        <w:rPr>
          <w:spacing w:val="-5"/>
        </w:rPr>
        <w:t xml:space="preserve"> </w:t>
      </w:r>
      <w:r>
        <w:t>sanal</w:t>
      </w:r>
      <w:r>
        <w:rPr>
          <w:spacing w:val="-4"/>
        </w:rPr>
        <w:t xml:space="preserve"> </w:t>
      </w:r>
      <w:r>
        <w:t>rekreasyon</w:t>
      </w:r>
      <w:r>
        <w:rPr>
          <w:spacing w:val="-4"/>
        </w:rPr>
        <w:t xml:space="preserve"> </w:t>
      </w:r>
      <w:r>
        <w:t>olarak</w:t>
      </w:r>
      <w:r>
        <w:rPr>
          <w:spacing w:val="-4"/>
        </w:rPr>
        <w:t xml:space="preserve"> </w:t>
      </w:r>
      <w:r>
        <w:t>iki</w:t>
      </w:r>
      <w:r>
        <w:rPr>
          <w:spacing w:val="-4"/>
        </w:rPr>
        <w:t xml:space="preserve"> </w:t>
      </w:r>
      <w:r>
        <w:t>ana</w:t>
      </w:r>
      <w:r>
        <w:rPr>
          <w:spacing w:val="-5"/>
        </w:rPr>
        <w:t xml:space="preserve"> </w:t>
      </w:r>
      <w:r>
        <w:t>kategoride</w:t>
      </w:r>
      <w:r>
        <w:rPr>
          <w:spacing w:val="-4"/>
        </w:rPr>
        <w:t xml:space="preserve"> </w:t>
      </w:r>
      <w:r>
        <w:t>ele alınabilecektir. Bu bağlamda, reel dünyanın yukarıda ele alınan tüm rekreasyonlarını fiziki rekreasyon kategorisinde değerlendirmek mümkün olacaktır. Sanal rekreasyon müteakip bölümde ayrıca teferruatlı bir şekilde ele alınmaktadır.</w:t>
      </w:r>
    </w:p>
    <w:p w14:paraId="2CA22F4F">
      <w:pPr>
        <w:pStyle w:val="9"/>
        <w:spacing w:before="120" w:after="120" w:line="360" w:lineRule="auto"/>
        <w:ind w:left="0" w:firstLine="567"/>
      </w:pPr>
      <w:r>
        <w:t>Mekan</w:t>
      </w:r>
      <w:r>
        <w:rPr>
          <w:spacing w:val="-8"/>
        </w:rPr>
        <w:t xml:space="preserve"> </w:t>
      </w:r>
      <w:r>
        <w:t>bakımından</w:t>
      </w:r>
      <w:r>
        <w:rPr>
          <w:spacing w:val="-8"/>
        </w:rPr>
        <w:t xml:space="preserve"> </w:t>
      </w:r>
      <w:r>
        <w:t>rekreasyon</w:t>
      </w:r>
      <w:r>
        <w:rPr>
          <w:spacing w:val="-8"/>
        </w:rPr>
        <w:t xml:space="preserve"> </w:t>
      </w:r>
      <w:r>
        <w:t>denildiğinde,</w:t>
      </w:r>
      <w:r>
        <w:rPr>
          <w:spacing w:val="-8"/>
        </w:rPr>
        <w:t xml:space="preserve"> </w:t>
      </w:r>
      <w:r>
        <w:t>başlangıçta</w:t>
      </w:r>
      <w:r>
        <w:rPr>
          <w:spacing w:val="-9"/>
        </w:rPr>
        <w:t xml:space="preserve"> </w:t>
      </w:r>
      <w:r>
        <w:t>mekan</w:t>
      </w:r>
      <w:r>
        <w:rPr>
          <w:spacing w:val="-8"/>
        </w:rPr>
        <w:t xml:space="preserve"> </w:t>
      </w:r>
      <w:r>
        <w:t>kavramının</w:t>
      </w:r>
      <w:r>
        <w:rPr>
          <w:spacing w:val="-5"/>
        </w:rPr>
        <w:t xml:space="preserve"> </w:t>
      </w:r>
      <w:r>
        <w:t>açıklanmasının yerinde olacağı düşünülmektedir. “Mekân” terimi, Arapça kökenli bir kelimedir. Anılan kavram, İngilizce (space) ve Fransızca (l'espace) boşluk kelimelerinin izleri, Latince “spatium” ve Yunanca “stadion” kelimelerine kadar götürülebilecektir. “Stadion”, bir uzunluk biriminin sınırı olarak bilinmekle birlikte, koşu parkuru, yarış alanı, bir amaç için ayrılmış alan, dans alanı, bahçe anlamlarına da gelmektedir. “Spatium” ise, “stadion”un eşdeğeri olmasının yanı sıra, “mesafe veya uzunluk, “menzil” olarak tercüme edilebilen Yunanca “distema” kelimesinden gelmektedir (Üngür, 2011: 10).</w:t>
      </w:r>
    </w:p>
    <w:p w14:paraId="57F7D92A">
      <w:pPr>
        <w:pStyle w:val="9"/>
        <w:spacing w:before="120" w:after="120" w:line="360" w:lineRule="auto"/>
        <w:ind w:left="0" w:firstLine="567"/>
      </w:pPr>
      <w:r>
        <w:t>Konumuna göre “açık” olarak adlandırılan eko-rekreasyon veya açık hava sanat, kültür, eğitim</w:t>
      </w:r>
      <w:r>
        <w:rPr>
          <w:spacing w:val="-1"/>
        </w:rPr>
        <w:t xml:space="preserve"> </w:t>
      </w:r>
      <w:r>
        <w:t>ve satranç gibi</w:t>
      </w:r>
      <w:r>
        <w:rPr>
          <w:spacing w:val="-1"/>
        </w:rPr>
        <w:t xml:space="preserve"> </w:t>
      </w:r>
      <w:r>
        <w:t>oyunlar</w:t>
      </w:r>
      <w:r>
        <w:rPr>
          <w:spacing w:val="-3"/>
        </w:rPr>
        <w:t xml:space="preserve"> </w:t>
      </w:r>
      <w:r>
        <w:t>ile</w:t>
      </w:r>
      <w:r>
        <w:rPr>
          <w:spacing w:val="-2"/>
        </w:rPr>
        <w:t xml:space="preserve"> </w:t>
      </w:r>
      <w:r>
        <w:t>tedavi</w:t>
      </w:r>
      <w:r>
        <w:rPr>
          <w:spacing w:val="-1"/>
        </w:rPr>
        <w:t xml:space="preserve"> </w:t>
      </w:r>
      <w:r>
        <w:t>edici aktivitelere göre yapılan</w:t>
      </w:r>
      <w:r>
        <w:rPr>
          <w:spacing w:val="-1"/>
        </w:rPr>
        <w:t xml:space="preserve"> </w:t>
      </w:r>
      <w:r>
        <w:t>kapalı</w:t>
      </w:r>
      <w:r>
        <w:rPr>
          <w:spacing w:val="-1"/>
        </w:rPr>
        <w:t xml:space="preserve"> </w:t>
      </w:r>
      <w:r>
        <w:t>rekreasyonlar da</w:t>
      </w:r>
      <w:r>
        <w:rPr>
          <w:spacing w:val="-10"/>
        </w:rPr>
        <w:t xml:space="preserve"> </w:t>
      </w:r>
      <w:r>
        <w:t>bulunmaktadır</w:t>
      </w:r>
      <w:r>
        <w:rPr>
          <w:spacing w:val="-8"/>
        </w:rPr>
        <w:t xml:space="preserve"> </w:t>
      </w:r>
      <w:r>
        <w:t>(Hazar,</w:t>
      </w:r>
      <w:r>
        <w:rPr>
          <w:spacing w:val="-8"/>
        </w:rPr>
        <w:t xml:space="preserve"> </w:t>
      </w:r>
      <w:r>
        <w:t>2014:</w:t>
      </w:r>
      <w:r>
        <w:rPr>
          <w:spacing w:val="-9"/>
        </w:rPr>
        <w:t xml:space="preserve"> </w:t>
      </w:r>
      <w:r>
        <w:t>31).</w:t>
      </w:r>
      <w:r>
        <w:rPr>
          <w:spacing w:val="-10"/>
        </w:rPr>
        <w:t xml:space="preserve"> </w:t>
      </w:r>
      <w:r>
        <w:t>Rekreasyonel</w:t>
      </w:r>
      <w:r>
        <w:rPr>
          <w:spacing w:val="-7"/>
        </w:rPr>
        <w:t xml:space="preserve"> </w:t>
      </w:r>
      <w:r>
        <w:t>aktiviteler</w:t>
      </w:r>
      <w:r>
        <w:rPr>
          <w:spacing w:val="-10"/>
        </w:rPr>
        <w:t xml:space="preserve"> </w:t>
      </w:r>
      <w:r>
        <w:t>oldukça</w:t>
      </w:r>
      <w:r>
        <w:rPr>
          <w:spacing w:val="-8"/>
        </w:rPr>
        <w:t xml:space="preserve"> </w:t>
      </w:r>
      <w:r>
        <w:t>esneklik</w:t>
      </w:r>
      <w:r>
        <w:rPr>
          <w:spacing w:val="-9"/>
        </w:rPr>
        <w:t xml:space="preserve"> </w:t>
      </w:r>
      <w:r>
        <w:t xml:space="preserve">göstermekte olup, her ortamda icra edilebilmektedir (Sevim </w:t>
      </w:r>
      <w:r>
        <w:rPr>
          <w:rFonts w:hint="default"/>
          <w:lang w:val="tr-TR"/>
        </w:rPr>
        <w:t>ve</w:t>
      </w:r>
      <w:r>
        <w:t xml:space="preserve"> Özer, 2013: 20). Bu çerçevede, mekâna göre rekreasyon, açık alan ve kapalı alan rekreasyonları olmak üzere ikiye ayrılmaktadır (Manning, 2001: 410).</w:t>
      </w:r>
    </w:p>
    <w:p w14:paraId="65C03437">
      <w:pPr>
        <w:pStyle w:val="9"/>
        <w:spacing w:before="120" w:after="120" w:line="360" w:lineRule="auto"/>
        <w:ind w:left="0" w:firstLine="567"/>
      </w:pPr>
      <w:r>
        <w:t>Açık</w:t>
      </w:r>
      <w:r>
        <w:rPr>
          <w:spacing w:val="-5"/>
        </w:rPr>
        <w:t xml:space="preserve"> </w:t>
      </w:r>
      <w:r>
        <w:t>hava</w:t>
      </w:r>
      <w:r>
        <w:rPr>
          <w:spacing w:val="-7"/>
        </w:rPr>
        <w:t xml:space="preserve"> </w:t>
      </w:r>
      <w:r>
        <w:t>rekreasyon</w:t>
      </w:r>
      <w:r>
        <w:rPr>
          <w:spacing w:val="-5"/>
        </w:rPr>
        <w:t xml:space="preserve"> </w:t>
      </w:r>
      <w:r>
        <w:t>ihtiyacı,</w:t>
      </w:r>
      <w:r>
        <w:rPr>
          <w:spacing w:val="-5"/>
        </w:rPr>
        <w:t xml:space="preserve"> </w:t>
      </w:r>
      <w:r>
        <w:t>sanayileşmenin</w:t>
      </w:r>
      <w:r>
        <w:rPr>
          <w:spacing w:val="-5"/>
        </w:rPr>
        <w:t xml:space="preserve"> </w:t>
      </w:r>
      <w:r>
        <w:t>ve</w:t>
      </w:r>
      <w:r>
        <w:rPr>
          <w:spacing w:val="-4"/>
        </w:rPr>
        <w:t xml:space="preserve"> </w:t>
      </w:r>
      <w:r>
        <w:t>kentleşmenin</w:t>
      </w:r>
      <w:r>
        <w:rPr>
          <w:spacing w:val="-5"/>
        </w:rPr>
        <w:t xml:space="preserve"> </w:t>
      </w:r>
      <w:r>
        <w:t>artmasının</w:t>
      </w:r>
      <w:r>
        <w:rPr>
          <w:spacing w:val="-5"/>
        </w:rPr>
        <w:t xml:space="preserve"> </w:t>
      </w:r>
      <w:r>
        <w:t>sonrasında</w:t>
      </w:r>
      <w:r>
        <w:rPr>
          <w:spacing w:val="-5"/>
        </w:rPr>
        <w:t xml:space="preserve"> </w:t>
      </w:r>
      <w:r>
        <w:t>hızla artmıştır. Açık hava aktiviteleri, kâinatın bir parçası ile katılımcılar arasında iletişim tesis edebilen ve tamamıyla kişinin kendi fiziki, sağlık, psikolojik ve sosyal menfaatleri doğrultusunda gerçekleştirilen boş zaman etkinlikleri olarak ifade edilebilmektedir.Bu</w:t>
      </w:r>
      <w:r>
        <w:rPr>
          <w:spacing w:val="-11"/>
        </w:rPr>
        <w:t xml:space="preserve"> </w:t>
      </w:r>
      <w:r>
        <w:t>bağlamda,</w:t>
      </w:r>
      <w:r>
        <w:rPr>
          <w:spacing w:val="-11"/>
        </w:rPr>
        <w:t xml:space="preserve"> </w:t>
      </w:r>
      <w:r>
        <w:t>açık</w:t>
      </w:r>
      <w:r>
        <w:rPr>
          <w:spacing w:val="-10"/>
        </w:rPr>
        <w:t xml:space="preserve"> </w:t>
      </w:r>
      <w:r>
        <w:t>hava</w:t>
      </w:r>
      <w:r>
        <w:rPr>
          <w:spacing w:val="-7"/>
        </w:rPr>
        <w:t xml:space="preserve"> </w:t>
      </w:r>
      <w:r>
        <w:t>etkinlikleri</w:t>
      </w:r>
      <w:r>
        <w:rPr>
          <w:spacing w:val="-10"/>
        </w:rPr>
        <w:t xml:space="preserve"> </w:t>
      </w:r>
      <w:r>
        <w:t>suda</w:t>
      </w:r>
      <w:r>
        <w:rPr>
          <w:spacing w:val="-7"/>
        </w:rPr>
        <w:t xml:space="preserve"> </w:t>
      </w:r>
      <w:r>
        <w:t>(okyanus,</w:t>
      </w:r>
      <w:r>
        <w:rPr>
          <w:spacing w:val="-10"/>
        </w:rPr>
        <w:t xml:space="preserve"> </w:t>
      </w:r>
      <w:r>
        <w:t>deniz,</w:t>
      </w:r>
      <w:r>
        <w:rPr>
          <w:spacing w:val="-11"/>
        </w:rPr>
        <w:t xml:space="preserve"> </w:t>
      </w:r>
      <w:r>
        <w:t>nehir</w:t>
      </w:r>
      <w:r>
        <w:rPr>
          <w:spacing w:val="-9"/>
        </w:rPr>
        <w:t xml:space="preserve"> </w:t>
      </w:r>
      <w:r>
        <w:t>ve</w:t>
      </w:r>
      <w:r>
        <w:rPr>
          <w:spacing w:val="-7"/>
        </w:rPr>
        <w:t xml:space="preserve"> </w:t>
      </w:r>
      <w:r>
        <w:t>göl),</w:t>
      </w:r>
      <w:r>
        <w:rPr>
          <w:spacing w:val="-11"/>
        </w:rPr>
        <w:t xml:space="preserve"> </w:t>
      </w:r>
      <w:r>
        <w:t>karada</w:t>
      </w:r>
      <w:r>
        <w:rPr>
          <w:spacing w:val="-12"/>
        </w:rPr>
        <w:t xml:space="preserve"> </w:t>
      </w:r>
      <w:r>
        <w:t>ve havada yapılan aktivitelerin tamamı olarak nitelenebilmektedir. Piknik, dağcılık, doğa yürüyüşleri, kuş gözlemciliği, botanik gözlemi, yöresel yayla şenlikleri, doğada eğitici etkinlikler, su üstü ve su altı etkinlikleri, yamaç paraşütü ve uçurtma şenlikleri gibi etkinlikler bu bağlamda ele alınabilen örnek olarak öne çıkmaktadır (Ardahan ve Lapa, 2011: 1330).</w:t>
      </w:r>
    </w:p>
    <w:p w14:paraId="5A472204">
      <w:pPr>
        <w:pStyle w:val="9"/>
        <w:spacing w:before="120" w:after="120" w:line="360" w:lineRule="auto"/>
        <w:ind w:left="0" w:firstLine="567"/>
      </w:pPr>
      <w:r>
        <w:t>Açık</w:t>
      </w:r>
      <w:r>
        <w:rPr>
          <w:spacing w:val="-15"/>
        </w:rPr>
        <w:t xml:space="preserve"> </w:t>
      </w:r>
      <w:r>
        <w:t>hava</w:t>
      </w:r>
      <w:r>
        <w:rPr>
          <w:spacing w:val="-15"/>
        </w:rPr>
        <w:t xml:space="preserve"> </w:t>
      </w:r>
      <w:r>
        <w:t>rekreasyonları</w:t>
      </w:r>
      <w:r>
        <w:rPr>
          <w:spacing w:val="-15"/>
        </w:rPr>
        <w:t xml:space="preserve"> </w:t>
      </w:r>
      <w:r>
        <w:t>çok</w:t>
      </w:r>
      <w:r>
        <w:rPr>
          <w:spacing w:val="-15"/>
        </w:rPr>
        <w:t xml:space="preserve"> </w:t>
      </w:r>
      <w:r>
        <w:t>farklı</w:t>
      </w:r>
      <w:r>
        <w:rPr>
          <w:spacing w:val="-15"/>
        </w:rPr>
        <w:t xml:space="preserve"> </w:t>
      </w:r>
      <w:r>
        <w:t>dal</w:t>
      </w:r>
      <w:r>
        <w:rPr>
          <w:spacing w:val="-15"/>
        </w:rPr>
        <w:t xml:space="preserve"> </w:t>
      </w:r>
      <w:r>
        <w:t>ve</w:t>
      </w:r>
      <w:r>
        <w:rPr>
          <w:spacing w:val="-15"/>
        </w:rPr>
        <w:t xml:space="preserve"> </w:t>
      </w:r>
      <w:r>
        <w:t>türlerde</w:t>
      </w:r>
      <w:r>
        <w:rPr>
          <w:spacing w:val="-15"/>
        </w:rPr>
        <w:t xml:space="preserve"> </w:t>
      </w:r>
      <w:r>
        <w:t>olabilmekle</w:t>
      </w:r>
      <w:r>
        <w:rPr>
          <w:spacing w:val="-15"/>
        </w:rPr>
        <w:t xml:space="preserve"> </w:t>
      </w:r>
      <w:r>
        <w:t>beraber,</w:t>
      </w:r>
      <w:r>
        <w:rPr>
          <w:spacing w:val="-15"/>
        </w:rPr>
        <w:t xml:space="preserve"> </w:t>
      </w:r>
      <w:r>
        <w:t>genel</w:t>
      </w:r>
      <w:r>
        <w:rPr>
          <w:spacing w:val="-15"/>
        </w:rPr>
        <w:t xml:space="preserve"> </w:t>
      </w:r>
      <w:r>
        <w:t>itibariyle</w:t>
      </w:r>
      <w:r>
        <w:rPr>
          <w:spacing w:val="-15"/>
        </w:rPr>
        <w:t xml:space="preserve"> </w:t>
      </w:r>
      <w:r>
        <w:t>şöyle özetlenebilmektedir (Karaküçük, 2007: 43):</w:t>
      </w:r>
    </w:p>
    <w:p w14:paraId="4C76BC08">
      <w:pPr>
        <w:pStyle w:val="28"/>
        <w:numPr>
          <w:ilvl w:val="0"/>
          <w:numId w:val="4"/>
        </w:numPr>
        <w:tabs>
          <w:tab w:val="left" w:pos="880"/>
        </w:tabs>
        <w:spacing w:before="120" w:after="120" w:line="360" w:lineRule="auto"/>
        <w:ind w:left="0" w:firstLine="567"/>
        <w:rPr>
          <w:sz w:val="24"/>
        </w:rPr>
      </w:pPr>
      <w:r>
        <w:rPr>
          <w:sz w:val="24"/>
        </w:rPr>
        <w:t>Dağ Aktiviteleri: Kanyon geçişi, trekking, dağ tırmanışı, dağ bisikleti, motosiklet</w:t>
      </w:r>
      <w:r>
        <w:rPr>
          <w:spacing w:val="40"/>
          <w:sz w:val="24"/>
        </w:rPr>
        <w:t xml:space="preserve"> </w:t>
      </w:r>
      <w:r>
        <w:rPr>
          <w:sz w:val="24"/>
        </w:rPr>
        <w:t>gezisi, kayak ve buzul tırmanışı, sağda bisiklet, oryantiring.</w:t>
      </w:r>
    </w:p>
    <w:p w14:paraId="6092FD04">
      <w:pPr>
        <w:pStyle w:val="28"/>
        <w:numPr>
          <w:ilvl w:val="0"/>
          <w:numId w:val="4"/>
        </w:numPr>
        <w:tabs>
          <w:tab w:val="left" w:pos="880"/>
        </w:tabs>
        <w:spacing w:before="120" w:after="120" w:line="360" w:lineRule="auto"/>
        <w:ind w:left="0" w:firstLine="567"/>
        <w:rPr>
          <w:sz w:val="24"/>
        </w:rPr>
      </w:pPr>
      <w:r>
        <w:rPr>
          <w:sz w:val="24"/>
        </w:rPr>
        <w:t xml:space="preserve">Orman Aktiviteleri: Yaban hayatı safari turu, kampçılık, kuş gözlemciliği ve ağaç </w:t>
      </w:r>
      <w:r>
        <w:rPr>
          <w:spacing w:val="-2"/>
          <w:sz w:val="24"/>
        </w:rPr>
        <w:t>tırmanışı.</w:t>
      </w:r>
    </w:p>
    <w:p w14:paraId="6608B325">
      <w:pPr>
        <w:pStyle w:val="28"/>
        <w:numPr>
          <w:ilvl w:val="0"/>
          <w:numId w:val="4"/>
        </w:numPr>
        <w:tabs>
          <w:tab w:val="left" w:pos="880"/>
        </w:tabs>
        <w:spacing w:before="120" w:after="120" w:line="360" w:lineRule="auto"/>
        <w:ind w:left="0" w:firstLine="567"/>
        <w:rPr>
          <w:sz w:val="24"/>
        </w:rPr>
      </w:pPr>
      <w:r>
        <w:rPr>
          <w:sz w:val="24"/>
        </w:rPr>
        <w:t>Çöl</w:t>
      </w:r>
      <w:r>
        <w:rPr>
          <w:spacing w:val="-4"/>
          <w:sz w:val="24"/>
        </w:rPr>
        <w:t xml:space="preserve"> </w:t>
      </w:r>
      <w:r>
        <w:rPr>
          <w:sz w:val="24"/>
        </w:rPr>
        <w:t>Aktiviteleri:</w:t>
      </w:r>
      <w:r>
        <w:rPr>
          <w:spacing w:val="-4"/>
          <w:sz w:val="24"/>
        </w:rPr>
        <w:t xml:space="preserve"> </w:t>
      </w:r>
      <w:r>
        <w:rPr>
          <w:sz w:val="24"/>
        </w:rPr>
        <w:t>Deveyle</w:t>
      </w:r>
      <w:r>
        <w:rPr>
          <w:spacing w:val="-3"/>
          <w:sz w:val="24"/>
        </w:rPr>
        <w:t xml:space="preserve"> </w:t>
      </w:r>
      <w:r>
        <w:rPr>
          <w:sz w:val="24"/>
        </w:rPr>
        <w:t>çöl</w:t>
      </w:r>
      <w:r>
        <w:rPr>
          <w:spacing w:val="-4"/>
          <w:sz w:val="24"/>
        </w:rPr>
        <w:t xml:space="preserve"> </w:t>
      </w:r>
      <w:r>
        <w:rPr>
          <w:sz w:val="24"/>
        </w:rPr>
        <w:t>safarisi,</w:t>
      </w:r>
      <w:r>
        <w:rPr>
          <w:spacing w:val="-4"/>
          <w:sz w:val="24"/>
        </w:rPr>
        <w:t xml:space="preserve"> </w:t>
      </w:r>
      <w:r>
        <w:rPr>
          <w:sz w:val="24"/>
        </w:rPr>
        <w:t>jeep</w:t>
      </w:r>
      <w:r>
        <w:rPr>
          <w:spacing w:val="-4"/>
          <w:sz w:val="24"/>
        </w:rPr>
        <w:t xml:space="preserve"> </w:t>
      </w:r>
      <w:r>
        <w:rPr>
          <w:sz w:val="24"/>
        </w:rPr>
        <w:t>safari,</w:t>
      </w:r>
      <w:r>
        <w:rPr>
          <w:spacing w:val="-3"/>
          <w:sz w:val="24"/>
        </w:rPr>
        <w:t xml:space="preserve"> </w:t>
      </w:r>
      <w:r>
        <w:rPr>
          <w:sz w:val="24"/>
        </w:rPr>
        <w:t>kum</w:t>
      </w:r>
      <w:r>
        <w:rPr>
          <w:spacing w:val="-4"/>
          <w:sz w:val="24"/>
        </w:rPr>
        <w:t xml:space="preserve"> </w:t>
      </w:r>
      <w:r>
        <w:rPr>
          <w:sz w:val="24"/>
        </w:rPr>
        <w:t>sörfü</w:t>
      </w:r>
      <w:r>
        <w:rPr>
          <w:spacing w:val="-4"/>
          <w:sz w:val="24"/>
        </w:rPr>
        <w:t xml:space="preserve"> </w:t>
      </w:r>
      <w:r>
        <w:rPr>
          <w:sz w:val="24"/>
        </w:rPr>
        <w:t>ve</w:t>
      </w:r>
      <w:r>
        <w:rPr>
          <w:spacing w:val="-5"/>
          <w:sz w:val="24"/>
        </w:rPr>
        <w:t xml:space="preserve"> </w:t>
      </w:r>
      <w:r>
        <w:rPr>
          <w:sz w:val="24"/>
        </w:rPr>
        <w:t>hava</w:t>
      </w:r>
      <w:r>
        <w:rPr>
          <w:spacing w:val="-5"/>
          <w:sz w:val="24"/>
        </w:rPr>
        <w:t xml:space="preserve"> </w:t>
      </w:r>
      <w:r>
        <w:rPr>
          <w:sz w:val="24"/>
        </w:rPr>
        <w:t>balonundan çöl safarisi.</w:t>
      </w:r>
    </w:p>
    <w:p w14:paraId="7250EB0D">
      <w:pPr>
        <w:pStyle w:val="28"/>
        <w:numPr>
          <w:ilvl w:val="0"/>
          <w:numId w:val="4"/>
        </w:numPr>
        <w:tabs>
          <w:tab w:val="left" w:pos="880"/>
        </w:tabs>
        <w:spacing w:before="120" w:after="120" w:line="360" w:lineRule="auto"/>
        <w:ind w:left="0" w:firstLine="567"/>
        <w:rPr>
          <w:sz w:val="24"/>
        </w:rPr>
      </w:pPr>
      <w:r>
        <w:rPr>
          <w:sz w:val="24"/>
        </w:rPr>
        <w:t>Sahil</w:t>
      </w:r>
      <w:r>
        <w:rPr>
          <w:spacing w:val="80"/>
          <w:sz w:val="24"/>
        </w:rPr>
        <w:t xml:space="preserve"> </w:t>
      </w:r>
      <w:r>
        <w:rPr>
          <w:sz w:val="24"/>
        </w:rPr>
        <w:t>ve</w:t>
      </w:r>
      <w:r>
        <w:rPr>
          <w:spacing w:val="80"/>
          <w:sz w:val="24"/>
        </w:rPr>
        <w:t xml:space="preserve"> </w:t>
      </w:r>
      <w:r>
        <w:rPr>
          <w:sz w:val="24"/>
        </w:rPr>
        <w:t>Deniz</w:t>
      </w:r>
      <w:r>
        <w:rPr>
          <w:spacing w:val="80"/>
          <w:sz w:val="24"/>
        </w:rPr>
        <w:t xml:space="preserve"> </w:t>
      </w:r>
      <w:r>
        <w:rPr>
          <w:sz w:val="24"/>
        </w:rPr>
        <w:t>Aktiviteleri:</w:t>
      </w:r>
      <w:r>
        <w:rPr>
          <w:spacing w:val="80"/>
          <w:sz w:val="24"/>
        </w:rPr>
        <w:t xml:space="preserve"> </w:t>
      </w:r>
      <w:r>
        <w:rPr>
          <w:sz w:val="24"/>
        </w:rPr>
        <w:t>Şnorkelle</w:t>
      </w:r>
      <w:r>
        <w:rPr>
          <w:spacing w:val="80"/>
          <w:sz w:val="24"/>
        </w:rPr>
        <w:t xml:space="preserve"> </w:t>
      </w:r>
      <w:r>
        <w:rPr>
          <w:sz w:val="24"/>
        </w:rPr>
        <w:t>dalış,</w:t>
      </w:r>
      <w:r>
        <w:rPr>
          <w:spacing w:val="80"/>
          <w:sz w:val="24"/>
        </w:rPr>
        <w:t xml:space="preserve"> </w:t>
      </w:r>
      <w:r>
        <w:rPr>
          <w:sz w:val="24"/>
        </w:rPr>
        <w:t>yüzey</w:t>
      </w:r>
      <w:r>
        <w:rPr>
          <w:spacing w:val="80"/>
          <w:sz w:val="24"/>
        </w:rPr>
        <w:t xml:space="preserve"> </w:t>
      </w:r>
      <w:r>
        <w:rPr>
          <w:sz w:val="24"/>
        </w:rPr>
        <w:t>su</w:t>
      </w:r>
      <w:r>
        <w:rPr>
          <w:spacing w:val="80"/>
          <w:sz w:val="24"/>
        </w:rPr>
        <w:t xml:space="preserve"> </w:t>
      </w:r>
      <w:r>
        <w:rPr>
          <w:sz w:val="24"/>
        </w:rPr>
        <w:t>sporları,</w:t>
      </w:r>
      <w:r>
        <w:rPr>
          <w:spacing w:val="80"/>
          <w:sz w:val="24"/>
        </w:rPr>
        <w:t xml:space="preserve"> </w:t>
      </w:r>
      <w:r>
        <w:rPr>
          <w:sz w:val="24"/>
        </w:rPr>
        <w:t>tüplü</w:t>
      </w:r>
      <w:r>
        <w:rPr>
          <w:spacing w:val="80"/>
          <w:sz w:val="24"/>
        </w:rPr>
        <w:t xml:space="preserve"> </w:t>
      </w:r>
      <w:r>
        <w:rPr>
          <w:sz w:val="24"/>
        </w:rPr>
        <w:t>dalış, parasailing, tekne balıkçılığı, rüzgâr sörfü, jet-ski, deniz paraşütü ve deniz ringosu.</w:t>
      </w:r>
    </w:p>
    <w:p w14:paraId="7FC19E2C">
      <w:pPr>
        <w:pStyle w:val="28"/>
        <w:numPr>
          <w:ilvl w:val="0"/>
          <w:numId w:val="4"/>
        </w:numPr>
        <w:tabs>
          <w:tab w:val="left" w:pos="880"/>
        </w:tabs>
        <w:spacing w:before="120" w:after="120" w:line="360" w:lineRule="auto"/>
        <w:ind w:left="0" w:firstLine="567"/>
        <w:jc w:val="both"/>
        <w:rPr>
          <w:sz w:val="24"/>
        </w:rPr>
      </w:pPr>
      <w:r>
        <w:rPr>
          <w:sz w:val="24"/>
        </w:rPr>
        <w:t>Tatlı Su Aktiviteleri: Su kayağı, olta balıkçılığı, kano, rafting, su sporları kürek teknesi,</w:t>
      </w:r>
      <w:r>
        <w:rPr>
          <w:spacing w:val="-8"/>
          <w:sz w:val="24"/>
        </w:rPr>
        <w:t xml:space="preserve"> </w:t>
      </w:r>
      <w:r>
        <w:rPr>
          <w:sz w:val="24"/>
        </w:rPr>
        <w:t>wind-sörf,</w:t>
      </w:r>
      <w:r>
        <w:rPr>
          <w:spacing w:val="-8"/>
          <w:sz w:val="24"/>
        </w:rPr>
        <w:t xml:space="preserve"> </w:t>
      </w:r>
      <w:r>
        <w:rPr>
          <w:sz w:val="24"/>
        </w:rPr>
        <w:t>uçurtma</w:t>
      </w:r>
      <w:r>
        <w:rPr>
          <w:spacing w:val="-9"/>
          <w:sz w:val="24"/>
        </w:rPr>
        <w:t xml:space="preserve"> </w:t>
      </w:r>
      <w:r>
        <w:rPr>
          <w:sz w:val="24"/>
        </w:rPr>
        <w:t>sörfü,</w:t>
      </w:r>
      <w:r>
        <w:rPr>
          <w:spacing w:val="-8"/>
          <w:sz w:val="24"/>
        </w:rPr>
        <w:t xml:space="preserve"> </w:t>
      </w:r>
      <w:r>
        <w:rPr>
          <w:sz w:val="24"/>
        </w:rPr>
        <w:t>uçan</w:t>
      </w:r>
      <w:r>
        <w:rPr>
          <w:spacing w:val="-8"/>
          <w:sz w:val="24"/>
        </w:rPr>
        <w:t xml:space="preserve"> </w:t>
      </w:r>
      <w:r>
        <w:rPr>
          <w:sz w:val="24"/>
        </w:rPr>
        <w:t>kaykay,</w:t>
      </w:r>
      <w:r>
        <w:rPr>
          <w:spacing w:val="-8"/>
          <w:sz w:val="24"/>
        </w:rPr>
        <w:t xml:space="preserve"> </w:t>
      </w:r>
      <w:r>
        <w:rPr>
          <w:sz w:val="24"/>
        </w:rPr>
        <w:t>jet</w:t>
      </w:r>
      <w:r>
        <w:rPr>
          <w:spacing w:val="-8"/>
          <w:sz w:val="24"/>
        </w:rPr>
        <w:t xml:space="preserve"> </w:t>
      </w:r>
      <w:r>
        <w:rPr>
          <w:sz w:val="24"/>
        </w:rPr>
        <w:t>paketi,</w:t>
      </w:r>
      <w:r>
        <w:rPr>
          <w:spacing w:val="-8"/>
          <w:sz w:val="24"/>
        </w:rPr>
        <w:t xml:space="preserve"> </w:t>
      </w:r>
      <w:r>
        <w:rPr>
          <w:sz w:val="24"/>
        </w:rPr>
        <w:t>flyboard,</w:t>
      </w:r>
      <w:r>
        <w:rPr>
          <w:spacing w:val="-8"/>
          <w:sz w:val="24"/>
        </w:rPr>
        <w:t xml:space="preserve"> </w:t>
      </w:r>
      <w:r>
        <w:rPr>
          <w:sz w:val="24"/>
        </w:rPr>
        <w:t>boru,</w:t>
      </w:r>
      <w:r>
        <w:rPr>
          <w:spacing w:val="-9"/>
          <w:sz w:val="24"/>
        </w:rPr>
        <w:t xml:space="preserve"> </w:t>
      </w:r>
      <w:r>
        <w:rPr>
          <w:sz w:val="24"/>
        </w:rPr>
        <w:t>su</w:t>
      </w:r>
      <w:r>
        <w:rPr>
          <w:spacing w:val="-8"/>
          <w:sz w:val="24"/>
        </w:rPr>
        <w:t xml:space="preserve"> </w:t>
      </w:r>
      <w:r>
        <w:rPr>
          <w:sz w:val="24"/>
        </w:rPr>
        <w:t>kayağı, kürek, cam alt kayık.</w:t>
      </w:r>
    </w:p>
    <w:p w14:paraId="547370FF">
      <w:pPr>
        <w:pStyle w:val="28"/>
        <w:numPr>
          <w:ilvl w:val="0"/>
          <w:numId w:val="4"/>
        </w:numPr>
        <w:tabs>
          <w:tab w:val="left" w:pos="880"/>
        </w:tabs>
        <w:spacing w:before="120" w:after="120" w:line="360" w:lineRule="auto"/>
        <w:ind w:left="0" w:firstLine="567"/>
        <w:rPr>
          <w:sz w:val="24"/>
        </w:rPr>
      </w:pPr>
      <w:r>
        <w:rPr>
          <w:sz w:val="24"/>
        </w:rPr>
        <w:t>Hava</w:t>
      </w:r>
      <w:r>
        <w:rPr>
          <w:spacing w:val="-6"/>
          <w:sz w:val="24"/>
        </w:rPr>
        <w:t xml:space="preserve"> </w:t>
      </w:r>
      <w:r>
        <w:rPr>
          <w:sz w:val="24"/>
        </w:rPr>
        <w:t>Aktiviteleri: Balon, paraşüt</w:t>
      </w:r>
      <w:r>
        <w:rPr>
          <w:spacing w:val="-3"/>
          <w:sz w:val="24"/>
        </w:rPr>
        <w:t xml:space="preserve"> </w:t>
      </w:r>
      <w:r>
        <w:rPr>
          <w:sz w:val="24"/>
        </w:rPr>
        <w:t>ve</w:t>
      </w:r>
      <w:r>
        <w:rPr>
          <w:spacing w:val="2"/>
          <w:sz w:val="24"/>
        </w:rPr>
        <w:t xml:space="preserve"> </w:t>
      </w:r>
      <w:r>
        <w:rPr>
          <w:sz w:val="24"/>
        </w:rPr>
        <w:t>yamaç</w:t>
      </w:r>
      <w:r>
        <w:rPr>
          <w:spacing w:val="-3"/>
          <w:sz w:val="24"/>
        </w:rPr>
        <w:t xml:space="preserve"> </w:t>
      </w:r>
      <w:r>
        <w:rPr>
          <w:spacing w:val="-2"/>
          <w:sz w:val="24"/>
        </w:rPr>
        <w:t>paraşütü.</w:t>
      </w:r>
    </w:p>
    <w:p w14:paraId="5692CDF1">
      <w:pPr>
        <w:pStyle w:val="28"/>
        <w:numPr>
          <w:ilvl w:val="0"/>
          <w:numId w:val="4"/>
        </w:numPr>
        <w:tabs>
          <w:tab w:val="left" w:pos="880"/>
        </w:tabs>
        <w:spacing w:before="120" w:after="120" w:line="360" w:lineRule="auto"/>
        <w:ind w:left="0" w:firstLine="567"/>
        <w:rPr>
          <w:sz w:val="24"/>
        </w:rPr>
      </w:pPr>
      <w:r>
        <w:rPr>
          <w:sz w:val="24"/>
        </w:rPr>
        <w:t>Aile</w:t>
      </w:r>
      <w:r>
        <w:rPr>
          <w:spacing w:val="-2"/>
          <w:sz w:val="24"/>
        </w:rPr>
        <w:t xml:space="preserve"> </w:t>
      </w:r>
      <w:r>
        <w:rPr>
          <w:sz w:val="24"/>
        </w:rPr>
        <w:t>Aktiviteleri:</w:t>
      </w:r>
      <w:r>
        <w:rPr>
          <w:spacing w:val="-2"/>
          <w:sz w:val="24"/>
        </w:rPr>
        <w:t xml:space="preserve"> </w:t>
      </w:r>
      <w:r>
        <w:rPr>
          <w:sz w:val="24"/>
        </w:rPr>
        <w:t>Safari parkı</w:t>
      </w:r>
      <w:r>
        <w:rPr>
          <w:spacing w:val="-2"/>
          <w:sz w:val="24"/>
        </w:rPr>
        <w:t xml:space="preserve"> </w:t>
      </w:r>
      <w:r>
        <w:rPr>
          <w:sz w:val="24"/>
        </w:rPr>
        <w:t>ve</w:t>
      </w:r>
      <w:r>
        <w:rPr>
          <w:spacing w:val="-3"/>
          <w:sz w:val="24"/>
        </w:rPr>
        <w:t xml:space="preserve"> </w:t>
      </w:r>
      <w:r>
        <w:rPr>
          <w:spacing w:val="-2"/>
          <w:sz w:val="24"/>
        </w:rPr>
        <w:t>lunapark.</w:t>
      </w:r>
    </w:p>
    <w:p w14:paraId="535D9181">
      <w:pPr>
        <w:pStyle w:val="28"/>
        <w:numPr>
          <w:ilvl w:val="0"/>
          <w:numId w:val="4"/>
        </w:numPr>
        <w:tabs>
          <w:tab w:val="left" w:pos="880"/>
        </w:tabs>
        <w:spacing w:before="120" w:after="120" w:line="360" w:lineRule="auto"/>
        <w:ind w:left="0" w:firstLine="567"/>
        <w:rPr>
          <w:sz w:val="24"/>
        </w:rPr>
      </w:pPr>
      <w:r>
        <w:rPr>
          <w:sz w:val="24"/>
        </w:rPr>
        <w:t>Kültürel</w:t>
      </w:r>
      <w:r>
        <w:rPr>
          <w:spacing w:val="-2"/>
          <w:sz w:val="24"/>
        </w:rPr>
        <w:t xml:space="preserve"> </w:t>
      </w:r>
      <w:r>
        <w:rPr>
          <w:sz w:val="24"/>
        </w:rPr>
        <w:t>ve</w:t>
      </w:r>
      <w:r>
        <w:rPr>
          <w:spacing w:val="-1"/>
          <w:sz w:val="24"/>
        </w:rPr>
        <w:t xml:space="preserve"> </w:t>
      </w:r>
      <w:r>
        <w:rPr>
          <w:sz w:val="24"/>
        </w:rPr>
        <w:t>Tarihi</w:t>
      </w:r>
      <w:r>
        <w:rPr>
          <w:spacing w:val="-1"/>
          <w:sz w:val="24"/>
        </w:rPr>
        <w:t xml:space="preserve"> </w:t>
      </w:r>
      <w:r>
        <w:rPr>
          <w:sz w:val="24"/>
        </w:rPr>
        <w:t>Aktiviteleri:</w:t>
      </w:r>
      <w:r>
        <w:rPr>
          <w:spacing w:val="-2"/>
          <w:sz w:val="24"/>
        </w:rPr>
        <w:t xml:space="preserve"> </w:t>
      </w:r>
      <w:r>
        <w:rPr>
          <w:sz w:val="24"/>
        </w:rPr>
        <w:t>Arkeolojik</w:t>
      </w:r>
      <w:r>
        <w:rPr>
          <w:spacing w:val="-1"/>
          <w:sz w:val="24"/>
        </w:rPr>
        <w:t xml:space="preserve"> </w:t>
      </w:r>
      <w:r>
        <w:rPr>
          <w:sz w:val="24"/>
        </w:rPr>
        <w:t>kazılar,</w:t>
      </w:r>
      <w:r>
        <w:rPr>
          <w:spacing w:val="2"/>
          <w:sz w:val="24"/>
        </w:rPr>
        <w:t xml:space="preserve"> </w:t>
      </w:r>
      <w:r>
        <w:rPr>
          <w:sz w:val="24"/>
        </w:rPr>
        <w:t>yerli</w:t>
      </w:r>
      <w:r>
        <w:rPr>
          <w:spacing w:val="-2"/>
          <w:sz w:val="24"/>
        </w:rPr>
        <w:t xml:space="preserve"> </w:t>
      </w:r>
      <w:r>
        <w:rPr>
          <w:sz w:val="24"/>
        </w:rPr>
        <w:t>kültürler,</w:t>
      </w:r>
      <w:r>
        <w:rPr>
          <w:spacing w:val="-1"/>
          <w:sz w:val="24"/>
        </w:rPr>
        <w:t xml:space="preserve"> </w:t>
      </w:r>
      <w:r>
        <w:rPr>
          <w:sz w:val="24"/>
        </w:rPr>
        <w:t>açık</w:t>
      </w:r>
      <w:r>
        <w:rPr>
          <w:spacing w:val="-1"/>
          <w:sz w:val="24"/>
        </w:rPr>
        <w:t xml:space="preserve"> </w:t>
      </w:r>
      <w:r>
        <w:rPr>
          <w:sz w:val="24"/>
        </w:rPr>
        <w:t>müze</w:t>
      </w:r>
      <w:r>
        <w:rPr>
          <w:spacing w:val="-2"/>
          <w:sz w:val="24"/>
        </w:rPr>
        <w:t xml:space="preserve"> turu.</w:t>
      </w:r>
    </w:p>
    <w:p w14:paraId="6816AD38">
      <w:pPr>
        <w:pStyle w:val="9"/>
        <w:spacing w:before="120" w:after="120" w:line="360" w:lineRule="auto"/>
        <w:ind w:left="0" w:firstLine="567"/>
        <w:jc w:val="left"/>
      </w:pPr>
      <w:r>
        <w:t>Öte yandan, açık hava aktiviteleri ekolojik rekreasyon merkezlerine ve temel unsurlarına</w:t>
      </w:r>
      <w:r>
        <w:rPr>
          <w:spacing w:val="40"/>
        </w:rPr>
        <w:t xml:space="preserve"> </w:t>
      </w:r>
      <w:r>
        <w:t>göre de sınıflandırılmaktadırlar. Merkezlerine göre üçe ayrılırlar (Gökmen, 2014: 1):</w:t>
      </w:r>
    </w:p>
    <w:p w14:paraId="2B1AD09F">
      <w:pPr>
        <w:pStyle w:val="28"/>
        <w:numPr>
          <w:ilvl w:val="0"/>
          <w:numId w:val="4"/>
        </w:numPr>
        <w:tabs>
          <w:tab w:val="left" w:pos="880"/>
        </w:tabs>
        <w:spacing w:before="120" w:after="120" w:line="360" w:lineRule="auto"/>
        <w:ind w:left="0" w:firstLine="567"/>
        <w:jc w:val="both"/>
        <w:rPr>
          <w:sz w:val="24"/>
        </w:rPr>
      </w:pPr>
      <w:r>
        <w:rPr>
          <w:sz w:val="24"/>
        </w:rPr>
        <w:t>Kaynak merkezli: Doğa çalışmaları, kampçılık, yürüyüş, dağ bisikleti, kaya tırmanışı, balıkçılık ve avcılık.</w:t>
      </w:r>
    </w:p>
    <w:p w14:paraId="64BE8A32">
      <w:pPr>
        <w:pStyle w:val="28"/>
        <w:numPr>
          <w:ilvl w:val="0"/>
          <w:numId w:val="4"/>
        </w:numPr>
        <w:tabs>
          <w:tab w:val="left" w:pos="880"/>
        </w:tabs>
        <w:spacing w:before="120" w:after="120" w:line="360" w:lineRule="auto"/>
        <w:ind w:left="0" w:firstLine="567"/>
        <w:rPr>
          <w:sz w:val="24"/>
        </w:rPr>
      </w:pPr>
      <w:r>
        <w:rPr>
          <w:sz w:val="24"/>
        </w:rPr>
        <w:t>Araç</w:t>
      </w:r>
      <w:r>
        <w:rPr>
          <w:spacing w:val="-3"/>
          <w:sz w:val="24"/>
        </w:rPr>
        <w:t xml:space="preserve"> </w:t>
      </w:r>
      <w:r>
        <w:rPr>
          <w:sz w:val="24"/>
        </w:rPr>
        <w:t>Merkezli:</w:t>
      </w:r>
      <w:r>
        <w:rPr>
          <w:spacing w:val="-2"/>
          <w:sz w:val="24"/>
        </w:rPr>
        <w:t xml:space="preserve"> </w:t>
      </w:r>
      <w:r>
        <w:rPr>
          <w:sz w:val="24"/>
        </w:rPr>
        <w:t>Su</w:t>
      </w:r>
      <w:r>
        <w:rPr>
          <w:spacing w:val="-1"/>
          <w:sz w:val="24"/>
        </w:rPr>
        <w:t xml:space="preserve"> </w:t>
      </w:r>
      <w:r>
        <w:rPr>
          <w:sz w:val="24"/>
        </w:rPr>
        <w:t>kayağı, yelken,</w:t>
      </w:r>
      <w:r>
        <w:rPr>
          <w:spacing w:val="-1"/>
          <w:sz w:val="24"/>
        </w:rPr>
        <w:t xml:space="preserve"> </w:t>
      </w:r>
      <w:r>
        <w:rPr>
          <w:sz w:val="24"/>
        </w:rPr>
        <w:t>piknik,</w:t>
      </w:r>
      <w:r>
        <w:rPr>
          <w:spacing w:val="3"/>
          <w:sz w:val="24"/>
        </w:rPr>
        <w:t xml:space="preserve"> </w:t>
      </w:r>
      <w:r>
        <w:rPr>
          <w:sz w:val="24"/>
        </w:rPr>
        <w:t>yüzme ve</w:t>
      </w:r>
      <w:r>
        <w:rPr>
          <w:spacing w:val="-3"/>
          <w:sz w:val="24"/>
        </w:rPr>
        <w:t xml:space="preserve"> </w:t>
      </w:r>
      <w:r>
        <w:rPr>
          <w:sz w:val="24"/>
        </w:rPr>
        <w:t>bisiklete</w:t>
      </w:r>
      <w:r>
        <w:rPr>
          <w:spacing w:val="-2"/>
          <w:sz w:val="24"/>
        </w:rPr>
        <w:t xml:space="preserve"> binme.</w:t>
      </w:r>
    </w:p>
    <w:p w14:paraId="71F44483">
      <w:pPr>
        <w:pStyle w:val="28"/>
        <w:numPr>
          <w:ilvl w:val="0"/>
          <w:numId w:val="4"/>
        </w:numPr>
        <w:tabs>
          <w:tab w:val="left" w:pos="880"/>
        </w:tabs>
        <w:spacing w:before="120" w:after="120" w:line="360" w:lineRule="auto"/>
        <w:ind w:left="0" w:firstLine="567"/>
        <w:jc w:val="both"/>
        <w:rPr>
          <w:sz w:val="24"/>
        </w:rPr>
      </w:pPr>
      <w:r>
        <w:rPr>
          <w:sz w:val="24"/>
        </w:rPr>
        <w:t xml:space="preserve">Kullanıcı Merkezli: Çeşitli spor aktiviteleri, bir parkta tiyatro veya müzik konseri </w:t>
      </w:r>
      <w:r>
        <w:rPr>
          <w:spacing w:val="-2"/>
          <w:sz w:val="24"/>
        </w:rPr>
        <w:t>seyretmek.</w:t>
      </w:r>
    </w:p>
    <w:p w14:paraId="35932D7C">
      <w:pPr>
        <w:pStyle w:val="9"/>
        <w:spacing w:before="120" w:after="120" w:line="360" w:lineRule="auto"/>
        <w:ind w:left="0" w:firstLine="567"/>
      </w:pPr>
      <w:r>
        <w:t>Açık hava rekreasyon aktiviteleri yukarıda da ele alındığı gibi oldukça zengindir. Günümüzün gelişen, şehirleşen ve topraktan kopan bireyleri için özellikle açık hava etkinlikleri oldukça önem arz etmektedir. Uzun mesai süreleri, evden işe işten ece geçen günler günümüz bireyi için doğayla geçirilen zamanın kapalı ortamlardan daha değerli olmasına yol açmaktadır. Örneğin Türk örf, adet ve geleneğinde baharın gelişi Nevruz bayram olarak kutlanmaktadır. Baharın gelişiyle birlikte havanın ısınması ve insanlara dışarıda daha fazla zaman geçirme imkânı vermesi bunun en önemli gerekçesi olarak ifade edilebilir.</w:t>
      </w:r>
      <w:r>
        <w:rPr>
          <w:spacing w:val="-7"/>
        </w:rPr>
        <w:t xml:space="preserve"> </w:t>
      </w:r>
      <w:r>
        <w:t>Açık</w:t>
      </w:r>
      <w:r>
        <w:rPr>
          <w:spacing w:val="-6"/>
        </w:rPr>
        <w:t xml:space="preserve"> </w:t>
      </w:r>
      <w:r>
        <w:t>hava</w:t>
      </w:r>
      <w:r>
        <w:rPr>
          <w:spacing w:val="-8"/>
        </w:rPr>
        <w:t xml:space="preserve"> </w:t>
      </w:r>
      <w:r>
        <w:t>etkinliklerinin</w:t>
      </w:r>
      <w:r>
        <w:rPr>
          <w:spacing w:val="-7"/>
        </w:rPr>
        <w:t xml:space="preserve"> </w:t>
      </w:r>
      <w:r>
        <w:t>fiziki,</w:t>
      </w:r>
      <w:r>
        <w:rPr>
          <w:spacing w:val="-9"/>
        </w:rPr>
        <w:t xml:space="preserve"> </w:t>
      </w:r>
      <w:r>
        <w:t>zihni</w:t>
      </w:r>
      <w:r>
        <w:rPr>
          <w:spacing w:val="-8"/>
        </w:rPr>
        <w:t xml:space="preserve"> </w:t>
      </w:r>
      <w:r>
        <w:t>ve</w:t>
      </w:r>
      <w:r>
        <w:rPr>
          <w:spacing w:val="-8"/>
        </w:rPr>
        <w:t xml:space="preserve"> </w:t>
      </w:r>
      <w:r>
        <w:t>psikolojik</w:t>
      </w:r>
      <w:r>
        <w:rPr>
          <w:spacing w:val="-9"/>
        </w:rPr>
        <w:t xml:space="preserve"> </w:t>
      </w:r>
      <w:r>
        <w:t>faydaları</w:t>
      </w:r>
      <w:r>
        <w:rPr>
          <w:spacing w:val="-7"/>
        </w:rPr>
        <w:t xml:space="preserve"> </w:t>
      </w:r>
      <w:r>
        <w:t>bulunmaktadır.</w:t>
      </w:r>
      <w:r>
        <w:rPr>
          <w:spacing w:val="-7"/>
        </w:rPr>
        <w:t xml:space="preserve"> </w:t>
      </w:r>
      <w:r>
        <w:t>Açık hava aktiviteleri, kişinin fiziki hareketliliğini arttırdığı, temiz havada uygulandığı ve sosyalleşmesini sağladığı için bireyin sağlığı üzerinde olumlu bir etkiye sahiptir. Diğer yandan,</w:t>
      </w:r>
      <w:r>
        <w:rPr>
          <w:spacing w:val="-11"/>
        </w:rPr>
        <w:t xml:space="preserve"> </w:t>
      </w:r>
      <w:r>
        <w:t>açık</w:t>
      </w:r>
      <w:r>
        <w:rPr>
          <w:spacing w:val="-10"/>
        </w:rPr>
        <w:t xml:space="preserve"> </w:t>
      </w:r>
      <w:r>
        <w:t>hava</w:t>
      </w:r>
      <w:r>
        <w:rPr>
          <w:spacing w:val="-12"/>
        </w:rPr>
        <w:t xml:space="preserve"> </w:t>
      </w:r>
      <w:r>
        <w:t>aktivitelerinde</w:t>
      </w:r>
      <w:r>
        <w:rPr>
          <w:spacing w:val="-11"/>
        </w:rPr>
        <w:t xml:space="preserve"> </w:t>
      </w:r>
      <w:r>
        <w:t>bireyler</w:t>
      </w:r>
      <w:r>
        <w:rPr>
          <w:spacing w:val="-11"/>
        </w:rPr>
        <w:t xml:space="preserve"> </w:t>
      </w:r>
      <w:r>
        <w:t>takım</w:t>
      </w:r>
      <w:r>
        <w:rPr>
          <w:spacing w:val="-10"/>
        </w:rPr>
        <w:t xml:space="preserve"> </w:t>
      </w:r>
      <w:r>
        <w:t>halinde</w:t>
      </w:r>
      <w:r>
        <w:rPr>
          <w:spacing w:val="-12"/>
        </w:rPr>
        <w:t xml:space="preserve"> </w:t>
      </w:r>
      <w:r>
        <w:t>hareket</w:t>
      </w:r>
      <w:r>
        <w:rPr>
          <w:spacing w:val="-10"/>
        </w:rPr>
        <w:t xml:space="preserve"> </w:t>
      </w:r>
      <w:r>
        <w:t>etmek</w:t>
      </w:r>
      <w:r>
        <w:rPr>
          <w:spacing w:val="-11"/>
        </w:rPr>
        <w:t xml:space="preserve"> </w:t>
      </w:r>
      <w:r>
        <w:t>suretiyle</w:t>
      </w:r>
      <w:r>
        <w:rPr>
          <w:spacing w:val="-11"/>
        </w:rPr>
        <w:t xml:space="preserve"> </w:t>
      </w:r>
      <w:r>
        <w:t>ekip</w:t>
      </w:r>
      <w:r>
        <w:rPr>
          <w:spacing w:val="-10"/>
        </w:rPr>
        <w:t xml:space="preserve"> </w:t>
      </w:r>
      <w:r>
        <w:t xml:space="preserve">ruhunu edinmekte, sorumluluk ve risk almayı, kendi yeteneklerini keşfetmeyi ve kişisel tatmin sağlamayı da öğrenmektedir (Tütüncü </w:t>
      </w:r>
      <w:r>
        <w:rPr>
          <w:rFonts w:hint="default"/>
          <w:lang w:val="tr-TR"/>
        </w:rPr>
        <w:t>ve</w:t>
      </w:r>
      <w:r>
        <w:t xml:space="preserve"> Aydın, 2014: 118).</w:t>
      </w:r>
    </w:p>
    <w:p w14:paraId="0D8C7860">
      <w:pPr>
        <w:pStyle w:val="9"/>
        <w:spacing w:before="120" w:after="120" w:line="360" w:lineRule="auto"/>
        <w:ind w:left="0" w:firstLine="567"/>
      </w:pPr>
      <w:r>
        <w:t>Kapalı rekreasyon, bireylerin boş vakitlerinin daha etkin ve verimli kullanmak üzere yaptıkları, bunun yanı sıra yaşam kalitelerini de artırmak için kapalı mekanlarda yaptıkları rekreasyonel aktiviteleri bütünü olarak tanımlanmaktadır.Kapalı rekreasyon, kamu kurumlarında, özel şirketlerde veya özel yerlerde mesai saatleri dışında yapılan etkinlikleri de</w:t>
      </w:r>
      <w:r>
        <w:rPr>
          <w:spacing w:val="-3"/>
        </w:rPr>
        <w:t xml:space="preserve"> </w:t>
      </w:r>
      <w:r>
        <w:t>kapsamaktadır.Bu</w:t>
      </w:r>
      <w:r>
        <w:rPr>
          <w:spacing w:val="-2"/>
        </w:rPr>
        <w:t xml:space="preserve"> </w:t>
      </w:r>
      <w:r>
        <w:t>nedenle,</w:t>
      </w:r>
      <w:r>
        <w:rPr>
          <w:spacing w:val="-3"/>
        </w:rPr>
        <w:t xml:space="preserve"> </w:t>
      </w:r>
      <w:r>
        <w:t>kapalı</w:t>
      </w:r>
      <w:r>
        <w:rPr>
          <w:spacing w:val="-2"/>
        </w:rPr>
        <w:t xml:space="preserve"> </w:t>
      </w:r>
      <w:r>
        <w:t>rekreasyon insanların</w:t>
      </w:r>
      <w:r>
        <w:rPr>
          <w:spacing w:val="-3"/>
        </w:rPr>
        <w:t xml:space="preserve"> </w:t>
      </w:r>
      <w:r>
        <w:t>kendilerinin yaptıkları</w:t>
      </w:r>
      <w:r>
        <w:rPr>
          <w:spacing w:val="-2"/>
        </w:rPr>
        <w:t xml:space="preserve"> </w:t>
      </w:r>
      <w:r>
        <w:t>alanların ergonomik koşullarının sağlanmasıyla hayata geçirilen her türlü faydalı etkinliği içeren bir rekreasyon türüdür (Akyürek, 2016: 20).</w:t>
      </w:r>
    </w:p>
    <w:p w14:paraId="2626C40E">
      <w:pPr>
        <w:pStyle w:val="9"/>
        <w:spacing w:before="120" w:after="120" w:line="360" w:lineRule="auto"/>
        <w:ind w:left="0" w:firstLine="567"/>
      </w:pPr>
      <w:r>
        <w:t>Kapalı rekreasyon, kapalı ortamlarda ve evlerde gerçekleştirilen ve halka sunulan rekreasyon faaliyetleridir (Argan, 2007:12). Anılan etkinlikleri şöyle ifade etmek mümkündür (Karaküçük, 2008: 75):</w:t>
      </w:r>
    </w:p>
    <w:p w14:paraId="5327DA64">
      <w:pPr>
        <w:pStyle w:val="28"/>
        <w:numPr>
          <w:ilvl w:val="0"/>
          <w:numId w:val="4"/>
        </w:numPr>
        <w:tabs>
          <w:tab w:val="left" w:pos="880"/>
        </w:tabs>
        <w:spacing w:before="120" w:after="120" w:line="360" w:lineRule="auto"/>
        <w:ind w:left="0" w:firstLine="567"/>
        <w:rPr>
          <w:sz w:val="24"/>
        </w:rPr>
      </w:pPr>
      <w:r>
        <w:rPr>
          <w:sz w:val="24"/>
        </w:rPr>
        <w:t>Çocuk,</w:t>
      </w:r>
      <w:r>
        <w:rPr>
          <w:spacing w:val="-11"/>
          <w:sz w:val="24"/>
        </w:rPr>
        <w:t xml:space="preserve"> </w:t>
      </w:r>
      <w:r>
        <w:rPr>
          <w:sz w:val="24"/>
        </w:rPr>
        <w:t>gençlik,</w:t>
      </w:r>
      <w:r>
        <w:rPr>
          <w:spacing w:val="-11"/>
          <w:sz w:val="24"/>
        </w:rPr>
        <w:t xml:space="preserve"> </w:t>
      </w:r>
      <w:r>
        <w:rPr>
          <w:sz w:val="24"/>
        </w:rPr>
        <w:t>özel</w:t>
      </w:r>
      <w:r>
        <w:rPr>
          <w:spacing w:val="-10"/>
          <w:sz w:val="24"/>
        </w:rPr>
        <w:t xml:space="preserve"> </w:t>
      </w:r>
      <w:r>
        <w:rPr>
          <w:sz w:val="24"/>
        </w:rPr>
        <w:t>ilgi</w:t>
      </w:r>
      <w:r>
        <w:rPr>
          <w:spacing w:val="-8"/>
          <w:sz w:val="24"/>
        </w:rPr>
        <w:t xml:space="preserve"> </w:t>
      </w:r>
      <w:r>
        <w:rPr>
          <w:sz w:val="24"/>
        </w:rPr>
        <w:t>alanları,</w:t>
      </w:r>
      <w:r>
        <w:rPr>
          <w:spacing w:val="-11"/>
          <w:sz w:val="24"/>
        </w:rPr>
        <w:t xml:space="preserve"> </w:t>
      </w:r>
      <w:r>
        <w:rPr>
          <w:sz w:val="24"/>
        </w:rPr>
        <w:t>vakıf,</w:t>
      </w:r>
      <w:r>
        <w:rPr>
          <w:spacing w:val="-9"/>
          <w:sz w:val="24"/>
        </w:rPr>
        <w:t xml:space="preserve"> </w:t>
      </w:r>
      <w:r>
        <w:rPr>
          <w:sz w:val="24"/>
        </w:rPr>
        <w:t>dernek</w:t>
      </w:r>
      <w:r>
        <w:rPr>
          <w:spacing w:val="-11"/>
          <w:sz w:val="24"/>
        </w:rPr>
        <w:t xml:space="preserve"> </w:t>
      </w:r>
      <w:r>
        <w:rPr>
          <w:sz w:val="24"/>
        </w:rPr>
        <w:t>ve</w:t>
      </w:r>
      <w:r>
        <w:rPr>
          <w:spacing w:val="-9"/>
          <w:sz w:val="24"/>
        </w:rPr>
        <w:t xml:space="preserve"> </w:t>
      </w:r>
      <w:r>
        <w:rPr>
          <w:sz w:val="24"/>
        </w:rPr>
        <w:t>kulüpler</w:t>
      </w:r>
      <w:r>
        <w:rPr>
          <w:spacing w:val="-11"/>
          <w:sz w:val="24"/>
        </w:rPr>
        <w:t xml:space="preserve"> </w:t>
      </w:r>
      <w:r>
        <w:rPr>
          <w:sz w:val="24"/>
        </w:rPr>
        <w:t>ile</w:t>
      </w:r>
      <w:r>
        <w:rPr>
          <w:spacing w:val="-12"/>
          <w:sz w:val="24"/>
        </w:rPr>
        <w:t xml:space="preserve"> </w:t>
      </w:r>
      <w:r>
        <w:rPr>
          <w:sz w:val="24"/>
        </w:rPr>
        <w:t>belediye,</w:t>
      </w:r>
      <w:r>
        <w:rPr>
          <w:spacing w:val="-11"/>
          <w:sz w:val="24"/>
        </w:rPr>
        <w:t xml:space="preserve"> </w:t>
      </w:r>
      <w:r>
        <w:rPr>
          <w:sz w:val="24"/>
        </w:rPr>
        <w:t>müze</w:t>
      </w:r>
      <w:r>
        <w:rPr>
          <w:spacing w:val="-12"/>
          <w:sz w:val="24"/>
        </w:rPr>
        <w:t xml:space="preserve"> </w:t>
      </w:r>
      <w:r>
        <w:rPr>
          <w:sz w:val="24"/>
        </w:rPr>
        <w:t>evleri, halk eğitim merkezleri gibi kuruluşlarda her yaştan bireylerin katıldığı aktiviteler.</w:t>
      </w:r>
    </w:p>
    <w:p w14:paraId="5F7675A1">
      <w:pPr>
        <w:pStyle w:val="28"/>
        <w:numPr>
          <w:ilvl w:val="0"/>
          <w:numId w:val="4"/>
        </w:numPr>
        <w:tabs>
          <w:tab w:val="left" w:pos="880"/>
        </w:tabs>
        <w:spacing w:before="120" w:after="120" w:line="360" w:lineRule="auto"/>
        <w:ind w:left="0" w:firstLine="567"/>
        <w:rPr>
          <w:sz w:val="24"/>
        </w:rPr>
      </w:pPr>
      <w:r>
        <w:rPr>
          <w:sz w:val="24"/>
        </w:rPr>
        <w:t>Kapalı</w:t>
      </w:r>
      <w:r>
        <w:rPr>
          <w:spacing w:val="-4"/>
          <w:sz w:val="24"/>
        </w:rPr>
        <w:t xml:space="preserve"> </w:t>
      </w:r>
      <w:r>
        <w:rPr>
          <w:sz w:val="24"/>
        </w:rPr>
        <w:t>alanlarda</w:t>
      </w:r>
      <w:r>
        <w:rPr>
          <w:spacing w:val="-3"/>
          <w:sz w:val="24"/>
        </w:rPr>
        <w:t xml:space="preserve"> </w:t>
      </w:r>
      <w:r>
        <w:rPr>
          <w:sz w:val="24"/>
        </w:rPr>
        <w:t>düzenlenen</w:t>
      </w:r>
      <w:r>
        <w:rPr>
          <w:spacing w:val="-1"/>
          <w:sz w:val="24"/>
        </w:rPr>
        <w:t xml:space="preserve"> </w:t>
      </w:r>
      <w:r>
        <w:rPr>
          <w:sz w:val="24"/>
        </w:rPr>
        <w:t>sergi</w:t>
      </w:r>
      <w:r>
        <w:rPr>
          <w:spacing w:val="-1"/>
          <w:sz w:val="24"/>
        </w:rPr>
        <w:t xml:space="preserve"> </w:t>
      </w:r>
      <w:r>
        <w:rPr>
          <w:sz w:val="24"/>
        </w:rPr>
        <w:t>ve</w:t>
      </w:r>
      <w:r>
        <w:rPr>
          <w:spacing w:val="-1"/>
          <w:sz w:val="24"/>
        </w:rPr>
        <w:t xml:space="preserve"> </w:t>
      </w:r>
      <w:r>
        <w:rPr>
          <w:sz w:val="24"/>
        </w:rPr>
        <w:t>defile gibi</w:t>
      </w:r>
      <w:r>
        <w:rPr>
          <w:spacing w:val="-1"/>
          <w:sz w:val="24"/>
        </w:rPr>
        <w:t xml:space="preserve"> </w:t>
      </w:r>
      <w:r>
        <w:rPr>
          <w:sz w:val="24"/>
        </w:rPr>
        <w:t>sanatsal</w:t>
      </w:r>
      <w:r>
        <w:rPr>
          <w:spacing w:val="-1"/>
          <w:sz w:val="24"/>
        </w:rPr>
        <w:t xml:space="preserve"> </w:t>
      </w:r>
      <w:r>
        <w:rPr>
          <w:sz w:val="24"/>
        </w:rPr>
        <w:t>ve</w:t>
      </w:r>
      <w:r>
        <w:rPr>
          <w:spacing w:val="-2"/>
          <w:sz w:val="24"/>
        </w:rPr>
        <w:t xml:space="preserve"> </w:t>
      </w:r>
      <w:r>
        <w:rPr>
          <w:sz w:val="24"/>
        </w:rPr>
        <w:t>zanaatsal</w:t>
      </w:r>
      <w:r>
        <w:rPr>
          <w:spacing w:val="-1"/>
          <w:sz w:val="24"/>
        </w:rPr>
        <w:t xml:space="preserve"> </w:t>
      </w:r>
      <w:r>
        <w:rPr>
          <w:spacing w:val="-2"/>
          <w:sz w:val="24"/>
        </w:rPr>
        <w:t>aktiviteler.</w:t>
      </w:r>
    </w:p>
    <w:p w14:paraId="52F210B9">
      <w:pPr>
        <w:pStyle w:val="28"/>
        <w:numPr>
          <w:ilvl w:val="0"/>
          <w:numId w:val="4"/>
        </w:numPr>
        <w:tabs>
          <w:tab w:val="left" w:pos="880"/>
        </w:tabs>
        <w:spacing w:before="120" w:after="120" w:line="360" w:lineRule="auto"/>
        <w:ind w:left="0" w:firstLine="567"/>
        <w:rPr>
          <w:sz w:val="24"/>
        </w:rPr>
      </w:pPr>
      <w:r>
        <w:rPr>
          <w:sz w:val="24"/>
        </w:rPr>
        <w:t>Bilimsel</w:t>
      </w:r>
      <w:r>
        <w:rPr>
          <w:spacing w:val="-4"/>
          <w:sz w:val="24"/>
        </w:rPr>
        <w:t xml:space="preserve"> </w:t>
      </w:r>
      <w:r>
        <w:rPr>
          <w:sz w:val="24"/>
        </w:rPr>
        <w:t>faaliyetlerin</w:t>
      </w:r>
      <w:r>
        <w:rPr>
          <w:spacing w:val="-4"/>
          <w:sz w:val="24"/>
        </w:rPr>
        <w:t xml:space="preserve"> </w:t>
      </w:r>
      <w:r>
        <w:rPr>
          <w:sz w:val="24"/>
        </w:rPr>
        <w:t>sergilendiği</w:t>
      </w:r>
      <w:r>
        <w:rPr>
          <w:spacing w:val="-3"/>
          <w:sz w:val="24"/>
        </w:rPr>
        <w:t xml:space="preserve"> </w:t>
      </w:r>
      <w:r>
        <w:rPr>
          <w:spacing w:val="-2"/>
          <w:sz w:val="24"/>
        </w:rPr>
        <w:t>aktiviteler.</w:t>
      </w:r>
    </w:p>
    <w:p w14:paraId="037B819C">
      <w:pPr>
        <w:pStyle w:val="28"/>
        <w:numPr>
          <w:ilvl w:val="0"/>
          <w:numId w:val="4"/>
        </w:numPr>
        <w:tabs>
          <w:tab w:val="left" w:pos="880"/>
        </w:tabs>
        <w:spacing w:before="120" w:after="120" w:line="360" w:lineRule="auto"/>
        <w:ind w:left="0" w:firstLine="567"/>
        <w:rPr>
          <w:sz w:val="24"/>
        </w:rPr>
      </w:pPr>
      <w:r>
        <w:rPr>
          <w:sz w:val="24"/>
        </w:rPr>
        <w:t>Konser,</w:t>
      </w:r>
      <w:r>
        <w:rPr>
          <w:spacing w:val="-2"/>
          <w:sz w:val="24"/>
        </w:rPr>
        <w:t xml:space="preserve"> </w:t>
      </w:r>
      <w:r>
        <w:rPr>
          <w:sz w:val="24"/>
        </w:rPr>
        <w:t>tiyatro,</w:t>
      </w:r>
      <w:r>
        <w:rPr>
          <w:spacing w:val="-1"/>
          <w:sz w:val="24"/>
        </w:rPr>
        <w:t xml:space="preserve"> </w:t>
      </w:r>
      <w:r>
        <w:rPr>
          <w:sz w:val="24"/>
        </w:rPr>
        <w:t>gösteriler,</w:t>
      </w:r>
      <w:r>
        <w:rPr>
          <w:spacing w:val="-1"/>
          <w:sz w:val="24"/>
        </w:rPr>
        <w:t xml:space="preserve"> </w:t>
      </w:r>
      <w:r>
        <w:rPr>
          <w:sz w:val="24"/>
        </w:rPr>
        <w:t>spora</w:t>
      </w:r>
      <w:r>
        <w:rPr>
          <w:spacing w:val="-3"/>
          <w:sz w:val="24"/>
        </w:rPr>
        <w:t xml:space="preserve"> </w:t>
      </w:r>
      <w:r>
        <w:rPr>
          <w:sz w:val="24"/>
        </w:rPr>
        <w:t>ilişkin</w:t>
      </w:r>
      <w:r>
        <w:rPr>
          <w:spacing w:val="-1"/>
          <w:sz w:val="24"/>
        </w:rPr>
        <w:t xml:space="preserve"> </w:t>
      </w:r>
      <w:r>
        <w:rPr>
          <w:spacing w:val="-2"/>
          <w:sz w:val="24"/>
        </w:rPr>
        <w:t>aktiviteler.</w:t>
      </w:r>
    </w:p>
    <w:p w14:paraId="7C9B7BC0">
      <w:pPr>
        <w:pStyle w:val="28"/>
        <w:numPr>
          <w:ilvl w:val="0"/>
          <w:numId w:val="4"/>
        </w:numPr>
        <w:tabs>
          <w:tab w:val="left" w:pos="880"/>
        </w:tabs>
        <w:spacing w:before="120" w:after="120" w:line="360" w:lineRule="auto"/>
        <w:ind w:left="0" w:firstLine="567"/>
        <w:rPr>
          <w:sz w:val="24"/>
        </w:rPr>
      </w:pPr>
      <w:r>
        <w:rPr>
          <w:sz w:val="24"/>
        </w:rPr>
        <w:t>Tedavi</w:t>
      </w:r>
      <w:r>
        <w:rPr>
          <w:spacing w:val="-2"/>
          <w:sz w:val="24"/>
        </w:rPr>
        <w:t xml:space="preserve"> </w:t>
      </w:r>
      <w:r>
        <w:rPr>
          <w:sz w:val="24"/>
        </w:rPr>
        <w:t>edici</w:t>
      </w:r>
      <w:r>
        <w:rPr>
          <w:spacing w:val="-2"/>
          <w:sz w:val="24"/>
        </w:rPr>
        <w:t xml:space="preserve"> </w:t>
      </w:r>
      <w:r>
        <w:rPr>
          <w:sz w:val="24"/>
        </w:rPr>
        <w:t>zihni</w:t>
      </w:r>
      <w:r>
        <w:rPr>
          <w:spacing w:val="-1"/>
          <w:sz w:val="24"/>
        </w:rPr>
        <w:t xml:space="preserve"> </w:t>
      </w:r>
      <w:r>
        <w:rPr>
          <w:sz w:val="24"/>
        </w:rPr>
        <w:t>ve</w:t>
      </w:r>
      <w:r>
        <w:rPr>
          <w:spacing w:val="-3"/>
          <w:sz w:val="24"/>
        </w:rPr>
        <w:t xml:space="preserve"> </w:t>
      </w:r>
      <w:r>
        <w:rPr>
          <w:sz w:val="24"/>
        </w:rPr>
        <w:t>fiziki</w:t>
      </w:r>
      <w:r>
        <w:rPr>
          <w:spacing w:val="-2"/>
          <w:sz w:val="24"/>
        </w:rPr>
        <w:t xml:space="preserve"> </w:t>
      </w:r>
      <w:r>
        <w:rPr>
          <w:sz w:val="24"/>
        </w:rPr>
        <w:t>rehabilitasyon</w:t>
      </w:r>
      <w:r>
        <w:rPr>
          <w:spacing w:val="4"/>
          <w:sz w:val="24"/>
        </w:rPr>
        <w:t xml:space="preserve"> </w:t>
      </w:r>
      <w:r>
        <w:rPr>
          <w:spacing w:val="-2"/>
          <w:sz w:val="24"/>
        </w:rPr>
        <w:t>aktiviteler.</w:t>
      </w:r>
    </w:p>
    <w:p w14:paraId="05FCA2EE">
      <w:pPr>
        <w:pStyle w:val="28"/>
        <w:numPr>
          <w:ilvl w:val="0"/>
          <w:numId w:val="4"/>
        </w:numPr>
        <w:tabs>
          <w:tab w:val="left" w:pos="880"/>
        </w:tabs>
        <w:spacing w:before="120" w:after="120" w:line="360" w:lineRule="auto"/>
        <w:ind w:left="0" w:firstLine="567"/>
        <w:rPr>
          <w:sz w:val="24"/>
        </w:rPr>
      </w:pPr>
      <w:r>
        <w:rPr>
          <w:sz w:val="24"/>
        </w:rPr>
        <w:t>Pasif</w:t>
      </w:r>
      <w:r>
        <w:rPr>
          <w:spacing w:val="-4"/>
          <w:sz w:val="24"/>
        </w:rPr>
        <w:t xml:space="preserve"> </w:t>
      </w:r>
      <w:r>
        <w:rPr>
          <w:sz w:val="24"/>
        </w:rPr>
        <w:t>katılımcı,</w:t>
      </w:r>
      <w:r>
        <w:rPr>
          <w:spacing w:val="-1"/>
          <w:sz w:val="24"/>
        </w:rPr>
        <w:t xml:space="preserve"> </w:t>
      </w:r>
      <w:r>
        <w:rPr>
          <w:sz w:val="24"/>
        </w:rPr>
        <w:t>başka</w:t>
      </w:r>
      <w:r>
        <w:rPr>
          <w:spacing w:val="-3"/>
          <w:sz w:val="24"/>
        </w:rPr>
        <w:t xml:space="preserve"> </w:t>
      </w:r>
      <w:r>
        <w:rPr>
          <w:sz w:val="24"/>
        </w:rPr>
        <w:t>bir</w:t>
      </w:r>
      <w:r>
        <w:rPr>
          <w:spacing w:val="-1"/>
          <w:sz w:val="24"/>
        </w:rPr>
        <w:t xml:space="preserve"> </w:t>
      </w:r>
      <w:r>
        <w:rPr>
          <w:sz w:val="24"/>
        </w:rPr>
        <w:t>ifadeyle</w:t>
      </w:r>
      <w:r>
        <w:rPr>
          <w:spacing w:val="-2"/>
          <w:sz w:val="24"/>
        </w:rPr>
        <w:t xml:space="preserve"> </w:t>
      </w:r>
      <w:r>
        <w:rPr>
          <w:sz w:val="24"/>
        </w:rPr>
        <w:t>seyirci</w:t>
      </w:r>
      <w:r>
        <w:rPr>
          <w:spacing w:val="-1"/>
          <w:sz w:val="24"/>
        </w:rPr>
        <w:t xml:space="preserve"> </w:t>
      </w:r>
      <w:r>
        <w:rPr>
          <w:sz w:val="24"/>
        </w:rPr>
        <w:t>olarak katılınan</w:t>
      </w:r>
      <w:r>
        <w:rPr>
          <w:spacing w:val="-1"/>
          <w:sz w:val="24"/>
        </w:rPr>
        <w:t xml:space="preserve"> </w:t>
      </w:r>
      <w:r>
        <w:rPr>
          <w:spacing w:val="-2"/>
          <w:sz w:val="24"/>
        </w:rPr>
        <w:t>aktiviteler.</w:t>
      </w:r>
    </w:p>
    <w:p w14:paraId="68EDD5BB">
      <w:pPr>
        <w:pStyle w:val="28"/>
        <w:numPr>
          <w:ilvl w:val="0"/>
          <w:numId w:val="4"/>
        </w:numPr>
        <w:tabs>
          <w:tab w:val="left" w:pos="880"/>
        </w:tabs>
        <w:spacing w:before="120" w:after="120" w:line="360" w:lineRule="auto"/>
        <w:ind w:left="0" w:firstLine="567"/>
        <w:rPr>
          <w:sz w:val="24"/>
        </w:rPr>
      </w:pPr>
      <w:r>
        <w:rPr>
          <w:sz w:val="24"/>
        </w:rPr>
        <w:t>Üniversite</w:t>
      </w:r>
      <w:r>
        <w:rPr>
          <w:spacing w:val="-3"/>
          <w:sz w:val="24"/>
        </w:rPr>
        <w:t xml:space="preserve"> </w:t>
      </w:r>
      <w:r>
        <w:rPr>
          <w:sz w:val="24"/>
        </w:rPr>
        <w:t>kampüslerinde</w:t>
      </w:r>
      <w:r>
        <w:rPr>
          <w:spacing w:val="-2"/>
          <w:sz w:val="24"/>
        </w:rPr>
        <w:t xml:space="preserve"> </w:t>
      </w:r>
      <w:r>
        <w:rPr>
          <w:sz w:val="24"/>
        </w:rPr>
        <w:t>düzenlenen</w:t>
      </w:r>
      <w:r>
        <w:rPr>
          <w:spacing w:val="-2"/>
          <w:sz w:val="24"/>
        </w:rPr>
        <w:t xml:space="preserve"> </w:t>
      </w:r>
      <w:r>
        <w:rPr>
          <w:sz w:val="24"/>
        </w:rPr>
        <w:t>fiziki,</w:t>
      </w:r>
      <w:r>
        <w:rPr>
          <w:spacing w:val="-1"/>
          <w:sz w:val="24"/>
        </w:rPr>
        <w:t xml:space="preserve"> </w:t>
      </w:r>
      <w:r>
        <w:rPr>
          <w:sz w:val="24"/>
        </w:rPr>
        <w:t>zihni</w:t>
      </w:r>
      <w:r>
        <w:rPr>
          <w:spacing w:val="-2"/>
          <w:sz w:val="24"/>
        </w:rPr>
        <w:t xml:space="preserve"> </w:t>
      </w:r>
      <w:r>
        <w:rPr>
          <w:sz w:val="24"/>
        </w:rPr>
        <w:t>ve</w:t>
      </w:r>
      <w:r>
        <w:rPr>
          <w:spacing w:val="-2"/>
          <w:sz w:val="24"/>
        </w:rPr>
        <w:t xml:space="preserve"> </w:t>
      </w:r>
      <w:r>
        <w:rPr>
          <w:sz w:val="24"/>
        </w:rPr>
        <w:t>akademik</w:t>
      </w:r>
      <w:r>
        <w:rPr>
          <w:spacing w:val="-1"/>
          <w:sz w:val="24"/>
        </w:rPr>
        <w:t xml:space="preserve"> </w:t>
      </w:r>
      <w:r>
        <w:rPr>
          <w:spacing w:val="-2"/>
          <w:sz w:val="24"/>
        </w:rPr>
        <w:t>aktiviteler.</w:t>
      </w:r>
    </w:p>
    <w:p w14:paraId="6D8C5312">
      <w:pPr>
        <w:pStyle w:val="28"/>
        <w:numPr>
          <w:ilvl w:val="0"/>
          <w:numId w:val="4"/>
        </w:numPr>
        <w:tabs>
          <w:tab w:val="left" w:pos="880"/>
        </w:tabs>
        <w:spacing w:before="120" w:after="120" w:line="360" w:lineRule="auto"/>
        <w:ind w:left="0" w:firstLine="567"/>
        <w:rPr>
          <w:sz w:val="24"/>
        </w:rPr>
      </w:pPr>
      <w:r>
        <w:rPr>
          <w:sz w:val="24"/>
        </w:rPr>
        <w:t>Otel,</w:t>
      </w:r>
      <w:r>
        <w:rPr>
          <w:spacing w:val="-4"/>
          <w:sz w:val="24"/>
        </w:rPr>
        <w:t xml:space="preserve"> </w:t>
      </w:r>
      <w:r>
        <w:rPr>
          <w:sz w:val="24"/>
        </w:rPr>
        <w:t>alışveriş</w:t>
      </w:r>
      <w:r>
        <w:rPr>
          <w:spacing w:val="-3"/>
          <w:sz w:val="24"/>
        </w:rPr>
        <w:t xml:space="preserve"> </w:t>
      </w:r>
      <w:r>
        <w:rPr>
          <w:sz w:val="24"/>
        </w:rPr>
        <w:t>merkezleri ve</w:t>
      </w:r>
      <w:r>
        <w:rPr>
          <w:spacing w:val="-3"/>
          <w:sz w:val="24"/>
        </w:rPr>
        <w:t xml:space="preserve"> </w:t>
      </w:r>
      <w:r>
        <w:rPr>
          <w:sz w:val="24"/>
        </w:rPr>
        <w:t>diğer</w:t>
      </w:r>
      <w:r>
        <w:rPr>
          <w:spacing w:val="-4"/>
          <w:sz w:val="24"/>
        </w:rPr>
        <w:t xml:space="preserve"> </w:t>
      </w:r>
      <w:r>
        <w:rPr>
          <w:sz w:val="24"/>
        </w:rPr>
        <w:t>işletmelerin</w:t>
      </w:r>
      <w:r>
        <w:rPr>
          <w:spacing w:val="-2"/>
          <w:sz w:val="24"/>
        </w:rPr>
        <w:t xml:space="preserve"> </w:t>
      </w:r>
      <w:r>
        <w:rPr>
          <w:sz w:val="24"/>
        </w:rPr>
        <w:t>çocuklara</w:t>
      </w:r>
      <w:r>
        <w:rPr>
          <w:spacing w:val="1"/>
          <w:sz w:val="24"/>
        </w:rPr>
        <w:t xml:space="preserve"> </w:t>
      </w:r>
      <w:r>
        <w:rPr>
          <w:sz w:val="24"/>
        </w:rPr>
        <w:t>yönelik</w:t>
      </w:r>
      <w:r>
        <w:rPr>
          <w:spacing w:val="-1"/>
          <w:sz w:val="24"/>
        </w:rPr>
        <w:t xml:space="preserve"> </w:t>
      </w:r>
      <w:r>
        <w:rPr>
          <w:spacing w:val="-2"/>
          <w:sz w:val="24"/>
        </w:rPr>
        <w:t>aktiviteleri.</w:t>
      </w:r>
    </w:p>
    <w:p w14:paraId="58D128F1">
      <w:pPr>
        <w:pStyle w:val="28"/>
        <w:numPr>
          <w:ilvl w:val="0"/>
          <w:numId w:val="4"/>
        </w:numPr>
        <w:tabs>
          <w:tab w:val="left" w:pos="880"/>
        </w:tabs>
        <w:spacing w:before="120" w:after="120" w:line="360" w:lineRule="auto"/>
        <w:ind w:left="0" w:firstLine="567"/>
        <w:rPr>
          <w:sz w:val="24"/>
        </w:rPr>
      </w:pPr>
      <w:r>
        <w:rPr>
          <w:sz w:val="24"/>
        </w:rPr>
        <w:t>Kermes</w:t>
      </w:r>
      <w:r>
        <w:rPr>
          <w:spacing w:val="-2"/>
          <w:sz w:val="24"/>
        </w:rPr>
        <w:t xml:space="preserve"> </w:t>
      </w:r>
      <w:r>
        <w:rPr>
          <w:sz w:val="24"/>
        </w:rPr>
        <w:t>ve</w:t>
      </w:r>
      <w:r>
        <w:rPr>
          <w:spacing w:val="-3"/>
          <w:sz w:val="24"/>
        </w:rPr>
        <w:t xml:space="preserve"> </w:t>
      </w:r>
      <w:r>
        <w:rPr>
          <w:sz w:val="24"/>
        </w:rPr>
        <w:t>benzeri</w:t>
      </w:r>
      <w:r>
        <w:rPr>
          <w:spacing w:val="-2"/>
          <w:sz w:val="24"/>
        </w:rPr>
        <w:t xml:space="preserve"> </w:t>
      </w:r>
      <w:r>
        <w:rPr>
          <w:sz w:val="24"/>
        </w:rPr>
        <w:t>iş</w:t>
      </w:r>
      <w:r>
        <w:rPr>
          <w:spacing w:val="-2"/>
          <w:sz w:val="24"/>
        </w:rPr>
        <w:t xml:space="preserve"> </w:t>
      </w:r>
      <w:r>
        <w:rPr>
          <w:sz w:val="24"/>
        </w:rPr>
        <w:t>birliği</w:t>
      </w:r>
      <w:r>
        <w:rPr>
          <w:spacing w:val="-2"/>
          <w:sz w:val="24"/>
        </w:rPr>
        <w:t xml:space="preserve"> </w:t>
      </w:r>
      <w:r>
        <w:rPr>
          <w:sz w:val="24"/>
        </w:rPr>
        <w:t>ve</w:t>
      </w:r>
      <w:r>
        <w:rPr>
          <w:spacing w:val="2"/>
          <w:sz w:val="24"/>
        </w:rPr>
        <w:t xml:space="preserve"> </w:t>
      </w:r>
      <w:r>
        <w:rPr>
          <w:sz w:val="24"/>
        </w:rPr>
        <w:t>yardımlaşma</w:t>
      </w:r>
      <w:r>
        <w:rPr>
          <w:spacing w:val="-1"/>
          <w:sz w:val="24"/>
        </w:rPr>
        <w:t xml:space="preserve"> </w:t>
      </w:r>
      <w:r>
        <w:rPr>
          <w:spacing w:val="-2"/>
          <w:sz w:val="24"/>
        </w:rPr>
        <w:t>aktiviteleri.</w:t>
      </w:r>
    </w:p>
    <w:p w14:paraId="7A140D38">
      <w:pPr>
        <w:pStyle w:val="28"/>
        <w:numPr>
          <w:ilvl w:val="0"/>
          <w:numId w:val="4"/>
        </w:numPr>
        <w:tabs>
          <w:tab w:val="left" w:pos="880"/>
        </w:tabs>
        <w:spacing w:before="120" w:after="120" w:line="360" w:lineRule="auto"/>
        <w:ind w:left="0" w:firstLine="567"/>
        <w:rPr>
          <w:sz w:val="24"/>
        </w:rPr>
      </w:pPr>
      <w:r>
        <w:rPr>
          <w:sz w:val="24"/>
        </w:rPr>
        <w:t>Müzeler,</w:t>
      </w:r>
      <w:r>
        <w:rPr>
          <w:spacing w:val="-4"/>
          <w:sz w:val="24"/>
        </w:rPr>
        <w:t xml:space="preserve"> </w:t>
      </w:r>
      <w:r>
        <w:rPr>
          <w:sz w:val="24"/>
        </w:rPr>
        <w:t>galeriler</w:t>
      </w:r>
      <w:r>
        <w:rPr>
          <w:spacing w:val="-2"/>
          <w:sz w:val="24"/>
        </w:rPr>
        <w:t xml:space="preserve"> </w:t>
      </w:r>
      <w:r>
        <w:rPr>
          <w:sz w:val="24"/>
        </w:rPr>
        <w:t>ve</w:t>
      </w:r>
      <w:r>
        <w:rPr>
          <w:spacing w:val="-2"/>
          <w:sz w:val="24"/>
        </w:rPr>
        <w:t xml:space="preserve"> </w:t>
      </w:r>
      <w:r>
        <w:rPr>
          <w:sz w:val="24"/>
        </w:rPr>
        <w:t>kapalı</w:t>
      </w:r>
      <w:r>
        <w:rPr>
          <w:spacing w:val="-2"/>
          <w:sz w:val="24"/>
        </w:rPr>
        <w:t xml:space="preserve"> </w:t>
      </w:r>
      <w:r>
        <w:rPr>
          <w:sz w:val="24"/>
        </w:rPr>
        <w:t>sanat</w:t>
      </w:r>
      <w:r>
        <w:rPr>
          <w:spacing w:val="-2"/>
          <w:sz w:val="24"/>
        </w:rPr>
        <w:t xml:space="preserve"> </w:t>
      </w:r>
      <w:r>
        <w:rPr>
          <w:sz w:val="24"/>
        </w:rPr>
        <w:t>merkezlerinde</w:t>
      </w:r>
      <w:r>
        <w:rPr>
          <w:spacing w:val="-1"/>
          <w:sz w:val="24"/>
        </w:rPr>
        <w:t xml:space="preserve"> </w:t>
      </w:r>
      <w:r>
        <w:rPr>
          <w:sz w:val="24"/>
        </w:rPr>
        <w:t>düzenlenen</w:t>
      </w:r>
      <w:r>
        <w:rPr>
          <w:spacing w:val="-2"/>
          <w:sz w:val="24"/>
        </w:rPr>
        <w:t xml:space="preserve"> </w:t>
      </w:r>
      <w:r>
        <w:rPr>
          <w:sz w:val="24"/>
        </w:rPr>
        <w:t>kapalı</w:t>
      </w:r>
      <w:r>
        <w:rPr>
          <w:spacing w:val="-2"/>
          <w:sz w:val="24"/>
        </w:rPr>
        <w:t xml:space="preserve"> </w:t>
      </w:r>
      <w:r>
        <w:rPr>
          <w:sz w:val="24"/>
        </w:rPr>
        <w:t xml:space="preserve">alan </w:t>
      </w:r>
      <w:r>
        <w:rPr>
          <w:spacing w:val="-2"/>
          <w:sz w:val="24"/>
        </w:rPr>
        <w:t>aktiviteleri.</w:t>
      </w:r>
    </w:p>
    <w:p w14:paraId="593C8B52">
      <w:pPr>
        <w:pStyle w:val="28"/>
        <w:numPr>
          <w:ilvl w:val="0"/>
          <w:numId w:val="4"/>
        </w:numPr>
        <w:tabs>
          <w:tab w:val="left" w:pos="880"/>
        </w:tabs>
        <w:spacing w:before="120" w:after="120" w:line="360" w:lineRule="auto"/>
        <w:ind w:left="0" w:firstLine="567"/>
        <w:rPr>
          <w:sz w:val="24"/>
        </w:rPr>
      </w:pPr>
      <w:r>
        <w:rPr>
          <w:sz w:val="24"/>
        </w:rPr>
        <w:t>Huzurevi,</w:t>
      </w:r>
      <w:r>
        <w:rPr>
          <w:spacing w:val="-14"/>
          <w:sz w:val="24"/>
        </w:rPr>
        <w:t xml:space="preserve"> </w:t>
      </w:r>
      <w:r>
        <w:rPr>
          <w:sz w:val="24"/>
        </w:rPr>
        <w:t>rehabilitasyon</w:t>
      </w:r>
      <w:r>
        <w:rPr>
          <w:spacing w:val="-12"/>
          <w:sz w:val="24"/>
        </w:rPr>
        <w:t xml:space="preserve"> </w:t>
      </w:r>
      <w:r>
        <w:rPr>
          <w:sz w:val="24"/>
        </w:rPr>
        <w:t>merkezi</w:t>
      </w:r>
      <w:r>
        <w:rPr>
          <w:spacing w:val="-14"/>
          <w:sz w:val="24"/>
        </w:rPr>
        <w:t xml:space="preserve"> </w:t>
      </w:r>
      <w:r>
        <w:rPr>
          <w:sz w:val="24"/>
        </w:rPr>
        <w:t>ve</w:t>
      </w:r>
      <w:r>
        <w:rPr>
          <w:spacing w:val="-15"/>
          <w:sz w:val="24"/>
        </w:rPr>
        <w:t xml:space="preserve"> </w:t>
      </w:r>
      <w:r>
        <w:rPr>
          <w:sz w:val="24"/>
        </w:rPr>
        <w:t>sevgi</w:t>
      </w:r>
      <w:r>
        <w:rPr>
          <w:spacing w:val="-11"/>
          <w:sz w:val="24"/>
        </w:rPr>
        <w:t xml:space="preserve"> </w:t>
      </w:r>
      <w:r>
        <w:rPr>
          <w:sz w:val="24"/>
        </w:rPr>
        <w:t>evleri</w:t>
      </w:r>
      <w:r>
        <w:rPr>
          <w:spacing w:val="-11"/>
          <w:sz w:val="24"/>
        </w:rPr>
        <w:t xml:space="preserve"> </w:t>
      </w:r>
      <w:r>
        <w:rPr>
          <w:sz w:val="24"/>
        </w:rPr>
        <w:t>gibi</w:t>
      </w:r>
      <w:r>
        <w:rPr>
          <w:spacing w:val="-14"/>
          <w:sz w:val="24"/>
        </w:rPr>
        <w:t xml:space="preserve"> </w:t>
      </w:r>
      <w:r>
        <w:rPr>
          <w:sz w:val="24"/>
        </w:rPr>
        <w:t>kurumlarda</w:t>
      </w:r>
      <w:r>
        <w:rPr>
          <w:spacing w:val="-15"/>
          <w:sz w:val="24"/>
        </w:rPr>
        <w:t xml:space="preserve"> </w:t>
      </w:r>
      <w:r>
        <w:rPr>
          <w:sz w:val="24"/>
        </w:rPr>
        <w:t>ikamet</w:t>
      </w:r>
      <w:r>
        <w:rPr>
          <w:spacing w:val="-14"/>
          <w:sz w:val="24"/>
        </w:rPr>
        <w:t xml:space="preserve"> </w:t>
      </w:r>
      <w:r>
        <w:rPr>
          <w:sz w:val="24"/>
        </w:rPr>
        <w:t>eden</w:t>
      </w:r>
      <w:r>
        <w:rPr>
          <w:spacing w:val="-14"/>
          <w:sz w:val="24"/>
        </w:rPr>
        <w:t xml:space="preserve"> </w:t>
      </w:r>
      <w:r>
        <w:rPr>
          <w:sz w:val="24"/>
        </w:rPr>
        <w:t>kişiler için toplu yaşam merkezi formatında düzenlenen tüm aktiviteler.</w:t>
      </w:r>
    </w:p>
    <w:p w14:paraId="0BD82487">
      <w:pPr>
        <w:pStyle w:val="28"/>
        <w:numPr>
          <w:ilvl w:val="0"/>
          <w:numId w:val="4"/>
        </w:numPr>
        <w:tabs>
          <w:tab w:val="left" w:pos="880"/>
        </w:tabs>
        <w:spacing w:before="120" w:after="120" w:line="360" w:lineRule="auto"/>
        <w:ind w:left="0" w:firstLine="567"/>
        <w:rPr>
          <w:sz w:val="24"/>
        </w:rPr>
      </w:pPr>
      <w:r>
        <w:rPr>
          <w:sz w:val="24"/>
        </w:rPr>
        <w:t>Saraylar,</w:t>
      </w:r>
      <w:r>
        <w:rPr>
          <w:spacing w:val="40"/>
          <w:sz w:val="24"/>
        </w:rPr>
        <w:t xml:space="preserve"> </w:t>
      </w:r>
      <w:r>
        <w:rPr>
          <w:sz w:val="24"/>
        </w:rPr>
        <w:t>tarihi</w:t>
      </w:r>
      <w:r>
        <w:rPr>
          <w:spacing w:val="40"/>
          <w:sz w:val="24"/>
        </w:rPr>
        <w:t xml:space="preserve"> </w:t>
      </w:r>
      <w:r>
        <w:rPr>
          <w:sz w:val="24"/>
        </w:rPr>
        <w:t>evler,</w:t>
      </w:r>
      <w:r>
        <w:rPr>
          <w:spacing w:val="40"/>
          <w:sz w:val="24"/>
        </w:rPr>
        <w:t xml:space="preserve"> </w:t>
      </w:r>
      <w:r>
        <w:rPr>
          <w:sz w:val="24"/>
        </w:rPr>
        <w:t>konaklar,</w:t>
      </w:r>
      <w:r>
        <w:rPr>
          <w:spacing w:val="40"/>
          <w:sz w:val="24"/>
        </w:rPr>
        <w:t xml:space="preserve"> </w:t>
      </w:r>
      <w:r>
        <w:rPr>
          <w:sz w:val="24"/>
        </w:rPr>
        <w:t>kütüphaneler,</w:t>
      </w:r>
      <w:r>
        <w:rPr>
          <w:spacing w:val="40"/>
          <w:sz w:val="24"/>
        </w:rPr>
        <w:t xml:space="preserve"> </w:t>
      </w:r>
      <w:r>
        <w:rPr>
          <w:sz w:val="24"/>
        </w:rPr>
        <w:t>dini</w:t>
      </w:r>
      <w:r>
        <w:rPr>
          <w:spacing w:val="40"/>
          <w:sz w:val="24"/>
        </w:rPr>
        <w:t xml:space="preserve"> </w:t>
      </w:r>
      <w:r>
        <w:rPr>
          <w:sz w:val="24"/>
        </w:rPr>
        <w:t>mekanlar</w:t>
      </w:r>
      <w:r>
        <w:rPr>
          <w:spacing w:val="40"/>
          <w:sz w:val="24"/>
        </w:rPr>
        <w:t xml:space="preserve"> </w:t>
      </w:r>
      <w:r>
        <w:rPr>
          <w:sz w:val="24"/>
        </w:rPr>
        <w:t>ve</w:t>
      </w:r>
      <w:r>
        <w:rPr>
          <w:spacing w:val="40"/>
          <w:sz w:val="24"/>
        </w:rPr>
        <w:t xml:space="preserve"> </w:t>
      </w:r>
      <w:r>
        <w:rPr>
          <w:sz w:val="24"/>
        </w:rPr>
        <w:t>diğer</w:t>
      </w:r>
      <w:r>
        <w:rPr>
          <w:spacing w:val="40"/>
          <w:sz w:val="24"/>
        </w:rPr>
        <w:t xml:space="preserve"> </w:t>
      </w:r>
      <w:r>
        <w:rPr>
          <w:sz w:val="24"/>
        </w:rPr>
        <w:t>tüm</w:t>
      </w:r>
      <w:r>
        <w:rPr>
          <w:spacing w:val="40"/>
          <w:sz w:val="24"/>
        </w:rPr>
        <w:t xml:space="preserve"> </w:t>
      </w:r>
      <w:r>
        <w:rPr>
          <w:sz w:val="24"/>
        </w:rPr>
        <w:t>vakıf eserleri gibi muhafaza altına alınmış mekanlarda düzenlenen aktiviteler.</w:t>
      </w:r>
    </w:p>
    <w:p w14:paraId="40655619">
      <w:pPr>
        <w:pStyle w:val="28"/>
        <w:numPr>
          <w:ilvl w:val="0"/>
          <w:numId w:val="4"/>
        </w:numPr>
        <w:tabs>
          <w:tab w:val="left" w:pos="880"/>
        </w:tabs>
        <w:spacing w:before="120" w:after="120" w:line="360" w:lineRule="auto"/>
        <w:ind w:left="0" w:firstLine="567"/>
        <w:rPr>
          <w:sz w:val="24"/>
        </w:rPr>
      </w:pPr>
      <w:r>
        <w:rPr>
          <w:sz w:val="24"/>
        </w:rPr>
        <w:t>Sempozyum,</w:t>
      </w:r>
      <w:r>
        <w:rPr>
          <w:spacing w:val="-2"/>
          <w:sz w:val="24"/>
        </w:rPr>
        <w:t xml:space="preserve"> </w:t>
      </w:r>
      <w:r>
        <w:rPr>
          <w:sz w:val="24"/>
        </w:rPr>
        <w:t>kongre</w:t>
      </w:r>
      <w:r>
        <w:rPr>
          <w:spacing w:val="-2"/>
          <w:sz w:val="24"/>
        </w:rPr>
        <w:t xml:space="preserve"> </w:t>
      </w:r>
      <w:r>
        <w:rPr>
          <w:sz w:val="24"/>
        </w:rPr>
        <w:t>ve</w:t>
      </w:r>
      <w:r>
        <w:rPr>
          <w:spacing w:val="-3"/>
          <w:sz w:val="24"/>
        </w:rPr>
        <w:t xml:space="preserve"> </w:t>
      </w:r>
      <w:r>
        <w:rPr>
          <w:sz w:val="24"/>
        </w:rPr>
        <w:t>kutlama</w:t>
      </w:r>
      <w:r>
        <w:rPr>
          <w:spacing w:val="-1"/>
          <w:sz w:val="24"/>
        </w:rPr>
        <w:t xml:space="preserve"> </w:t>
      </w:r>
      <w:r>
        <w:rPr>
          <w:sz w:val="24"/>
        </w:rPr>
        <w:t>gibi</w:t>
      </w:r>
      <w:r>
        <w:rPr>
          <w:spacing w:val="-1"/>
          <w:sz w:val="24"/>
        </w:rPr>
        <w:t xml:space="preserve"> </w:t>
      </w:r>
      <w:r>
        <w:rPr>
          <w:spacing w:val="-2"/>
          <w:sz w:val="24"/>
        </w:rPr>
        <w:t>aktiviteler.</w:t>
      </w:r>
    </w:p>
    <w:p w14:paraId="128D5C56">
      <w:pPr>
        <w:pStyle w:val="28"/>
        <w:numPr>
          <w:ilvl w:val="0"/>
          <w:numId w:val="4"/>
        </w:numPr>
        <w:tabs>
          <w:tab w:val="left" w:pos="880"/>
        </w:tabs>
        <w:spacing w:before="120" w:after="120" w:line="360" w:lineRule="auto"/>
        <w:ind w:left="0" w:firstLine="567"/>
        <w:rPr>
          <w:sz w:val="24"/>
        </w:rPr>
      </w:pPr>
      <w:r>
        <w:rPr>
          <w:sz w:val="24"/>
        </w:rPr>
        <w:t>Hamam,</w:t>
      </w:r>
      <w:r>
        <w:rPr>
          <w:spacing w:val="-9"/>
          <w:sz w:val="24"/>
        </w:rPr>
        <w:t xml:space="preserve"> </w:t>
      </w:r>
      <w:r>
        <w:rPr>
          <w:sz w:val="24"/>
        </w:rPr>
        <w:t>sauna</w:t>
      </w:r>
      <w:r>
        <w:rPr>
          <w:spacing w:val="-7"/>
          <w:sz w:val="24"/>
        </w:rPr>
        <w:t xml:space="preserve"> </w:t>
      </w:r>
      <w:r>
        <w:rPr>
          <w:sz w:val="24"/>
        </w:rPr>
        <w:t>ve</w:t>
      </w:r>
      <w:r>
        <w:rPr>
          <w:spacing w:val="-7"/>
          <w:sz w:val="24"/>
        </w:rPr>
        <w:t xml:space="preserve"> </w:t>
      </w:r>
      <w:r>
        <w:rPr>
          <w:sz w:val="24"/>
        </w:rPr>
        <w:t>spa</w:t>
      </w:r>
      <w:r>
        <w:rPr>
          <w:spacing w:val="-5"/>
          <w:sz w:val="24"/>
        </w:rPr>
        <w:t xml:space="preserve"> </w:t>
      </w:r>
      <w:r>
        <w:rPr>
          <w:sz w:val="24"/>
        </w:rPr>
        <w:t>gibi</w:t>
      </w:r>
      <w:r>
        <w:rPr>
          <w:spacing w:val="-6"/>
          <w:sz w:val="24"/>
        </w:rPr>
        <w:t xml:space="preserve"> </w:t>
      </w:r>
      <w:r>
        <w:rPr>
          <w:sz w:val="24"/>
        </w:rPr>
        <w:t>kapalı</w:t>
      </w:r>
      <w:r>
        <w:rPr>
          <w:spacing w:val="-6"/>
          <w:sz w:val="24"/>
        </w:rPr>
        <w:t xml:space="preserve"> </w:t>
      </w:r>
      <w:r>
        <w:rPr>
          <w:sz w:val="24"/>
        </w:rPr>
        <w:t>mekanlarda</w:t>
      </w:r>
      <w:r>
        <w:rPr>
          <w:spacing w:val="-8"/>
          <w:sz w:val="24"/>
        </w:rPr>
        <w:t xml:space="preserve"> </w:t>
      </w:r>
      <w:r>
        <w:rPr>
          <w:sz w:val="24"/>
        </w:rPr>
        <w:t>düzenlenen</w:t>
      </w:r>
      <w:r>
        <w:rPr>
          <w:spacing w:val="-6"/>
          <w:sz w:val="24"/>
        </w:rPr>
        <w:t xml:space="preserve"> </w:t>
      </w:r>
      <w:r>
        <w:rPr>
          <w:sz w:val="24"/>
        </w:rPr>
        <w:t>sağlıklı</w:t>
      </w:r>
      <w:r>
        <w:rPr>
          <w:spacing w:val="-1"/>
          <w:sz w:val="24"/>
        </w:rPr>
        <w:t xml:space="preserve"> </w:t>
      </w:r>
      <w:r>
        <w:rPr>
          <w:sz w:val="24"/>
        </w:rPr>
        <w:t>yaşam</w:t>
      </w:r>
      <w:r>
        <w:rPr>
          <w:spacing w:val="-3"/>
          <w:sz w:val="24"/>
        </w:rPr>
        <w:t xml:space="preserve"> </w:t>
      </w:r>
      <w:r>
        <w:rPr>
          <w:spacing w:val="-2"/>
          <w:sz w:val="24"/>
        </w:rPr>
        <w:t>aktiviteleri.</w:t>
      </w:r>
    </w:p>
    <w:p w14:paraId="3A0E02F5">
      <w:pPr>
        <w:pStyle w:val="28"/>
        <w:numPr>
          <w:ilvl w:val="0"/>
          <w:numId w:val="4"/>
        </w:numPr>
        <w:tabs>
          <w:tab w:val="left" w:pos="880"/>
        </w:tabs>
        <w:spacing w:before="120" w:after="120" w:line="360" w:lineRule="auto"/>
        <w:ind w:left="0" w:firstLine="567"/>
        <w:rPr>
          <w:sz w:val="24"/>
        </w:rPr>
      </w:pPr>
      <w:r>
        <w:rPr>
          <w:sz w:val="24"/>
        </w:rPr>
        <w:t>El</w:t>
      </w:r>
      <w:r>
        <w:rPr>
          <w:spacing w:val="40"/>
          <w:sz w:val="24"/>
        </w:rPr>
        <w:t xml:space="preserve"> </w:t>
      </w:r>
      <w:r>
        <w:rPr>
          <w:sz w:val="24"/>
        </w:rPr>
        <w:t>sanatları,</w:t>
      </w:r>
      <w:r>
        <w:rPr>
          <w:spacing w:val="40"/>
          <w:sz w:val="24"/>
        </w:rPr>
        <w:t xml:space="preserve"> </w:t>
      </w:r>
      <w:r>
        <w:rPr>
          <w:sz w:val="24"/>
        </w:rPr>
        <w:t>yabancı</w:t>
      </w:r>
      <w:r>
        <w:rPr>
          <w:spacing w:val="40"/>
          <w:sz w:val="24"/>
        </w:rPr>
        <w:t xml:space="preserve"> </w:t>
      </w:r>
      <w:r>
        <w:rPr>
          <w:sz w:val="24"/>
        </w:rPr>
        <w:t>dil</w:t>
      </w:r>
      <w:r>
        <w:rPr>
          <w:spacing w:val="40"/>
          <w:sz w:val="24"/>
        </w:rPr>
        <w:t xml:space="preserve"> </w:t>
      </w:r>
      <w:r>
        <w:rPr>
          <w:sz w:val="24"/>
        </w:rPr>
        <w:t>ve</w:t>
      </w:r>
      <w:r>
        <w:rPr>
          <w:spacing w:val="40"/>
          <w:sz w:val="24"/>
        </w:rPr>
        <w:t xml:space="preserve"> </w:t>
      </w:r>
      <w:r>
        <w:rPr>
          <w:sz w:val="24"/>
        </w:rPr>
        <w:t>meslek</w:t>
      </w:r>
      <w:r>
        <w:rPr>
          <w:spacing w:val="40"/>
          <w:sz w:val="24"/>
        </w:rPr>
        <w:t xml:space="preserve"> </w:t>
      </w:r>
      <w:r>
        <w:rPr>
          <w:sz w:val="24"/>
        </w:rPr>
        <w:t>edindirme</w:t>
      </w:r>
      <w:r>
        <w:rPr>
          <w:spacing w:val="40"/>
          <w:sz w:val="24"/>
        </w:rPr>
        <w:t xml:space="preserve"> </w:t>
      </w:r>
      <w:r>
        <w:rPr>
          <w:sz w:val="24"/>
        </w:rPr>
        <w:t>eğitimleri</w:t>
      </w:r>
      <w:r>
        <w:rPr>
          <w:spacing w:val="40"/>
          <w:sz w:val="24"/>
        </w:rPr>
        <w:t xml:space="preserve"> </w:t>
      </w:r>
      <w:r>
        <w:rPr>
          <w:sz w:val="24"/>
        </w:rPr>
        <w:t>gibi</w:t>
      </w:r>
      <w:r>
        <w:rPr>
          <w:spacing w:val="40"/>
          <w:sz w:val="24"/>
        </w:rPr>
        <w:t xml:space="preserve"> </w:t>
      </w:r>
      <w:r>
        <w:rPr>
          <w:sz w:val="24"/>
        </w:rPr>
        <w:t>kurs</w:t>
      </w:r>
      <w:r>
        <w:rPr>
          <w:spacing w:val="40"/>
          <w:sz w:val="24"/>
        </w:rPr>
        <w:t xml:space="preserve"> </w:t>
      </w:r>
      <w:r>
        <w:rPr>
          <w:sz w:val="24"/>
        </w:rPr>
        <w:t>ve</w:t>
      </w:r>
      <w:r>
        <w:rPr>
          <w:spacing w:val="40"/>
          <w:sz w:val="24"/>
        </w:rPr>
        <w:t xml:space="preserve"> </w:t>
      </w:r>
      <w:r>
        <w:rPr>
          <w:sz w:val="24"/>
        </w:rPr>
        <w:t>sertifika</w:t>
      </w:r>
      <w:r>
        <w:rPr>
          <w:spacing w:val="40"/>
          <w:sz w:val="24"/>
        </w:rPr>
        <w:t xml:space="preserve"> </w:t>
      </w:r>
      <w:r>
        <w:rPr>
          <w:spacing w:val="-2"/>
          <w:sz w:val="24"/>
        </w:rPr>
        <w:t>programları.</w:t>
      </w:r>
    </w:p>
    <w:p w14:paraId="4B64EBBA">
      <w:pPr>
        <w:pStyle w:val="28"/>
        <w:numPr>
          <w:ilvl w:val="0"/>
          <w:numId w:val="4"/>
        </w:numPr>
        <w:tabs>
          <w:tab w:val="left" w:pos="880"/>
        </w:tabs>
        <w:spacing w:before="120" w:after="120" w:line="360" w:lineRule="auto"/>
        <w:ind w:left="0" w:firstLine="567"/>
        <w:rPr>
          <w:sz w:val="24"/>
        </w:rPr>
      </w:pPr>
      <w:r>
        <w:rPr>
          <w:sz w:val="24"/>
        </w:rPr>
        <w:t xml:space="preserve">Kapalı mekanlarda oynanan şans ve kâğıt oyunları ile tavla, satranç ve domino gibi </w:t>
      </w:r>
      <w:r>
        <w:rPr>
          <w:spacing w:val="-2"/>
          <w:sz w:val="24"/>
        </w:rPr>
        <w:t>aktiviteler.</w:t>
      </w:r>
    </w:p>
    <w:p w14:paraId="78374F1C">
      <w:pPr>
        <w:pStyle w:val="9"/>
        <w:spacing w:before="120" w:after="120" w:line="360" w:lineRule="auto"/>
        <w:ind w:left="0" w:firstLine="567"/>
      </w:pPr>
      <w:r>
        <w:t>Katılımcıların mensup oldukları milliyetlerine göre rekreasyon ulusal ve uluslararası rekreasyon olmak üzere iki türde ele alınmaktadır. Ulusal rekreasyon, bir ülkenin sınırları dahilinde birey ve organizasyonların katıldığı ulusal aktivitelerden oluşmaktadır. Uluslararası rekreasyon ise,</w:t>
      </w:r>
      <w:r>
        <w:rPr>
          <w:spacing w:val="-1"/>
        </w:rPr>
        <w:t xml:space="preserve"> </w:t>
      </w:r>
      <w:r>
        <w:t>birey</w:t>
      </w:r>
      <w:r>
        <w:rPr>
          <w:spacing w:val="-5"/>
        </w:rPr>
        <w:t xml:space="preserve"> </w:t>
      </w:r>
      <w:r>
        <w:t>ve</w:t>
      </w:r>
      <w:r>
        <w:rPr>
          <w:spacing w:val="-1"/>
        </w:rPr>
        <w:t xml:space="preserve"> </w:t>
      </w:r>
      <w:r>
        <w:t>organizasyonların ülke</w:t>
      </w:r>
      <w:r>
        <w:rPr>
          <w:spacing w:val="-1"/>
        </w:rPr>
        <w:t xml:space="preserve"> </w:t>
      </w:r>
      <w:r>
        <w:t>sınırları</w:t>
      </w:r>
      <w:r>
        <w:rPr>
          <w:spacing w:val="-1"/>
        </w:rPr>
        <w:t xml:space="preserve"> </w:t>
      </w:r>
      <w:r>
        <w:t>dahilinde</w:t>
      </w:r>
      <w:r>
        <w:rPr>
          <w:spacing w:val="-1"/>
        </w:rPr>
        <w:t xml:space="preserve"> </w:t>
      </w:r>
      <w:r>
        <w:t>ve</w:t>
      </w:r>
      <w:r>
        <w:rPr>
          <w:spacing w:val="-1"/>
        </w:rPr>
        <w:t xml:space="preserve"> </w:t>
      </w:r>
      <w:r>
        <w:t>haricinde iştirak ettiği boş zaman aktiviteleridir. Uluslararası film festivalleri, EXPO’lar, otomobil fuarları ve uluslararası kitap fuarları bu rekreasyonun en sık karşılaşılan örneklerindendir (Kurar ve Baltacı, 2014: 44).</w:t>
      </w:r>
    </w:p>
    <w:p w14:paraId="21B1F4F5">
      <w:pPr>
        <w:pStyle w:val="9"/>
        <w:spacing w:before="120" w:after="120" w:line="360" w:lineRule="auto"/>
        <w:ind w:left="0" w:firstLine="567"/>
      </w:pPr>
      <w:r>
        <w:t>Öte yandan, küresel ölçekte değerlendirilen rekreasyon, evrensel bir değer olan eğlence kavramıyla yakından ilintilidir. Dünya çapında milyarlarca dolarlık bir sektör olan eğlence sektörü sadece ulusal değil uluslararası pazarları da kapsayan bu yüksek hacimli pastadan pay</w:t>
      </w:r>
      <w:r>
        <w:rPr>
          <w:spacing w:val="-7"/>
        </w:rPr>
        <w:t xml:space="preserve"> </w:t>
      </w:r>
      <w:r>
        <w:t>alma yöntemleri</w:t>
      </w:r>
      <w:r>
        <w:rPr>
          <w:spacing w:val="-3"/>
        </w:rPr>
        <w:t xml:space="preserve"> </w:t>
      </w:r>
      <w:r>
        <w:t>üretmeye</w:t>
      </w:r>
      <w:r>
        <w:rPr>
          <w:spacing w:val="-4"/>
        </w:rPr>
        <w:t xml:space="preserve"> </w:t>
      </w:r>
      <w:r>
        <w:t>çalışarak</w:t>
      </w:r>
      <w:r>
        <w:rPr>
          <w:spacing w:val="-3"/>
        </w:rPr>
        <w:t xml:space="preserve"> </w:t>
      </w:r>
      <w:r>
        <w:t>uluslararası</w:t>
      </w:r>
      <w:r>
        <w:rPr>
          <w:spacing w:val="-3"/>
        </w:rPr>
        <w:t xml:space="preserve"> </w:t>
      </w:r>
      <w:r>
        <w:t>rekreasyona</w:t>
      </w:r>
      <w:r>
        <w:rPr>
          <w:spacing w:val="-4"/>
        </w:rPr>
        <w:t xml:space="preserve"> </w:t>
      </w:r>
      <w:r>
        <w:t>da</w:t>
      </w:r>
      <w:r>
        <w:rPr>
          <w:spacing w:val="-4"/>
        </w:rPr>
        <w:t xml:space="preserve"> </w:t>
      </w:r>
      <w:r>
        <w:t>temel</w:t>
      </w:r>
      <w:r>
        <w:rPr>
          <w:spacing w:val="-3"/>
        </w:rPr>
        <w:t xml:space="preserve"> </w:t>
      </w:r>
      <w:r>
        <w:t>teşkil</w:t>
      </w:r>
      <w:r>
        <w:rPr>
          <w:spacing w:val="-3"/>
        </w:rPr>
        <w:t xml:space="preserve"> </w:t>
      </w:r>
      <w:r>
        <w:t>etmektedir (Sevim ve Özer 2013: 4).</w:t>
      </w:r>
    </w:p>
    <w:p w14:paraId="549B7DF2">
      <w:pPr>
        <w:pStyle w:val="9"/>
        <w:spacing w:before="120" w:after="120" w:line="360" w:lineRule="auto"/>
        <w:ind w:left="0" w:firstLine="567"/>
      </w:pPr>
      <w:r>
        <w:t>Katılma şekline göre rekreasyonda aktivitelere katılım bireysel veya grup olarak gerçekleşebileceğinden bu alan da bireysel rekreasyon ve grup rekreasyonu olarak ikiye ayrılmaktadır. Rekreasyon, insanların bireysel veya toplu olarak gerçekleştirdikleri faaliyetler</w:t>
      </w:r>
      <w:r>
        <w:rPr>
          <w:spacing w:val="-11"/>
        </w:rPr>
        <w:t xml:space="preserve"> </w:t>
      </w:r>
      <w:r>
        <w:t>olduğundan,</w:t>
      </w:r>
      <w:r>
        <w:rPr>
          <w:spacing w:val="-11"/>
        </w:rPr>
        <w:t xml:space="preserve"> </w:t>
      </w:r>
      <w:r>
        <w:t>kendi</w:t>
      </w:r>
      <w:r>
        <w:rPr>
          <w:spacing w:val="-10"/>
        </w:rPr>
        <w:t xml:space="preserve"> </w:t>
      </w:r>
      <w:r>
        <w:t>içinde</w:t>
      </w:r>
      <w:r>
        <w:rPr>
          <w:spacing w:val="-12"/>
        </w:rPr>
        <w:t xml:space="preserve"> </w:t>
      </w:r>
      <w:r>
        <w:t>özgürlük</w:t>
      </w:r>
      <w:r>
        <w:rPr>
          <w:spacing w:val="-11"/>
        </w:rPr>
        <w:t xml:space="preserve"> </w:t>
      </w:r>
      <w:r>
        <w:t>ve</w:t>
      </w:r>
      <w:r>
        <w:rPr>
          <w:spacing w:val="-12"/>
        </w:rPr>
        <w:t xml:space="preserve"> </w:t>
      </w:r>
      <w:r>
        <w:t>haz</w:t>
      </w:r>
      <w:r>
        <w:rPr>
          <w:spacing w:val="-9"/>
        </w:rPr>
        <w:t xml:space="preserve"> </w:t>
      </w:r>
      <w:r>
        <w:t>duygusu</w:t>
      </w:r>
      <w:r>
        <w:rPr>
          <w:spacing w:val="-10"/>
        </w:rPr>
        <w:t xml:space="preserve"> </w:t>
      </w:r>
      <w:r>
        <w:t>veren</w:t>
      </w:r>
      <w:r>
        <w:rPr>
          <w:spacing w:val="-11"/>
        </w:rPr>
        <w:t xml:space="preserve"> </w:t>
      </w:r>
      <w:r>
        <w:t>özelliklere</w:t>
      </w:r>
      <w:r>
        <w:rPr>
          <w:spacing w:val="-12"/>
        </w:rPr>
        <w:t xml:space="preserve"> </w:t>
      </w:r>
      <w:r>
        <w:t>sahiptir.</w:t>
      </w:r>
      <w:r>
        <w:rPr>
          <w:spacing w:val="-11"/>
        </w:rPr>
        <w:t xml:space="preserve"> </w:t>
      </w:r>
      <w:r>
        <w:t>Her iki</w:t>
      </w:r>
      <w:r>
        <w:rPr>
          <w:spacing w:val="-10"/>
        </w:rPr>
        <w:t xml:space="preserve"> </w:t>
      </w:r>
      <w:r>
        <w:t>durumda</w:t>
      </w:r>
      <w:r>
        <w:rPr>
          <w:spacing w:val="-12"/>
        </w:rPr>
        <w:t xml:space="preserve"> </w:t>
      </w:r>
      <w:r>
        <w:t>da</w:t>
      </w:r>
      <w:r>
        <w:rPr>
          <w:spacing w:val="-12"/>
        </w:rPr>
        <w:t xml:space="preserve"> </w:t>
      </w:r>
      <w:r>
        <w:t>bireysel</w:t>
      </w:r>
      <w:r>
        <w:rPr>
          <w:spacing w:val="-10"/>
        </w:rPr>
        <w:t xml:space="preserve"> </w:t>
      </w:r>
      <w:r>
        <w:t>rekreasyon</w:t>
      </w:r>
      <w:r>
        <w:rPr>
          <w:spacing w:val="-11"/>
        </w:rPr>
        <w:t xml:space="preserve"> </w:t>
      </w:r>
      <w:r>
        <w:t>veya</w:t>
      </w:r>
      <w:r>
        <w:rPr>
          <w:spacing w:val="-9"/>
        </w:rPr>
        <w:t xml:space="preserve"> </w:t>
      </w:r>
      <w:r>
        <w:t>grup</w:t>
      </w:r>
      <w:r>
        <w:rPr>
          <w:spacing w:val="-9"/>
        </w:rPr>
        <w:t xml:space="preserve"> </w:t>
      </w:r>
      <w:r>
        <w:t>rekreasyonu</w:t>
      </w:r>
      <w:r>
        <w:rPr>
          <w:spacing w:val="-11"/>
        </w:rPr>
        <w:t xml:space="preserve"> </w:t>
      </w:r>
      <w:r>
        <w:t>bireyin</w:t>
      </w:r>
      <w:r>
        <w:rPr>
          <w:spacing w:val="-10"/>
        </w:rPr>
        <w:t xml:space="preserve"> </w:t>
      </w:r>
      <w:r>
        <w:t>duygusal,</w:t>
      </w:r>
      <w:r>
        <w:rPr>
          <w:spacing w:val="-11"/>
        </w:rPr>
        <w:t xml:space="preserve"> </w:t>
      </w:r>
      <w:r>
        <w:t>fiziki</w:t>
      </w:r>
      <w:r>
        <w:rPr>
          <w:spacing w:val="-10"/>
        </w:rPr>
        <w:t xml:space="preserve"> </w:t>
      </w:r>
      <w:r>
        <w:t>ve</w:t>
      </w:r>
      <w:r>
        <w:rPr>
          <w:spacing w:val="-12"/>
        </w:rPr>
        <w:t xml:space="preserve"> </w:t>
      </w:r>
      <w:r>
        <w:t>sosyal durumunun gelişmesinde önemli bir rol oynamaktadır (Serçek, 2015: 4).</w:t>
      </w:r>
    </w:p>
    <w:p w14:paraId="0FEA792A">
      <w:pPr>
        <w:pStyle w:val="9"/>
        <w:spacing w:before="120" w:after="120" w:line="360" w:lineRule="auto"/>
        <w:ind w:left="0" w:firstLine="567"/>
      </w:pPr>
      <w:r>
        <w:t>Rekreasyonun en temel hedefi kişilere bireysel yarar temin etmektir. Bu anlamda, katılımı etkileyen</w:t>
      </w:r>
      <w:r>
        <w:rPr>
          <w:spacing w:val="-15"/>
        </w:rPr>
        <w:t xml:space="preserve"> </w:t>
      </w:r>
      <w:r>
        <w:t>etmenlerin</w:t>
      </w:r>
      <w:r>
        <w:rPr>
          <w:spacing w:val="-15"/>
        </w:rPr>
        <w:t xml:space="preserve"> </w:t>
      </w:r>
      <w:r>
        <w:t>başında</w:t>
      </w:r>
      <w:r>
        <w:rPr>
          <w:spacing w:val="-15"/>
        </w:rPr>
        <w:t xml:space="preserve"> </w:t>
      </w:r>
      <w:r>
        <w:t>bireysel</w:t>
      </w:r>
      <w:r>
        <w:rPr>
          <w:spacing w:val="-15"/>
        </w:rPr>
        <w:t xml:space="preserve"> </w:t>
      </w:r>
      <w:r>
        <w:t>faktörler</w:t>
      </w:r>
      <w:r>
        <w:rPr>
          <w:spacing w:val="-15"/>
        </w:rPr>
        <w:t xml:space="preserve"> </w:t>
      </w:r>
      <w:r>
        <w:t>gelmekle</w:t>
      </w:r>
      <w:r>
        <w:rPr>
          <w:spacing w:val="-15"/>
        </w:rPr>
        <w:t xml:space="preserve"> </w:t>
      </w:r>
      <w:r>
        <w:t>birlikte,</w:t>
      </w:r>
      <w:r>
        <w:rPr>
          <w:spacing w:val="-15"/>
        </w:rPr>
        <w:t xml:space="preserve"> </w:t>
      </w:r>
      <w:r>
        <w:t>bireysel</w:t>
      </w:r>
      <w:r>
        <w:rPr>
          <w:spacing w:val="-15"/>
        </w:rPr>
        <w:t xml:space="preserve"> </w:t>
      </w:r>
      <w:r>
        <w:t>faktörlerde</w:t>
      </w:r>
      <w:r>
        <w:rPr>
          <w:spacing w:val="-15"/>
        </w:rPr>
        <w:t xml:space="preserve"> </w:t>
      </w:r>
      <w:r>
        <w:t>bireyin yaşam süresi, ihtiyaçları, ilgileri, hareketleri, kabiliyetleri, yetiştirilme tarzı ve kişiliğinin etkili olduğu ifade edilmektedir (Tütüncü vd., 2011: 69-70).</w:t>
      </w:r>
    </w:p>
    <w:p w14:paraId="24FB2C49">
      <w:pPr>
        <w:pStyle w:val="9"/>
        <w:spacing w:before="120" w:after="120" w:line="360" w:lineRule="auto"/>
        <w:ind w:left="0" w:firstLine="567"/>
      </w:pPr>
      <w:r>
        <w:t>Her birey başta aile olmak üzere bir toplumsal grupta hayatına başlamaktadır. Büyüdükçe bu grubun ve diğer dahil olduğu grupların sosyal özelliklerini miras yoluyla edinen birey, çevresine uyum sağlama marifetiyle toplumu oluşturmaktadır (Serçek, 2015: 6).</w:t>
      </w:r>
    </w:p>
    <w:p w14:paraId="6A9EC6A0">
      <w:pPr>
        <w:pStyle w:val="9"/>
        <w:spacing w:before="120" w:after="120" w:line="360" w:lineRule="auto"/>
        <w:ind w:left="0" w:firstLine="567"/>
      </w:pPr>
      <w:r>
        <w:t>Grup faaliyetleri sosyalleşmenin temelini teşkil etmekle beraber, anılan aktiviteler,</w:t>
      </w:r>
      <w:r>
        <w:rPr>
          <w:spacing w:val="-1"/>
        </w:rPr>
        <w:t xml:space="preserve"> </w:t>
      </w:r>
      <w:r>
        <w:t>eğlence aktivitelerini</w:t>
      </w:r>
      <w:r>
        <w:rPr>
          <w:spacing w:val="-3"/>
        </w:rPr>
        <w:t xml:space="preserve"> </w:t>
      </w:r>
      <w:r>
        <w:t>daha</w:t>
      </w:r>
      <w:r>
        <w:rPr>
          <w:spacing w:val="-2"/>
        </w:rPr>
        <w:t xml:space="preserve"> </w:t>
      </w:r>
      <w:r>
        <w:t>da</w:t>
      </w:r>
      <w:r>
        <w:rPr>
          <w:spacing w:val="-4"/>
        </w:rPr>
        <w:t xml:space="preserve"> </w:t>
      </w:r>
      <w:r>
        <w:t>neşeli</w:t>
      </w:r>
      <w:r>
        <w:rPr>
          <w:spacing w:val="-3"/>
        </w:rPr>
        <w:t xml:space="preserve"> </w:t>
      </w:r>
      <w:r>
        <w:t>bir</w:t>
      </w:r>
      <w:r>
        <w:rPr>
          <w:spacing w:val="-3"/>
        </w:rPr>
        <w:t xml:space="preserve"> </w:t>
      </w:r>
      <w:r>
        <w:t>hale</w:t>
      </w:r>
      <w:r>
        <w:rPr>
          <w:spacing w:val="-2"/>
        </w:rPr>
        <w:t xml:space="preserve"> </w:t>
      </w:r>
      <w:r>
        <w:t>getirmektedir.</w:t>
      </w:r>
      <w:r>
        <w:rPr>
          <w:spacing w:val="-2"/>
        </w:rPr>
        <w:t xml:space="preserve"> </w:t>
      </w:r>
      <w:r>
        <w:t>Rekreasyon</w:t>
      </w:r>
      <w:r>
        <w:rPr>
          <w:spacing w:val="-3"/>
        </w:rPr>
        <w:t xml:space="preserve"> </w:t>
      </w:r>
      <w:r>
        <w:t>önceki</w:t>
      </w:r>
      <w:r>
        <w:rPr>
          <w:spacing w:val="-3"/>
        </w:rPr>
        <w:t xml:space="preserve"> </w:t>
      </w:r>
      <w:r>
        <w:t>bölümde</w:t>
      </w:r>
      <w:r>
        <w:rPr>
          <w:spacing w:val="-3"/>
        </w:rPr>
        <w:t xml:space="preserve"> </w:t>
      </w:r>
      <w:r>
        <w:t>ele</w:t>
      </w:r>
      <w:r>
        <w:rPr>
          <w:spacing w:val="-2"/>
        </w:rPr>
        <w:t xml:space="preserve"> </w:t>
      </w:r>
      <w:r>
        <w:t>alındığı üzere bireysel olarak yapılabileceği gibi, kişilerin boş zamanlarını grup olarak değerlendirmeleri şeklinde de olabilmektedir. Grup aktivitelerine geziler, takım sporları yarışmaları, toplu konser ve benzer aktiviteler ile toplu piknik etkinlikleri örnek olarak verilebilmektedir (Solmaz, 2017: 1).</w:t>
      </w:r>
    </w:p>
    <w:p w14:paraId="703FE5BD">
      <w:pPr>
        <w:pStyle w:val="9"/>
        <w:spacing w:before="120" w:after="120" w:line="360" w:lineRule="auto"/>
        <w:ind w:left="0" w:firstLine="567"/>
      </w:pPr>
      <w:r>
        <w:t>Diğer</w:t>
      </w:r>
      <w:r>
        <w:rPr>
          <w:spacing w:val="-11"/>
        </w:rPr>
        <w:t xml:space="preserve"> </w:t>
      </w:r>
      <w:r>
        <w:t>taraftan,</w:t>
      </w:r>
      <w:r>
        <w:rPr>
          <w:spacing w:val="-10"/>
        </w:rPr>
        <w:t xml:space="preserve"> </w:t>
      </w:r>
      <w:r>
        <w:t>kampüs</w:t>
      </w:r>
      <w:r>
        <w:rPr>
          <w:spacing w:val="-10"/>
        </w:rPr>
        <w:t xml:space="preserve"> </w:t>
      </w:r>
      <w:r>
        <w:t>rekreasyonları</w:t>
      </w:r>
      <w:r>
        <w:rPr>
          <w:spacing w:val="-10"/>
        </w:rPr>
        <w:t xml:space="preserve"> </w:t>
      </w:r>
      <w:r>
        <w:t>üniversitelerde</w:t>
      </w:r>
      <w:r>
        <w:rPr>
          <w:spacing w:val="-11"/>
        </w:rPr>
        <w:t xml:space="preserve"> </w:t>
      </w:r>
      <w:r>
        <w:t>öğrenci</w:t>
      </w:r>
      <w:r>
        <w:rPr>
          <w:spacing w:val="-7"/>
        </w:rPr>
        <w:t xml:space="preserve"> </w:t>
      </w:r>
      <w:r>
        <w:t>gruplarıyla</w:t>
      </w:r>
      <w:r>
        <w:rPr>
          <w:spacing w:val="-9"/>
        </w:rPr>
        <w:t xml:space="preserve"> </w:t>
      </w:r>
      <w:r>
        <w:t>yapılmakta,</w:t>
      </w:r>
      <w:r>
        <w:rPr>
          <w:spacing w:val="-10"/>
        </w:rPr>
        <w:t xml:space="preserve"> </w:t>
      </w:r>
      <w:r>
        <w:t>bu</w:t>
      </w:r>
      <w:r>
        <w:rPr>
          <w:spacing w:val="-10"/>
        </w:rPr>
        <w:t xml:space="preserve"> </w:t>
      </w:r>
      <w:r>
        <w:t>tür aktivite öğrencilerin grup içi davranışlarını geliştirirken aidiyet duygusunu da ilerletmektedir Aile ve akran grupları da resmi olmayan sosyalleşme kanalları olup, bunlar da</w:t>
      </w:r>
      <w:r>
        <w:rPr>
          <w:spacing w:val="-2"/>
        </w:rPr>
        <w:t xml:space="preserve"> </w:t>
      </w:r>
      <w:r>
        <w:t>grup</w:t>
      </w:r>
      <w:r>
        <w:rPr>
          <w:spacing w:val="-2"/>
        </w:rPr>
        <w:t xml:space="preserve"> </w:t>
      </w:r>
      <w:r>
        <w:t>katılımlı</w:t>
      </w:r>
      <w:r>
        <w:rPr>
          <w:spacing w:val="-1"/>
        </w:rPr>
        <w:t xml:space="preserve"> </w:t>
      </w:r>
      <w:r>
        <w:t>rekreasyon</w:t>
      </w:r>
      <w:r>
        <w:rPr>
          <w:spacing w:val="-1"/>
        </w:rPr>
        <w:t xml:space="preserve"> </w:t>
      </w:r>
      <w:r>
        <w:t>aktiviteleri</w:t>
      </w:r>
      <w:r>
        <w:rPr>
          <w:spacing w:val="-1"/>
        </w:rPr>
        <w:t xml:space="preserve"> </w:t>
      </w:r>
      <w:r>
        <w:t>olarak</w:t>
      </w:r>
      <w:r>
        <w:rPr>
          <w:spacing w:val="-1"/>
        </w:rPr>
        <w:t xml:space="preserve"> </w:t>
      </w:r>
      <w:r>
        <w:t>değerlendirilebilmektedir</w:t>
      </w:r>
      <w:r>
        <w:rPr>
          <w:spacing w:val="-1"/>
        </w:rPr>
        <w:t xml:space="preserve"> </w:t>
      </w:r>
      <w:r>
        <w:t>(Serçek,</w:t>
      </w:r>
      <w:r>
        <w:rPr>
          <w:spacing w:val="-1"/>
        </w:rPr>
        <w:t xml:space="preserve"> </w:t>
      </w:r>
      <w:r>
        <w:t>2015:</w:t>
      </w:r>
      <w:r>
        <w:rPr>
          <w:spacing w:val="-1"/>
        </w:rPr>
        <w:t xml:space="preserve"> </w:t>
      </w:r>
      <w:r>
        <w:t>7).</w:t>
      </w:r>
    </w:p>
    <w:p w14:paraId="3EDE5183">
      <w:pPr>
        <w:pStyle w:val="9"/>
        <w:spacing w:before="120" w:after="120" w:line="360" w:lineRule="auto"/>
        <w:ind w:left="0" w:firstLine="567"/>
      </w:pPr>
      <w:r>
        <w:t>Diğer yandan, bireylerin gelişimlerinin toplumların gelişimlerinin temeli olduğu değerlendirilirse rekreasyonel eğitim sayesinde topluma faydalı ve topluma katkı sunan bireyler yetiştirilebilecektir. Özellikle gençlerin farklı konulara ilgilerinin daha yoğun ve çekici</w:t>
      </w:r>
      <w:r>
        <w:rPr>
          <w:spacing w:val="-15"/>
        </w:rPr>
        <w:t xml:space="preserve"> </w:t>
      </w:r>
      <w:r>
        <w:t>olduğu</w:t>
      </w:r>
      <w:r>
        <w:rPr>
          <w:spacing w:val="-15"/>
        </w:rPr>
        <w:t xml:space="preserve"> </w:t>
      </w:r>
      <w:r>
        <w:t>ergenlik</w:t>
      </w:r>
      <w:r>
        <w:rPr>
          <w:spacing w:val="-15"/>
        </w:rPr>
        <w:t xml:space="preserve"> </w:t>
      </w:r>
      <w:r>
        <w:t>döneminde</w:t>
      </w:r>
      <w:r>
        <w:rPr>
          <w:spacing w:val="-15"/>
        </w:rPr>
        <w:t xml:space="preserve"> </w:t>
      </w:r>
      <w:r>
        <w:t>düzenlenen</w:t>
      </w:r>
      <w:r>
        <w:rPr>
          <w:spacing w:val="-15"/>
        </w:rPr>
        <w:t xml:space="preserve"> </w:t>
      </w:r>
      <w:r>
        <w:t>rekreasyonel</w:t>
      </w:r>
      <w:r>
        <w:rPr>
          <w:spacing w:val="-15"/>
        </w:rPr>
        <w:t xml:space="preserve"> </w:t>
      </w:r>
      <w:r>
        <w:t>aktiviteler,</w:t>
      </w:r>
      <w:r>
        <w:rPr>
          <w:spacing w:val="-11"/>
        </w:rPr>
        <w:t xml:space="preserve"> </w:t>
      </w:r>
      <w:r>
        <w:t>gençlerin</w:t>
      </w:r>
      <w:r>
        <w:rPr>
          <w:spacing w:val="-15"/>
        </w:rPr>
        <w:t xml:space="preserve"> </w:t>
      </w:r>
      <w:r>
        <w:t>kendilerini daha</w:t>
      </w:r>
      <w:r>
        <w:rPr>
          <w:spacing w:val="-7"/>
        </w:rPr>
        <w:t xml:space="preserve"> </w:t>
      </w:r>
      <w:r>
        <w:t>mutlu</w:t>
      </w:r>
      <w:r>
        <w:rPr>
          <w:spacing w:val="-5"/>
        </w:rPr>
        <w:t xml:space="preserve"> </w:t>
      </w:r>
      <w:r>
        <w:t>hissetmelerine</w:t>
      </w:r>
      <w:r>
        <w:rPr>
          <w:spacing w:val="-7"/>
        </w:rPr>
        <w:t xml:space="preserve"> </w:t>
      </w:r>
      <w:r>
        <w:t>imkân</w:t>
      </w:r>
      <w:r>
        <w:rPr>
          <w:spacing w:val="-6"/>
        </w:rPr>
        <w:t xml:space="preserve"> </w:t>
      </w:r>
      <w:r>
        <w:t>sağlayacaktır.</w:t>
      </w:r>
      <w:r>
        <w:rPr>
          <w:spacing w:val="-3"/>
        </w:rPr>
        <w:t xml:space="preserve"> </w:t>
      </w:r>
      <w:r>
        <w:t>Bu</w:t>
      </w:r>
      <w:r>
        <w:rPr>
          <w:spacing w:val="-6"/>
        </w:rPr>
        <w:t xml:space="preserve"> </w:t>
      </w:r>
      <w:r>
        <w:t>mutluluk</w:t>
      </w:r>
      <w:r>
        <w:rPr>
          <w:spacing w:val="-2"/>
        </w:rPr>
        <w:t xml:space="preserve"> </w:t>
      </w:r>
      <w:r>
        <w:t>ve</w:t>
      </w:r>
      <w:r>
        <w:rPr>
          <w:spacing w:val="-7"/>
        </w:rPr>
        <w:t xml:space="preserve"> </w:t>
      </w:r>
      <w:r>
        <w:t>kişisel</w:t>
      </w:r>
      <w:r>
        <w:rPr>
          <w:spacing w:val="-3"/>
        </w:rPr>
        <w:t xml:space="preserve"> </w:t>
      </w:r>
      <w:r>
        <w:t>gelişim</w:t>
      </w:r>
      <w:r>
        <w:rPr>
          <w:spacing w:val="-5"/>
        </w:rPr>
        <w:t xml:space="preserve"> </w:t>
      </w:r>
      <w:r>
        <w:t>de</w:t>
      </w:r>
      <w:r>
        <w:rPr>
          <w:spacing w:val="-4"/>
        </w:rPr>
        <w:t xml:space="preserve"> </w:t>
      </w:r>
      <w:r>
        <w:t>gençlerin olası psikolojik sorunlarının üstesinden daha kolay gelmelerine yol açmak suretiyle daha çabuk rahatlamalarına olacak verecektir (Serçek, 2015: 2, 9).</w:t>
      </w:r>
    </w:p>
    <w:p w14:paraId="330DD305">
      <w:pPr>
        <w:pStyle w:val="9"/>
        <w:spacing w:before="120" w:after="120" w:line="360" w:lineRule="auto"/>
        <w:ind w:left="0" w:firstLine="567"/>
      </w:pPr>
      <w:r>
        <w:t>Bu çerçevede, rekreasyon aktivitelerinin bireysel ve sosyal yararları şöyle sıralanmaktadır (Koçyiğit ve Yıldız, 2014: 216);</w:t>
      </w:r>
    </w:p>
    <w:p w14:paraId="638980DA">
      <w:pPr>
        <w:pStyle w:val="28"/>
        <w:numPr>
          <w:ilvl w:val="0"/>
          <w:numId w:val="4"/>
        </w:numPr>
        <w:tabs>
          <w:tab w:val="left" w:pos="880"/>
        </w:tabs>
        <w:spacing w:before="120" w:after="120" w:line="360" w:lineRule="auto"/>
        <w:ind w:left="0" w:firstLine="567"/>
        <w:rPr>
          <w:sz w:val="24"/>
        </w:rPr>
      </w:pPr>
      <w:r>
        <w:rPr>
          <w:sz w:val="24"/>
        </w:rPr>
        <w:t>Kişinin</w:t>
      </w:r>
      <w:r>
        <w:rPr>
          <w:spacing w:val="-2"/>
          <w:sz w:val="24"/>
        </w:rPr>
        <w:t xml:space="preserve"> </w:t>
      </w:r>
      <w:r>
        <w:rPr>
          <w:sz w:val="24"/>
        </w:rPr>
        <w:t>kendisini</w:t>
      </w:r>
      <w:r>
        <w:rPr>
          <w:spacing w:val="-1"/>
          <w:sz w:val="24"/>
        </w:rPr>
        <w:t xml:space="preserve"> </w:t>
      </w:r>
      <w:r>
        <w:rPr>
          <w:sz w:val="24"/>
        </w:rPr>
        <w:t>ifade</w:t>
      </w:r>
      <w:r>
        <w:rPr>
          <w:spacing w:val="-2"/>
          <w:sz w:val="24"/>
        </w:rPr>
        <w:t xml:space="preserve"> </w:t>
      </w:r>
      <w:r>
        <w:rPr>
          <w:sz w:val="24"/>
        </w:rPr>
        <w:t>etme</w:t>
      </w:r>
      <w:r>
        <w:rPr>
          <w:spacing w:val="-2"/>
          <w:sz w:val="24"/>
        </w:rPr>
        <w:t xml:space="preserve"> </w:t>
      </w:r>
      <w:r>
        <w:rPr>
          <w:sz w:val="24"/>
        </w:rPr>
        <w:t>fırsatı</w:t>
      </w:r>
      <w:r>
        <w:rPr>
          <w:spacing w:val="-1"/>
          <w:sz w:val="24"/>
        </w:rPr>
        <w:t xml:space="preserve"> </w:t>
      </w:r>
      <w:r>
        <w:rPr>
          <w:sz w:val="24"/>
        </w:rPr>
        <w:t xml:space="preserve">edinmesini </w:t>
      </w:r>
      <w:r>
        <w:rPr>
          <w:spacing w:val="-2"/>
          <w:sz w:val="24"/>
        </w:rPr>
        <w:t>sağlar.</w:t>
      </w:r>
    </w:p>
    <w:p w14:paraId="57C66D32">
      <w:pPr>
        <w:pStyle w:val="28"/>
        <w:numPr>
          <w:ilvl w:val="0"/>
          <w:numId w:val="4"/>
        </w:numPr>
        <w:tabs>
          <w:tab w:val="left" w:pos="880"/>
        </w:tabs>
        <w:spacing w:before="120" w:after="120" w:line="360" w:lineRule="auto"/>
        <w:ind w:left="0" w:firstLine="567"/>
        <w:rPr>
          <w:sz w:val="24"/>
        </w:rPr>
      </w:pPr>
      <w:r>
        <w:rPr>
          <w:sz w:val="24"/>
        </w:rPr>
        <w:t>Kişinin</w:t>
      </w:r>
      <w:r>
        <w:rPr>
          <w:spacing w:val="-4"/>
          <w:sz w:val="24"/>
        </w:rPr>
        <w:t xml:space="preserve"> </w:t>
      </w:r>
      <w:r>
        <w:rPr>
          <w:sz w:val="24"/>
        </w:rPr>
        <w:t>üreticiliğini</w:t>
      </w:r>
      <w:r>
        <w:rPr>
          <w:spacing w:val="-3"/>
          <w:sz w:val="24"/>
        </w:rPr>
        <w:t xml:space="preserve"> </w:t>
      </w:r>
      <w:r>
        <w:rPr>
          <w:sz w:val="24"/>
        </w:rPr>
        <w:t>ve</w:t>
      </w:r>
      <w:r>
        <w:rPr>
          <w:spacing w:val="-3"/>
          <w:sz w:val="24"/>
        </w:rPr>
        <w:t xml:space="preserve"> </w:t>
      </w:r>
      <w:r>
        <w:rPr>
          <w:sz w:val="24"/>
        </w:rPr>
        <w:t>yaratıcılığını</w:t>
      </w:r>
      <w:r>
        <w:rPr>
          <w:spacing w:val="-1"/>
          <w:sz w:val="24"/>
        </w:rPr>
        <w:t xml:space="preserve"> </w:t>
      </w:r>
      <w:r>
        <w:rPr>
          <w:spacing w:val="-2"/>
          <w:sz w:val="24"/>
        </w:rPr>
        <w:t>geliştirir.</w:t>
      </w:r>
    </w:p>
    <w:p w14:paraId="70F158EF">
      <w:pPr>
        <w:pStyle w:val="28"/>
        <w:numPr>
          <w:ilvl w:val="0"/>
          <w:numId w:val="4"/>
        </w:numPr>
        <w:tabs>
          <w:tab w:val="left" w:pos="880"/>
        </w:tabs>
        <w:spacing w:before="120" w:after="120" w:line="360" w:lineRule="auto"/>
        <w:ind w:left="0" w:firstLine="567"/>
        <w:rPr>
          <w:sz w:val="24"/>
        </w:rPr>
      </w:pPr>
      <w:r>
        <w:rPr>
          <w:sz w:val="24"/>
        </w:rPr>
        <w:t>İnsanlara</w:t>
      </w:r>
      <w:r>
        <w:rPr>
          <w:spacing w:val="-2"/>
          <w:sz w:val="24"/>
        </w:rPr>
        <w:t xml:space="preserve"> </w:t>
      </w:r>
      <w:r>
        <w:rPr>
          <w:sz w:val="24"/>
        </w:rPr>
        <w:t>yeni</w:t>
      </w:r>
      <w:r>
        <w:rPr>
          <w:spacing w:val="-4"/>
          <w:sz w:val="24"/>
        </w:rPr>
        <w:t xml:space="preserve"> </w:t>
      </w:r>
      <w:r>
        <w:rPr>
          <w:sz w:val="24"/>
        </w:rPr>
        <w:t>tecrübeler</w:t>
      </w:r>
      <w:r>
        <w:rPr>
          <w:spacing w:val="-3"/>
          <w:sz w:val="24"/>
        </w:rPr>
        <w:t xml:space="preserve"> </w:t>
      </w:r>
      <w:r>
        <w:rPr>
          <w:spacing w:val="-2"/>
          <w:sz w:val="24"/>
        </w:rPr>
        <w:t>kazandırır.</w:t>
      </w:r>
    </w:p>
    <w:p w14:paraId="285546EF">
      <w:pPr>
        <w:pStyle w:val="28"/>
        <w:numPr>
          <w:ilvl w:val="0"/>
          <w:numId w:val="4"/>
        </w:numPr>
        <w:tabs>
          <w:tab w:val="left" w:pos="880"/>
        </w:tabs>
        <w:spacing w:before="120" w:after="120" w:line="360" w:lineRule="auto"/>
        <w:ind w:left="0" w:firstLine="567"/>
        <w:rPr>
          <w:sz w:val="24"/>
        </w:rPr>
      </w:pPr>
      <w:r>
        <w:rPr>
          <w:sz w:val="24"/>
        </w:rPr>
        <w:t>Bireylerin</w:t>
      </w:r>
      <w:r>
        <w:rPr>
          <w:spacing w:val="40"/>
          <w:sz w:val="24"/>
        </w:rPr>
        <w:t xml:space="preserve"> </w:t>
      </w:r>
      <w:r>
        <w:rPr>
          <w:sz w:val="24"/>
        </w:rPr>
        <w:t>arkadaşlık</w:t>
      </w:r>
      <w:r>
        <w:rPr>
          <w:spacing w:val="40"/>
          <w:sz w:val="24"/>
        </w:rPr>
        <w:t xml:space="preserve"> </w:t>
      </w:r>
      <w:r>
        <w:rPr>
          <w:sz w:val="24"/>
        </w:rPr>
        <w:t>ilişkilerinin</w:t>
      </w:r>
      <w:r>
        <w:rPr>
          <w:spacing w:val="40"/>
          <w:sz w:val="24"/>
        </w:rPr>
        <w:t xml:space="preserve"> </w:t>
      </w:r>
      <w:r>
        <w:rPr>
          <w:sz w:val="24"/>
        </w:rPr>
        <w:t>kurulmasını</w:t>
      </w:r>
      <w:r>
        <w:rPr>
          <w:spacing w:val="40"/>
          <w:sz w:val="24"/>
        </w:rPr>
        <w:t xml:space="preserve"> </w:t>
      </w:r>
      <w:r>
        <w:rPr>
          <w:sz w:val="24"/>
        </w:rPr>
        <w:t>sağlamak</w:t>
      </w:r>
      <w:r>
        <w:rPr>
          <w:spacing w:val="40"/>
          <w:sz w:val="24"/>
        </w:rPr>
        <w:t xml:space="preserve"> </w:t>
      </w:r>
      <w:r>
        <w:rPr>
          <w:sz w:val="24"/>
        </w:rPr>
        <w:t>suretiyle</w:t>
      </w:r>
      <w:r>
        <w:rPr>
          <w:spacing w:val="40"/>
          <w:sz w:val="24"/>
        </w:rPr>
        <w:t xml:space="preserve"> </w:t>
      </w:r>
      <w:r>
        <w:rPr>
          <w:sz w:val="24"/>
        </w:rPr>
        <w:t>bireyin</w:t>
      </w:r>
      <w:r>
        <w:rPr>
          <w:spacing w:val="40"/>
          <w:sz w:val="24"/>
        </w:rPr>
        <w:t xml:space="preserve"> </w:t>
      </w:r>
      <w:r>
        <w:rPr>
          <w:sz w:val="24"/>
        </w:rPr>
        <w:t>sosyal çevresinin çeşitlenmesini ve genişlemesini sağlar.</w:t>
      </w:r>
    </w:p>
    <w:p w14:paraId="04D4B82C">
      <w:pPr>
        <w:pStyle w:val="28"/>
        <w:numPr>
          <w:ilvl w:val="0"/>
          <w:numId w:val="4"/>
        </w:numPr>
        <w:tabs>
          <w:tab w:val="left" w:pos="880"/>
        </w:tabs>
        <w:spacing w:before="120" w:after="120" w:line="360" w:lineRule="auto"/>
        <w:ind w:left="0" w:firstLine="567"/>
        <w:rPr>
          <w:sz w:val="24"/>
        </w:rPr>
      </w:pPr>
      <w:r>
        <w:rPr>
          <w:sz w:val="24"/>
        </w:rPr>
        <w:t>Kişilerin</w:t>
      </w:r>
      <w:r>
        <w:rPr>
          <w:spacing w:val="-3"/>
          <w:sz w:val="24"/>
        </w:rPr>
        <w:t xml:space="preserve"> </w:t>
      </w:r>
      <w:r>
        <w:rPr>
          <w:sz w:val="24"/>
        </w:rPr>
        <w:t>mutlu</w:t>
      </w:r>
      <w:r>
        <w:rPr>
          <w:spacing w:val="-2"/>
          <w:sz w:val="24"/>
        </w:rPr>
        <w:t xml:space="preserve"> </w:t>
      </w:r>
      <w:r>
        <w:rPr>
          <w:sz w:val="24"/>
        </w:rPr>
        <w:t>ve</w:t>
      </w:r>
      <w:r>
        <w:rPr>
          <w:spacing w:val="-3"/>
          <w:sz w:val="24"/>
        </w:rPr>
        <w:t xml:space="preserve"> </w:t>
      </w:r>
      <w:r>
        <w:rPr>
          <w:sz w:val="24"/>
        </w:rPr>
        <w:t>sağlıklı</w:t>
      </w:r>
      <w:r>
        <w:rPr>
          <w:spacing w:val="-2"/>
          <w:sz w:val="24"/>
        </w:rPr>
        <w:t xml:space="preserve"> </w:t>
      </w:r>
      <w:r>
        <w:rPr>
          <w:sz w:val="24"/>
        </w:rPr>
        <w:t>bireyler</w:t>
      </w:r>
      <w:r>
        <w:rPr>
          <w:spacing w:val="-3"/>
          <w:sz w:val="24"/>
        </w:rPr>
        <w:t xml:space="preserve"> </w:t>
      </w:r>
      <w:r>
        <w:rPr>
          <w:sz w:val="24"/>
        </w:rPr>
        <w:t>haline</w:t>
      </w:r>
      <w:r>
        <w:rPr>
          <w:spacing w:val="-1"/>
          <w:sz w:val="24"/>
        </w:rPr>
        <w:t xml:space="preserve"> </w:t>
      </w:r>
      <w:r>
        <w:rPr>
          <w:sz w:val="24"/>
        </w:rPr>
        <w:t>gelmesine</w:t>
      </w:r>
      <w:r>
        <w:rPr>
          <w:spacing w:val="-1"/>
          <w:sz w:val="24"/>
        </w:rPr>
        <w:t xml:space="preserve"> </w:t>
      </w:r>
      <w:r>
        <w:rPr>
          <w:sz w:val="24"/>
        </w:rPr>
        <w:t>yardımcı</w:t>
      </w:r>
      <w:r>
        <w:rPr>
          <w:spacing w:val="-2"/>
          <w:sz w:val="24"/>
        </w:rPr>
        <w:t xml:space="preserve"> olur.</w:t>
      </w:r>
    </w:p>
    <w:p w14:paraId="23C547FA">
      <w:pPr>
        <w:pStyle w:val="28"/>
        <w:numPr>
          <w:ilvl w:val="0"/>
          <w:numId w:val="4"/>
        </w:numPr>
        <w:tabs>
          <w:tab w:val="left" w:pos="880"/>
        </w:tabs>
        <w:spacing w:before="120" w:after="120" w:line="360" w:lineRule="auto"/>
        <w:ind w:left="0" w:firstLine="567"/>
        <w:rPr>
          <w:sz w:val="24"/>
        </w:rPr>
      </w:pPr>
      <w:r>
        <w:rPr>
          <w:sz w:val="24"/>
        </w:rPr>
        <w:t>Kişilerin</w:t>
      </w:r>
      <w:r>
        <w:rPr>
          <w:spacing w:val="-1"/>
          <w:sz w:val="24"/>
        </w:rPr>
        <w:t xml:space="preserve"> </w:t>
      </w:r>
      <w:r>
        <w:rPr>
          <w:sz w:val="24"/>
        </w:rPr>
        <w:t>psikolojilerini</w:t>
      </w:r>
      <w:r>
        <w:rPr>
          <w:spacing w:val="-1"/>
          <w:sz w:val="24"/>
        </w:rPr>
        <w:t xml:space="preserve"> </w:t>
      </w:r>
      <w:r>
        <w:rPr>
          <w:spacing w:val="-2"/>
          <w:sz w:val="24"/>
        </w:rPr>
        <w:t>korur.</w:t>
      </w:r>
    </w:p>
    <w:p w14:paraId="1D98BFA8">
      <w:pPr>
        <w:pStyle w:val="28"/>
        <w:numPr>
          <w:ilvl w:val="0"/>
          <w:numId w:val="4"/>
        </w:numPr>
        <w:tabs>
          <w:tab w:val="left" w:pos="880"/>
        </w:tabs>
        <w:spacing w:before="120" w:after="120" w:line="360" w:lineRule="auto"/>
        <w:ind w:left="0" w:firstLine="567"/>
        <w:rPr>
          <w:sz w:val="24"/>
        </w:rPr>
      </w:pPr>
      <w:r>
        <w:rPr>
          <w:sz w:val="24"/>
        </w:rPr>
        <w:t>Hayat</w:t>
      </w:r>
      <w:r>
        <w:rPr>
          <w:spacing w:val="-2"/>
          <w:sz w:val="24"/>
        </w:rPr>
        <w:t xml:space="preserve"> </w:t>
      </w:r>
      <w:r>
        <w:rPr>
          <w:sz w:val="24"/>
        </w:rPr>
        <w:t>kalitesinin</w:t>
      </w:r>
      <w:r>
        <w:rPr>
          <w:spacing w:val="-1"/>
          <w:sz w:val="24"/>
        </w:rPr>
        <w:t xml:space="preserve"> </w:t>
      </w:r>
      <w:r>
        <w:rPr>
          <w:sz w:val="24"/>
        </w:rPr>
        <w:t>gelişmesine</w:t>
      </w:r>
      <w:r>
        <w:rPr>
          <w:spacing w:val="-1"/>
          <w:sz w:val="24"/>
        </w:rPr>
        <w:t xml:space="preserve"> </w:t>
      </w:r>
      <w:r>
        <w:rPr>
          <w:sz w:val="24"/>
        </w:rPr>
        <w:t>önemli</w:t>
      </w:r>
      <w:r>
        <w:rPr>
          <w:spacing w:val="-1"/>
          <w:sz w:val="24"/>
        </w:rPr>
        <w:t xml:space="preserve"> </w:t>
      </w:r>
      <w:r>
        <w:rPr>
          <w:sz w:val="24"/>
        </w:rPr>
        <w:t>katkı</w:t>
      </w:r>
      <w:r>
        <w:rPr>
          <w:spacing w:val="-1"/>
          <w:sz w:val="24"/>
        </w:rPr>
        <w:t xml:space="preserve"> </w:t>
      </w:r>
      <w:r>
        <w:rPr>
          <w:spacing w:val="-2"/>
          <w:sz w:val="24"/>
        </w:rPr>
        <w:t>sağlar.</w:t>
      </w:r>
    </w:p>
    <w:p w14:paraId="207F2939">
      <w:pPr>
        <w:pStyle w:val="9"/>
        <w:spacing w:before="120" w:after="120" w:line="360" w:lineRule="auto"/>
        <w:ind w:left="0" w:firstLine="567"/>
      </w:pPr>
      <w:r>
        <w:t>Rekreasyon başta orta yaş grupları olmak üzere bireylere psikolojik ve sosyal yararlarının yanında</w:t>
      </w:r>
      <w:r>
        <w:rPr>
          <w:spacing w:val="-14"/>
        </w:rPr>
        <w:t xml:space="preserve"> </w:t>
      </w:r>
      <w:r>
        <w:t>özellikle</w:t>
      </w:r>
      <w:r>
        <w:rPr>
          <w:spacing w:val="-14"/>
        </w:rPr>
        <w:t xml:space="preserve"> </w:t>
      </w:r>
      <w:r>
        <w:t>fiziki</w:t>
      </w:r>
      <w:r>
        <w:rPr>
          <w:spacing w:val="-11"/>
        </w:rPr>
        <w:t xml:space="preserve"> </w:t>
      </w:r>
      <w:r>
        <w:t>yararlar</w:t>
      </w:r>
      <w:r>
        <w:rPr>
          <w:spacing w:val="-14"/>
        </w:rPr>
        <w:t xml:space="preserve"> </w:t>
      </w:r>
      <w:r>
        <w:t>sağlamaktadır</w:t>
      </w:r>
      <w:r>
        <w:rPr>
          <w:spacing w:val="-14"/>
        </w:rPr>
        <w:t xml:space="preserve"> </w:t>
      </w:r>
      <w:r>
        <w:t>(Koçyiğit</w:t>
      </w:r>
      <w:r>
        <w:rPr>
          <w:spacing w:val="-13"/>
        </w:rPr>
        <w:t xml:space="preserve"> </w:t>
      </w:r>
      <w:r>
        <w:t>ve</w:t>
      </w:r>
      <w:r>
        <w:rPr>
          <w:spacing w:val="-14"/>
        </w:rPr>
        <w:t xml:space="preserve"> </w:t>
      </w:r>
      <w:r>
        <w:t>Yıldız,</w:t>
      </w:r>
      <w:r>
        <w:rPr>
          <w:spacing w:val="-13"/>
        </w:rPr>
        <w:t xml:space="preserve"> </w:t>
      </w:r>
      <w:r>
        <w:t>2014:</w:t>
      </w:r>
      <w:r>
        <w:rPr>
          <w:spacing w:val="-13"/>
        </w:rPr>
        <w:t xml:space="preserve"> </w:t>
      </w:r>
      <w:r>
        <w:t>216).</w:t>
      </w:r>
      <w:r>
        <w:rPr>
          <w:spacing w:val="-14"/>
        </w:rPr>
        <w:t xml:space="preserve"> </w:t>
      </w:r>
      <w:r>
        <w:t xml:space="preserve">Teknolojinin gelişimiyle makineleşme, hatta günümüzde robotik gelişimle birlikte bireylerin hareket etmeden gerek gündelik gerek işe ilişkin aktiviteleri azalmıştır. Netice itibariyle bu hareketsizliğin artması birçok hastalık ve rahatsızlığı da beraberinde getirmiştir. Fiziki rahatsızlıklardan korunmanın en etkili yolu özellikle orta yaş ve üzerinde fiziki aktiviteleri </w:t>
      </w:r>
      <w:r>
        <w:rPr>
          <w:spacing w:val="-2"/>
        </w:rPr>
        <w:t>düzenli bir</w:t>
      </w:r>
      <w:r>
        <w:rPr>
          <w:spacing w:val="-3"/>
        </w:rPr>
        <w:t xml:space="preserve"> </w:t>
      </w:r>
      <w:r>
        <w:rPr>
          <w:spacing w:val="-2"/>
        </w:rPr>
        <w:t>şekilde yapmaktır.Rekreasyonel aktivitelerin başında gelen</w:t>
      </w:r>
      <w:r>
        <w:rPr>
          <w:spacing w:val="-3"/>
        </w:rPr>
        <w:t xml:space="preserve"> </w:t>
      </w:r>
      <w:r>
        <w:rPr>
          <w:spacing w:val="-2"/>
        </w:rPr>
        <w:t>sporun,</w:t>
      </w:r>
      <w:r>
        <w:rPr>
          <w:spacing w:val="-3"/>
        </w:rPr>
        <w:t xml:space="preserve"> </w:t>
      </w:r>
      <w:r>
        <w:rPr>
          <w:spacing w:val="-2"/>
        </w:rPr>
        <w:t>açık ve</w:t>
      </w:r>
      <w:r>
        <w:rPr>
          <w:spacing w:val="-5"/>
        </w:rPr>
        <w:t xml:space="preserve"> </w:t>
      </w:r>
      <w:r>
        <w:rPr>
          <w:spacing w:val="-2"/>
        </w:rPr>
        <w:t xml:space="preserve">kapalı </w:t>
      </w:r>
      <w:r>
        <w:t>rekreasyonun yararları oldukça önemlidir. Sağlıklı bir hayat için her yaşta uygun bir fiziki yapı ve fiziki aktivite şarttır. Düzenli fiziki hareket ve etkinlikler birçok rahatsızlığın önlenmesinde büyük rol oynamaktadır (Kılıç, 2009: 1).</w:t>
      </w:r>
    </w:p>
    <w:p w14:paraId="0427E9F5">
      <w:pPr>
        <w:pStyle w:val="9"/>
        <w:spacing w:before="120" w:after="120" w:line="360" w:lineRule="auto"/>
        <w:ind w:left="0" w:firstLine="567"/>
      </w:pPr>
      <w:r>
        <w:t>Bu kapsamda, rekreasyonun fiziki yararları hayatın her</w:t>
      </w:r>
      <w:r>
        <w:rPr>
          <w:spacing w:val="-1"/>
        </w:rPr>
        <w:t xml:space="preserve"> </w:t>
      </w:r>
      <w:r>
        <w:t>döneminde</w:t>
      </w:r>
      <w:r>
        <w:rPr>
          <w:spacing w:val="-1"/>
        </w:rPr>
        <w:t xml:space="preserve"> </w:t>
      </w:r>
      <w:r>
        <w:t>aksatılmaması ve</w:t>
      </w:r>
      <w:r>
        <w:rPr>
          <w:spacing w:val="-1"/>
        </w:rPr>
        <w:t xml:space="preserve"> </w:t>
      </w:r>
      <w:r>
        <w:t xml:space="preserve">ihmal edilmemesi gereken, hayat tarzı haline getirilmesi elzem görülen alışkanlıkların başında </w:t>
      </w:r>
      <w:r>
        <w:rPr>
          <w:spacing w:val="-2"/>
        </w:rPr>
        <w:t>gelmektedir.</w:t>
      </w:r>
    </w:p>
    <w:p w14:paraId="5FC83206">
      <w:pPr>
        <w:pStyle w:val="9"/>
        <w:spacing w:before="120" w:after="120" w:line="360" w:lineRule="auto"/>
        <w:ind w:left="0" w:firstLine="567"/>
      </w:pPr>
      <w:r>
        <w:t>İnsanoğlu,</w:t>
      </w:r>
      <w:r>
        <w:rPr>
          <w:spacing w:val="-12"/>
        </w:rPr>
        <w:t xml:space="preserve"> </w:t>
      </w:r>
      <w:r>
        <w:t>doğal</w:t>
      </w:r>
      <w:r>
        <w:rPr>
          <w:spacing w:val="-12"/>
        </w:rPr>
        <w:t xml:space="preserve"> </w:t>
      </w:r>
      <w:r>
        <w:t>nitelikleri</w:t>
      </w:r>
      <w:r>
        <w:rPr>
          <w:spacing w:val="-13"/>
        </w:rPr>
        <w:t xml:space="preserve"> </w:t>
      </w:r>
      <w:r>
        <w:t>nedeniyle</w:t>
      </w:r>
      <w:r>
        <w:rPr>
          <w:spacing w:val="-13"/>
        </w:rPr>
        <w:t xml:space="preserve"> </w:t>
      </w:r>
      <w:r>
        <w:t>doğadaki</w:t>
      </w:r>
      <w:r>
        <w:rPr>
          <w:spacing w:val="-12"/>
        </w:rPr>
        <w:t xml:space="preserve"> </w:t>
      </w:r>
      <w:r>
        <w:t>birçok</w:t>
      </w:r>
      <w:r>
        <w:rPr>
          <w:spacing w:val="-13"/>
        </w:rPr>
        <w:t xml:space="preserve"> </w:t>
      </w:r>
      <w:r>
        <w:t>canlı</w:t>
      </w:r>
      <w:r>
        <w:rPr>
          <w:spacing w:val="-12"/>
        </w:rPr>
        <w:t xml:space="preserve"> </w:t>
      </w:r>
      <w:r>
        <w:t>gibi</w:t>
      </w:r>
      <w:r>
        <w:rPr>
          <w:spacing w:val="-12"/>
        </w:rPr>
        <w:t xml:space="preserve"> </w:t>
      </w:r>
      <w:r>
        <w:t>sosyal</w:t>
      </w:r>
      <w:r>
        <w:rPr>
          <w:spacing w:val="-12"/>
        </w:rPr>
        <w:t xml:space="preserve"> </w:t>
      </w:r>
      <w:r>
        <w:t>bir</w:t>
      </w:r>
      <w:r>
        <w:rPr>
          <w:spacing w:val="-13"/>
        </w:rPr>
        <w:t xml:space="preserve"> </w:t>
      </w:r>
      <w:r>
        <w:t>varlıktır.</w:t>
      </w:r>
      <w:r>
        <w:rPr>
          <w:spacing w:val="-11"/>
        </w:rPr>
        <w:t xml:space="preserve"> </w:t>
      </w:r>
      <w:r>
        <w:t>İnsanlar ilk</w:t>
      </w:r>
      <w:r>
        <w:rPr>
          <w:spacing w:val="-14"/>
        </w:rPr>
        <w:t xml:space="preserve"> </w:t>
      </w:r>
      <w:r>
        <w:t>çağlardan</w:t>
      </w:r>
      <w:r>
        <w:rPr>
          <w:spacing w:val="-14"/>
        </w:rPr>
        <w:t xml:space="preserve"> </w:t>
      </w:r>
      <w:r>
        <w:t>bu</w:t>
      </w:r>
      <w:r>
        <w:rPr>
          <w:spacing w:val="-12"/>
        </w:rPr>
        <w:t xml:space="preserve"> </w:t>
      </w:r>
      <w:r>
        <w:t>yana</w:t>
      </w:r>
      <w:r>
        <w:rPr>
          <w:spacing w:val="-13"/>
        </w:rPr>
        <w:t xml:space="preserve"> </w:t>
      </w:r>
      <w:r>
        <w:t>yalnızca</w:t>
      </w:r>
      <w:r>
        <w:rPr>
          <w:spacing w:val="-15"/>
        </w:rPr>
        <w:t xml:space="preserve"> </w:t>
      </w:r>
      <w:r>
        <w:t>temel</w:t>
      </w:r>
      <w:r>
        <w:rPr>
          <w:spacing w:val="-14"/>
        </w:rPr>
        <w:t xml:space="preserve"> </w:t>
      </w:r>
      <w:r>
        <w:t>ihtiyaçlarını</w:t>
      </w:r>
      <w:r>
        <w:rPr>
          <w:spacing w:val="-14"/>
        </w:rPr>
        <w:t xml:space="preserve"> </w:t>
      </w:r>
      <w:r>
        <w:t>karşılamak</w:t>
      </w:r>
      <w:r>
        <w:rPr>
          <w:spacing w:val="-14"/>
        </w:rPr>
        <w:t xml:space="preserve"> </w:t>
      </w:r>
      <w:r>
        <w:t>için</w:t>
      </w:r>
      <w:r>
        <w:rPr>
          <w:spacing w:val="-14"/>
        </w:rPr>
        <w:t xml:space="preserve"> </w:t>
      </w:r>
      <w:r>
        <w:t>değil,</w:t>
      </w:r>
      <w:r>
        <w:rPr>
          <w:spacing w:val="-14"/>
        </w:rPr>
        <w:t xml:space="preserve"> </w:t>
      </w:r>
      <w:r>
        <w:t>aynı</w:t>
      </w:r>
      <w:r>
        <w:rPr>
          <w:spacing w:val="-14"/>
        </w:rPr>
        <w:t xml:space="preserve"> </w:t>
      </w:r>
      <w:r>
        <w:t>zamanda</w:t>
      </w:r>
      <w:r>
        <w:rPr>
          <w:spacing w:val="-15"/>
        </w:rPr>
        <w:t xml:space="preserve"> </w:t>
      </w:r>
      <w:r>
        <w:t xml:space="preserve">sosyal ihtiyaçlarını karşılamak için de bir araya gelmeye dikkat etmiş, birbirleriyle ilişki kurmuşlardır. Bu bağlamda ele alındığında rekreasyon aktiviteleri günümüzün modern toplumları için sosyalleşmenin önemli bir fırsatı olarak görülmektedir. Rekreasyonel grup aktivitelerine katılmak suretiyle sosyal ihtiyaçlarını karşılayan birey, bu sayede tatmin duygusunu geliştirmektedir. Bu vesileyle birey kendini tanıyabilmekte, kimliğini </w:t>
      </w:r>
      <w:r>
        <w:rPr>
          <w:spacing w:val="-2"/>
        </w:rPr>
        <w:t>tanımlayabilmektedir (Recio, vd.,2013:1104).</w:t>
      </w:r>
    </w:p>
    <w:p w14:paraId="5EC443BF">
      <w:pPr>
        <w:pStyle w:val="9"/>
        <w:spacing w:before="120" w:after="120" w:line="360" w:lineRule="auto"/>
        <w:ind w:left="0" w:firstLine="567"/>
      </w:pPr>
      <w:r>
        <w:t>Öte yandan, birçok insan için rekreasyonel aktivitelere katılmak bir sosyal statü göstergesi olarak</w:t>
      </w:r>
      <w:r>
        <w:rPr>
          <w:spacing w:val="-2"/>
        </w:rPr>
        <w:t xml:space="preserve"> </w:t>
      </w:r>
      <w:r>
        <w:t>da</w:t>
      </w:r>
      <w:r>
        <w:rPr>
          <w:spacing w:val="-2"/>
        </w:rPr>
        <w:t xml:space="preserve"> </w:t>
      </w:r>
      <w:r>
        <w:t>değerlendirilmektedir.</w:t>
      </w:r>
      <w:r>
        <w:rPr>
          <w:spacing w:val="-1"/>
        </w:rPr>
        <w:t xml:space="preserve"> </w:t>
      </w:r>
      <w:r>
        <w:t>Bu</w:t>
      </w:r>
      <w:r>
        <w:rPr>
          <w:spacing w:val="-1"/>
        </w:rPr>
        <w:t xml:space="preserve"> </w:t>
      </w:r>
      <w:r>
        <w:t>tür aktiviteler</w:t>
      </w:r>
      <w:r>
        <w:rPr>
          <w:spacing w:val="-2"/>
        </w:rPr>
        <w:t xml:space="preserve"> </w:t>
      </w:r>
      <w:r>
        <w:t>sayesinde</w:t>
      </w:r>
      <w:r>
        <w:rPr>
          <w:spacing w:val="-1"/>
        </w:rPr>
        <w:t xml:space="preserve"> </w:t>
      </w:r>
      <w:r>
        <w:t>komşuluk,</w:t>
      </w:r>
      <w:r>
        <w:rPr>
          <w:spacing w:val="-1"/>
        </w:rPr>
        <w:t xml:space="preserve"> </w:t>
      </w:r>
      <w:r>
        <w:t>dostluk</w:t>
      </w:r>
      <w:r>
        <w:rPr>
          <w:spacing w:val="-1"/>
        </w:rPr>
        <w:t xml:space="preserve"> </w:t>
      </w:r>
      <w:r>
        <w:t>ve</w:t>
      </w:r>
      <w:r>
        <w:rPr>
          <w:spacing w:val="-1"/>
        </w:rPr>
        <w:t xml:space="preserve"> </w:t>
      </w:r>
      <w:r>
        <w:rPr>
          <w:spacing w:val="-2"/>
        </w:rPr>
        <w:t>ahbaplık</w:t>
      </w:r>
      <w:r>
        <w:t xml:space="preserve"> ilişkileri gelişerek birlik ve beraberlik bağları kuvvetlenmektedir. Gruplar halinde rekreasyonel</w:t>
      </w:r>
      <w:r>
        <w:rPr>
          <w:spacing w:val="-7"/>
        </w:rPr>
        <w:t xml:space="preserve"> </w:t>
      </w:r>
      <w:r>
        <w:t>aktivitelere</w:t>
      </w:r>
      <w:r>
        <w:rPr>
          <w:spacing w:val="-9"/>
        </w:rPr>
        <w:t xml:space="preserve"> </w:t>
      </w:r>
      <w:r>
        <w:t>katılanlar</w:t>
      </w:r>
      <w:r>
        <w:rPr>
          <w:spacing w:val="-9"/>
        </w:rPr>
        <w:t xml:space="preserve"> </w:t>
      </w:r>
      <w:r>
        <w:t>arasında</w:t>
      </w:r>
      <w:r>
        <w:rPr>
          <w:spacing w:val="-8"/>
        </w:rPr>
        <w:t xml:space="preserve"> </w:t>
      </w:r>
      <w:r>
        <w:t>dayanışma</w:t>
      </w:r>
      <w:r>
        <w:rPr>
          <w:spacing w:val="-9"/>
        </w:rPr>
        <w:t xml:space="preserve"> </w:t>
      </w:r>
      <w:r>
        <w:t>da</w:t>
      </w:r>
      <w:r>
        <w:rPr>
          <w:spacing w:val="-9"/>
        </w:rPr>
        <w:t xml:space="preserve"> </w:t>
      </w:r>
      <w:r>
        <w:t>gelişmektedir.</w:t>
      </w:r>
      <w:r>
        <w:rPr>
          <w:spacing w:val="-5"/>
        </w:rPr>
        <w:t xml:space="preserve"> </w:t>
      </w:r>
      <w:r>
        <w:t>Böylece</w:t>
      </w:r>
      <w:r>
        <w:rPr>
          <w:spacing w:val="-9"/>
        </w:rPr>
        <w:t xml:space="preserve"> </w:t>
      </w:r>
      <w:r>
        <w:t>toplumda yaşam kalitesi, rekreasyonel aktiviteleri marifetiyle iyileşmektedir (Kılıç, 2009: 1).</w:t>
      </w:r>
    </w:p>
    <w:p w14:paraId="4ED59119">
      <w:pPr>
        <w:pStyle w:val="9"/>
        <w:spacing w:before="120" w:after="120" w:line="360" w:lineRule="auto"/>
        <w:ind w:left="0" w:firstLine="567"/>
      </w:pPr>
      <w:r>
        <w:t>Devamlı olarak değişen ve gelişen modern toplumsal hayat, bir yanı itibariyle bireylerin gelişmişlik seviyelerini artırırken, diğer yandan ise kişilerin toplum içinde yalnızlaşmasına ve içine kapanmasına neden olmaktadır. Ayrıca, giderek kozmopolit bir köy haline gelen dünyada din, dil, ırk, eğitim, kültür ve cinsiyet tercihi gibi farklılıklar zamanla bireyleri birbirlerinden</w:t>
      </w:r>
      <w:r>
        <w:rPr>
          <w:spacing w:val="-15"/>
        </w:rPr>
        <w:t xml:space="preserve"> </w:t>
      </w:r>
      <w:r>
        <w:t>koparmak</w:t>
      </w:r>
      <w:r>
        <w:rPr>
          <w:spacing w:val="-13"/>
        </w:rPr>
        <w:t xml:space="preserve"> </w:t>
      </w:r>
      <w:r>
        <w:t>suretiyle</w:t>
      </w:r>
      <w:r>
        <w:rPr>
          <w:spacing w:val="-12"/>
        </w:rPr>
        <w:t xml:space="preserve"> </w:t>
      </w:r>
      <w:r>
        <w:t>yalnızlaştırmaktadır.</w:t>
      </w:r>
      <w:r>
        <w:rPr>
          <w:spacing w:val="-15"/>
        </w:rPr>
        <w:t xml:space="preserve"> </w:t>
      </w:r>
      <w:r>
        <w:t>Ancak,</w:t>
      </w:r>
      <w:r>
        <w:rPr>
          <w:spacing w:val="-15"/>
        </w:rPr>
        <w:t xml:space="preserve"> </w:t>
      </w:r>
      <w:r>
        <w:t>doğası</w:t>
      </w:r>
      <w:r>
        <w:rPr>
          <w:spacing w:val="-14"/>
        </w:rPr>
        <w:t xml:space="preserve"> </w:t>
      </w:r>
      <w:r>
        <w:t>gereği</w:t>
      </w:r>
      <w:r>
        <w:rPr>
          <w:spacing w:val="-15"/>
        </w:rPr>
        <w:t xml:space="preserve"> </w:t>
      </w:r>
      <w:r>
        <w:t>sosyal</w:t>
      </w:r>
      <w:r>
        <w:rPr>
          <w:spacing w:val="-15"/>
        </w:rPr>
        <w:t xml:space="preserve"> </w:t>
      </w:r>
      <w:r>
        <w:t>bir</w:t>
      </w:r>
      <w:r>
        <w:rPr>
          <w:spacing w:val="-15"/>
        </w:rPr>
        <w:t xml:space="preserve"> </w:t>
      </w:r>
      <w:r>
        <w:t>canlı olan bireylerin sosyalleşmesinde rekreasyonel aktiviteler büyük önem arz etmektedir. Rekreasyonel aktiviteler toplumdaki bireylerin ve insan gruplarının bir araya gelmesini sağlamasının yanında, serbest dolaşım ve fikir özgürlüğünün gelişimi ve iş birliği olanaklarına</w:t>
      </w:r>
      <w:r>
        <w:rPr>
          <w:spacing w:val="-15"/>
        </w:rPr>
        <w:t xml:space="preserve"> </w:t>
      </w:r>
      <w:r>
        <w:t>sahip</w:t>
      </w:r>
      <w:r>
        <w:rPr>
          <w:spacing w:val="-15"/>
        </w:rPr>
        <w:t xml:space="preserve"> </w:t>
      </w:r>
      <w:r>
        <w:t>demokratik</w:t>
      </w:r>
      <w:r>
        <w:rPr>
          <w:spacing w:val="-15"/>
        </w:rPr>
        <w:t xml:space="preserve"> </w:t>
      </w:r>
      <w:r>
        <w:t>bir</w:t>
      </w:r>
      <w:r>
        <w:rPr>
          <w:spacing w:val="-15"/>
        </w:rPr>
        <w:t xml:space="preserve"> </w:t>
      </w:r>
      <w:r>
        <w:t>toplumun</w:t>
      </w:r>
      <w:r>
        <w:rPr>
          <w:spacing w:val="-15"/>
        </w:rPr>
        <w:t xml:space="preserve"> </w:t>
      </w:r>
      <w:r>
        <w:t>meydana</w:t>
      </w:r>
      <w:r>
        <w:rPr>
          <w:spacing w:val="-15"/>
        </w:rPr>
        <w:t xml:space="preserve"> </w:t>
      </w:r>
      <w:r>
        <w:t>gelmesine</w:t>
      </w:r>
      <w:r>
        <w:rPr>
          <w:spacing w:val="-15"/>
        </w:rPr>
        <w:t xml:space="preserve"> </w:t>
      </w:r>
      <w:r>
        <w:t>katkı</w:t>
      </w:r>
      <w:r>
        <w:rPr>
          <w:spacing w:val="-15"/>
        </w:rPr>
        <w:t xml:space="preserve"> </w:t>
      </w:r>
      <w:r>
        <w:t>sunmaktadır</w:t>
      </w:r>
      <w:r>
        <w:rPr>
          <w:spacing w:val="-15"/>
        </w:rPr>
        <w:t xml:space="preserve"> </w:t>
      </w:r>
      <w:r>
        <w:t>(Tütüncü ve Aydın, 2014: 119).</w:t>
      </w:r>
    </w:p>
    <w:p w14:paraId="3856B0E6">
      <w:pPr>
        <w:pStyle w:val="9"/>
        <w:spacing w:before="120" w:after="120" w:line="360" w:lineRule="auto"/>
        <w:ind w:left="0" w:firstLine="567"/>
      </w:pPr>
      <w:r>
        <w:t>Rekreasyonel aktivitelerin en önemli faydalarının başında ruh sağlığına katkıları gelmektedir. Psikolojik yarar hali, bireyin ruh sağlığını tanımlamakla birlikte, bu durum bireyin</w:t>
      </w:r>
      <w:r>
        <w:rPr>
          <w:spacing w:val="-11"/>
        </w:rPr>
        <w:t xml:space="preserve"> </w:t>
      </w:r>
      <w:r>
        <w:t>kendisi</w:t>
      </w:r>
      <w:r>
        <w:rPr>
          <w:spacing w:val="-11"/>
        </w:rPr>
        <w:t xml:space="preserve"> </w:t>
      </w:r>
      <w:r>
        <w:t>ve</w:t>
      </w:r>
      <w:r>
        <w:rPr>
          <w:spacing w:val="-13"/>
        </w:rPr>
        <w:t xml:space="preserve"> </w:t>
      </w:r>
      <w:r>
        <w:t>içinde</w:t>
      </w:r>
      <w:r>
        <w:rPr>
          <w:spacing w:val="-10"/>
        </w:rPr>
        <w:t xml:space="preserve"> </w:t>
      </w:r>
      <w:r>
        <w:t>yaşadığı</w:t>
      </w:r>
      <w:r>
        <w:rPr>
          <w:spacing w:val="-11"/>
        </w:rPr>
        <w:t xml:space="preserve"> </w:t>
      </w:r>
      <w:r>
        <w:t>toplumla</w:t>
      </w:r>
      <w:r>
        <w:rPr>
          <w:spacing w:val="-13"/>
        </w:rPr>
        <w:t xml:space="preserve"> </w:t>
      </w:r>
      <w:r>
        <w:t>kalıcı</w:t>
      </w:r>
      <w:r>
        <w:rPr>
          <w:spacing w:val="-9"/>
        </w:rPr>
        <w:t xml:space="preserve"> </w:t>
      </w:r>
      <w:r>
        <w:t>bir</w:t>
      </w:r>
      <w:r>
        <w:rPr>
          <w:spacing w:val="-12"/>
        </w:rPr>
        <w:t xml:space="preserve"> </w:t>
      </w:r>
      <w:r>
        <w:t>uyum</w:t>
      </w:r>
      <w:r>
        <w:rPr>
          <w:spacing w:val="-11"/>
        </w:rPr>
        <w:t xml:space="preserve"> </w:t>
      </w:r>
      <w:r>
        <w:t>içinde</w:t>
      </w:r>
      <w:r>
        <w:rPr>
          <w:spacing w:val="-13"/>
        </w:rPr>
        <w:t xml:space="preserve"> </w:t>
      </w:r>
      <w:r>
        <w:t>olmasını</w:t>
      </w:r>
      <w:r>
        <w:rPr>
          <w:spacing w:val="-7"/>
        </w:rPr>
        <w:t xml:space="preserve"> </w:t>
      </w:r>
      <w:r>
        <w:t>gerektirmektedir (Kılıç, 2009: 4).</w:t>
      </w:r>
    </w:p>
    <w:p w14:paraId="05346B18">
      <w:pPr>
        <w:pStyle w:val="9"/>
        <w:spacing w:before="120" w:after="120" w:line="360" w:lineRule="auto"/>
        <w:ind w:left="0" w:firstLine="567"/>
      </w:pPr>
      <w:r>
        <w:t>Psikolojik</w:t>
      </w:r>
      <w:r>
        <w:rPr>
          <w:spacing w:val="-8"/>
        </w:rPr>
        <w:t xml:space="preserve"> </w:t>
      </w:r>
      <w:r>
        <w:t>olarak</w:t>
      </w:r>
      <w:r>
        <w:rPr>
          <w:spacing w:val="-8"/>
        </w:rPr>
        <w:t xml:space="preserve"> </w:t>
      </w:r>
      <w:r>
        <w:t>sağlıklı</w:t>
      </w:r>
      <w:r>
        <w:rPr>
          <w:spacing w:val="-8"/>
        </w:rPr>
        <w:t xml:space="preserve"> </w:t>
      </w:r>
      <w:r>
        <w:t>bir</w:t>
      </w:r>
      <w:r>
        <w:rPr>
          <w:spacing w:val="-9"/>
        </w:rPr>
        <w:t xml:space="preserve"> </w:t>
      </w:r>
      <w:r>
        <w:t>birey</w:t>
      </w:r>
      <w:r>
        <w:rPr>
          <w:spacing w:val="-11"/>
        </w:rPr>
        <w:t xml:space="preserve"> </w:t>
      </w:r>
      <w:r>
        <w:t>olgun</w:t>
      </w:r>
      <w:r>
        <w:rPr>
          <w:spacing w:val="-6"/>
        </w:rPr>
        <w:t xml:space="preserve"> </w:t>
      </w:r>
      <w:r>
        <w:t>insanlardan</w:t>
      </w:r>
      <w:r>
        <w:rPr>
          <w:spacing w:val="-8"/>
        </w:rPr>
        <w:t xml:space="preserve"> </w:t>
      </w:r>
      <w:r>
        <w:t>müteşekkil</w:t>
      </w:r>
      <w:r>
        <w:rPr>
          <w:spacing w:val="-8"/>
        </w:rPr>
        <w:t xml:space="preserve"> </w:t>
      </w:r>
      <w:r>
        <w:t>bir</w:t>
      </w:r>
      <w:r>
        <w:rPr>
          <w:spacing w:val="-6"/>
        </w:rPr>
        <w:t xml:space="preserve"> </w:t>
      </w:r>
      <w:r>
        <w:t>toplumu</w:t>
      </w:r>
      <w:r>
        <w:rPr>
          <w:spacing w:val="-8"/>
        </w:rPr>
        <w:t xml:space="preserve"> </w:t>
      </w:r>
      <w:r>
        <w:t>beslemektedir. Böyle kişiliklere sahip bireyler, toplumdaki yerinin ve görevlerinin bilincindedir. Bununla birlikte, modern hayatın beraberinde getirdiği yoğunluk ve</w:t>
      </w:r>
      <w:r>
        <w:rPr>
          <w:spacing w:val="-1"/>
        </w:rPr>
        <w:t xml:space="preserve"> </w:t>
      </w:r>
      <w:r>
        <w:t>problemler</w:t>
      </w:r>
      <w:r>
        <w:rPr>
          <w:spacing w:val="-1"/>
        </w:rPr>
        <w:t xml:space="preserve"> </w:t>
      </w:r>
      <w:r>
        <w:t>bireyin psikolojisini olumsuz etkilemektedir. Bu çerçevede, rejenere olmak üzere bireyler rekreasyonel aktivitelere ihtiyaç duymaktadırlar. Bireyler</w:t>
      </w:r>
      <w:r>
        <w:rPr>
          <w:spacing w:val="-1"/>
        </w:rPr>
        <w:t xml:space="preserve"> </w:t>
      </w:r>
      <w:r>
        <w:t>boş zamanlarını olumlu değerlendirdiklerinde, fiziki ve zihni gelişimlerini artırarak dışa dönük bir kişilik geliştirmektedir. Bu kapsamda, rekreasyon</w:t>
      </w:r>
      <w:r>
        <w:rPr>
          <w:spacing w:val="-5"/>
        </w:rPr>
        <w:t xml:space="preserve"> </w:t>
      </w:r>
      <w:r>
        <w:t>aktivitelerinin</w:t>
      </w:r>
      <w:r>
        <w:rPr>
          <w:spacing w:val="-5"/>
        </w:rPr>
        <w:t xml:space="preserve"> </w:t>
      </w:r>
      <w:r>
        <w:t>olumlu</w:t>
      </w:r>
      <w:r>
        <w:rPr>
          <w:spacing w:val="-5"/>
        </w:rPr>
        <w:t xml:space="preserve"> </w:t>
      </w:r>
      <w:r>
        <w:t>psikolojik</w:t>
      </w:r>
      <w:r>
        <w:rPr>
          <w:spacing w:val="-5"/>
        </w:rPr>
        <w:t xml:space="preserve"> </w:t>
      </w:r>
      <w:r>
        <w:t>etkileri</w:t>
      </w:r>
      <w:r>
        <w:rPr>
          <w:spacing w:val="-5"/>
        </w:rPr>
        <w:t xml:space="preserve"> </w:t>
      </w:r>
      <w:r>
        <w:t>vardır.</w:t>
      </w:r>
      <w:r>
        <w:rPr>
          <w:spacing w:val="-5"/>
        </w:rPr>
        <w:t xml:space="preserve"> </w:t>
      </w:r>
      <w:r>
        <w:t>Psikiyatrik</w:t>
      </w:r>
      <w:r>
        <w:rPr>
          <w:spacing w:val="-5"/>
        </w:rPr>
        <w:t xml:space="preserve"> </w:t>
      </w:r>
      <w:r>
        <w:t>rekreasyon</w:t>
      </w:r>
      <w:r>
        <w:rPr>
          <w:spacing w:val="-5"/>
        </w:rPr>
        <w:t xml:space="preserve"> </w:t>
      </w:r>
      <w:r>
        <w:t>denge</w:t>
      </w:r>
      <w:r>
        <w:rPr>
          <w:spacing w:val="-6"/>
        </w:rPr>
        <w:t xml:space="preserve"> </w:t>
      </w:r>
      <w:r>
        <w:t>ve mutluluk sağlamaktadır( Ferguson, vd.,2020:809).</w:t>
      </w:r>
    </w:p>
    <w:p w14:paraId="6F8C7B4B">
      <w:pPr>
        <w:pStyle w:val="9"/>
        <w:spacing w:before="120" w:after="120" w:line="360" w:lineRule="auto"/>
        <w:ind w:left="0" w:firstLine="567"/>
      </w:pPr>
      <w:r>
        <w:t>Rekreasyonel aktiviteler hastalıkların önlenmesi kadar bireyin psikolojisinin de korunmasında</w:t>
      </w:r>
      <w:r>
        <w:rPr>
          <w:spacing w:val="5"/>
        </w:rPr>
        <w:t xml:space="preserve"> </w:t>
      </w:r>
      <w:r>
        <w:t>da</w:t>
      </w:r>
      <w:r>
        <w:rPr>
          <w:spacing w:val="9"/>
        </w:rPr>
        <w:t xml:space="preserve"> </w:t>
      </w:r>
      <w:r>
        <w:t>önemli</w:t>
      </w:r>
      <w:r>
        <w:rPr>
          <w:spacing w:val="8"/>
        </w:rPr>
        <w:t xml:space="preserve"> </w:t>
      </w:r>
      <w:r>
        <w:t>bir</w:t>
      </w:r>
      <w:r>
        <w:rPr>
          <w:spacing w:val="10"/>
        </w:rPr>
        <w:t xml:space="preserve"> </w:t>
      </w:r>
      <w:r>
        <w:t>rol</w:t>
      </w:r>
      <w:r>
        <w:rPr>
          <w:spacing w:val="8"/>
        </w:rPr>
        <w:t xml:space="preserve"> </w:t>
      </w:r>
      <w:r>
        <w:t>oynamaktadır</w:t>
      </w:r>
      <w:r>
        <w:rPr>
          <w:spacing w:val="10"/>
        </w:rPr>
        <w:t xml:space="preserve"> </w:t>
      </w:r>
      <w:r>
        <w:t>(Kılıç,</w:t>
      </w:r>
      <w:r>
        <w:rPr>
          <w:spacing w:val="9"/>
        </w:rPr>
        <w:t xml:space="preserve"> </w:t>
      </w:r>
      <w:r>
        <w:t>2009:5).</w:t>
      </w:r>
      <w:r>
        <w:rPr>
          <w:spacing w:val="7"/>
        </w:rPr>
        <w:t xml:space="preserve"> </w:t>
      </w:r>
      <w:r>
        <w:t>Rekreasyonel</w:t>
      </w:r>
      <w:r>
        <w:rPr>
          <w:spacing w:val="8"/>
        </w:rPr>
        <w:t xml:space="preserve"> </w:t>
      </w:r>
      <w:r>
        <w:t>faaliyetler</w:t>
      </w:r>
      <w:r>
        <w:rPr>
          <w:spacing w:val="8"/>
        </w:rPr>
        <w:t xml:space="preserve"> </w:t>
      </w:r>
      <w:r>
        <w:rPr>
          <w:spacing w:val="-5"/>
        </w:rPr>
        <w:t>bir</w:t>
      </w:r>
      <w:r>
        <w:t xml:space="preserve"> bütün içinde değerlendirildiğinde psikolojik yararları oldukça çoktur. Rekreasyonel aktivitelerin bireylere psikolojik faydaları şu şekilde sıralanabilmektedir (Kayhalak, 2018: </w:t>
      </w:r>
      <w:r>
        <w:rPr>
          <w:spacing w:val="-4"/>
        </w:rPr>
        <w:t>1):</w:t>
      </w:r>
    </w:p>
    <w:p w14:paraId="53B2A3E8">
      <w:pPr>
        <w:pStyle w:val="28"/>
        <w:numPr>
          <w:ilvl w:val="0"/>
          <w:numId w:val="4"/>
        </w:numPr>
        <w:tabs>
          <w:tab w:val="left" w:pos="880"/>
        </w:tabs>
        <w:spacing w:before="120" w:after="120" w:line="360" w:lineRule="auto"/>
        <w:ind w:left="0" w:firstLine="567"/>
        <w:rPr>
          <w:sz w:val="24"/>
        </w:rPr>
      </w:pPr>
      <w:r>
        <w:rPr>
          <w:sz w:val="24"/>
        </w:rPr>
        <w:t>Bireyde</w:t>
      </w:r>
      <w:r>
        <w:rPr>
          <w:spacing w:val="-5"/>
          <w:sz w:val="24"/>
        </w:rPr>
        <w:t xml:space="preserve"> </w:t>
      </w:r>
      <w:r>
        <w:rPr>
          <w:sz w:val="24"/>
        </w:rPr>
        <w:t>memnuniyet</w:t>
      </w:r>
      <w:r>
        <w:rPr>
          <w:spacing w:val="4"/>
          <w:sz w:val="24"/>
        </w:rPr>
        <w:t xml:space="preserve"> </w:t>
      </w:r>
      <w:r>
        <w:rPr>
          <w:sz w:val="24"/>
        </w:rPr>
        <w:t>yaratır,</w:t>
      </w:r>
      <w:r>
        <w:rPr>
          <w:spacing w:val="-2"/>
          <w:sz w:val="24"/>
        </w:rPr>
        <w:t xml:space="preserve"> </w:t>
      </w:r>
      <w:r>
        <w:rPr>
          <w:sz w:val="24"/>
        </w:rPr>
        <w:t>moral</w:t>
      </w:r>
      <w:r>
        <w:rPr>
          <w:spacing w:val="-1"/>
          <w:sz w:val="24"/>
        </w:rPr>
        <w:t xml:space="preserve"> </w:t>
      </w:r>
      <w:r>
        <w:rPr>
          <w:sz w:val="24"/>
        </w:rPr>
        <w:t>aşılar</w:t>
      </w:r>
      <w:r>
        <w:rPr>
          <w:spacing w:val="-3"/>
          <w:sz w:val="24"/>
        </w:rPr>
        <w:t xml:space="preserve"> </w:t>
      </w:r>
      <w:r>
        <w:rPr>
          <w:sz w:val="24"/>
        </w:rPr>
        <w:t>ve</w:t>
      </w:r>
      <w:r>
        <w:rPr>
          <w:spacing w:val="-2"/>
          <w:sz w:val="24"/>
        </w:rPr>
        <w:t xml:space="preserve"> </w:t>
      </w:r>
      <w:r>
        <w:rPr>
          <w:sz w:val="24"/>
        </w:rPr>
        <w:t>mutlu</w:t>
      </w:r>
      <w:r>
        <w:rPr>
          <w:spacing w:val="-1"/>
          <w:sz w:val="24"/>
        </w:rPr>
        <w:t xml:space="preserve"> </w:t>
      </w:r>
      <w:r>
        <w:rPr>
          <w:spacing w:val="-2"/>
          <w:sz w:val="24"/>
        </w:rPr>
        <w:t>eder.</w:t>
      </w:r>
    </w:p>
    <w:p w14:paraId="48E68893">
      <w:pPr>
        <w:pStyle w:val="28"/>
        <w:numPr>
          <w:ilvl w:val="0"/>
          <w:numId w:val="4"/>
        </w:numPr>
        <w:tabs>
          <w:tab w:val="left" w:pos="880"/>
        </w:tabs>
        <w:spacing w:before="120" w:after="120" w:line="360" w:lineRule="auto"/>
        <w:ind w:left="0" w:firstLine="567"/>
        <w:rPr>
          <w:sz w:val="24"/>
        </w:rPr>
      </w:pPr>
      <w:r>
        <w:rPr>
          <w:sz w:val="24"/>
        </w:rPr>
        <w:t>Rekreasyonel</w:t>
      </w:r>
      <w:r>
        <w:rPr>
          <w:spacing w:val="-12"/>
          <w:sz w:val="24"/>
        </w:rPr>
        <w:t xml:space="preserve"> </w:t>
      </w:r>
      <w:r>
        <w:rPr>
          <w:sz w:val="24"/>
        </w:rPr>
        <w:t>aktivitelere</w:t>
      </w:r>
      <w:r>
        <w:rPr>
          <w:spacing w:val="-11"/>
          <w:sz w:val="24"/>
        </w:rPr>
        <w:t xml:space="preserve"> </w:t>
      </w:r>
      <w:r>
        <w:rPr>
          <w:sz w:val="24"/>
        </w:rPr>
        <w:t>katılmak</w:t>
      </w:r>
      <w:r>
        <w:rPr>
          <w:spacing w:val="-15"/>
          <w:sz w:val="24"/>
        </w:rPr>
        <w:t xml:space="preserve"> </w:t>
      </w:r>
      <w:r>
        <w:rPr>
          <w:sz w:val="24"/>
        </w:rPr>
        <w:t>insanların</w:t>
      </w:r>
      <w:r>
        <w:rPr>
          <w:spacing w:val="-15"/>
          <w:sz w:val="24"/>
        </w:rPr>
        <w:t xml:space="preserve"> </w:t>
      </w:r>
      <w:r>
        <w:rPr>
          <w:sz w:val="24"/>
        </w:rPr>
        <w:t>sosyal</w:t>
      </w:r>
      <w:r>
        <w:rPr>
          <w:spacing w:val="-14"/>
          <w:sz w:val="24"/>
        </w:rPr>
        <w:t xml:space="preserve"> </w:t>
      </w:r>
      <w:r>
        <w:rPr>
          <w:sz w:val="24"/>
        </w:rPr>
        <w:t>statülerini</w:t>
      </w:r>
      <w:r>
        <w:rPr>
          <w:spacing w:val="-12"/>
          <w:sz w:val="24"/>
        </w:rPr>
        <w:t xml:space="preserve"> </w:t>
      </w:r>
      <w:r>
        <w:rPr>
          <w:sz w:val="24"/>
        </w:rPr>
        <w:t>yükseltmekle</w:t>
      </w:r>
      <w:r>
        <w:rPr>
          <w:spacing w:val="-15"/>
          <w:sz w:val="24"/>
        </w:rPr>
        <w:t xml:space="preserve"> </w:t>
      </w:r>
      <w:r>
        <w:rPr>
          <w:sz w:val="24"/>
        </w:rPr>
        <w:t>onların ruhi sağlıklarını olumlu yönde etkiler.</w:t>
      </w:r>
    </w:p>
    <w:p w14:paraId="3C34ADF3">
      <w:pPr>
        <w:pStyle w:val="28"/>
        <w:numPr>
          <w:ilvl w:val="0"/>
          <w:numId w:val="4"/>
        </w:numPr>
        <w:tabs>
          <w:tab w:val="left" w:pos="880"/>
        </w:tabs>
        <w:spacing w:before="120" w:after="120" w:line="360" w:lineRule="auto"/>
        <w:ind w:left="0" w:firstLine="567"/>
        <w:rPr>
          <w:sz w:val="24"/>
        </w:rPr>
      </w:pPr>
      <w:r>
        <w:rPr>
          <w:sz w:val="24"/>
        </w:rPr>
        <w:t>Bireyin</w:t>
      </w:r>
      <w:r>
        <w:rPr>
          <w:spacing w:val="-2"/>
          <w:sz w:val="24"/>
        </w:rPr>
        <w:t xml:space="preserve"> </w:t>
      </w:r>
      <w:r>
        <w:rPr>
          <w:sz w:val="24"/>
        </w:rPr>
        <w:t>karakterinin</w:t>
      </w:r>
      <w:r>
        <w:rPr>
          <w:spacing w:val="-1"/>
          <w:sz w:val="24"/>
        </w:rPr>
        <w:t xml:space="preserve"> </w:t>
      </w:r>
      <w:r>
        <w:rPr>
          <w:sz w:val="24"/>
        </w:rPr>
        <w:t>gelişimine</w:t>
      </w:r>
      <w:r>
        <w:rPr>
          <w:spacing w:val="-1"/>
          <w:sz w:val="24"/>
        </w:rPr>
        <w:t xml:space="preserve"> </w:t>
      </w:r>
      <w:r>
        <w:rPr>
          <w:sz w:val="24"/>
        </w:rPr>
        <w:t>pozitif</w:t>
      </w:r>
      <w:r>
        <w:rPr>
          <w:spacing w:val="-1"/>
          <w:sz w:val="24"/>
        </w:rPr>
        <w:t xml:space="preserve"> </w:t>
      </w:r>
      <w:r>
        <w:rPr>
          <w:sz w:val="24"/>
        </w:rPr>
        <w:t>katkılar</w:t>
      </w:r>
      <w:r>
        <w:rPr>
          <w:spacing w:val="-3"/>
          <w:sz w:val="24"/>
        </w:rPr>
        <w:t xml:space="preserve"> </w:t>
      </w:r>
      <w:r>
        <w:rPr>
          <w:spacing w:val="-2"/>
          <w:sz w:val="24"/>
        </w:rPr>
        <w:t>sunar.</w:t>
      </w:r>
    </w:p>
    <w:p w14:paraId="2C75BDE2">
      <w:pPr>
        <w:pStyle w:val="28"/>
        <w:numPr>
          <w:ilvl w:val="0"/>
          <w:numId w:val="4"/>
        </w:numPr>
        <w:tabs>
          <w:tab w:val="left" w:pos="880"/>
        </w:tabs>
        <w:spacing w:before="120" w:after="120" w:line="360" w:lineRule="auto"/>
        <w:ind w:left="0" w:firstLine="567"/>
        <w:rPr>
          <w:sz w:val="24"/>
        </w:rPr>
      </w:pPr>
      <w:r>
        <w:rPr>
          <w:sz w:val="24"/>
        </w:rPr>
        <w:t>Bireyin</w:t>
      </w:r>
      <w:r>
        <w:rPr>
          <w:spacing w:val="-2"/>
          <w:sz w:val="24"/>
        </w:rPr>
        <w:t xml:space="preserve"> </w:t>
      </w:r>
      <w:r>
        <w:rPr>
          <w:sz w:val="24"/>
        </w:rPr>
        <w:t>suça</w:t>
      </w:r>
      <w:r>
        <w:rPr>
          <w:spacing w:val="-3"/>
          <w:sz w:val="24"/>
        </w:rPr>
        <w:t xml:space="preserve"> </w:t>
      </w:r>
      <w:r>
        <w:rPr>
          <w:sz w:val="24"/>
        </w:rPr>
        <w:t>eğilimini</w:t>
      </w:r>
      <w:r>
        <w:rPr>
          <w:spacing w:val="-1"/>
          <w:sz w:val="24"/>
        </w:rPr>
        <w:t xml:space="preserve"> </w:t>
      </w:r>
      <w:r>
        <w:rPr>
          <w:spacing w:val="-2"/>
          <w:sz w:val="24"/>
        </w:rPr>
        <w:t>azaltır.</w:t>
      </w:r>
    </w:p>
    <w:p w14:paraId="0B17BE66">
      <w:pPr>
        <w:pStyle w:val="28"/>
        <w:numPr>
          <w:ilvl w:val="0"/>
          <w:numId w:val="4"/>
        </w:numPr>
        <w:tabs>
          <w:tab w:val="left" w:pos="880"/>
        </w:tabs>
        <w:spacing w:before="120" w:after="120" w:line="360" w:lineRule="auto"/>
        <w:ind w:left="0" w:firstLine="567"/>
        <w:rPr>
          <w:sz w:val="24"/>
        </w:rPr>
      </w:pPr>
      <w:r>
        <w:rPr>
          <w:sz w:val="24"/>
        </w:rPr>
        <w:t>Bireyin</w:t>
      </w:r>
      <w:r>
        <w:rPr>
          <w:spacing w:val="-3"/>
          <w:sz w:val="24"/>
        </w:rPr>
        <w:t xml:space="preserve"> </w:t>
      </w:r>
      <w:r>
        <w:rPr>
          <w:sz w:val="24"/>
        </w:rPr>
        <w:t>üretici</w:t>
      </w:r>
      <w:r>
        <w:rPr>
          <w:spacing w:val="-2"/>
          <w:sz w:val="24"/>
        </w:rPr>
        <w:t xml:space="preserve"> </w:t>
      </w:r>
      <w:r>
        <w:rPr>
          <w:sz w:val="24"/>
        </w:rPr>
        <w:t>ve</w:t>
      </w:r>
      <w:r>
        <w:rPr>
          <w:spacing w:val="1"/>
          <w:sz w:val="24"/>
        </w:rPr>
        <w:t xml:space="preserve"> </w:t>
      </w:r>
      <w:r>
        <w:rPr>
          <w:sz w:val="24"/>
        </w:rPr>
        <w:t>yaratıcı</w:t>
      </w:r>
      <w:r>
        <w:rPr>
          <w:spacing w:val="-2"/>
          <w:sz w:val="24"/>
        </w:rPr>
        <w:t xml:space="preserve"> </w:t>
      </w:r>
      <w:r>
        <w:rPr>
          <w:sz w:val="24"/>
        </w:rPr>
        <w:t>gücünün gelişmesini</w:t>
      </w:r>
      <w:r>
        <w:rPr>
          <w:spacing w:val="-2"/>
          <w:sz w:val="24"/>
        </w:rPr>
        <w:t xml:space="preserve"> sağlar.</w:t>
      </w:r>
    </w:p>
    <w:p w14:paraId="72E6D86A">
      <w:pPr>
        <w:pStyle w:val="28"/>
        <w:numPr>
          <w:ilvl w:val="0"/>
          <w:numId w:val="4"/>
        </w:numPr>
        <w:tabs>
          <w:tab w:val="left" w:pos="880"/>
        </w:tabs>
        <w:spacing w:before="120" w:after="120" w:line="360" w:lineRule="auto"/>
        <w:ind w:left="0" w:firstLine="567"/>
        <w:rPr>
          <w:sz w:val="24"/>
        </w:rPr>
      </w:pPr>
      <w:r>
        <w:rPr>
          <w:sz w:val="24"/>
        </w:rPr>
        <w:t>Entelektüel</w:t>
      </w:r>
      <w:r>
        <w:rPr>
          <w:spacing w:val="-4"/>
          <w:sz w:val="24"/>
        </w:rPr>
        <w:t xml:space="preserve"> </w:t>
      </w:r>
      <w:r>
        <w:rPr>
          <w:sz w:val="24"/>
        </w:rPr>
        <w:t>bakış</w:t>
      </w:r>
      <w:r>
        <w:rPr>
          <w:spacing w:val="-2"/>
          <w:sz w:val="24"/>
        </w:rPr>
        <w:t xml:space="preserve"> </w:t>
      </w:r>
      <w:r>
        <w:rPr>
          <w:sz w:val="24"/>
        </w:rPr>
        <w:t>açısını</w:t>
      </w:r>
      <w:r>
        <w:rPr>
          <w:spacing w:val="1"/>
          <w:sz w:val="24"/>
        </w:rPr>
        <w:t xml:space="preserve"> </w:t>
      </w:r>
      <w:r>
        <w:rPr>
          <w:sz w:val="24"/>
        </w:rPr>
        <w:t>geliştirir</w:t>
      </w:r>
      <w:r>
        <w:rPr>
          <w:spacing w:val="-3"/>
          <w:sz w:val="24"/>
        </w:rPr>
        <w:t xml:space="preserve"> </w:t>
      </w:r>
      <w:r>
        <w:rPr>
          <w:sz w:val="24"/>
        </w:rPr>
        <w:t>ve</w:t>
      </w:r>
      <w:r>
        <w:rPr>
          <w:spacing w:val="-2"/>
          <w:sz w:val="24"/>
        </w:rPr>
        <w:t xml:space="preserve"> </w:t>
      </w:r>
      <w:r>
        <w:rPr>
          <w:sz w:val="24"/>
        </w:rPr>
        <w:t>hayatına</w:t>
      </w:r>
      <w:r>
        <w:rPr>
          <w:spacing w:val="-2"/>
          <w:sz w:val="24"/>
        </w:rPr>
        <w:t xml:space="preserve"> </w:t>
      </w:r>
      <w:r>
        <w:rPr>
          <w:sz w:val="24"/>
        </w:rPr>
        <w:t>kalite</w:t>
      </w:r>
      <w:r>
        <w:rPr>
          <w:spacing w:val="-1"/>
          <w:sz w:val="24"/>
        </w:rPr>
        <w:t xml:space="preserve"> </w:t>
      </w:r>
      <w:r>
        <w:rPr>
          <w:spacing w:val="-2"/>
          <w:sz w:val="24"/>
        </w:rPr>
        <w:t>katar.</w:t>
      </w:r>
    </w:p>
    <w:p w14:paraId="0614CC7B">
      <w:pPr>
        <w:pStyle w:val="28"/>
        <w:numPr>
          <w:ilvl w:val="0"/>
          <w:numId w:val="4"/>
        </w:numPr>
        <w:tabs>
          <w:tab w:val="left" w:pos="880"/>
        </w:tabs>
        <w:spacing w:before="120" w:after="120" w:line="360" w:lineRule="auto"/>
        <w:ind w:left="0" w:firstLine="567"/>
        <w:rPr>
          <w:sz w:val="24"/>
        </w:rPr>
      </w:pPr>
      <w:r>
        <w:rPr>
          <w:sz w:val="24"/>
        </w:rPr>
        <w:t>Bireysel</w:t>
      </w:r>
      <w:r>
        <w:rPr>
          <w:spacing w:val="-2"/>
          <w:sz w:val="24"/>
        </w:rPr>
        <w:t xml:space="preserve"> </w:t>
      </w:r>
      <w:r>
        <w:rPr>
          <w:sz w:val="24"/>
        </w:rPr>
        <w:t>beceri</w:t>
      </w:r>
      <w:r>
        <w:rPr>
          <w:spacing w:val="-2"/>
          <w:sz w:val="24"/>
        </w:rPr>
        <w:t xml:space="preserve"> </w:t>
      </w:r>
      <w:r>
        <w:rPr>
          <w:sz w:val="24"/>
        </w:rPr>
        <w:t>ve</w:t>
      </w:r>
      <w:r>
        <w:rPr>
          <w:spacing w:val="-3"/>
          <w:sz w:val="24"/>
        </w:rPr>
        <w:t xml:space="preserve"> </w:t>
      </w:r>
      <w:r>
        <w:rPr>
          <w:sz w:val="24"/>
        </w:rPr>
        <w:t>kabiliyetlerin</w:t>
      </w:r>
      <w:r>
        <w:rPr>
          <w:spacing w:val="-2"/>
          <w:sz w:val="24"/>
        </w:rPr>
        <w:t xml:space="preserve"> </w:t>
      </w:r>
      <w:r>
        <w:rPr>
          <w:sz w:val="24"/>
        </w:rPr>
        <w:t>gelişmesini</w:t>
      </w:r>
      <w:r>
        <w:rPr>
          <w:spacing w:val="-1"/>
          <w:sz w:val="24"/>
        </w:rPr>
        <w:t xml:space="preserve"> </w:t>
      </w:r>
      <w:r>
        <w:rPr>
          <w:spacing w:val="-2"/>
          <w:sz w:val="24"/>
        </w:rPr>
        <w:t>sağlar.</w:t>
      </w:r>
    </w:p>
    <w:p w14:paraId="15200F18">
      <w:pPr>
        <w:pStyle w:val="28"/>
        <w:numPr>
          <w:ilvl w:val="0"/>
          <w:numId w:val="4"/>
        </w:numPr>
        <w:tabs>
          <w:tab w:val="left" w:pos="880"/>
        </w:tabs>
        <w:spacing w:before="120" w:after="120" w:line="360" w:lineRule="auto"/>
        <w:ind w:left="0" w:firstLine="567"/>
        <w:rPr>
          <w:sz w:val="24"/>
        </w:rPr>
      </w:pPr>
      <w:r>
        <w:rPr>
          <w:sz w:val="24"/>
        </w:rPr>
        <w:t>Bireyin</w:t>
      </w:r>
      <w:r>
        <w:rPr>
          <w:spacing w:val="-2"/>
          <w:sz w:val="24"/>
        </w:rPr>
        <w:t xml:space="preserve"> </w:t>
      </w:r>
      <w:r>
        <w:rPr>
          <w:sz w:val="24"/>
        </w:rPr>
        <w:t>iş</w:t>
      </w:r>
      <w:r>
        <w:rPr>
          <w:spacing w:val="-3"/>
          <w:sz w:val="24"/>
        </w:rPr>
        <w:t xml:space="preserve"> </w:t>
      </w:r>
      <w:r>
        <w:rPr>
          <w:sz w:val="24"/>
        </w:rPr>
        <w:t>hayatına</w:t>
      </w:r>
      <w:r>
        <w:rPr>
          <w:spacing w:val="-3"/>
          <w:sz w:val="24"/>
        </w:rPr>
        <w:t xml:space="preserve"> </w:t>
      </w:r>
      <w:r>
        <w:rPr>
          <w:sz w:val="24"/>
        </w:rPr>
        <w:t>olumlu</w:t>
      </w:r>
      <w:r>
        <w:rPr>
          <w:spacing w:val="-1"/>
          <w:sz w:val="24"/>
        </w:rPr>
        <w:t xml:space="preserve"> </w:t>
      </w:r>
      <w:r>
        <w:rPr>
          <w:sz w:val="24"/>
        </w:rPr>
        <w:t>katkıları</w:t>
      </w:r>
      <w:r>
        <w:rPr>
          <w:spacing w:val="-2"/>
          <w:sz w:val="24"/>
        </w:rPr>
        <w:t xml:space="preserve"> </w:t>
      </w:r>
      <w:r>
        <w:rPr>
          <w:sz w:val="24"/>
        </w:rPr>
        <w:t>olurken,</w:t>
      </w:r>
      <w:r>
        <w:rPr>
          <w:spacing w:val="-2"/>
          <w:sz w:val="24"/>
        </w:rPr>
        <w:t xml:space="preserve"> </w:t>
      </w:r>
      <w:r>
        <w:rPr>
          <w:sz w:val="24"/>
        </w:rPr>
        <w:t>iş</w:t>
      </w:r>
      <w:r>
        <w:rPr>
          <w:spacing w:val="-3"/>
          <w:sz w:val="24"/>
        </w:rPr>
        <w:t xml:space="preserve"> </w:t>
      </w:r>
      <w:r>
        <w:rPr>
          <w:sz w:val="24"/>
        </w:rPr>
        <w:t>verimliliğini</w:t>
      </w:r>
      <w:r>
        <w:rPr>
          <w:spacing w:val="-1"/>
          <w:sz w:val="24"/>
        </w:rPr>
        <w:t xml:space="preserve"> </w:t>
      </w:r>
      <w:r>
        <w:rPr>
          <w:spacing w:val="-2"/>
          <w:sz w:val="24"/>
        </w:rPr>
        <w:t>artırır.</w:t>
      </w:r>
    </w:p>
    <w:p w14:paraId="6702814D">
      <w:pPr>
        <w:pStyle w:val="28"/>
        <w:numPr>
          <w:ilvl w:val="0"/>
          <w:numId w:val="4"/>
        </w:numPr>
        <w:tabs>
          <w:tab w:val="left" w:pos="880"/>
        </w:tabs>
        <w:spacing w:before="120" w:after="120" w:line="360" w:lineRule="auto"/>
        <w:ind w:left="0" w:firstLine="567"/>
        <w:rPr>
          <w:sz w:val="24"/>
        </w:rPr>
      </w:pPr>
      <w:r>
        <w:rPr>
          <w:sz w:val="24"/>
        </w:rPr>
        <w:t>Grup</w:t>
      </w:r>
      <w:r>
        <w:rPr>
          <w:spacing w:val="-7"/>
          <w:sz w:val="24"/>
        </w:rPr>
        <w:t xml:space="preserve"> </w:t>
      </w:r>
      <w:r>
        <w:rPr>
          <w:sz w:val="24"/>
        </w:rPr>
        <w:t>rekreasyon</w:t>
      </w:r>
      <w:r>
        <w:rPr>
          <w:spacing w:val="-2"/>
          <w:sz w:val="24"/>
        </w:rPr>
        <w:t xml:space="preserve"> </w:t>
      </w:r>
      <w:r>
        <w:rPr>
          <w:sz w:val="24"/>
        </w:rPr>
        <w:t>aktiviteleri</w:t>
      </w:r>
      <w:r>
        <w:rPr>
          <w:spacing w:val="-4"/>
          <w:sz w:val="24"/>
        </w:rPr>
        <w:t xml:space="preserve"> </w:t>
      </w:r>
      <w:r>
        <w:rPr>
          <w:sz w:val="24"/>
        </w:rPr>
        <w:t>bireylerin yalnızlığını</w:t>
      </w:r>
      <w:r>
        <w:rPr>
          <w:spacing w:val="-1"/>
          <w:sz w:val="24"/>
        </w:rPr>
        <w:t xml:space="preserve"> </w:t>
      </w:r>
      <w:r>
        <w:rPr>
          <w:sz w:val="24"/>
        </w:rPr>
        <w:t>ortadan</w:t>
      </w:r>
      <w:r>
        <w:rPr>
          <w:spacing w:val="-4"/>
          <w:sz w:val="24"/>
        </w:rPr>
        <w:t xml:space="preserve"> </w:t>
      </w:r>
      <w:r>
        <w:rPr>
          <w:spacing w:val="-2"/>
          <w:sz w:val="24"/>
        </w:rPr>
        <w:t>kaldırır.</w:t>
      </w:r>
    </w:p>
    <w:p w14:paraId="54EBF65C">
      <w:pPr>
        <w:pStyle w:val="28"/>
        <w:numPr>
          <w:ilvl w:val="0"/>
          <w:numId w:val="4"/>
        </w:numPr>
        <w:tabs>
          <w:tab w:val="left" w:pos="880"/>
        </w:tabs>
        <w:spacing w:before="120" w:after="120" w:line="360" w:lineRule="auto"/>
        <w:ind w:left="0" w:firstLine="567"/>
        <w:rPr>
          <w:sz w:val="24"/>
        </w:rPr>
      </w:pPr>
      <w:r>
        <w:rPr>
          <w:sz w:val="24"/>
        </w:rPr>
        <w:t>Bu etkinlikler, bireyin sosyal zekasının ve kişiliğinin gelişmesine katkı sunarken,</w:t>
      </w:r>
      <w:r>
        <w:rPr>
          <w:spacing w:val="40"/>
          <w:sz w:val="24"/>
        </w:rPr>
        <w:t xml:space="preserve"> </w:t>
      </w:r>
      <w:r>
        <w:rPr>
          <w:sz w:val="24"/>
        </w:rPr>
        <w:t>sosyalleşmeyi sağlar.</w:t>
      </w:r>
    </w:p>
    <w:p w14:paraId="2A138929">
      <w:pPr>
        <w:pStyle w:val="3"/>
        <w:tabs>
          <w:tab w:val="left" w:pos="516"/>
        </w:tabs>
        <w:spacing w:before="240" w:after="240" w:line="360" w:lineRule="auto"/>
        <w:ind w:left="567"/>
      </w:pPr>
      <w:bookmarkStart w:id="48" w:name="_Toc195875790"/>
      <w:bookmarkStart w:id="49" w:name="_Toc195877774"/>
      <w:bookmarkStart w:id="50" w:name="_Toc197351227"/>
      <w:r>
        <w:t>2.2. Sanal</w:t>
      </w:r>
      <w:r>
        <w:rPr>
          <w:spacing w:val="-1"/>
        </w:rPr>
        <w:t xml:space="preserve"> </w:t>
      </w:r>
      <w:r>
        <w:rPr>
          <w:spacing w:val="-2"/>
        </w:rPr>
        <w:t>Gerçeklik</w:t>
      </w:r>
      <w:bookmarkEnd w:id="48"/>
      <w:bookmarkEnd w:id="49"/>
      <w:bookmarkEnd w:id="50"/>
    </w:p>
    <w:p w14:paraId="05D48972">
      <w:pPr>
        <w:pStyle w:val="4"/>
        <w:spacing w:before="240" w:after="240" w:line="360" w:lineRule="auto"/>
        <w:ind w:left="567" w:firstLine="0"/>
        <w:rPr>
          <w:i w:val="0"/>
        </w:rPr>
      </w:pPr>
      <w:bookmarkStart w:id="51" w:name="_Toc197351228"/>
      <w:bookmarkStart w:id="52" w:name="_Toc195877775"/>
      <w:bookmarkStart w:id="53" w:name="_Toc195875791"/>
      <w:r>
        <w:rPr>
          <w:i w:val="0"/>
        </w:rPr>
        <w:t>2.2.1. Sanal</w:t>
      </w:r>
      <w:r>
        <w:rPr>
          <w:i w:val="0"/>
          <w:spacing w:val="-2"/>
        </w:rPr>
        <w:t xml:space="preserve"> </w:t>
      </w:r>
      <w:r>
        <w:rPr>
          <w:i w:val="0"/>
        </w:rPr>
        <w:t>Gerçeklik</w:t>
      </w:r>
      <w:r>
        <w:rPr>
          <w:i w:val="0"/>
          <w:spacing w:val="-2"/>
        </w:rPr>
        <w:t xml:space="preserve"> </w:t>
      </w:r>
      <w:r>
        <w:rPr>
          <w:i w:val="0"/>
        </w:rPr>
        <w:t>(Virtual</w:t>
      </w:r>
      <w:r>
        <w:rPr>
          <w:i w:val="0"/>
          <w:spacing w:val="-1"/>
        </w:rPr>
        <w:t xml:space="preserve"> </w:t>
      </w:r>
      <w:r>
        <w:rPr>
          <w:i w:val="0"/>
        </w:rPr>
        <w:t>Reality-</w:t>
      </w:r>
      <w:r>
        <w:rPr>
          <w:i w:val="0"/>
          <w:spacing w:val="-3"/>
        </w:rPr>
        <w:t xml:space="preserve"> </w:t>
      </w:r>
      <w:r>
        <w:rPr>
          <w:i w:val="0"/>
        </w:rPr>
        <w:t>VR)</w:t>
      </w:r>
      <w:r>
        <w:rPr>
          <w:i w:val="0"/>
          <w:spacing w:val="-1"/>
        </w:rPr>
        <w:t xml:space="preserve"> </w:t>
      </w:r>
      <w:r>
        <w:rPr>
          <w:i w:val="0"/>
          <w:spacing w:val="-2"/>
        </w:rPr>
        <w:t>Kavramı</w:t>
      </w:r>
      <w:bookmarkEnd w:id="51"/>
      <w:bookmarkEnd w:id="52"/>
      <w:bookmarkEnd w:id="53"/>
    </w:p>
    <w:p w14:paraId="64F49108">
      <w:pPr>
        <w:pStyle w:val="9"/>
        <w:spacing w:before="120" w:after="120" w:line="360" w:lineRule="auto"/>
        <w:ind w:left="0" w:firstLine="567"/>
      </w:pPr>
      <w:r>
        <w:t>Sanal gerçeklik, günümüzde kültürden sanata, bilgi sistemlerinden pedagojiye, savunma sektöründen medikal sektöre, rekreasyon ve seyahat endüstrisine kadar birçok alanda kendini gösteren ve geniş bir kullanım yelpazesi sunan bir olgu haline gelmiştir (Yücel, 2016: 412).</w:t>
      </w:r>
    </w:p>
    <w:p w14:paraId="7F417EBE">
      <w:pPr>
        <w:pStyle w:val="9"/>
        <w:spacing w:before="120" w:after="120" w:line="360" w:lineRule="auto"/>
        <w:ind w:left="0" w:firstLine="567"/>
      </w:pPr>
      <w:r>
        <w:t xml:space="preserve">'Sanal' terimi, Latincede 'virtualis' kelimesinden türetilmiş olup, kökeni 'sanmak' eylemine dayanmaktadır. Bu terim, gerçek dünyada mevcut olmayan fakat zihinsel ya da duygusal olarak var olduğuna inanılan olgular, olaylar veya mekanlar için kullanılır. Aynı zamanda, insanların realiteye dair kavrayışları subjektif olabilir. Aynı konuyu ele alırken çeşitli görüşler ortaya çıkabilir ve aynı objeler üzerinden farklı izlenimler ve deneyimler yaşanabilir. Bu yüzden, sanal terimi, bireylerde oluşturduğu çeşitli duyu algılarıyla, realitenin bir zıddı değil, bir simülasyon veya taklit olarak tanımlanabilir (Ferhat, 2016: </w:t>
      </w:r>
      <w:r>
        <w:rPr>
          <w:spacing w:val="-2"/>
        </w:rPr>
        <w:t>725).</w:t>
      </w:r>
    </w:p>
    <w:p w14:paraId="6D644E64">
      <w:pPr>
        <w:pStyle w:val="9"/>
        <w:spacing w:before="120" w:after="120" w:line="360" w:lineRule="auto"/>
        <w:ind w:left="0" w:firstLine="567"/>
      </w:pPr>
      <w:r>
        <w:t>Sanal gerçeklik terimi, paradoksal bir yapıda olan 'sanal' ve 'gerçeklik' kelimelerinin birleşmesiyle oluşur ve bilgisayarlar yardımıyla yaratılan bir dünyada kullanıcılarına hem gerçek</w:t>
      </w:r>
      <w:r>
        <w:rPr>
          <w:spacing w:val="-4"/>
        </w:rPr>
        <w:t xml:space="preserve"> </w:t>
      </w:r>
      <w:r>
        <w:t>hem</w:t>
      </w:r>
      <w:r>
        <w:rPr>
          <w:spacing w:val="-4"/>
        </w:rPr>
        <w:t xml:space="preserve"> </w:t>
      </w:r>
      <w:r>
        <w:t>de</w:t>
      </w:r>
      <w:r>
        <w:rPr>
          <w:spacing w:val="-5"/>
        </w:rPr>
        <w:t xml:space="preserve"> </w:t>
      </w:r>
      <w:r>
        <w:t>kurgusal</w:t>
      </w:r>
      <w:r>
        <w:rPr>
          <w:spacing w:val="-4"/>
        </w:rPr>
        <w:t xml:space="preserve"> </w:t>
      </w:r>
      <w:r>
        <w:t>simüle</w:t>
      </w:r>
      <w:r>
        <w:rPr>
          <w:spacing w:val="-5"/>
        </w:rPr>
        <w:t xml:space="preserve"> </w:t>
      </w:r>
      <w:r>
        <w:t>edilmiş</w:t>
      </w:r>
      <w:r>
        <w:rPr>
          <w:spacing w:val="-7"/>
        </w:rPr>
        <w:t xml:space="preserve"> </w:t>
      </w:r>
      <w:r>
        <w:t>deneyimler</w:t>
      </w:r>
      <w:r>
        <w:rPr>
          <w:spacing w:val="-4"/>
        </w:rPr>
        <w:t xml:space="preserve"> </w:t>
      </w:r>
      <w:r>
        <w:t>sunan</w:t>
      </w:r>
      <w:r>
        <w:rPr>
          <w:spacing w:val="-4"/>
        </w:rPr>
        <w:t xml:space="preserve"> </w:t>
      </w:r>
      <w:r>
        <w:t>etkileşimli</w:t>
      </w:r>
      <w:r>
        <w:rPr>
          <w:spacing w:val="-6"/>
        </w:rPr>
        <w:t xml:space="preserve"> </w:t>
      </w:r>
      <w:r>
        <w:t>bir</w:t>
      </w:r>
      <w:r>
        <w:rPr>
          <w:spacing w:val="-4"/>
        </w:rPr>
        <w:t xml:space="preserve"> </w:t>
      </w:r>
      <w:r>
        <w:t>simülasyon</w:t>
      </w:r>
      <w:r>
        <w:rPr>
          <w:spacing w:val="-4"/>
        </w:rPr>
        <w:t xml:space="preserve"> </w:t>
      </w:r>
      <w:r>
        <w:t>modeli olarak karakterize edilir. Alternatif bir açıklamaya göre, sanal gerçeklik, bir dizi görsel grafikler, animasyonlar ve özgün ses efektleri kullanarak oluşturulan bir sanal mekanın, insan duyularıyla entegre edilerek, bireylerin kendilerini bu ortamın bir unsuru gibi hissetmelerini</w:t>
      </w:r>
      <w:r>
        <w:rPr>
          <w:spacing w:val="-1"/>
        </w:rPr>
        <w:t xml:space="preserve"> </w:t>
      </w:r>
      <w:r>
        <w:t>sağlayan</w:t>
      </w:r>
      <w:r>
        <w:rPr>
          <w:spacing w:val="-1"/>
        </w:rPr>
        <w:t xml:space="preserve"> </w:t>
      </w:r>
      <w:r>
        <w:t>bir yapıdır.</w:t>
      </w:r>
      <w:r>
        <w:rPr>
          <w:spacing w:val="-2"/>
        </w:rPr>
        <w:t xml:space="preserve"> </w:t>
      </w:r>
      <w:r>
        <w:t>Sanal</w:t>
      </w:r>
      <w:r>
        <w:rPr>
          <w:spacing w:val="-1"/>
        </w:rPr>
        <w:t xml:space="preserve"> </w:t>
      </w:r>
      <w:r>
        <w:t>alan,</w:t>
      </w:r>
      <w:r>
        <w:rPr>
          <w:spacing w:val="-2"/>
        </w:rPr>
        <w:t xml:space="preserve"> </w:t>
      </w:r>
      <w:r>
        <w:t>siberuzay</w:t>
      </w:r>
      <w:r>
        <w:rPr>
          <w:spacing w:val="-6"/>
        </w:rPr>
        <w:t xml:space="preserve"> </w:t>
      </w:r>
      <w:r>
        <w:t>ve</w:t>
      </w:r>
      <w:r>
        <w:rPr>
          <w:spacing w:val="-1"/>
        </w:rPr>
        <w:t xml:space="preserve"> </w:t>
      </w:r>
      <w:r>
        <w:t>yapay</w:t>
      </w:r>
      <w:r>
        <w:rPr>
          <w:spacing w:val="-4"/>
        </w:rPr>
        <w:t xml:space="preserve"> </w:t>
      </w:r>
      <w:r>
        <w:t>gerçeklik</w:t>
      </w:r>
      <w:r>
        <w:rPr>
          <w:spacing w:val="-1"/>
        </w:rPr>
        <w:t xml:space="preserve"> </w:t>
      </w:r>
      <w:r>
        <w:t>gibi</w:t>
      </w:r>
      <w:r>
        <w:rPr>
          <w:spacing w:val="-1"/>
        </w:rPr>
        <w:t xml:space="preserve"> </w:t>
      </w:r>
      <w:r>
        <w:t>terimlerle eş anlamlı olarak kullanılabilen sanal gerçeklik, kullanıcılarına fiziksel dünyadaki birçok veya tüm deneyimleri, üç boyutlu görsel teknoloji kullanarak gerçekmiş gibi sunabilen ve duyusal geribildirimlerle</w:t>
      </w:r>
      <w:r>
        <w:rPr>
          <w:spacing w:val="-3"/>
        </w:rPr>
        <w:t xml:space="preserve"> </w:t>
      </w:r>
      <w:r>
        <w:t>desteklenen</w:t>
      </w:r>
      <w:r>
        <w:rPr>
          <w:spacing w:val="-2"/>
        </w:rPr>
        <w:t xml:space="preserve"> </w:t>
      </w:r>
      <w:r>
        <w:t>bir</w:t>
      </w:r>
      <w:r>
        <w:rPr>
          <w:spacing w:val="-3"/>
        </w:rPr>
        <w:t xml:space="preserve"> </w:t>
      </w:r>
      <w:r>
        <w:t>etkileşim</w:t>
      </w:r>
      <w:r>
        <w:rPr>
          <w:spacing w:val="-2"/>
        </w:rPr>
        <w:t xml:space="preserve"> </w:t>
      </w:r>
      <w:r>
        <w:t>platformu</w:t>
      </w:r>
      <w:r>
        <w:rPr>
          <w:spacing w:val="-3"/>
        </w:rPr>
        <w:t xml:space="preserve"> </w:t>
      </w:r>
      <w:r>
        <w:t>olarak</w:t>
      </w:r>
      <w:r>
        <w:rPr>
          <w:spacing w:val="-2"/>
        </w:rPr>
        <w:t xml:space="preserve"> </w:t>
      </w:r>
      <w:r>
        <w:t>tanımlanabilir</w:t>
      </w:r>
      <w:r>
        <w:rPr>
          <w:spacing w:val="-3"/>
        </w:rPr>
        <w:t xml:space="preserve"> </w:t>
      </w:r>
      <w:r>
        <w:t>(Arat</w:t>
      </w:r>
      <w:r>
        <w:rPr>
          <w:spacing w:val="-2"/>
        </w:rPr>
        <w:t xml:space="preserve"> </w:t>
      </w:r>
      <w:r>
        <w:t>ve Baltacıoğlu, 2016: 107).</w:t>
      </w:r>
    </w:p>
    <w:p w14:paraId="7791FB7B">
      <w:pPr>
        <w:pStyle w:val="9"/>
        <w:spacing w:before="120" w:after="120" w:line="360" w:lineRule="auto"/>
        <w:ind w:left="0" w:firstLine="567"/>
      </w:pPr>
      <w:r>
        <w:t>Bu araştırmanın ana odağı olan sanal gerçeklik teknolojisi, bireylerin günlük yaşamda kullandıkları iletişim yöntemlerini tamamlayacak şekilde, realistik bir tecrübe sunan bir platform olarak nitelendirilmektedir (Berger vd., 2007: 77).</w:t>
      </w:r>
      <w:r>
        <w:rPr>
          <w:spacing w:val="40"/>
        </w:rPr>
        <w:t xml:space="preserve"> </w:t>
      </w:r>
      <w:r>
        <w:t>Geniş bir perspektiften bakıldığında,</w:t>
      </w:r>
      <w:r>
        <w:rPr>
          <w:spacing w:val="-2"/>
        </w:rPr>
        <w:t xml:space="preserve"> </w:t>
      </w:r>
      <w:r>
        <w:t>sanal gerçeklik</w:t>
      </w:r>
      <w:r>
        <w:rPr>
          <w:spacing w:val="-1"/>
        </w:rPr>
        <w:t xml:space="preserve"> </w:t>
      </w:r>
      <w:r>
        <w:t>teknolojisi,</w:t>
      </w:r>
      <w:r>
        <w:rPr>
          <w:spacing w:val="-1"/>
        </w:rPr>
        <w:t xml:space="preserve"> </w:t>
      </w:r>
      <w:r>
        <w:t>kullanıcının</w:t>
      </w:r>
      <w:r>
        <w:rPr>
          <w:spacing w:val="-1"/>
        </w:rPr>
        <w:t xml:space="preserve"> </w:t>
      </w:r>
      <w:r>
        <w:t>belirli</w:t>
      </w:r>
      <w:r>
        <w:rPr>
          <w:spacing w:val="-1"/>
        </w:rPr>
        <w:t xml:space="preserve"> </w:t>
      </w:r>
      <w:r>
        <w:t>bir</w:t>
      </w:r>
      <w:r>
        <w:rPr>
          <w:spacing w:val="-2"/>
        </w:rPr>
        <w:t xml:space="preserve"> </w:t>
      </w:r>
      <w:r>
        <w:t>zaman</w:t>
      </w:r>
      <w:r>
        <w:rPr>
          <w:spacing w:val="-2"/>
        </w:rPr>
        <w:t xml:space="preserve"> </w:t>
      </w:r>
      <w:r>
        <w:t>diliminde yaratılmış bir görsel alan içerisinde bulunmasını ve etkileşimde bulunmasını sağlayan, duyusal yanıtları</w:t>
      </w:r>
      <w:r>
        <w:rPr>
          <w:spacing w:val="-15"/>
        </w:rPr>
        <w:t xml:space="preserve"> </w:t>
      </w:r>
      <w:r>
        <w:t>simülasyon</w:t>
      </w:r>
      <w:r>
        <w:rPr>
          <w:spacing w:val="-15"/>
        </w:rPr>
        <w:t xml:space="preserve"> </w:t>
      </w:r>
      <w:r>
        <w:t>yoluyla</w:t>
      </w:r>
      <w:r>
        <w:rPr>
          <w:spacing w:val="-15"/>
        </w:rPr>
        <w:t xml:space="preserve"> </w:t>
      </w:r>
      <w:r>
        <w:t>tekrar</w:t>
      </w:r>
      <w:r>
        <w:rPr>
          <w:spacing w:val="-15"/>
        </w:rPr>
        <w:t xml:space="preserve"> </w:t>
      </w:r>
      <w:r>
        <w:t>yaratan</w:t>
      </w:r>
      <w:r>
        <w:rPr>
          <w:spacing w:val="-15"/>
        </w:rPr>
        <w:t xml:space="preserve"> </w:t>
      </w:r>
      <w:r>
        <w:t>çok</w:t>
      </w:r>
      <w:r>
        <w:rPr>
          <w:spacing w:val="-15"/>
        </w:rPr>
        <w:t xml:space="preserve"> </w:t>
      </w:r>
      <w:r>
        <w:t>katmanlı</w:t>
      </w:r>
      <w:r>
        <w:rPr>
          <w:spacing w:val="-15"/>
        </w:rPr>
        <w:t xml:space="preserve"> </w:t>
      </w:r>
      <w:r>
        <w:t>görüntü</w:t>
      </w:r>
      <w:r>
        <w:rPr>
          <w:spacing w:val="-15"/>
        </w:rPr>
        <w:t xml:space="preserve"> </w:t>
      </w:r>
      <w:r>
        <w:t>ve</w:t>
      </w:r>
      <w:r>
        <w:rPr>
          <w:spacing w:val="-15"/>
        </w:rPr>
        <w:t xml:space="preserve"> </w:t>
      </w:r>
      <w:r>
        <w:t>ses</w:t>
      </w:r>
      <w:r>
        <w:rPr>
          <w:spacing w:val="-15"/>
        </w:rPr>
        <w:t xml:space="preserve"> </w:t>
      </w:r>
      <w:r>
        <w:t>donanımlarını</w:t>
      </w:r>
      <w:r>
        <w:rPr>
          <w:spacing w:val="-15"/>
        </w:rPr>
        <w:t xml:space="preserve"> </w:t>
      </w:r>
      <w:r>
        <w:t>içeren bir görsel teknoloji olarak tanımlanabilir (Kuruüzümcü, 2007: 94).</w:t>
      </w:r>
    </w:p>
    <w:p w14:paraId="305B7771">
      <w:pPr>
        <w:pStyle w:val="9"/>
        <w:spacing w:before="120" w:after="120" w:line="360" w:lineRule="auto"/>
        <w:ind w:left="0" w:firstLine="567"/>
      </w:pPr>
      <w:r>
        <w:t>Gerçek dünyanın ya da bir olayın dijital bir replikasını deneyimlemek adına genelde, bir bilgisayara kablolar aracılığıyla bağlanabilen ve çoklu görsel deneyim sunabilen bir kafa üstü</w:t>
      </w:r>
      <w:r>
        <w:rPr>
          <w:spacing w:val="13"/>
        </w:rPr>
        <w:t xml:space="preserve"> </w:t>
      </w:r>
      <w:r>
        <w:t>ekran</w:t>
      </w:r>
      <w:r>
        <w:rPr>
          <w:spacing w:val="14"/>
        </w:rPr>
        <w:t xml:space="preserve"> </w:t>
      </w:r>
      <w:r>
        <w:t>“(stereo</w:t>
      </w:r>
      <w:r>
        <w:rPr>
          <w:spacing w:val="15"/>
        </w:rPr>
        <w:t xml:space="preserve"> </w:t>
      </w:r>
      <w:r>
        <w:t>head-mounted</w:t>
      </w:r>
      <w:r>
        <w:rPr>
          <w:spacing w:val="14"/>
        </w:rPr>
        <w:t xml:space="preserve"> </w:t>
      </w:r>
      <w:r>
        <w:t>display</w:t>
      </w:r>
      <w:r>
        <w:rPr>
          <w:spacing w:val="10"/>
        </w:rPr>
        <w:t xml:space="preserve"> </w:t>
      </w:r>
      <w:r>
        <w:t>-</w:t>
      </w:r>
      <w:r>
        <w:rPr>
          <w:spacing w:val="16"/>
        </w:rPr>
        <w:t xml:space="preserve"> </w:t>
      </w:r>
      <w:r>
        <w:t>HMD)”</w:t>
      </w:r>
      <w:r>
        <w:rPr>
          <w:spacing w:val="12"/>
        </w:rPr>
        <w:t xml:space="preserve"> </w:t>
      </w:r>
      <w:r>
        <w:t>ve</w:t>
      </w:r>
      <w:r>
        <w:rPr>
          <w:spacing w:val="13"/>
        </w:rPr>
        <w:t xml:space="preserve"> </w:t>
      </w:r>
      <w:r>
        <w:t>daha</w:t>
      </w:r>
      <w:r>
        <w:rPr>
          <w:spacing w:val="13"/>
        </w:rPr>
        <w:t xml:space="preserve"> </w:t>
      </w:r>
      <w:r>
        <w:t>otantik</w:t>
      </w:r>
      <w:r>
        <w:rPr>
          <w:spacing w:val="14"/>
        </w:rPr>
        <w:t xml:space="preserve"> </w:t>
      </w:r>
      <w:r>
        <w:t>bir</w:t>
      </w:r>
      <w:r>
        <w:rPr>
          <w:spacing w:val="16"/>
        </w:rPr>
        <w:t xml:space="preserve"> </w:t>
      </w:r>
      <w:r>
        <w:t>etkileşim</w:t>
      </w:r>
      <w:r>
        <w:rPr>
          <w:spacing w:val="15"/>
        </w:rPr>
        <w:t xml:space="preserve"> </w:t>
      </w:r>
      <w:r>
        <w:t>için</w:t>
      </w:r>
      <w:r>
        <w:rPr>
          <w:spacing w:val="14"/>
        </w:rPr>
        <w:t xml:space="preserve"> </w:t>
      </w:r>
      <w:r>
        <w:rPr>
          <w:spacing w:val="-4"/>
        </w:rPr>
        <w:t>veri</w:t>
      </w:r>
    </w:p>
    <w:p w14:paraId="78EA0503">
      <w:pPr>
        <w:pStyle w:val="9"/>
        <w:spacing w:before="120" w:after="120" w:line="360" w:lineRule="auto"/>
        <w:ind w:left="0" w:firstLine="567"/>
      </w:pPr>
      <w:r>
        <w:t>eldivenleri</w:t>
      </w:r>
      <w:r>
        <w:rPr>
          <w:spacing w:val="-14"/>
        </w:rPr>
        <w:t xml:space="preserve"> </w:t>
      </w:r>
      <w:r>
        <w:t>“(data</w:t>
      </w:r>
      <w:r>
        <w:rPr>
          <w:spacing w:val="-15"/>
        </w:rPr>
        <w:t xml:space="preserve"> </w:t>
      </w:r>
      <w:r>
        <w:t>gloves)”</w:t>
      </w:r>
      <w:r>
        <w:rPr>
          <w:spacing w:val="-13"/>
        </w:rPr>
        <w:t xml:space="preserve"> </w:t>
      </w:r>
      <w:r>
        <w:t>ya</w:t>
      </w:r>
      <w:r>
        <w:rPr>
          <w:spacing w:val="-15"/>
        </w:rPr>
        <w:t xml:space="preserve"> </w:t>
      </w:r>
      <w:r>
        <w:t>da</w:t>
      </w:r>
      <w:r>
        <w:rPr>
          <w:spacing w:val="-15"/>
        </w:rPr>
        <w:t xml:space="preserve"> </w:t>
      </w:r>
      <w:r>
        <w:t>hareketleri</w:t>
      </w:r>
      <w:r>
        <w:rPr>
          <w:spacing w:val="-14"/>
        </w:rPr>
        <w:t xml:space="preserve"> </w:t>
      </w:r>
      <w:r>
        <w:t>sensorlar</w:t>
      </w:r>
      <w:r>
        <w:rPr>
          <w:spacing w:val="-15"/>
        </w:rPr>
        <w:t xml:space="preserve"> </w:t>
      </w:r>
      <w:r>
        <w:t>vasıtasıyla</w:t>
      </w:r>
      <w:r>
        <w:rPr>
          <w:spacing w:val="-15"/>
        </w:rPr>
        <w:t xml:space="preserve"> </w:t>
      </w:r>
      <w:r>
        <w:t>tespit</w:t>
      </w:r>
      <w:r>
        <w:rPr>
          <w:spacing w:val="-13"/>
        </w:rPr>
        <w:t xml:space="preserve"> </w:t>
      </w:r>
      <w:r>
        <w:t>edebilen</w:t>
      </w:r>
      <w:r>
        <w:rPr>
          <w:spacing w:val="-15"/>
        </w:rPr>
        <w:t xml:space="preserve"> </w:t>
      </w:r>
      <w:r>
        <w:t>özel</w:t>
      </w:r>
      <w:r>
        <w:rPr>
          <w:spacing w:val="-14"/>
        </w:rPr>
        <w:t xml:space="preserve"> </w:t>
      </w:r>
      <w:r>
        <w:t>giysiler tercih edilmektedir (Gigante, 1993: 4; Greenbaum, 1992: 58; Steuer, 1992: 74).</w:t>
      </w:r>
    </w:p>
    <w:p w14:paraId="5584FFBD">
      <w:pPr>
        <w:pStyle w:val="9"/>
        <w:spacing w:before="120" w:after="120" w:line="360" w:lineRule="auto"/>
        <w:ind w:left="0" w:firstLine="567"/>
      </w:pPr>
      <w:r>
        <w:t>Bilgisayar</w:t>
      </w:r>
      <w:r>
        <w:rPr>
          <w:spacing w:val="-4"/>
        </w:rPr>
        <w:t xml:space="preserve"> </w:t>
      </w:r>
      <w:r>
        <w:t>gerektirmeyen,</w:t>
      </w:r>
      <w:r>
        <w:rPr>
          <w:spacing w:val="-7"/>
        </w:rPr>
        <w:t xml:space="preserve"> </w:t>
      </w:r>
      <w:r>
        <w:t>sadece</w:t>
      </w:r>
      <w:r>
        <w:rPr>
          <w:spacing w:val="-5"/>
        </w:rPr>
        <w:t xml:space="preserve"> </w:t>
      </w:r>
      <w:r>
        <w:t>akıllı</w:t>
      </w:r>
      <w:r>
        <w:rPr>
          <w:spacing w:val="-6"/>
        </w:rPr>
        <w:t xml:space="preserve"> </w:t>
      </w:r>
      <w:r>
        <w:t>telefon</w:t>
      </w:r>
      <w:r>
        <w:rPr>
          <w:spacing w:val="-8"/>
        </w:rPr>
        <w:t xml:space="preserve"> </w:t>
      </w:r>
      <w:r>
        <w:t>ve</w:t>
      </w:r>
      <w:r>
        <w:rPr>
          <w:spacing w:val="-5"/>
        </w:rPr>
        <w:t xml:space="preserve"> </w:t>
      </w:r>
      <w:r>
        <w:t>kulaklık</w:t>
      </w:r>
      <w:r>
        <w:rPr>
          <w:spacing w:val="-6"/>
        </w:rPr>
        <w:t xml:space="preserve"> </w:t>
      </w:r>
      <w:r>
        <w:t>kullanarak</w:t>
      </w:r>
      <w:r>
        <w:rPr>
          <w:spacing w:val="-7"/>
        </w:rPr>
        <w:t xml:space="preserve"> </w:t>
      </w:r>
      <w:r>
        <w:t>işlev</w:t>
      </w:r>
      <w:r>
        <w:rPr>
          <w:spacing w:val="-7"/>
        </w:rPr>
        <w:t xml:space="preserve"> </w:t>
      </w:r>
      <w:r>
        <w:t>gören</w:t>
      </w:r>
      <w:r>
        <w:rPr>
          <w:spacing w:val="-7"/>
        </w:rPr>
        <w:t xml:space="preserve"> </w:t>
      </w:r>
      <w:r>
        <w:t>mobil</w:t>
      </w:r>
      <w:r>
        <w:rPr>
          <w:spacing w:val="-6"/>
        </w:rPr>
        <w:t xml:space="preserve"> </w:t>
      </w:r>
      <w:r>
        <w:t>VR aygıtları da mevcuttur ve bu kategorideki en popüler örnek “Google Cardboard”dur. Daha ileri düzey teknolojik seçenekler arasında ise “CAVE (Computer Assisted Virtual Environment/ Bilgisayar Destekli Sanal Ortam)” ismiyle bilinen sanal görsel alanlar kullanılabilmekte. Bu sistemler, kullanıcının hareketlerini takip eder ve çevreyi dijital bir şekilde yeniden yaratır, böylelikle kullanıcıların kendilerini fiziksel bir dünyadaymış gibi hissetmelerini ve çevreyle interaksiyona girmelerini mümkün kılmaktadır (Yengin ve Bayrak, 2017: 103; Fox vd., 2009: 95).</w:t>
      </w:r>
    </w:p>
    <w:p w14:paraId="231FA158">
      <w:pPr>
        <w:pStyle w:val="9"/>
        <w:spacing w:before="120" w:after="120" w:line="360" w:lineRule="auto"/>
        <w:ind w:left="0" w:firstLine="567"/>
        <w:jc w:val="left"/>
        <w:rPr>
          <w:sz w:val="15"/>
        </w:rPr>
      </w:pPr>
      <w:r>
        <w:rPr>
          <w:lang w:eastAsia="tr-TR"/>
        </w:rPr>
        <w:drawing>
          <wp:anchor distT="0" distB="0" distL="0" distR="0" simplePos="0" relativeHeight="251660288" behindDoc="1" locked="0" layoutInCell="1" allowOverlap="1">
            <wp:simplePos x="0" y="0"/>
            <wp:positionH relativeFrom="page">
              <wp:posOffset>1682750</wp:posOffset>
            </wp:positionH>
            <wp:positionV relativeFrom="paragraph">
              <wp:posOffset>130175</wp:posOffset>
            </wp:positionV>
            <wp:extent cx="4187190" cy="2834640"/>
            <wp:effectExtent l="0" t="0" r="0" b="0"/>
            <wp:wrapTopAndBottom/>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4187247" cy="2834640"/>
                    </a:xfrm>
                    <a:prstGeom prst="rect">
                      <a:avLst/>
                    </a:prstGeom>
                  </pic:spPr>
                </pic:pic>
              </a:graphicData>
            </a:graphic>
          </wp:anchor>
        </w:drawing>
      </w:r>
    </w:p>
    <w:p w14:paraId="7AD7BB69">
      <w:pPr>
        <w:pStyle w:val="9"/>
        <w:spacing w:line="360" w:lineRule="auto"/>
        <w:ind w:left="0" w:firstLine="567"/>
        <w:jc w:val="left"/>
        <w:rPr>
          <w:b/>
        </w:rPr>
      </w:pPr>
      <w:r>
        <w:rPr>
          <w:b/>
        </w:rPr>
        <w:t>Resim</w:t>
      </w:r>
      <w:r>
        <w:rPr>
          <w:b/>
          <w:spacing w:val="-2"/>
        </w:rPr>
        <w:t xml:space="preserve"> 2.</w:t>
      </w:r>
      <w:r>
        <w:rPr>
          <w:b/>
        </w:rPr>
        <w:t>1.</w:t>
      </w:r>
      <w:r>
        <w:rPr>
          <w:b/>
          <w:spacing w:val="-2"/>
        </w:rPr>
        <w:t xml:space="preserve"> </w:t>
      </w:r>
      <w:r>
        <w:t>Google</w:t>
      </w:r>
      <w:r>
        <w:rPr>
          <w:spacing w:val="-1"/>
        </w:rPr>
        <w:t xml:space="preserve"> </w:t>
      </w:r>
      <w:r>
        <w:rPr>
          <w:spacing w:val="-2"/>
        </w:rPr>
        <w:t>Cardboard</w:t>
      </w:r>
    </w:p>
    <w:p w14:paraId="4905250A">
      <w:pPr>
        <w:pStyle w:val="9"/>
        <w:spacing w:line="360" w:lineRule="auto"/>
        <w:ind w:left="0" w:firstLine="567"/>
        <w:rPr>
          <w:sz w:val="20"/>
        </w:rPr>
      </w:pPr>
      <w:r>
        <w:rPr>
          <w:b/>
          <w:sz w:val="20"/>
        </w:rPr>
        <w:t>Kaynak:</w:t>
      </w:r>
      <w:r>
        <w:rPr>
          <w:spacing w:val="-5"/>
          <w:sz w:val="20"/>
        </w:rPr>
        <w:t xml:space="preserve"> </w:t>
      </w:r>
      <w:r>
        <w:rPr>
          <w:sz w:val="20"/>
        </w:rPr>
        <w:t>https://vr.google.com/cardboard/,</w:t>
      </w:r>
      <w:r>
        <w:rPr>
          <w:spacing w:val="-3"/>
          <w:sz w:val="20"/>
        </w:rPr>
        <w:t xml:space="preserve"> </w:t>
      </w:r>
      <w:r>
        <w:rPr>
          <w:sz w:val="20"/>
        </w:rPr>
        <w:t>(Erişim</w:t>
      </w:r>
      <w:r>
        <w:rPr>
          <w:spacing w:val="-2"/>
          <w:sz w:val="20"/>
        </w:rPr>
        <w:t xml:space="preserve"> </w:t>
      </w:r>
      <w:r>
        <w:rPr>
          <w:sz w:val="20"/>
        </w:rPr>
        <w:t>Tarihi:</w:t>
      </w:r>
      <w:r>
        <w:rPr>
          <w:spacing w:val="-2"/>
          <w:sz w:val="20"/>
        </w:rPr>
        <w:t xml:space="preserve"> 08.09.2023)</w:t>
      </w:r>
    </w:p>
    <w:p w14:paraId="58925F39">
      <w:pPr>
        <w:pStyle w:val="9"/>
        <w:spacing w:before="120" w:after="120" w:line="360" w:lineRule="auto"/>
        <w:ind w:left="0" w:firstLine="567"/>
      </w:pPr>
      <w:r>
        <w:t>Gerçeklik teknolojileri, kullanılan programlar ve ekipmanlar açısından, temelde üç farklı kategoriye ayrılmaktadırlar. Daha önceden de vurgulandığı üzere, kullanıcılara üç boyutlu bir dijital alan içerisinde bulunuyor izlenimini veren bütün bilgisayar sistemleri, sanal gerçeklik olarak adlandırılmaktadır. İkinci tip gerçeklik teknolojisi, gerçek dünya görüntülerine</w:t>
      </w:r>
      <w:r>
        <w:rPr>
          <w:spacing w:val="65"/>
          <w:w w:val="150"/>
        </w:rPr>
        <w:t xml:space="preserve"> </w:t>
      </w:r>
      <w:r>
        <w:t>dijital</w:t>
      </w:r>
      <w:r>
        <w:rPr>
          <w:spacing w:val="69"/>
          <w:w w:val="150"/>
        </w:rPr>
        <w:t xml:space="preserve"> </w:t>
      </w:r>
      <w:r>
        <w:t>öğelerin</w:t>
      </w:r>
      <w:r>
        <w:rPr>
          <w:spacing w:val="69"/>
          <w:w w:val="150"/>
        </w:rPr>
        <w:t xml:space="preserve"> </w:t>
      </w:r>
      <w:r>
        <w:t>eklenmesi</w:t>
      </w:r>
      <w:r>
        <w:rPr>
          <w:spacing w:val="70"/>
          <w:w w:val="150"/>
        </w:rPr>
        <w:t xml:space="preserve"> </w:t>
      </w:r>
      <w:r>
        <w:t>ve</w:t>
      </w:r>
      <w:r>
        <w:rPr>
          <w:spacing w:val="67"/>
          <w:w w:val="150"/>
        </w:rPr>
        <w:t xml:space="preserve"> </w:t>
      </w:r>
      <w:r>
        <w:t>bu</w:t>
      </w:r>
      <w:r>
        <w:rPr>
          <w:spacing w:val="68"/>
          <w:w w:val="150"/>
        </w:rPr>
        <w:t xml:space="preserve"> </w:t>
      </w:r>
      <w:r>
        <w:t>sayede</w:t>
      </w:r>
      <w:r>
        <w:rPr>
          <w:spacing w:val="68"/>
          <w:w w:val="150"/>
        </w:rPr>
        <w:t xml:space="preserve"> </w:t>
      </w:r>
      <w:r>
        <w:t>gerçek</w:t>
      </w:r>
      <w:r>
        <w:rPr>
          <w:spacing w:val="68"/>
          <w:w w:val="150"/>
        </w:rPr>
        <w:t xml:space="preserve"> </w:t>
      </w:r>
      <w:r>
        <w:t>ve</w:t>
      </w:r>
      <w:r>
        <w:rPr>
          <w:spacing w:val="67"/>
          <w:w w:val="150"/>
        </w:rPr>
        <w:t xml:space="preserve"> </w:t>
      </w:r>
      <w:r>
        <w:t>dijital</w:t>
      </w:r>
      <w:r>
        <w:rPr>
          <w:spacing w:val="70"/>
          <w:w w:val="150"/>
        </w:rPr>
        <w:t xml:space="preserve"> </w:t>
      </w:r>
      <w:r>
        <w:rPr>
          <w:spacing w:val="-2"/>
        </w:rPr>
        <w:t>dünyaların</w:t>
      </w:r>
      <w:r>
        <w:t xml:space="preserve"> birleştirilmesi üzerine kurulu “Artırılmış Gerçeklik (Augmented Realite - AR)” sistemleridir. Artırılmış gerçeklik sistemlerinde oluşturulan mekanlar fiziksel gerçekliğe dayanır ve gerçek dünyanın bir resmi üzerine dijital objeler veya içerikler eklendiğinde, kullanıcılar</w:t>
      </w:r>
      <w:r>
        <w:rPr>
          <w:spacing w:val="-6"/>
        </w:rPr>
        <w:t xml:space="preserve"> </w:t>
      </w:r>
      <w:r>
        <w:t>çevreyle</w:t>
      </w:r>
      <w:r>
        <w:rPr>
          <w:spacing w:val="-2"/>
        </w:rPr>
        <w:t xml:space="preserve"> </w:t>
      </w:r>
      <w:r>
        <w:t>canlı</w:t>
      </w:r>
      <w:r>
        <w:rPr>
          <w:spacing w:val="-1"/>
        </w:rPr>
        <w:t xml:space="preserve"> </w:t>
      </w:r>
      <w:r>
        <w:t>bir</w:t>
      </w:r>
      <w:r>
        <w:rPr>
          <w:spacing w:val="-2"/>
        </w:rPr>
        <w:t xml:space="preserve"> </w:t>
      </w:r>
      <w:r>
        <w:t>etkileşim</w:t>
      </w:r>
      <w:r>
        <w:rPr>
          <w:spacing w:val="-3"/>
        </w:rPr>
        <w:t xml:space="preserve"> </w:t>
      </w:r>
      <w:r>
        <w:t>içerisinde</w:t>
      </w:r>
      <w:r>
        <w:rPr>
          <w:spacing w:val="-1"/>
        </w:rPr>
        <w:t xml:space="preserve"> </w:t>
      </w:r>
      <w:r>
        <w:t>bulunabilmektedirler</w:t>
      </w:r>
      <w:r>
        <w:rPr>
          <w:spacing w:val="-2"/>
        </w:rPr>
        <w:t xml:space="preserve"> </w:t>
      </w:r>
      <w:r>
        <w:t>(Aydın,</w:t>
      </w:r>
      <w:r>
        <w:rPr>
          <w:spacing w:val="-1"/>
        </w:rPr>
        <w:t xml:space="preserve"> </w:t>
      </w:r>
      <w:r>
        <w:t>2018:</w:t>
      </w:r>
      <w:r>
        <w:rPr>
          <w:spacing w:val="-1"/>
        </w:rPr>
        <w:t xml:space="preserve"> </w:t>
      </w:r>
      <w:r>
        <w:rPr>
          <w:spacing w:val="-2"/>
        </w:rPr>
        <w:t>160).</w:t>
      </w:r>
    </w:p>
    <w:p w14:paraId="3C81C763">
      <w:pPr>
        <w:pStyle w:val="9"/>
        <w:spacing w:before="120" w:after="120" w:line="360" w:lineRule="auto"/>
        <w:ind w:left="0" w:firstLine="567"/>
      </w:pPr>
      <w:r>
        <w:rPr>
          <w:lang w:eastAsia="tr-TR"/>
        </w:rPr>
        <w:drawing>
          <wp:anchor distT="0" distB="0" distL="0" distR="0" simplePos="0" relativeHeight="251661312" behindDoc="1" locked="0" layoutInCell="1" allowOverlap="1">
            <wp:simplePos x="0" y="0"/>
            <wp:positionH relativeFrom="margin">
              <wp:posOffset>379730</wp:posOffset>
            </wp:positionH>
            <wp:positionV relativeFrom="paragraph">
              <wp:posOffset>2823845</wp:posOffset>
            </wp:positionV>
            <wp:extent cx="5181600" cy="2903220"/>
            <wp:effectExtent l="0" t="0" r="0" b="0"/>
            <wp:wrapTopAndBottom/>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5181600" cy="2903220"/>
                    </a:xfrm>
                    <a:prstGeom prst="rect">
                      <a:avLst/>
                    </a:prstGeom>
                  </pic:spPr>
                </pic:pic>
              </a:graphicData>
            </a:graphic>
          </wp:anchor>
        </w:drawing>
      </w:r>
      <w:r>
        <w:t>Artırılmış gerçeklik (AR) teknolojisi, bazıları tarafından sanal gerçekliğin bir türevi olarak kabul görmesine rağmen, kendine has özellikleri ve dayandığı ayrı teknolojik altyapılar nedeniyle farklı bir kategori olarak ele alınmaktadır. Başka bir deyişle, AR uygulamaları, gerçek dünyayı simülasyon modelleri aracılığıyla değiştirmekten ziyade, onu geliştirmeyi ve</w:t>
      </w:r>
      <w:r>
        <w:rPr>
          <w:spacing w:val="-4"/>
        </w:rPr>
        <w:t xml:space="preserve"> </w:t>
      </w:r>
      <w:r>
        <w:t>genişletmeyi</w:t>
      </w:r>
      <w:r>
        <w:rPr>
          <w:spacing w:val="-4"/>
        </w:rPr>
        <w:t xml:space="preserve"> </w:t>
      </w:r>
      <w:r>
        <w:t>amaçlar.</w:t>
      </w:r>
      <w:r>
        <w:rPr>
          <w:spacing w:val="-1"/>
        </w:rPr>
        <w:t xml:space="preserve"> </w:t>
      </w:r>
      <w:r>
        <w:t>Bu</w:t>
      </w:r>
      <w:r>
        <w:rPr>
          <w:spacing w:val="-4"/>
        </w:rPr>
        <w:t xml:space="preserve"> </w:t>
      </w:r>
      <w:r>
        <w:t>kapsamda,</w:t>
      </w:r>
      <w:r>
        <w:rPr>
          <w:spacing w:val="-4"/>
        </w:rPr>
        <w:t xml:space="preserve"> </w:t>
      </w:r>
      <w:r>
        <w:t>Google'ın</w:t>
      </w:r>
      <w:r>
        <w:rPr>
          <w:spacing w:val="-3"/>
        </w:rPr>
        <w:t xml:space="preserve"> </w:t>
      </w:r>
      <w:r>
        <w:t>Google</w:t>
      </w:r>
      <w:r>
        <w:rPr>
          <w:spacing w:val="-4"/>
        </w:rPr>
        <w:t xml:space="preserve"> </w:t>
      </w:r>
      <w:r>
        <w:t>Glass</w:t>
      </w:r>
      <w:r>
        <w:rPr>
          <w:spacing w:val="-3"/>
        </w:rPr>
        <w:t xml:space="preserve"> </w:t>
      </w:r>
      <w:r>
        <w:t>gibi</w:t>
      </w:r>
      <w:r>
        <w:rPr>
          <w:spacing w:val="-3"/>
        </w:rPr>
        <w:t xml:space="preserve"> </w:t>
      </w:r>
      <w:r>
        <w:t>giyilebilir</w:t>
      </w:r>
      <w:r>
        <w:rPr>
          <w:spacing w:val="-4"/>
        </w:rPr>
        <w:t xml:space="preserve"> </w:t>
      </w:r>
      <w:r>
        <w:t>teknolojiler üretmesi, AR uygulamalarının popülerliğini artırmış ve mobil cihazların kişisel kullanımındaki artışla birlikte daha da yaygınlaşmıştır. Bugün, oyun endüstrisinden başlayarak,</w:t>
      </w:r>
      <w:r>
        <w:rPr>
          <w:spacing w:val="-12"/>
        </w:rPr>
        <w:t xml:space="preserve"> </w:t>
      </w:r>
      <w:r>
        <w:t>eğlence,</w:t>
      </w:r>
      <w:r>
        <w:rPr>
          <w:spacing w:val="-12"/>
        </w:rPr>
        <w:t xml:space="preserve"> </w:t>
      </w:r>
      <w:r>
        <w:t>eğitim</w:t>
      </w:r>
      <w:r>
        <w:rPr>
          <w:spacing w:val="-11"/>
        </w:rPr>
        <w:t xml:space="preserve"> </w:t>
      </w:r>
      <w:r>
        <w:t>ve</w:t>
      </w:r>
      <w:r>
        <w:rPr>
          <w:spacing w:val="-13"/>
        </w:rPr>
        <w:t xml:space="preserve"> </w:t>
      </w:r>
      <w:r>
        <w:t>sağlık</w:t>
      </w:r>
      <w:r>
        <w:rPr>
          <w:spacing w:val="-12"/>
        </w:rPr>
        <w:t xml:space="preserve"> </w:t>
      </w:r>
      <w:r>
        <w:t>sektörlerine,</w:t>
      </w:r>
      <w:r>
        <w:rPr>
          <w:spacing w:val="-10"/>
        </w:rPr>
        <w:t xml:space="preserve"> </w:t>
      </w:r>
      <w:r>
        <w:t>pazarlama</w:t>
      </w:r>
      <w:r>
        <w:rPr>
          <w:spacing w:val="-12"/>
        </w:rPr>
        <w:t xml:space="preserve"> </w:t>
      </w:r>
      <w:r>
        <w:t>ve</w:t>
      </w:r>
      <w:r>
        <w:rPr>
          <w:spacing w:val="-13"/>
        </w:rPr>
        <w:t xml:space="preserve"> </w:t>
      </w:r>
      <w:r>
        <w:t>reklam</w:t>
      </w:r>
      <w:r>
        <w:rPr>
          <w:spacing w:val="-12"/>
        </w:rPr>
        <w:t xml:space="preserve"> </w:t>
      </w:r>
      <w:r>
        <w:t>faaliyetlerine,</w:t>
      </w:r>
      <w:r>
        <w:rPr>
          <w:spacing w:val="-12"/>
        </w:rPr>
        <w:t xml:space="preserve"> </w:t>
      </w:r>
      <w:r>
        <w:t>askeri ve teknik uygulamalara, mimari projelere, boş zaman aktivitelerine, müzelere ve büyük ölçüde</w:t>
      </w:r>
      <w:r>
        <w:rPr>
          <w:spacing w:val="-10"/>
        </w:rPr>
        <w:t xml:space="preserve"> </w:t>
      </w:r>
      <w:r>
        <w:t>turizm</w:t>
      </w:r>
      <w:r>
        <w:rPr>
          <w:spacing w:val="-8"/>
        </w:rPr>
        <w:t xml:space="preserve"> </w:t>
      </w:r>
      <w:r>
        <w:t>endüstrisine</w:t>
      </w:r>
      <w:r>
        <w:rPr>
          <w:spacing w:val="-9"/>
        </w:rPr>
        <w:t xml:space="preserve"> </w:t>
      </w:r>
      <w:r>
        <w:t>kadar</w:t>
      </w:r>
      <w:r>
        <w:rPr>
          <w:spacing w:val="-9"/>
        </w:rPr>
        <w:t xml:space="preserve"> </w:t>
      </w:r>
      <w:r>
        <w:t>birçok</w:t>
      </w:r>
      <w:r>
        <w:rPr>
          <w:spacing w:val="-6"/>
        </w:rPr>
        <w:t xml:space="preserve"> </w:t>
      </w:r>
      <w:r>
        <w:t>alanda</w:t>
      </w:r>
      <w:r>
        <w:rPr>
          <w:spacing w:val="-8"/>
        </w:rPr>
        <w:t xml:space="preserve"> </w:t>
      </w:r>
      <w:r>
        <w:t>etkin</w:t>
      </w:r>
      <w:r>
        <w:rPr>
          <w:spacing w:val="-8"/>
        </w:rPr>
        <w:t xml:space="preserve"> </w:t>
      </w:r>
      <w:r>
        <w:t>bir</w:t>
      </w:r>
      <w:r>
        <w:rPr>
          <w:spacing w:val="-9"/>
        </w:rPr>
        <w:t xml:space="preserve"> </w:t>
      </w:r>
      <w:r>
        <w:t>şekilde</w:t>
      </w:r>
      <w:r>
        <w:rPr>
          <w:spacing w:val="-9"/>
        </w:rPr>
        <w:t xml:space="preserve"> </w:t>
      </w:r>
      <w:r>
        <w:t>kullanılmaktadır</w:t>
      </w:r>
      <w:r>
        <w:rPr>
          <w:spacing w:val="-9"/>
        </w:rPr>
        <w:t xml:space="preserve"> </w:t>
      </w:r>
      <w:r>
        <w:t>(Yuen</w:t>
      </w:r>
      <w:r>
        <w:rPr>
          <w:spacing w:val="-6"/>
        </w:rPr>
        <w:t xml:space="preserve"> </w:t>
      </w:r>
      <w:r>
        <w:t>vd., 2011: 32).</w:t>
      </w:r>
    </w:p>
    <w:p w14:paraId="236140EB">
      <w:pPr>
        <w:pStyle w:val="9"/>
        <w:spacing w:line="360" w:lineRule="auto"/>
        <w:ind w:left="0" w:firstLine="567"/>
        <w:jc w:val="left"/>
        <w:rPr>
          <w:b/>
        </w:rPr>
      </w:pPr>
      <w:r>
        <w:rPr>
          <w:b/>
        </w:rPr>
        <w:t>Resim</w:t>
      </w:r>
      <w:r>
        <w:rPr>
          <w:b/>
          <w:spacing w:val="-4"/>
        </w:rPr>
        <w:t xml:space="preserve"> </w:t>
      </w:r>
      <w:r>
        <w:rPr>
          <w:b/>
        </w:rPr>
        <w:t>2.2.</w:t>
      </w:r>
      <w:r>
        <w:rPr>
          <w:b/>
          <w:spacing w:val="-2"/>
        </w:rPr>
        <w:t xml:space="preserve"> </w:t>
      </w:r>
      <w:r>
        <w:t>Artırılmış</w:t>
      </w:r>
      <w:r>
        <w:rPr>
          <w:spacing w:val="-2"/>
        </w:rPr>
        <w:t xml:space="preserve"> </w:t>
      </w:r>
      <w:r>
        <w:t>Gerçeklik</w:t>
      </w:r>
      <w:r>
        <w:rPr>
          <w:spacing w:val="-2"/>
        </w:rPr>
        <w:t xml:space="preserve"> </w:t>
      </w:r>
      <w:r>
        <w:t>Uygulamasından</w:t>
      </w:r>
      <w:r>
        <w:rPr>
          <w:spacing w:val="-2"/>
        </w:rPr>
        <w:t xml:space="preserve"> </w:t>
      </w:r>
      <w:r>
        <w:t>Bir</w:t>
      </w:r>
      <w:r>
        <w:rPr>
          <w:spacing w:val="-1"/>
        </w:rPr>
        <w:t xml:space="preserve"> </w:t>
      </w:r>
      <w:r>
        <w:rPr>
          <w:spacing w:val="-2"/>
        </w:rPr>
        <w:t>Örnek</w:t>
      </w:r>
    </w:p>
    <w:p w14:paraId="0AFBBE9A">
      <w:pPr>
        <w:pStyle w:val="9"/>
        <w:spacing w:line="360" w:lineRule="auto"/>
        <w:ind w:left="0" w:firstLine="567"/>
        <w:rPr>
          <w:sz w:val="20"/>
        </w:rPr>
      </w:pPr>
      <w:r>
        <w:rPr>
          <w:b/>
          <w:sz w:val="20"/>
        </w:rPr>
        <w:t>Kaynak:</w:t>
      </w:r>
      <w:r>
        <w:rPr>
          <w:sz w:val="20"/>
        </w:rPr>
        <w:t>https://sarkac.org/2018/03/sanal-gerceklik-artirilmis-gerceklik-nedir/,(Erişim Tarihi: 05.05.2023).</w:t>
      </w:r>
    </w:p>
    <w:p w14:paraId="19E88502">
      <w:pPr>
        <w:pStyle w:val="9"/>
        <w:spacing w:before="120" w:after="120" w:line="360" w:lineRule="auto"/>
        <w:ind w:left="0" w:firstLine="567"/>
      </w:pPr>
      <w:r>
        <w:t>Başka bir önemli teknoloji, “Karma Gerçeklik (Mixed Reality - MR)” olarak bilinen platformlardır. Bu teknoloji, kullanıcının fiziksel ve dijital öğelerle aynı anda yeniden var olabildiği ve etkileşim kurabildiği bir alan yaratır. Bu ileri düzey</w:t>
      </w:r>
      <w:r>
        <w:rPr>
          <w:spacing w:val="-4"/>
        </w:rPr>
        <w:t xml:space="preserve"> </w:t>
      </w:r>
      <w:r>
        <w:t>platform, gelişmiş AR ve VR</w:t>
      </w:r>
      <w:r>
        <w:rPr>
          <w:spacing w:val="-6"/>
        </w:rPr>
        <w:t xml:space="preserve"> </w:t>
      </w:r>
      <w:r>
        <w:t>sistemlerinin</w:t>
      </w:r>
      <w:r>
        <w:rPr>
          <w:spacing w:val="-6"/>
        </w:rPr>
        <w:t xml:space="preserve"> </w:t>
      </w:r>
      <w:r>
        <w:t>birleşimiyle</w:t>
      </w:r>
      <w:r>
        <w:rPr>
          <w:spacing w:val="-7"/>
        </w:rPr>
        <w:t xml:space="preserve"> </w:t>
      </w:r>
      <w:r>
        <w:t>oluşmuş</w:t>
      </w:r>
      <w:r>
        <w:rPr>
          <w:spacing w:val="-6"/>
        </w:rPr>
        <w:t xml:space="preserve"> </w:t>
      </w:r>
      <w:r>
        <w:t>olup,</w:t>
      </w:r>
      <w:r>
        <w:rPr>
          <w:spacing w:val="-5"/>
        </w:rPr>
        <w:t xml:space="preserve"> </w:t>
      </w:r>
      <w:r>
        <w:t>kullanıcıları</w:t>
      </w:r>
      <w:r>
        <w:rPr>
          <w:spacing w:val="-5"/>
        </w:rPr>
        <w:t xml:space="preserve"> </w:t>
      </w:r>
      <w:r>
        <w:t>tamamen</w:t>
      </w:r>
      <w:r>
        <w:rPr>
          <w:spacing w:val="-4"/>
        </w:rPr>
        <w:t xml:space="preserve"> </w:t>
      </w:r>
      <w:r>
        <w:t>dış</w:t>
      </w:r>
      <w:r>
        <w:rPr>
          <w:spacing w:val="-5"/>
        </w:rPr>
        <w:t xml:space="preserve"> </w:t>
      </w:r>
      <w:r>
        <w:t>dünyadan</w:t>
      </w:r>
      <w:r>
        <w:rPr>
          <w:spacing w:val="-6"/>
        </w:rPr>
        <w:t xml:space="preserve"> </w:t>
      </w:r>
      <w:r>
        <w:t>izole</w:t>
      </w:r>
      <w:r>
        <w:rPr>
          <w:spacing w:val="-6"/>
        </w:rPr>
        <w:t xml:space="preserve"> </w:t>
      </w:r>
      <w:r>
        <w:t>eder. Kullanıcılar, herhangi bir bilgisayar veya telefon bağlantısına ihtiyaç duymadan, gerçek dünyadayken hologramlar aracılığıyla sanal bir ortama dahil olabilir ve sanal karakterler veya nesnelerle etkileşimde bulunabilirler (Pan vd., 2006: 29).</w:t>
      </w:r>
    </w:p>
    <w:p w14:paraId="1DD85281">
      <w:pPr>
        <w:pStyle w:val="9"/>
        <w:spacing w:before="120" w:after="120" w:line="360" w:lineRule="auto"/>
        <w:ind w:left="0" w:firstLine="567"/>
      </w:pPr>
      <w:r>
        <w:t>MR</w:t>
      </w:r>
      <w:r>
        <w:rPr>
          <w:spacing w:val="-11"/>
        </w:rPr>
        <w:t xml:space="preserve"> </w:t>
      </w:r>
      <w:r>
        <w:t>deneyimlerini</w:t>
      </w:r>
      <w:r>
        <w:rPr>
          <w:spacing w:val="-6"/>
        </w:rPr>
        <w:t xml:space="preserve"> </w:t>
      </w:r>
      <w:r>
        <w:t>yaşayabilmek</w:t>
      </w:r>
      <w:r>
        <w:rPr>
          <w:spacing w:val="-12"/>
        </w:rPr>
        <w:t xml:space="preserve"> </w:t>
      </w:r>
      <w:r>
        <w:t>adına,</w:t>
      </w:r>
      <w:r>
        <w:rPr>
          <w:spacing w:val="-12"/>
        </w:rPr>
        <w:t xml:space="preserve"> </w:t>
      </w:r>
      <w:r>
        <w:t>entegre</w:t>
      </w:r>
      <w:r>
        <w:rPr>
          <w:spacing w:val="-13"/>
        </w:rPr>
        <w:t xml:space="preserve"> </w:t>
      </w:r>
      <w:r>
        <w:t>bir</w:t>
      </w:r>
      <w:r>
        <w:rPr>
          <w:spacing w:val="-12"/>
        </w:rPr>
        <w:t xml:space="preserve"> </w:t>
      </w:r>
      <w:r>
        <w:t>bilgisayar</w:t>
      </w:r>
      <w:r>
        <w:rPr>
          <w:spacing w:val="-12"/>
        </w:rPr>
        <w:t xml:space="preserve"> </w:t>
      </w:r>
      <w:r>
        <w:t>sistemine</w:t>
      </w:r>
      <w:r>
        <w:rPr>
          <w:spacing w:val="-12"/>
        </w:rPr>
        <w:t xml:space="preserve"> </w:t>
      </w:r>
      <w:r>
        <w:t>sahip</w:t>
      </w:r>
      <w:r>
        <w:rPr>
          <w:spacing w:val="-11"/>
        </w:rPr>
        <w:t xml:space="preserve"> </w:t>
      </w:r>
      <w:r>
        <w:t>olan</w:t>
      </w:r>
      <w:r>
        <w:rPr>
          <w:spacing w:val="-12"/>
        </w:rPr>
        <w:t xml:space="preserve"> </w:t>
      </w:r>
      <w:r>
        <w:t>bir</w:t>
      </w:r>
      <w:r>
        <w:rPr>
          <w:spacing w:val="-12"/>
        </w:rPr>
        <w:t xml:space="preserve"> </w:t>
      </w:r>
      <w:r>
        <w:t>görsel başlık seti gerekmektedir. Bu sayede, kullanıcı hareketleri, bir dizi sensör ve mekanik ses sistemleri tarafından izlenerek, gerçek ve sanal objelerin dinamik bir birleşimi gerçekleştirilebilmektedir. Gündelik yaşama entegre edilebilen bu karma gerçeklik platformları arasında, 2016 yılında Microsoft tarafından piyasaya sürülen Windows Holographic ve HoloLens teknolojileri dikkat çeken örneklerden birkaçıdır</w:t>
      </w:r>
    </w:p>
    <w:p w14:paraId="6A36D322">
      <w:pPr>
        <w:pStyle w:val="9"/>
        <w:spacing w:before="120" w:after="120" w:line="360" w:lineRule="auto"/>
        <w:ind w:left="0" w:firstLine="567"/>
        <w:jc w:val="left"/>
        <w:rPr>
          <w:sz w:val="15"/>
        </w:rPr>
      </w:pPr>
      <w:r>
        <w:rPr>
          <w:lang w:eastAsia="tr-TR"/>
        </w:rPr>
        <w:drawing>
          <wp:anchor distT="0" distB="0" distL="0" distR="0" simplePos="0" relativeHeight="251662336" behindDoc="1" locked="0" layoutInCell="1" allowOverlap="1">
            <wp:simplePos x="0" y="0"/>
            <wp:positionH relativeFrom="page">
              <wp:posOffset>1645920</wp:posOffset>
            </wp:positionH>
            <wp:positionV relativeFrom="paragraph">
              <wp:posOffset>126365</wp:posOffset>
            </wp:positionV>
            <wp:extent cx="4808220" cy="2887345"/>
            <wp:effectExtent l="0" t="0" r="0" b="8255"/>
            <wp:wrapTopAndBottom/>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4808220" cy="2887345"/>
                    </a:xfrm>
                    <a:prstGeom prst="rect">
                      <a:avLst/>
                    </a:prstGeom>
                  </pic:spPr>
                </pic:pic>
              </a:graphicData>
            </a:graphic>
          </wp:anchor>
        </w:drawing>
      </w:r>
    </w:p>
    <w:p w14:paraId="63A60854">
      <w:pPr>
        <w:pStyle w:val="9"/>
        <w:spacing w:line="360" w:lineRule="auto"/>
        <w:ind w:left="0" w:firstLine="567"/>
        <w:jc w:val="left"/>
        <w:rPr>
          <w:b/>
        </w:rPr>
      </w:pPr>
      <w:r>
        <w:rPr>
          <w:b/>
        </w:rPr>
        <w:t>Resim</w:t>
      </w:r>
      <w:r>
        <w:rPr>
          <w:b/>
          <w:spacing w:val="-2"/>
        </w:rPr>
        <w:t xml:space="preserve"> 2.</w:t>
      </w:r>
      <w:r>
        <w:rPr>
          <w:b/>
        </w:rPr>
        <w:t>3.</w:t>
      </w:r>
      <w:r>
        <w:rPr>
          <w:b/>
          <w:spacing w:val="-2"/>
        </w:rPr>
        <w:t xml:space="preserve"> </w:t>
      </w:r>
      <w:r>
        <w:t>Karma</w:t>
      </w:r>
      <w:r>
        <w:rPr>
          <w:spacing w:val="-3"/>
        </w:rPr>
        <w:t xml:space="preserve"> </w:t>
      </w:r>
      <w:r>
        <w:t>Gerçeklik</w:t>
      </w:r>
      <w:r>
        <w:rPr>
          <w:spacing w:val="-2"/>
        </w:rPr>
        <w:t xml:space="preserve"> </w:t>
      </w:r>
      <w:r>
        <w:t>Uygulamasından</w:t>
      </w:r>
      <w:r>
        <w:rPr>
          <w:spacing w:val="-1"/>
        </w:rPr>
        <w:t xml:space="preserve"> </w:t>
      </w:r>
      <w:r>
        <w:t xml:space="preserve">Bir </w:t>
      </w:r>
      <w:r>
        <w:rPr>
          <w:spacing w:val="-2"/>
        </w:rPr>
        <w:t>Örnek</w:t>
      </w:r>
    </w:p>
    <w:p w14:paraId="4CCB0293">
      <w:pPr>
        <w:pStyle w:val="9"/>
        <w:spacing w:line="360" w:lineRule="auto"/>
        <w:ind w:left="0" w:firstLine="567"/>
        <w:rPr>
          <w:sz w:val="20"/>
        </w:rPr>
      </w:pPr>
      <w:r>
        <w:rPr>
          <w:b/>
          <w:sz w:val="20"/>
        </w:rPr>
        <w:t xml:space="preserve">Kaynak: </w:t>
      </w:r>
      <w:r>
        <w:rPr>
          <w:sz w:val="20"/>
        </w:rPr>
        <w:t>https:/</w:t>
      </w:r>
      <w:r>
        <w:fldChar w:fldCharType="begin"/>
      </w:r>
      <w:r>
        <w:instrText xml:space="preserve"> HYPERLINK "http://www.theverge.com/2015/1/21/7867593/microsoft-announces-windows-" \h </w:instrText>
      </w:r>
      <w:r>
        <w:fldChar w:fldCharType="separate"/>
      </w:r>
      <w:r>
        <w:rPr>
          <w:sz w:val="20"/>
        </w:rPr>
        <w:t>/www.theve</w:t>
      </w:r>
      <w:r>
        <w:rPr>
          <w:sz w:val="20"/>
        </w:rPr>
        <w:fldChar w:fldCharType="end"/>
      </w:r>
      <w:r>
        <w:rPr>
          <w:sz w:val="20"/>
        </w:rPr>
        <w:t>r</w:t>
      </w:r>
      <w:r>
        <w:fldChar w:fldCharType="begin"/>
      </w:r>
      <w:r>
        <w:instrText xml:space="preserve"> HYPERLINK "http://www.theverge.com/2015/1/21/7867593/microsoft-announces-windows-" \h </w:instrText>
      </w:r>
      <w:r>
        <w:fldChar w:fldCharType="separate"/>
      </w:r>
      <w:r>
        <w:rPr>
          <w:sz w:val="20"/>
        </w:rPr>
        <w:t>ge.com/2015/1/21/7867593/microsoft-announces-windows-</w:t>
      </w:r>
      <w:r>
        <w:rPr>
          <w:sz w:val="20"/>
        </w:rPr>
        <w:fldChar w:fldCharType="end"/>
      </w:r>
      <w:r>
        <w:rPr>
          <w:sz w:val="20"/>
        </w:rPr>
        <w:t xml:space="preserve"> holographic, (Erişim Tarihi: 08.09.2023)</w:t>
      </w:r>
    </w:p>
    <w:p w14:paraId="0CE708D9">
      <w:pPr>
        <w:pStyle w:val="9"/>
        <w:spacing w:before="120" w:after="120" w:line="360" w:lineRule="auto"/>
        <w:ind w:left="0" w:firstLine="567"/>
      </w:pPr>
      <w:r>
        <w:t>Özetle, yukarıda anlatılan gerçeklik teknolojileri, sanal gerçeklikle bazı benzer yanlarına rağmen,</w:t>
      </w:r>
      <w:r>
        <w:rPr>
          <w:spacing w:val="-15"/>
        </w:rPr>
        <w:t xml:space="preserve"> </w:t>
      </w:r>
      <w:r>
        <w:t>önemli</w:t>
      </w:r>
      <w:r>
        <w:rPr>
          <w:spacing w:val="-15"/>
        </w:rPr>
        <w:t xml:space="preserve"> </w:t>
      </w:r>
      <w:r>
        <w:t>ölçüde</w:t>
      </w:r>
      <w:r>
        <w:rPr>
          <w:spacing w:val="-15"/>
        </w:rPr>
        <w:t xml:space="preserve"> </w:t>
      </w:r>
      <w:r>
        <w:t>farklı</w:t>
      </w:r>
      <w:r>
        <w:rPr>
          <w:spacing w:val="-15"/>
        </w:rPr>
        <w:t xml:space="preserve"> </w:t>
      </w:r>
      <w:r>
        <w:t>özellikler</w:t>
      </w:r>
      <w:r>
        <w:rPr>
          <w:spacing w:val="-15"/>
        </w:rPr>
        <w:t xml:space="preserve"> </w:t>
      </w:r>
      <w:r>
        <w:t>de</w:t>
      </w:r>
      <w:r>
        <w:rPr>
          <w:spacing w:val="-15"/>
        </w:rPr>
        <w:t xml:space="preserve"> </w:t>
      </w:r>
      <w:r>
        <w:t>göstermektedir.</w:t>
      </w:r>
      <w:r>
        <w:rPr>
          <w:spacing w:val="-15"/>
        </w:rPr>
        <w:t xml:space="preserve"> </w:t>
      </w:r>
      <w:r>
        <w:t>Bu</w:t>
      </w:r>
      <w:r>
        <w:rPr>
          <w:spacing w:val="-15"/>
        </w:rPr>
        <w:t xml:space="preserve"> </w:t>
      </w:r>
      <w:r>
        <w:t>tür</w:t>
      </w:r>
      <w:r>
        <w:rPr>
          <w:spacing w:val="-15"/>
        </w:rPr>
        <w:t xml:space="preserve"> </w:t>
      </w:r>
      <w:r>
        <w:t>farklılıkları</w:t>
      </w:r>
      <w:r>
        <w:rPr>
          <w:spacing w:val="-15"/>
        </w:rPr>
        <w:t xml:space="preserve"> </w:t>
      </w:r>
      <w:r>
        <w:t>ve</w:t>
      </w:r>
      <w:r>
        <w:rPr>
          <w:spacing w:val="-15"/>
        </w:rPr>
        <w:t xml:space="preserve"> </w:t>
      </w:r>
      <w:r>
        <w:t>birbirleriyle olan bağlantıları Milgram ve Kishino (1994:1321), "Gerçeklik-Sanallık Kontinuumu" adı altında bir şema ile açıklamaktadırlar.</w:t>
      </w:r>
    </w:p>
    <w:p w14:paraId="279B9ACF">
      <w:pPr>
        <w:pStyle w:val="9"/>
        <w:spacing w:before="120" w:after="120" w:line="360" w:lineRule="auto"/>
        <w:ind w:left="0" w:firstLine="567"/>
        <w:jc w:val="left"/>
        <w:rPr>
          <w:sz w:val="18"/>
        </w:rPr>
      </w:pPr>
      <w:r>
        <w:rPr>
          <w:lang w:eastAsia="tr-TR"/>
        </w:rPr>
        <w:drawing>
          <wp:anchor distT="0" distB="0" distL="0" distR="0" simplePos="0" relativeHeight="251663360" behindDoc="1" locked="0" layoutInCell="1" allowOverlap="1">
            <wp:simplePos x="0" y="0"/>
            <wp:positionH relativeFrom="page">
              <wp:posOffset>1524000</wp:posOffset>
            </wp:positionH>
            <wp:positionV relativeFrom="paragraph">
              <wp:posOffset>149225</wp:posOffset>
            </wp:positionV>
            <wp:extent cx="4815840" cy="1838960"/>
            <wp:effectExtent l="0" t="0" r="3810" b="8890"/>
            <wp:wrapTopAndBottom/>
            <wp:docPr id="9" name="Image 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4815840" cy="1838960"/>
                    </a:xfrm>
                    <a:prstGeom prst="rect">
                      <a:avLst/>
                    </a:prstGeom>
                  </pic:spPr>
                </pic:pic>
              </a:graphicData>
            </a:graphic>
          </wp:anchor>
        </w:drawing>
      </w:r>
    </w:p>
    <w:p w14:paraId="18E89A67">
      <w:pPr>
        <w:pStyle w:val="9"/>
        <w:spacing w:line="360" w:lineRule="auto"/>
        <w:ind w:left="0" w:firstLine="567"/>
        <w:jc w:val="left"/>
        <w:rPr>
          <w:b/>
        </w:rPr>
      </w:pPr>
      <w:r>
        <w:rPr>
          <w:b/>
        </w:rPr>
        <w:t>Şekil</w:t>
      </w:r>
      <w:r>
        <w:rPr>
          <w:b/>
          <w:spacing w:val="-2"/>
        </w:rPr>
        <w:t xml:space="preserve"> 2.</w:t>
      </w:r>
      <w:r>
        <w:rPr>
          <w:b/>
        </w:rPr>
        <w:t>1.</w:t>
      </w:r>
      <w:r>
        <w:rPr>
          <w:b/>
          <w:spacing w:val="-2"/>
        </w:rPr>
        <w:t xml:space="preserve"> </w:t>
      </w:r>
      <w:r>
        <w:t>Milgram’ın</w:t>
      </w:r>
      <w:r>
        <w:rPr>
          <w:spacing w:val="-2"/>
        </w:rPr>
        <w:t xml:space="preserve"> </w:t>
      </w:r>
      <w:r>
        <w:t>Gerçeklik-Sanallık</w:t>
      </w:r>
      <w:r>
        <w:rPr>
          <w:spacing w:val="-1"/>
        </w:rPr>
        <w:t xml:space="preserve"> </w:t>
      </w:r>
      <w:r>
        <w:rPr>
          <w:spacing w:val="-2"/>
        </w:rPr>
        <w:t>Sürekliliği</w:t>
      </w:r>
    </w:p>
    <w:p w14:paraId="3C7F2ED8">
      <w:pPr>
        <w:spacing w:line="360" w:lineRule="auto"/>
        <w:ind w:firstLine="567"/>
        <w:jc w:val="both"/>
        <w:rPr>
          <w:sz w:val="20"/>
        </w:rPr>
      </w:pPr>
      <w:r>
        <w:rPr>
          <w:b/>
          <w:sz w:val="20"/>
        </w:rPr>
        <w:t>Kaynak:</w:t>
      </w:r>
      <w:r>
        <w:rPr>
          <w:b/>
          <w:spacing w:val="-4"/>
          <w:sz w:val="20"/>
        </w:rPr>
        <w:t xml:space="preserve"> </w:t>
      </w:r>
      <w:r>
        <w:rPr>
          <w:sz w:val="20"/>
        </w:rPr>
        <w:t>Milgram</w:t>
      </w:r>
      <w:r>
        <w:rPr>
          <w:spacing w:val="-1"/>
          <w:sz w:val="20"/>
        </w:rPr>
        <w:t xml:space="preserve"> </w:t>
      </w:r>
      <w:r>
        <w:rPr>
          <w:sz w:val="20"/>
        </w:rPr>
        <w:t>ve</w:t>
      </w:r>
      <w:r>
        <w:rPr>
          <w:spacing w:val="-1"/>
          <w:sz w:val="20"/>
        </w:rPr>
        <w:t xml:space="preserve"> </w:t>
      </w:r>
      <w:r>
        <w:rPr>
          <w:sz w:val="20"/>
        </w:rPr>
        <w:t xml:space="preserve">Kishino, </w:t>
      </w:r>
      <w:r>
        <w:rPr>
          <w:spacing w:val="-4"/>
          <w:sz w:val="20"/>
        </w:rPr>
        <w:t>1994:1321</w:t>
      </w:r>
    </w:p>
    <w:p w14:paraId="52F38E62">
      <w:pPr>
        <w:pStyle w:val="9"/>
        <w:spacing w:before="120" w:after="120" w:line="360" w:lineRule="auto"/>
        <w:ind w:left="0" w:firstLine="567"/>
      </w:pPr>
      <w:r>
        <w:t>Bu şema, kullanıcıların bulunduğu ortamın bilgisayarın yaratma seviyesine göre bir süreklilik</w:t>
      </w:r>
      <w:r>
        <w:rPr>
          <w:spacing w:val="-6"/>
        </w:rPr>
        <w:t xml:space="preserve"> </w:t>
      </w:r>
      <w:r>
        <w:t>arz</w:t>
      </w:r>
      <w:r>
        <w:rPr>
          <w:spacing w:val="-5"/>
        </w:rPr>
        <w:t xml:space="preserve"> </w:t>
      </w:r>
      <w:r>
        <w:t>ettiğini</w:t>
      </w:r>
      <w:r>
        <w:rPr>
          <w:spacing w:val="-5"/>
        </w:rPr>
        <w:t xml:space="preserve"> </w:t>
      </w:r>
      <w:r>
        <w:t>ileri</w:t>
      </w:r>
      <w:r>
        <w:rPr>
          <w:spacing w:val="-4"/>
        </w:rPr>
        <w:t xml:space="preserve"> </w:t>
      </w:r>
      <w:r>
        <w:t>sürmektedir.</w:t>
      </w:r>
      <w:r>
        <w:rPr>
          <w:spacing w:val="-3"/>
        </w:rPr>
        <w:t xml:space="preserve"> </w:t>
      </w:r>
      <w:r>
        <w:t>Bu</w:t>
      </w:r>
      <w:r>
        <w:rPr>
          <w:spacing w:val="-6"/>
        </w:rPr>
        <w:t xml:space="preserve"> </w:t>
      </w:r>
      <w:r>
        <w:t>bağlamda,</w:t>
      </w:r>
      <w:r>
        <w:rPr>
          <w:spacing w:val="-6"/>
        </w:rPr>
        <w:t xml:space="preserve"> </w:t>
      </w:r>
      <w:r>
        <w:t>spektrumun</w:t>
      </w:r>
      <w:r>
        <w:rPr>
          <w:spacing w:val="-6"/>
        </w:rPr>
        <w:t xml:space="preserve"> </w:t>
      </w:r>
      <w:r>
        <w:t>sol</w:t>
      </w:r>
      <w:r>
        <w:rPr>
          <w:spacing w:val="-5"/>
        </w:rPr>
        <w:t xml:space="preserve"> </w:t>
      </w:r>
      <w:r>
        <w:t>tarafında</w:t>
      </w:r>
      <w:r>
        <w:rPr>
          <w:spacing w:val="-7"/>
        </w:rPr>
        <w:t xml:space="preserve"> </w:t>
      </w:r>
      <w:r>
        <w:t>konumlanan fiziksel realite, bir sahnenin herhangi bir dijital gösterim aracı kullanılmaksızın doğrudan tecrübe edilmesini temsil eder. Teorik olarak konumlanan Artırılmış Virtualite, gerçek dünya</w:t>
      </w:r>
      <w:r>
        <w:rPr>
          <w:spacing w:val="-15"/>
        </w:rPr>
        <w:t xml:space="preserve"> </w:t>
      </w:r>
      <w:r>
        <w:t>nesnelerinin</w:t>
      </w:r>
      <w:r>
        <w:rPr>
          <w:spacing w:val="-14"/>
        </w:rPr>
        <w:t xml:space="preserve"> </w:t>
      </w:r>
      <w:r>
        <w:t>dijital</w:t>
      </w:r>
      <w:r>
        <w:rPr>
          <w:spacing w:val="-14"/>
        </w:rPr>
        <w:t xml:space="preserve"> </w:t>
      </w:r>
      <w:r>
        <w:t>ortama</w:t>
      </w:r>
      <w:r>
        <w:rPr>
          <w:spacing w:val="-15"/>
        </w:rPr>
        <w:t xml:space="preserve"> </w:t>
      </w:r>
      <w:r>
        <w:t>dahil</w:t>
      </w:r>
      <w:r>
        <w:rPr>
          <w:spacing w:val="-13"/>
        </w:rPr>
        <w:t xml:space="preserve"> </w:t>
      </w:r>
      <w:r>
        <w:t>edilmesi</w:t>
      </w:r>
      <w:r>
        <w:rPr>
          <w:spacing w:val="-14"/>
        </w:rPr>
        <w:t xml:space="preserve"> </w:t>
      </w:r>
      <w:r>
        <w:t>ve</w:t>
      </w:r>
      <w:r>
        <w:rPr>
          <w:spacing w:val="-13"/>
        </w:rPr>
        <w:t xml:space="preserve"> </w:t>
      </w:r>
      <w:r>
        <w:t>böylece</w:t>
      </w:r>
      <w:r>
        <w:rPr>
          <w:spacing w:val="-15"/>
        </w:rPr>
        <w:t xml:space="preserve"> </w:t>
      </w:r>
      <w:r>
        <w:t>sanallığın</w:t>
      </w:r>
      <w:r>
        <w:rPr>
          <w:spacing w:val="-11"/>
        </w:rPr>
        <w:t xml:space="preserve"> </w:t>
      </w:r>
      <w:r>
        <w:t>güçlendirilmesi</w:t>
      </w:r>
      <w:r>
        <w:rPr>
          <w:spacing w:val="-13"/>
        </w:rPr>
        <w:t xml:space="preserve"> </w:t>
      </w:r>
      <w:r>
        <w:t>olarak açıklanır.</w:t>
      </w:r>
      <w:r>
        <w:rPr>
          <w:spacing w:val="-3"/>
        </w:rPr>
        <w:t xml:space="preserve"> </w:t>
      </w:r>
      <w:r>
        <w:t>Artırılmış</w:t>
      </w:r>
      <w:r>
        <w:rPr>
          <w:spacing w:val="-2"/>
        </w:rPr>
        <w:t xml:space="preserve"> </w:t>
      </w:r>
      <w:r>
        <w:t>gerçeklikte,</w:t>
      </w:r>
      <w:r>
        <w:rPr>
          <w:spacing w:val="-3"/>
        </w:rPr>
        <w:t xml:space="preserve"> </w:t>
      </w:r>
      <w:r>
        <w:t>gerçek</w:t>
      </w:r>
      <w:r>
        <w:rPr>
          <w:spacing w:val="-2"/>
        </w:rPr>
        <w:t xml:space="preserve"> </w:t>
      </w:r>
      <w:r>
        <w:t>dünyadan sanal</w:t>
      </w:r>
      <w:r>
        <w:rPr>
          <w:spacing w:val="-2"/>
        </w:rPr>
        <w:t xml:space="preserve"> </w:t>
      </w:r>
      <w:r>
        <w:t>dünyaya</w:t>
      </w:r>
      <w:r>
        <w:rPr>
          <w:spacing w:val="-1"/>
        </w:rPr>
        <w:t xml:space="preserve"> </w:t>
      </w:r>
      <w:r>
        <w:t>bir geçiş söz</w:t>
      </w:r>
      <w:r>
        <w:rPr>
          <w:spacing w:val="-1"/>
        </w:rPr>
        <w:t xml:space="preserve"> </w:t>
      </w:r>
      <w:r>
        <w:t>konusu</w:t>
      </w:r>
      <w:r>
        <w:rPr>
          <w:spacing w:val="-2"/>
        </w:rPr>
        <w:t xml:space="preserve"> </w:t>
      </w:r>
      <w:r>
        <w:t>iken, artırılmış virtualite'de sanal dünyanın gerçek dünyaya yakınlaştığı bir süreklilik görmekteyiz. Yani, kullanıcı etkileşimi gerçek dünya ile olursa artırılmış gerçeklik olarak, sanal dünya ile olursa artırılmış virtualite olarak nitelendirilir. Tamamıyla dijital bir sürekliliğin</w:t>
      </w:r>
      <w:r>
        <w:rPr>
          <w:spacing w:val="-1"/>
        </w:rPr>
        <w:t xml:space="preserve"> </w:t>
      </w:r>
      <w:r>
        <w:t>meydana geldiği</w:t>
      </w:r>
      <w:r>
        <w:rPr>
          <w:spacing w:val="-1"/>
        </w:rPr>
        <w:t xml:space="preserve"> </w:t>
      </w:r>
      <w:r>
        <w:t>VR</w:t>
      </w:r>
      <w:r>
        <w:rPr>
          <w:spacing w:val="-1"/>
        </w:rPr>
        <w:t xml:space="preserve"> </w:t>
      </w:r>
      <w:r>
        <w:t>ve</w:t>
      </w:r>
      <w:r>
        <w:rPr>
          <w:spacing w:val="-2"/>
        </w:rPr>
        <w:t xml:space="preserve"> </w:t>
      </w:r>
      <w:r>
        <w:t>MR</w:t>
      </w:r>
      <w:r>
        <w:rPr>
          <w:spacing w:val="-1"/>
        </w:rPr>
        <w:t xml:space="preserve"> </w:t>
      </w:r>
      <w:r>
        <w:t>sistemleri,</w:t>
      </w:r>
      <w:r>
        <w:rPr>
          <w:spacing w:val="-1"/>
        </w:rPr>
        <w:t xml:space="preserve"> </w:t>
      </w:r>
      <w:r>
        <w:t>dijital</w:t>
      </w:r>
      <w:r>
        <w:rPr>
          <w:spacing w:val="-1"/>
        </w:rPr>
        <w:t xml:space="preserve"> </w:t>
      </w:r>
      <w:r>
        <w:t>olarak yaratılmış</w:t>
      </w:r>
      <w:r>
        <w:rPr>
          <w:spacing w:val="-1"/>
        </w:rPr>
        <w:t xml:space="preserve"> </w:t>
      </w:r>
      <w:r>
        <w:t>gerçek</w:t>
      </w:r>
      <w:r>
        <w:rPr>
          <w:spacing w:val="-1"/>
        </w:rPr>
        <w:t xml:space="preserve"> </w:t>
      </w:r>
      <w:r>
        <w:t>ve</w:t>
      </w:r>
      <w:r>
        <w:rPr>
          <w:spacing w:val="-2"/>
        </w:rPr>
        <w:t xml:space="preserve"> </w:t>
      </w:r>
      <w:r>
        <w:t>sanal öğelerin bir araya gelmesini sağlamaktadır (Küçüksaraç ve Sayımer, 2016: 79).</w:t>
      </w:r>
    </w:p>
    <w:p w14:paraId="26881672">
      <w:pPr>
        <w:pStyle w:val="4"/>
        <w:spacing w:before="240" w:after="240" w:line="360" w:lineRule="auto"/>
        <w:ind w:left="567" w:firstLine="0"/>
        <w:rPr>
          <w:i w:val="0"/>
        </w:rPr>
      </w:pPr>
      <w:bookmarkStart w:id="54" w:name="_Toc195877776"/>
      <w:bookmarkStart w:id="55" w:name="_Toc197351229"/>
      <w:bookmarkStart w:id="56" w:name="_Toc195875792"/>
      <w:r>
        <w:rPr>
          <w:i w:val="0"/>
        </w:rPr>
        <w:t>2.2.2. Sanal Gerçeklik Teknolojisinin Tarihsel Gelişimi</w:t>
      </w:r>
      <w:bookmarkEnd w:id="54"/>
      <w:bookmarkEnd w:id="55"/>
      <w:bookmarkEnd w:id="56"/>
    </w:p>
    <w:p w14:paraId="5B69B258">
      <w:pPr>
        <w:pStyle w:val="9"/>
        <w:spacing w:before="120" w:after="120" w:line="360" w:lineRule="auto"/>
        <w:ind w:left="0" w:firstLine="567"/>
      </w:pPr>
      <w:r>
        <w:t>Dinamik bir şekilde ilerleyen bilgi teknolojisi, gerçeklik teknolojilerinin doğuşunda ve evriminde kritik bir yer tutmaktadır. Sanal gerçeklik teknolojisinin geçmişine göz atıldığında,</w:t>
      </w:r>
      <w:r>
        <w:rPr>
          <w:spacing w:val="-1"/>
        </w:rPr>
        <w:t xml:space="preserve"> </w:t>
      </w:r>
      <w:r>
        <w:t>1962</w:t>
      </w:r>
      <w:r>
        <w:rPr>
          <w:spacing w:val="4"/>
        </w:rPr>
        <w:t xml:space="preserve"> </w:t>
      </w:r>
      <w:r>
        <w:t>yılında</w:t>
      </w:r>
      <w:r>
        <w:rPr>
          <w:spacing w:val="2"/>
        </w:rPr>
        <w:t xml:space="preserve"> </w:t>
      </w:r>
      <w:r>
        <w:t>yönetmen</w:t>
      </w:r>
      <w:r>
        <w:rPr>
          <w:spacing w:val="5"/>
        </w:rPr>
        <w:t xml:space="preserve"> </w:t>
      </w:r>
      <w:r>
        <w:rPr>
          <w:i/>
        </w:rPr>
        <w:t>“Morton Heilig'in</w:t>
      </w:r>
      <w:r>
        <w:rPr>
          <w:i/>
          <w:spacing w:val="1"/>
        </w:rPr>
        <w:t xml:space="preserve"> </w:t>
      </w:r>
      <w:r>
        <w:rPr>
          <w:i/>
        </w:rPr>
        <w:t>Sensorama</w:t>
      </w:r>
      <w:r>
        <w:rPr>
          <w:i/>
          <w:spacing w:val="-1"/>
        </w:rPr>
        <w:t xml:space="preserve"> </w:t>
      </w:r>
      <w:r>
        <w:rPr>
          <w:i/>
        </w:rPr>
        <w:t>Simulator”</w:t>
      </w:r>
      <w:r>
        <w:rPr>
          <w:i/>
          <w:spacing w:val="2"/>
        </w:rPr>
        <w:t xml:space="preserve"> </w:t>
      </w:r>
      <w:r>
        <w:t>isimli ilk</w:t>
      </w:r>
      <w:r>
        <w:rPr>
          <w:spacing w:val="1"/>
        </w:rPr>
        <w:t xml:space="preserve"> </w:t>
      </w:r>
      <w:r>
        <w:rPr>
          <w:spacing w:val="-5"/>
        </w:rPr>
        <w:t>VR</w:t>
      </w:r>
      <w:r>
        <w:t xml:space="preserve"> simülatörünü yarattığını görebiliriz. Bu simülatör, iki kamera aracılığıyla elde edilen üç boyutlu görüntüleri, çift kanallı sesi, koku algısını, rüzgâr ve vibrasyon duyumunu tecrübe etmeye imkân tanıyan bir koltuktan meydana geliyordu ve böylece izlenen sahnelerle duyusal bir realite inşa edilmeye çalışılmaktaydı (Burdea ve Coiffet, 2003:2) (Resim 2.4).</w:t>
      </w:r>
    </w:p>
    <w:p w14:paraId="20A89539">
      <w:pPr>
        <w:pStyle w:val="9"/>
        <w:spacing w:before="120" w:after="120" w:line="360" w:lineRule="auto"/>
        <w:ind w:left="0" w:firstLine="567"/>
        <w:jc w:val="left"/>
        <w:rPr>
          <w:sz w:val="15"/>
        </w:rPr>
      </w:pPr>
      <w:r>
        <w:rPr>
          <w:lang w:eastAsia="tr-TR"/>
        </w:rPr>
        <w:drawing>
          <wp:anchor distT="0" distB="0" distL="0" distR="0" simplePos="0" relativeHeight="251664384" behindDoc="1" locked="0" layoutInCell="1" allowOverlap="1">
            <wp:simplePos x="0" y="0"/>
            <wp:positionH relativeFrom="page">
              <wp:posOffset>1673225</wp:posOffset>
            </wp:positionH>
            <wp:positionV relativeFrom="paragraph">
              <wp:posOffset>130175</wp:posOffset>
            </wp:positionV>
            <wp:extent cx="4207510" cy="4286250"/>
            <wp:effectExtent l="0" t="0" r="0" b="0"/>
            <wp:wrapTopAndBottom/>
            <wp:docPr id="10"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4207690" cy="4286250"/>
                    </a:xfrm>
                    <a:prstGeom prst="rect">
                      <a:avLst/>
                    </a:prstGeom>
                  </pic:spPr>
                </pic:pic>
              </a:graphicData>
            </a:graphic>
          </wp:anchor>
        </w:drawing>
      </w:r>
    </w:p>
    <w:p w14:paraId="51F7663B">
      <w:pPr>
        <w:pStyle w:val="9"/>
        <w:spacing w:line="360" w:lineRule="auto"/>
        <w:ind w:left="0" w:firstLine="567"/>
        <w:jc w:val="left"/>
        <w:rPr>
          <w:b/>
        </w:rPr>
      </w:pPr>
      <w:r>
        <w:rPr>
          <w:b/>
        </w:rPr>
        <w:t>Resim</w:t>
      </w:r>
      <w:r>
        <w:rPr>
          <w:b/>
          <w:spacing w:val="-2"/>
        </w:rPr>
        <w:t xml:space="preserve"> 2.</w:t>
      </w:r>
      <w:r>
        <w:rPr>
          <w:b/>
        </w:rPr>
        <w:t>4.</w:t>
      </w:r>
      <w:r>
        <w:rPr>
          <w:b/>
          <w:spacing w:val="1"/>
        </w:rPr>
        <w:t xml:space="preserve"> </w:t>
      </w:r>
      <w:r>
        <w:t>İlk</w:t>
      </w:r>
      <w:r>
        <w:rPr>
          <w:spacing w:val="-2"/>
        </w:rPr>
        <w:t xml:space="preserve"> </w:t>
      </w:r>
      <w:r>
        <w:t>Sanal</w:t>
      </w:r>
      <w:r>
        <w:rPr>
          <w:spacing w:val="-1"/>
        </w:rPr>
        <w:t xml:space="preserve"> </w:t>
      </w:r>
      <w:r>
        <w:t>Gerçeklik</w:t>
      </w:r>
      <w:r>
        <w:rPr>
          <w:spacing w:val="-1"/>
        </w:rPr>
        <w:t xml:space="preserve"> </w:t>
      </w:r>
      <w:r>
        <w:t>Simülatörü</w:t>
      </w:r>
      <w:r>
        <w:rPr>
          <w:spacing w:val="-1"/>
        </w:rPr>
        <w:t xml:space="preserve"> </w:t>
      </w:r>
      <w:r>
        <w:rPr>
          <w:spacing w:val="-2"/>
        </w:rPr>
        <w:t>“Sensorama”</w:t>
      </w:r>
    </w:p>
    <w:p w14:paraId="5CA94198">
      <w:pPr>
        <w:pStyle w:val="9"/>
        <w:spacing w:line="360" w:lineRule="auto"/>
        <w:ind w:left="0" w:firstLine="567"/>
        <w:rPr>
          <w:sz w:val="20"/>
        </w:rPr>
      </w:pPr>
      <w:r>
        <w:rPr>
          <w:b/>
          <w:sz w:val="20"/>
        </w:rPr>
        <w:t>Kaynak:</w:t>
      </w:r>
      <w:r>
        <w:rPr>
          <w:sz w:val="20"/>
        </w:rPr>
        <w:t xml:space="preserve"> https://trybean.com/2017/09/21/9-ways-vr-is-used-in-marketing-sales-training/, (Erişim Tarihi: 05.09.2023)</w:t>
      </w:r>
    </w:p>
    <w:p w14:paraId="3ED0D08D">
      <w:pPr>
        <w:pStyle w:val="9"/>
        <w:spacing w:before="120" w:after="120" w:line="360" w:lineRule="auto"/>
        <w:ind w:left="0" w:firstLine="567"/>
      </w:pPr>
      <w:r>
        <w:t>Heilig, sanal gerçeklik alanında öncül çalışmaları başlatan ilk kişi olarak tanınmaktadır, ancak finansal kısıtlamalar nedeniyle projeleri geniş çaplı üretime geçememiştir. Yine de, bu</w:t>
      </w:r>
      <w:r>
        <w:rPr>
          <w:spacing w:val="-6"/>
        </w:rPr>
        <w:t xml:space="preserve"> </w:t>
      </w:r>
      <w:r>
        <w:t>inovatif</w:t>
      </w:r>
      <w:r>
        <w:rPr>
          <w:spacing w:val="-6"/>
        </w:rPr>
        <w:t xml:space="preserve"> </w:t>
      </w:r>
      <w:r>
        <w:t>çabalar,</w:t>
      </w:r>
      <w:r>
        <w:rPr>
          <w:spacing w:val="-7"/>
        </w:rPr>
        <w:t xml:space="preserve"> </w:t>
      </w:r>
      <w:r>
        <w:t>birçok</w:t>
      </w:r>
      <w:r>
        <w:rPr>
          <w:spacing w:val="-6"/>
        </w:rPr>
        <w:t xml:space="preserve"> </w:t>
      </w:r>
      <w:r>
        <w:t>bilgisayar</w:t>
      </w:r>
      <w:r>
        <w:rPr>
          <w:spacing w:val="-4"/>
        </w:rPr>
        <w:t xml:space="preserve"> </w:t>
      </w:r>
      <w:r>
        <w:t>bilimcisinin</w:t>
      </w:r>
      <w:r>
        <w:rPr>
          <w:spacing w:val="-5"/>
        </w:rPr>
        <w:t xml:space="preserve"> </w:t>
      </w:r>
      <w:r>
        <w:t>ilgisini</w:t>
      </w:r>
      <w:r>
        <w:rPr>
          <w:spacing w:val="-5"/>
        </w:rPr>
        <w:t xml:space="preserve"> </w:t>
      </w:r>
      <w:r>
        <w:t>çekmiş</w:t>
      </w:r>
      <w:r>
        <w:rPr>
          <w:spacing w:val="-6"/>
        </w:rPr>
        <w:t xml:space="preserve"> </w:t>
      </w:r>
      <w:r>
        <w:t>ve</w:t>
      </w:r>
      <w:r>
        <w:rPr>
          <w:spacing w:val="-7"/>
        </w:rPr>
        <w:t xml:space="preserve"> </w:t>
      </w:r>
      <w:r>
        <w:t>bu</w:t>
      </w:r>
      <w:r>
        <w:rPr>
          <w:spacing w:val="-6"/>
        </w:rPr>
        <w:t xml:space="preserve"> </w:t>
      </w:r>
      <w:r>
        <w:t>sayede</w:t>
      </w:r>
      <w:r>
        <w:rPr>
          <w:spacing w:val="-7"/>
        </w:rPr>
        <w:t xml:space="preserve"> </w:t>
      </w:r>
      <w:r>
        <w:t>1968'de</w:t>
      </w:r>
      <w:r>
        <w:rPr>
          <w:spacing w:val="-4"/>
        </w:rPr>
        <w:t xml:space="preserve"> </w:t>
      </w:r>
      <w:r>
        <w:t>Ivan Sutherland, “Sword of Damocles” ismini verdiği ilk başa monte edilen ekran sistemini “(Head</w:t>
      </w:r>
      <w:r>
        <w:rPr>
          <w:spacing w:val="75"/>
          <w:w w:val="150"/>
        </w:rPr>
        <w:t xml:space="preserve"> </w:t>
      </w:r>
      <w:r>
        <w:t>Mounted</w:t>
      </w:r>
      <w:r>
        <w:rPr>
          <w:spacing w:val="78"/>
          <w:w w:val="150"/>
        </w:rPr>
        <w:t xml:space="preserve"> </w:t>
      </w:r>
      <w:r>
        <w:t>Display-HMD)”</w:t>
      </w:r>
      <w:r>
        <w:rPr>
          <w:spacing w:val="25"/>
        </w:rPr>
        <w:t xml:space="preserve"> </w:t>
      </w:r>
      <w:r>
        <w:t>yaratmıştır.</w:t>
      </w:r>
      <w:r>
        <w:rPr>
          <w:spacing w:val="79"/>
          <w:w w:val="150"/>
        </w:rPr>
        <w:t xml:space="preserve"> </w:t>
      </w:r>
      <w:r>
        <w:t>Bu</w:t>
      </w:r>
      <w:r>
        <w:rPr>
          <w:spacing w:val="25"/>
        </w:rPr>
        <w:t xml:space="preserve"> </w:t>
      </w:r>
      <w:r>
        <w:t>gelişmeyle</w:t>
      </w:r>
      <w:r>
        <w:rPr>
          <w:spacing w:val="77"/>
          <w:w w:val="150"/>
        </w:rPr>
        <w:t xml:space="preserve"> </w:t>
      </w:r>
      <w:r>
        <w:t>birlikte,</w:t>
      </w:r>
      <w:r>
        <w:rPr>
          <w:spacing w:val="77"/>
          <w:w w:val="150"/>
        </w:rPr>
        <w:t xml:space="preserve"> </w:t>
      </w:r>
      <w:r>
        <w:rPr>
          <w:spacing w:val="-2"/>
        </w:rPr>
        <w:t>gösterilen</w:t>
      </w:r>
      <w:r>
        <w:t xml:space="preserve"> görüntülerin yalnızca kamerayla kaydedilmesi gerekmiyor; ilk defa bilgisayar tarafından üretilen canlı sanal görüntüler de oluşturulabiliyor (Yengin ve Bayrak, 2017: 93).</w:t>
      </w:r>
    </w:p>
    <w:p w14:paraId="11D9FD98">
      <w:pPr>
        <w:pStyle w:val="9"/>
        <w:spacing w:before="120" w:after="120" w:line="360" w:lineRule="auto"/>
        <w:ind w:left="0" w:firstLine="567"/>
        <w:jc w:val="left"/>
        <w:rPr>
          <w:sz w:val="20"/>
        </w:rPr>
      </w:pPr>
    </w:p>
    <w:p w14:paraId="639892F0">
      <w:pPr>
        <w:pStyle w:val="9"/>
        <w:spacing w:before="120" w:after="120" w:line="360" w:lineRule="auto"/>
        <w:ind w:left="0" w:firstLine="567"/>
        <w:jc w:val="left"/>
        <w:rPr>
          <w:sz w:val="20"/>
        </w:rPr>
      </w:pPr>
    </w:p>
    <w:p w14:paraId="6BE6F6F2">
      <w:pPr>
        <w:pStyle w:val="9"/>
        <w:spacing w:before="120" w:after="120" w:line="360" w:lineRule="auto"/>
        <w:ind w:left="0" w:firstLine="567"/>
        <w:jc w:val="left"/>
        <w:rPr>
          <w:sz w:val="29"/>
        </w:rPr>
      </w:pPr>
      <w:r>
        <w:rPr>
          <w:lang w:eastAsia="tr-TR"/>
        </w:rPr>
        <w:drawing>
          <wp:anchor distT="0" distB="0" distL="0" distR="0" simplePos="0" relativeHeight="251664384" behindDoc="1" locked="0" layoutInCell="1" allowOverlap="1">
            <wp:simplePos x="0" y="0"/>
            <wp:positionH relativeFrom="page">
              <wp:posOffset>1644650</wp:posOffset>
            </wp:positionH>
            <wp:positionV relativeFrom="paragraph">
              <wp:posOffset>227965</wp:posOffset>
            </wp:positionV>
            <wp:extent cx="4255135" cy="2171700"/>
            <wp:effectExtent l="0" t="0" r="0" b="0"/>
            <wp:wrapTopAndBottom/>
            <wp:docPr id="11" name="Image 1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4255263" cy="2171700"/>
                    </a:xfrm>
                    <a:prstGeom prst="rect">
                      <a:avLst/>
                    </a:prstGeom>
                  </pic:spPr>
                </pic:pic>
              </a:graphicData>
            </a:graphic>
          </wp:anchor>
        </w:drawing>
      </w:r>
    </w:p>
    <w:p w14:paraId="336507CB">
      <w:pPr>
        <w:spacing w:line="360" w:lineRule="auto"/>
        <w:ind w:firstLine="567"/>
        <w:rPr>
          <w:b/>
          <w:sz w:val="24"/>
        </w:rPr>
      </w:pPr>
      <w:r>
        <w:rPr>
          <w:b/>
          <w:sz w:val="24"/>
        </w:rPr>
        <w:t>Resim</w:t>
      </w:r>
      <w:r>
        <w:rPr>
          <w:b/>
          <w:spacing w:val="-2"/>
          <w:sz w:val="24"/>
        </w:rPr>
        <w:t xml:space="preserve"> 2.</w:t>
      </w:r>
      <w:r>
        <w:rPr>
          <w:b/>
          <w:sz w:val="24"/>
        </w:rPr>
        <w:t>5.</w:t>
      </w:r>
      <w:r>
        <w:rPr>
          <w:b/>
          <w:spacing w:val="-1"/>
          <w:sz w:val="24"/>
        </w:rPr>
        <w:t xml:space="preserve"> </w:t>
      </w:r>
      <w:r>
        <w:rPr>
          <w:sz w:val="24"/>
        </w:rPr>
        <w:t>The</w:t>
      </w:r>
      <w:r>
        <w:rPr>
          <w:spacing w:val="-4"/>
          <w:sz w:val="24"/>
        </w:rPr>
        <w:t xml:space="preserve"> </w:t>
      </w:r>
      <w:r>
        <w:rPr>
          <w:sz w:val="24"/>
        </w:rPr>
        <w:t>Sword</w:t>
      </w:r>
      <w:r>
        <w:rPr>
          <w:spacing w:val="-1"/>
          <w:sz w:val="24"/>
        </w:rPr>
        <w:t xml:space="preserve"> </w:t>
      </w:r>
      <w:r>
        <w:rPr>
          <w:sz w:val="24"/>
        </w:rPr>
        <w:t>of Damocles: İlk</w:t>
      </w:r>
      <w:r>
        <w:rPr>
          <w:spacing w:val="-1"/>
          <w:sz w:val="24"/>
        </w:rPr>
        <w:t xml:space="preserve"> </w:t>
      </w:r>
      <w:r>
        <w:rPr>
          <w:sz w:val="24"/>
        </w:rPr>
        <w:t>HMD</w:t>
      </w:r>
      <w:r>
        <w:rPr>
          <w:spacing w:val="-2"/>
          <w:sz w:val="24"/>
        </w:rPr>
        <w:t xml:space="preserve"> sistemi</w:t>
      </w:r>
    </w:p>
    <w:p w14:paraId="33DE0165">
      <w:pPr>
        <w:pStyle w:val="9"/>
        <w:spacing w:line="360" w:lineRule="auto"/>
        <w:ind w:left="0" w:firstLine="567"/>
        <w:rPr>
          <w:sz w:val="20"/>
        </w:rPr>
      </w:pPr>
      <w:r>
        <w:rPr>
          <w:b/>
          <w:sz w:val="20"/>
        </w:rPr>
        <w:t>Kaynak:</w:t>
      </w:r>
      <w:r>
        <w:rPr>
          <w:b/>
          <w:spacing w:val="-3"/>
          <w:sz w:val="20"/>
        </w:rPr>
        <w:t xml:space="preserve"> </w:t>
      </w:r>
      <w:r>
        <w:rPr>
          <w:sz w:val="20"/>
        </w:rPr>
        <w:t>Sutherland,</w:t>
      </w:r>
      <w:r>
        <w:rPr>
          <w:spacing w:val="-1"/>
          <w:sz w:val="20"/>
        </w:rPr>
        <w:t xml:space="preserve"> </w:t>
      </w:r>
      <w:r>
        <w:rPr>
          <w:sz w:val="20"/>
        </w:rPr>
        <w:t>I.</w:t>
      </w:r>
      <w:r>
        <w:rPr>
          <w:spacing w:val="-1"/>
          <w:sz w:val="20"/>
        </w:rPr>
        <w:t xml:space="preserve"> </w:t>
      </w:r>
      <w:r>
        <w:rPr>
          <w:sz w:val="20"/>
        </w:rPr>
        <w:t>E.</w:t>
      </w:r>
      <w:r>
        <w:rPr>
          <w:spacing w:val="-4"/>
          <w:sz w:val="20"/>
        </w:rPr>
        <w:t xml:space="preserve"> </w:t>
      </w:r>
      <w:r>
        <w:rPr>
          <w:sz w:val="20"/>
        </w:rPr>
        <w:t>(1968).</w:t>
      </w:r>
      <w:r>
        <w:rPr>
          <w:spacing w:val="-4"/>
          <w:sz w:val="20"/>
        </w:rPr>
        <w:t xml:space="preserve"> </w:t>
      </w:r>
      <w:r>
        <w:rPr>
          <w:sz w:val="20"/>
        </w:rPr>
        <w:t>A</w:t>
      </w:r>
      <w:r>
        <w:rPr>
          <w:spacing w:val="-4"/>
          <w:sz w:val="20"/>
        </w:rPr>
        <w:t xml:space="preserve"> </w:t>
      </w:r>
      <w:r>
        <w:rPr>
          <w:sz w:val="20"/>
        </w:rPr>
        <w:t>head-mounted</w:t>
      </w:r>
      <w:r>
        <w:rPr>
          <w:spacing w:val="-3"/>
          <w:sz w:val="20"/>
        </w:rPr>
        <w:t xml:space="preserve"> </w:t>
      </w:r>
      <w:r>
        <w:rPr>
          <w:sz w:val="20"/>
        </w:rPr>
        <w:t>three</w:t>
      </w:r>
      <w:r>
        <w:rPr>
          <w:spacing w:val="-4"/>
          <w:sz w:val="20"/>
        </w:rPr>
        <w:t xml:space="preserve"> </w:t>
      </w:r>
      <w:r>
        <w:rPr>
          <w:sz w:val="20"/>
        </w:rPr>
        <w:t>dimensional</w:t>
      </w:r>
      <w:r>
        <w:rPr>
          <w:spacing w:val="-3"/>
          <w:sz w:val="20"/>
        </w:rPr>
        <w:t xml:space="preserve"> </w:t>
      </w:r>
      <w:r>
        <w:rPr>
          <w:sz w:val="20"/>
        </w:rPr>
        <w:t>display.</w:t>
      </w:r>
      <w:r>
        <w:rPr>
          <w:spacing w:val="-3"/>
          <w:sz w:val="20"/>
        </w:rPr>
        <w:t xml:space="preserve"> </w:t>
      </w:r>
      <w:r>
        <w:rPr>
          <w:sz w:val="20"/>
        </w:rPr>
        <w:t>Proceedings of the December 9-11, 1968, Fall Joint Computer Conference</w:t>
      </w:r>
    </w:p>
    <w:p w14:paraId="6D7F7687">
      <w:pPr>
        <w:pStyle w:val="9"/>
        <w:spacing w:before="120" w:after="120" w:line="360" w:lineRule="auto"/>
        <w:ind w:left="0" w:firstLine="567"/>
      </w:pPr>
      <w:r>
        <w:t>Bu görüntü başlığı, kullanıcının perspektifini bakış açısına göre ayarlayabilen bir özelliğe sahiptir, ve büyük ağırlığı nedeniyle, tavanından mekanik kollar yardımıyla asılarak kullanılmıştır, bu da kullanıcının daha konforlu bir şekilde hareket etmesini mümkün kılmıştır. Heilig ve Sutherland'ın bu yenilikçi çalışmaları, interaktif elementler barındırmasa da, sanal gerçekliğin gerçekleşmesi için gereken temel özellikleri barındırmakta, bu da onları modern görüntü başlığı teknolojilerinin evriminde kritik bir aşama haline getirmektedir (Mazuryk ve Gervautz, 1996: 2).</w:t>
      </w:r>
    </w:p>
    <w:p w14:paraId="62AF9E4E">
      <w:pPr>
        <w:pStyle w:val="9"/>
        <w:spacing w:before="120" w:after="120" w:line="360" w:lineRule="auto"/>
        <w:ind w:left="0" w:firstLine="567"/>
      </w:pPr>
      <w:r>
        <w:t xml:space="preserve">Sanal gerçeklik teknolojisinin, resmi bir terim olarak tanımlanmadan önce temel araştırmaların yürütüldüğü gözlemlenmektedir. 1990'larla birlikte kullanıcı merkezli </w:t>
      </w:r>
      <w:r>
        <w:rPr>
          <w:spacing w:val="-2"/>
        </w:rPr>
        <w:t xml:space="preserve">teknolojilerin patlama yapması, bu teknolojinin süratle ilerlemesini tetiklemiştir. İlk başlarda </w:t>
      </w:r>
      <w:r>
        <w:t>bireysel</w:t>
      </w:r>
      <w:r>
        <w:rPr>
          <w:spacing w:val="-11"/>
        </w:rPr>
        <w:t xml:space="preserve"> </w:t>
      </w:r>
      <w:r>
        <w:t>kullanıcılar</w:t>
      </w:r>
      <w:r>
        <w:rPr>
          <w:spacing w:val="-13"/>
        </w:rPr>
        <w:t xml:space="preserve"> </w:t>
      </w:r>
      <w:r>
        <w:t>için</w:t>
      </w:r>
      <w:r>
        <w:rPr>
          <w:spacing w:val="-8"/>
        </w:rPr>
        <w:t xml:space="preserve"> </w:t>
      </w:r>
      <w:r>
        <w:t>oldukça</w:t>
      </w:r>
      <w:r>
        <w:rPr>
          <w:spacing w:val="-13"/>
        </w:rPr>
        <w:t xml:space="preserve"> </w:t>
      </w:r>
      <w:r>
        <w:t>pahalı</w:t>
      </w:r>
      <w:r>
        <w:rPr>
          <w:spacing w:val="-11"/>
        </w:rPr>
        <w:t xml:space="preserve"> </w:t>
      </w:r>
      <w:r>
        <w:t>olan</w:t>
      </w:r>
      <w:r>
        <w:rPr>
          <w:spacing w:val="-10"/>
        </w:rPr>
        <w:t xml:space="preserve"> </w:t>
      </w:r>
      <w:r>
        <w:t>bu</w:t>
      </w:r>
      <w:r>
        <w:rPr>
          <w:spacing w:val="-12"/>
        </w:rPr>
        <w:t xml:space="preserve"> </w:t>
      </w:r>
      <w:r>
        <w:t>teknolojiler,</w:t>
      </w:r>
      <w:r>
        <w:rPr>
          <w:spacing w:val="-12"/>
        </w:rPr>
        <w:t xml:space="preserve"> </w:t>
      </w:r>
      <w:r>
        <w:t>21.</w:t>
      </w:r>
      <w:r>
        <w:rPr>
          <w:spacing w:val="-9"/>
        </w:rPr>
        <w:t xml:space="preserve"> </w:t>
      </w:r>
      <w:r>
        <w:t>yüzyılın</w:t>
      </w:r>
      <w:r>
        <w:rPr>
          <w:spacing w:val="-9"/>
        </w:rPr>
        <w:t xml:space="preserve"> </w:t>
      </w:r>
      <w:r>
        <w:t>gelmesiyle</w:t>
      </w:r>
      <w:r>
        <w:rPr>
          <w:spacing w:val="-12"/>
        </w:rPr>
        <w:t xml:space="preserve"> </w:t>
      </w:r>
      <w:r>
        <w:t>birlikte kompakt boyutlara ve kuvvetli işlemcilere sahip mobil cihazların ve bilgi teknolojilerinin geniş</w:t>
      </w:r>
      <w:r>
        <w:rPr>
          <w:spacing w:val="29"/>
        </w:rPr>
        <w:t xml:space="preserve"> </w:t>
      </w:r>
      <w:r>
        <w:t>çaplı</w:t>
      </w:r>
      <w:r>
        <w:rPr>
          <w:spacing w:val="29"/>
        </w:rPr>
        <w:t xml:space="preserve"> </w:t>
      </w:r>
      <w:r>
        <w:t>kullanımıyla</w:t>
      </w:r>
      <w:r>
        <w:rPr>
          <w:spacing w:val="29"/>
        </w:rPr>
        <w:t xml:space="preserve"> </w:t>
      </w:r>
      <w:r>
        <w:t>daha</w:t>
      </w:r>
      <w:r>
        <w:rPr>
          <w:spacing w:val="28"/>
        </w:rPr>
        <w:t xml:space="preserve"> </w:t>
      </w:r>
      <w:r>
        <w:t>erişilebilir</w:t>
      </w:r>
      <w:r>
        <w:rPr>
          <w:spacing w:val="29"/>
        </w:rPr>
        <w:t xml:space="preserve"> </w:t>
      </w:r>
      <w:r>
        <w:t>hale</w:t>
      </w:r>
      <w:r>
        <w:rPr>
          <w:spacing w:val="29"/>
        </w:rPr>
        <w:t xml:space="preserve"> </w:t>
      </w:r>
      <w:r>
        <w:t>gelmiştir.</w:t>
      </w:r>
      <w:r>
        <w:rPr>
          <w:spacing w:val="29"/>
        </w:rPr>
        <w:t xml:space="preserve"> </w:t>
      </w:r>
      <w:r>
        <w:t>Bu</w:t>
      </w:r>
      <w:r>
        <w:rPr>
          <w:spacing w:val="28"/>
        </w:rPr>
        <w:t xml:space="preserve"> </w:t>
      </w:r>
      <w:r>
        <w:t>gelişmenin</w:t>
      </w:r>
      <w:r>
        <w:rPr>
          <w:spacing w:val="29"/>
        </w:rPr>
        <w:t xml:space="preserve"> </w:t>
      </w:r>
      <w:r>
        <w:t>arkasındaki</w:t>
      </w:r>
      <w:r>
        <w:rPr>
          <w:spacing w:val="29"/>
        </w:rPr>
        <w:t xml:space="preserve"> </w:t>
      </w:r>
      <w:r>
        <w:rPr>
          <w:spacing w:val="-2"/>
        </w:rPr>
        <w:t>diğer</w:t>
      </w:r>
      <w:r>
        <w:t xml:space="preserve"> faktörler ise, sanayi toplumundan bilgi toplumuna geçiş sürecinde internet ve bilgi teknolojilerine duyulan ilginin artması ve toplumların bu yeniliklere adapte olma seviyelerinin yüksek olması olarak belirtilmektedir (Yengin ve Bayrak, 2017: 95).</w:t>
      </w:r>
    </w:p>
    <w:p w14:paraId="201810D6">
      <w:pPr>
        <w:pStyle w:val="9"/>
        <w:spacing w:before="120" w:after="120" w:line="360" w:lineRule="auto"/>
        <w:ind w:left="0" w:firstLine="567"/>
      </w:pPr>
    </w:p>
    <w:p w14:paraId="3E9E38C3">
      <w:pPr>
        <w:pStyle w:val="9"/>
        <w:spacing w:before="120" w:after="120" w:line="360" w:lineRule="auto"/>
        <w:ind w:left="0" w:firstLine="567"/>
      </w:pPr>
    </w:p>
    <w:p w14:paraId="65BE8C9D">
      <w:pPr>
        <w:pStyle w:val="4"/>
        <w:spacing w:before="240" w:after="240" w:line="360" w:lineRule="auto"/>
        <w:ind w:left="567" w:firstLine="0"/>
        <w:rPr>
          <w:i w:val="0"/>
        </w:rPr>
      </w:pPr>
      <w:bookmarkStart w:id="57" w:name="_Toc195875793"/>
      <w:bookmarkStart w:id="58" w:name="_Toc195877777"/>
      <w:bookmarkStart w:id="59" w:name="_Toc197351230"/>
      <w:r>
        <w:rPr>
          <w:i w:val="0"/>
        </w:rPr>
        <w:t>2.2.3. Sanal Gerçeklik Teknolojisinin Temel Bileşenleri ve Türleri</w:t>
      </w:r>
      <w:bookmarkEnd w:id="57"/>
      <w:bookmarkEnd w:id="58"/>
      <w:bookmarkEnd w:id="59"/>
    </w:p>
    <w:p w14:paraId="597BD00D">
      <w:pPr>
        <w:pStyle w:val="9"/>
        <w:spacing w:before="120" w:after="120" w:line="360" w:lineRule="auto"/>
        <w:ind w:left="0" w:firstLine="567"/>
      </w:pPr>
      <w:r>
        <w:t>Sanal gerçeklik, kullanıcıları tamamen saracak, etkileşim sağlayacak, kullanıcı-odaklı ve çok</w:t>
      </w:r>
      <w:r>
        <w:rPr>
          <w:spacing w:val="-1"/>
        </w:rPr>
        <w:t xml:space="preserve"> </w:t>
      </w:r>
      <w:r>
        <w:t>katmanlı</w:t>
      </w:r>
      <w:r>
        <w:rPr>
          <w:spacing w:val="-1"/>
        </w:rPr>
        <w:t xml:space="preserve"> </w:t>
      </w:r>
      <w:r>
        <w:t>dijital</w:t>
      </w:r>
      <w:r>
        <w:rPr>
          <w:spacing w:val="-1"/>
        </w:rPr>
        <w:t xml:space="preserve"> </w:t>
      </w:r>
      <w:r>
        <w:t>ortamların</w:t>
      </w:r>
      <w:r>
        <w:rPr>
          <w:spacing w:val="-2"/>
        </w:rPr>
        <w:t xml:space="preserve"> </w:t>
      </w:r>
      <w:r>
        <w:t>ve</w:t>
      </w:r>
      <w:r>
        <w:rPr>
          <w:spacing w:val="-2"/>
        </w:rPr>
        <w:t xml:space="preserve"> </w:t>
      </w:r>
      <w:r>
        <w:t>bu</w:t>
      </w:r>
      <w:r>
        <w:rPr>
          <w:spacing w:val="-1"/>
        </w:rPr>
        <w:t xml:space="preserve"> </w:t>
      </w:r>
      <w:r>
        <w:t>ortamları</w:t>
      </w:r>
      <w:r>
        <w:rPr>
          <w:spacing w:val="-2"/>
        </w:rPr>
        <w:t xml:space="preserve"> </w:t>
      </w:r>
      <w:r>
        <w:t>meydana getirebilmek</w:t>
      </w:r>
      <w:r>
        <w:rPr>
          <w:spacing w:val="-2"/>
        </w:rPr>
        <w:t xml:space="preserve"> </w:t>
      </w:r>
      <w:r>
        <w:t>adına</w:t>
      </w:r>
      <w:r>
        <w:rPr>
          <w:spacing w:val="-2"/>
        </w:rPr>
        <w:t xml:space="preserve"> </w:t>
      </w:r>
      <w:r>
        <w:t>gerekli</w:t>
      </w:r>
      <w:r>
        <w:rPr>
          <w:spacing w:val="-1"/>
        </w:rPr>
        <w:t xml:space="preserve"> </w:t>
      </w:r>
      <w:r>
        <w:t>olan</w:t>
      </w:r>
      <w:r>
        <w:rPr>
          <w:spacing w:val="-2"/>
        </w:rPr>
        <w:t xml:space="preserve"> </w:t>
      </w:r>
      <w:r>
        <w:t>bir dizi teknolojilerin kombinasyonunu temsil eder. İnsan zihninin bir sanal mekânı gerçek olarak tanıyabilmesi adına, ilk olarak bu mekânın duyusal olarak inandırıcı olması şarttır. Bu</w:t>
      </w:r>
      <w:r>
        <w:rPr>
          <w:spacing w:val="-2"/>
        </w:rPr>
        <w:t xml:space="preserve"> </w:t>
      </w:r>
      <w:r>
        <w:t>yüzden,</w:t>
      </w:r>
      <w:r>
        <w:rPr>
          <w:spacing w:val="-3"/>
        </w:rPr>
        <w:t xml:space="preserve"> </w:t>
      </w:r>
      <w:r>
        <w:t>kullanıcıların</w:t>
      </w:r>
      <w:r>
        <w:rPr>
          <w:spacing w:val="-2"/>
        </w:rPr>
        <w:t xml:space="preserve"> </w:t>
      </w:r>
      <w:r>
        <w:t>gerçek</w:t>
      </w:r>
      <w:r>
        <w:rPr>
          <w:spacing w:val="-3"/>
        </w:rPr>
        <w:t xml:space="preserve"> </w:t>
      </w:r>
      <w:r>
        <w:t>dünyada</w:t>
      </w:r>
      <w:r>
        <w:rPr>
          <w:spacing w:val="-4"/>
        </w:rPr>
        <w:t xml:space="preserve"> </w:t>
      </w:r>
      <w:r>
        <w:t>deneyimledikleri</w:t>
      </w:r>
      <w:r>
        <w:rPr>
          <w:spacing w:val="-4"/>
        </w:rPr>
        <w:t xml:space="preserve"> </w:t>
      </w:r>
      <w:r>
        <w:t>duyumların</w:t>
      </w:r>
      <w:r>
        <w:rPr>
          <w:spacing w:val="-4"/>
        </w:rPr>
        <w:t xml:space="preserve"> </w:t>
      </w:r>
      <w:r>
        <w:t>birçoğunu</w:t>
      </w:r>
      <w:r>
        <w:rPr>
          <w:spacing w:val="-3"/>
        </w:rPr>
        <w:t xml:space="preserve"> </w:t>
      </w:r>
      <w:r>
        <w:t>sanal</w:t>
      </w:r>
      <w:r>
        <w:rPr>
          <w:spacing w:val="-3"/>
        </w:rPr>
        <w:t xml:space="preserve"> </w:t>
      </w:r>
      <w:r>
        <w:t>bir şekilde sunmayı hedefleyen sanal gerçeklik teknolojileri ile ilgili olarak, ilk sıradaki iş, bu sistemlerin altında yatan bileşenlerin tanımlanmasıdır (Gomez vd., 1995: 198).</w:t>
      </w:r>
    </w:p>
    <w:p w14:paraId="4B57E134">
      <w:pPr>
        <w:pStyle w:val="9"/>
        <w:spacing w:before="120" w:after="120" w:line="360" w:lineRule="auto"/>
        <w:ind w:left="0" w:firstLine="567"/>
      </w:pPr>
      <w:r>
        <w:t>Bir üst düzey sanal gerçeklik sistemi, sadece daha iyi ve hızlı temel bilgisayar grafiklerine sahip olmakla kalmaz, aynı zamanda sanal dünyada bir gözlemci olan kullanıcısını, interaktif bir aktöre çevirir. Bu transformasyonu gerçekleştiren en kritik ögeler aşağıda sıralanmıştır (Gigante, 1993: 15):</w:t>
      </w:r>
    </w:p>
    <w:p w14:paraId="43CD76FB">
      <w:pPr>
        <w:pStyle w:val="9"/>
        <w:spacing w:before="120" w:after="120" w:line="360" w:lineRule="auto"/>
        <w:ind w:left="0" w:firstLine="567"/>
      </w:pPr>
      <w:r>
        <w:t>Gerçek zamanlı 3D bilgisayar grafikleri (yazılımlar): Bu bileşenler, kullanıcılara gerçekçi sanal deneyimler sunmak için vazgeçilmezdir. Yazılımların içeriği, doğrudan bir olay</w:t>
      </w:r>
      <w:r>
        <w:rPr>
          <w:spacing w:val="-4"/>
        </w:rPr>
        <w:t xml:space="preserve"> </w:t>
      </w:r>
      <w:r>
        <w:t>veya objeyi kullanıcıya aktarmak şeklinde olabileceği gibi, görüntüleme araçlarıyla önce kaydedilip üç boyutlu modeller halinde kullanıcılara gösterilmesi veya tamamen bilgisayarlar tarafından kurgusal olarak üretilmesi şeklinde de olabilir (Ferhat, 2016: 737).</w:t>
      </w:r>
    </w:p>
    <w:p w14:paraId="46BC7750">
      <w:pPr>
        <w:pStyle w:val="9"/>
        <w:spacing w:before="120" w:after="120" w:line="360" w:lineRule="auto"/>
        <w:ind w:left="0" w:firstLine="567"/>
      </w:pPr>
      <w:r>
        <w:t>Geniş açılı stereoskopik (3D) görüntü ekranı ve Stereofonik ses sistemi: İnsan gözlerinin doğal bir özelliği olarak, her bir göz farklı açılardan gelen görüntüleri beyinde bir araya getirme</w:t>
      </w:r>
      <w:r>
        <w:rPr>
          <w:spacing w:val="-2"/>
        </w:rPr>
        <w:t xml:space="preserve"> </w:t>
      </w:r>
      <w:r>
        <w:t>yeteneği,</w:t>
      </w:r>
      <w:r>
        <w:rPr>
          <w:spacing w:val="-7"/>
        </w:rPr>
        <w:t xml:space="preserve"> </w:t>
      </w:r>
      <w:r>
        <w:t>sanal</w:t>
      </w:r>
      <w:r>
        <w:rPr>
          <w:spacing w:val="-5"/>
        </w:rPr>
        <w:t xml:space="preserve"> </w:t>
      </w:r>
      <w:r>
        <w:t>gerçeklik</w:t>
      </w:r>
      <w:r>
        <w:rPr>
          <w:spacing w:val="-8"/>
        </w:rPr>
        <w:t xml:space="preserve"> </w:t>
      </w:r>
      <w:r>
        <w:t>sistemlerinde,</w:t>
      </w:r>
      <w:r>
        <w:rPr>
          <w:spacing w:val="-8"/>
        </w:rPr>
        <w:t xml:space="preserve"> </w:t>
      </w:r>
      <w:r>
        <w:t>3D</w:t>
      </w:r>
      <w:r>
        <w:rPr>
          <w:spacing w:val="-8"/>
        </w:rPr>
        <w:t xml:space="preserve"> </w:t>
      </w:r>
      <w:r>
        <w:t>ekranlar</w:t>
      </w:r>
      <w:r>
        <w:rPr>
          <w:spacing w:val="-9"/>
        </w:rPr>
        <w:t xml:space="preserve"> </w:t>
      </w:r>
      <w:r>
        <w:t>sayesinde</w:t>
      </w:r>
      <w:r>
        <w:rPr>
          <w:spacing w:val="-6"/>
        </w:rPr>
        <w:t xml:space="preserve"> </w:t>
      </w:r>
      <w:r>
        <w:t>simüle</w:t>
      </w:r>
      <w:r>
        <w:rPr>
          <w:spacing w:val="-8"/>
        </w:rPr>
        <w:t xml:space="preserve"> </w:t>
      </w:r>
      <w:r>
        <w:t>edilmektedir. Bu bağlamda, vurgulanması gereken husus, kullanıcının gerçekçilik hissini derinden etkileyen sanal görüntülerin kalitesi ve detay düzeyidir. Benzer şekilde, çevresel ses sistemleri kullanılarak kullanıcının gerçek dünyadaki işitsel deneyimi, 360 derece ses sistemleri ile taklit edilebilmektedir (Ferhat, 2016: 738).</w:t>
      </w:r>
    </w:p>
    <w:p w14:paraId="1D54C15E">
      <w:pPr>
        <w:pStyle w:val="9"/>
        <w:spacing w:before="120" w:after="120" w:line="360" w:lineRule="auto"/>
        <w:ind w:left="0" w:firstLine="567"/>
      </w:pPr>
      <w:r>
        <w:t>Görüntüleyici: Bugünlerde, akıllı telefonlar, tabletler ve bilgisayarlar gibi bir dizi cihaz, üretilen sanal gerçeklik içeriklerini daha otantik bir şekilde gösterebilmek adına bir görsel araç</w:t>
      </w:r>
      <w:r>
        <w:rPr>
          <w:spacing w:val="-3"/>
        </w:rPr>
        <w:t xml:space="preserve"> </w:t>
      </w:r>
      <w:r>
        <w:t>gerektirir.</w:t>
      </w:r>
      <w:r>
        <w:rPr>
          <w:spacing w:val="-4"/>
        </w:rPr>
        <w:t xml:space="preserve"> </w:t>
      </w:r>
      <w:r>
        <w:t>Bu</w:t>
      </w:r>
      <w:r>
        <w:rPr>
          <w:spacing w:val="-7"/>
        </w:rPr>
        <w:t xml:space="preserve"> </w:t>
      </w:r>
      <w:r>
        <w:t>araçlar,</w:t>
      </w:r>
      <w:r>
        <w:rPr>
          <w:spacing w:val="-4"/>
        </w:rPr>
        <w:t xml:space="preserve"> </w:t>
      </w:r>
      <w:r>
        <w:t>görüntü</w:t>
      </w:r>
      <w:r>
        <w:rPr>
          <w:spacing w:val="-7"/>
        </w:rPr>
        <w:t xml:space="preserve"> </w:t>
      </w:r>
      <w:r>
        <w:t>başlığı,</w:t>
      </w:r>
      <w:r>
        <w:rPr>
          <w:spacing w:val="-6"/>
        </w:rPr>
        <w:t xml:space="preserve"> </w:t>
      </w:r>
      <w:r>
        <w:t>ekranlı</w:t>
      </w:r>
      <w:r>
        <w:rPr>
          <w:spacing w:val="-4"/>
        </w:rPr>
        <w:t xml:space="preserve"> </w:t>
      </w:r>
      <w:r>
        <w:t>kask</w:t>
      </w:r>
      <w:r>
        <w:rPr>
          <w:spacing w:val="-7"/>
        </w:rPr>
        <w:t xml:space="preserve"> </w:t>
      </w:r>
      <w:r>
        <w:t>veya</w:t>
      </w:r>
      <w:r>
        <w:rPr>
          <w:spacing w:val="-6"/>
        </w:rPr>
        <w:t xml:space="preserve"> </w:t>
      </w:r>
      <w:r>
        <w:t>sanal</w:t>
      </w:r>
      <w:r>
        <w:rPr>
          <w:spacing w:val="-4"/>
        </w:rPr>
        <w:t xml:space="preserve"> </w:t>
      </w:r>
      <w:r>
        <w:t>gerçeklik</w:t>
      </w:r>
      <w:r>
        <w:rPr>
          <w:spacing w:val="-7"/>
        </w:rPr>
        <w:t xml:space="preserve"> </w:t>
      </w:r>
      <w:r>
        <w:t>gözlükleri</w:t>
      </w:r>
      <w:r>
        <w:rPr>
          <w:spacing w:val="-4"/>
        </w:rPr>
        <w:t xml:space="preserve"> </w:t>
      </w:r>
      <w:r>
        <w:t>gibi isimlerle bilinen görsel araçlar sayesinde, kullanıcılar başlarını döndürdüklerinde çevrelerindeki nesneleri gözlemleyebilirler, bu da görsel deneyimde bir gerçekçilik oluşturmaya yardımcı olmaktadır (Gigante, 1993: 17).</w:t>
      </w:r>
    </w:p>
    <w:p w14:paraId="4DCFAAF3">
      <w:pPr>
        <w:pStyle w:val="9"/>
        <w:spacing w:before="120" w:after="120" w:line="360" w:lineRule="auto"/>
        <w:ind w:left="0" w:firstLine="567"/>
      </w:pPr>
      <w:r>
        <w:t>Dokunsal</w:t>
      </w:r>
      <w:r>
        <w:rPr>
          <w:spacing w:val="-3"/>
        </w:rPr>
        <w:t xml:space="preserve"> </w:t>
      </w:r>
      <w:r>
        <w:t>geri</w:t>
      </w:r>
      <w:r>
        <w:rPr>
          <w:spacing w:val="-3"/>
        </w:rPr>
        <w:t xml:space="preserve"> </w:t>
      </w:r>
      <w:r>
        <w:t>bildirim</w:t>
      </w:r>
      <w:r>
        <w:rPr>
          <w:spacing w:val="-3"/>
        </w:rPr>
        <w:t xml:space="preserve"> </w:t>
      </w:r>
      <w:r>
        <w:t>cihazları:</w:t>
      </w:r>
      <w:r>
        <w:rPr>
          <w:spacing w:val="-3"/>
        </w:rPr>
        <w:t xml:space="preserve"> </w:t>
      </w:r>
      <w:r>
        <w:t>Son</w:t>
      </w:r>
      <w:r>
        <w:rPr>
          <w:spacing w:val="-2"/>
        </w:rPr>
        <w:t xml:space="preserve"> </w:t>
      </w:r>
      <w:r>
        <w:t>olarak,</w:t>
      </w:r>
      <w:r>
        <w:rPr>
          <w:spacing w:val="-3"/>
        </w:rPr>
        <w:t xml:space="preserve"> </w:t>
      </w:r>
      <w:r>
        <w:t>dokunsal</w:t>
      </w:r>
      <w:r>
        <w:rPr>
          <w:spacing w:val="-3"/>
        </w:rPr>
        <w:t xml:space="preserve"> </w:t>
      </w:r>
      <w:r>
        <w:t>geri</w:t>
      </w:r>
      <w:r>
        <w:rPr>
          <w:spacing w:val="-3"/>
        </w:rPr>
        <w:t xml:space="preserve"> </w:t>
      </w:r>
      <w:r>
        <w:t>bildirim</w:t>
      </w:r>
      <w:r>
        <w:rPr>
          <w:spacing w:val="-3"/>
        </w:rPr>
        <w:t xml:space="preserve"> </w:t>
      </w:r>
      <w:r>
        <w:t>cihazları</w:t>
      </w:r>
      <w:r>
        <w:rPr>
          <w:spacing w:val="-3"/>
        </w:rPr>
        <w:t xml:space="preserve"> </w:t>
      </w:r>
      <w:r>
        <w:t>adı</w:t>
      </w:r>
      <w:r>
        <w:rPr>
          <w:spacing w:val="-3"/>
        </w:rPr>
        <w:t xml:space="preserve"> </w:t>
      </w:r>
      <w:r>
        <w:t>verilen</w:t>
      </w:r>
      <w:r>
        <w:rPr>
          <w:spacing w:val="-3"/>
        </w:rPr>
        <w:t xml:space="preserve"> </w:t>
      </w:r>
      <w:r>
        <w:t>bir diğer sanal gerçeklik bileşeni, kullanıcının sanal alanda bir katılımcı haline gelmesini kolaylaştırmakta kritik bir işlev görmektedir. Bu tür araçlar, aynı zamanda giyilebilir teknolojiler olarak da tanımlanır ve kullanıcının sanal bir dünyada etkileşimli bir şekilde gezinmesini ve kendisini o ortamın bir parçası olarak hissetmesini mümkün kılar. Farklı algılama sensörleri kullanarak bireylerin, aslında çevrelerinde olmayan objeleri gerçekmiş gibi hissetmelerini sağlar. Bu giyilebilir teknolojilerin merkezinde, kullanıcının mümkün olduğunca çok sayıda duyu üzerinde çalışma ilkesi yer almaktadır; bu da kişinin deneyimlediği gerçeklik seviyesini artırabilir. Bu cihazlar genellikle kullanıcının sanal objelerle etkileşim kurmasına olanak tanır, ancak tüm dokunsal geri bildirim cihazları aynı düzeyde bir etki sunmamaktadır (Erbaş ve Demirer, 2014: 9).</w:t>
      </w:r>
    </w:p>
    <w:p w14:paraId="620D7B1F">
      <w:pPr>
        <w:pStyle w:val="9"/>
        <w:spacing w:before="120" w:after="120" w:line="360" w:lineRule="auto"/>
        <w:ind w:left="0" w:firstLine="567"/>
      </w:pPr>
      <w:r>
        <w:t>Gigante (1993: 23-24) geri bildirim cihazlarını dokunsal (haptic feedback) ve güç (force feedback) geri bildirim olmak üzere iki farklı kategoriye ayırıyor. Dokunsal geri bildirim ekipmanları (örneğin, eldivenler ve akıllı giysiler) aracılığıyla kullanıcılar, dokundukları nesnelerin kontürlerini, ölçülerini, yüzey kalitesini veya vibrasyonlarını doğrudan algılayabilmekteler. Diğer yandan, güç geri bildirim cihazları (joystickler, gamepadler, direksiyon setleri vb.) sadece sanal alandaki belirli hareketlerin (şoklar, sarsıntılar veya vibrasyonlar gibi) kullanıcıya aktarılmasını sağlamaktadır.</w:t>
      </w:r>
    </w:p>
    <w:p w14:paraId="05E6C1C4">
      <w:pPr>
        <w:pStyle w:val="9"/>
        <w:spacing w:before="120" w:after="120" w:line="360" w:lineRule="auto"/>
        <w:ind w:left="0" w:firstLine="567"/>
      </w:pPr>
      <w:r>
        <w:t>Bu bağlamda, bireyin sensorik deneyimini ve dolayısıyla sanal dünyadaki mevcudiyet ve otantiklik duygusunu etkileyen sanal gerçeklik çeşitleri, sundukları "daldırıcılık" (immersive)</w:t>
      </w:r>
      <w:r>
        <w:rPr>
          <w:spacing w:val="-1"/>
        </w:rPr>
        <w:t xml:space="preserve"> </w:t>
      </w:r>
      <w:r>
        <w:t>düzeyine ve kullanılan teknik ekipmanın çeşitliliğine göre</w:t>
      </w:r>
      <w:r>
        <w:rPr>
          <w:spacing w:val="-1"/>
        </w:rPr>
        <w:t xml:space="preserve"> </w:t>
      </w:r>
      <w:r>
        <w:t>üç</w:t>
      </w:r>
      <w:r>
        <w:rPr>
          <w:spacing w:val="-1"/>
        </w:rPr>
        <w:t xml:space="preserve"> </w:t>
      </w:r>
      <w:r>
        <w:t>farklı kategoride incelenmektedir (Daghestani, 2013:74): Non-immersive masaüstü sistemler; genel olarak, standart</w:t>
      </w:r>
      <w:r>
        <w:rPr>
          <w:spacing w:val="51"/>
          <w:w w:val="150"/>
        </w:rPr>
        <w:t xml:space="preserve"> </w:t>
      </w:r>
      <w:r>
        <w:t>bir</w:t>
      </w:r>
      <w:r>
        <w:rPr>
          <w:spacing w:val="53"/>
          <w:w w:val="150"/>
        </w:rPr>
        <w:t xml:space="preserve"> </w:t>
      </w:r>
      <w:r>
        <w:t>monitör</w:t>
      </w:r>
      <w:r>
        <w:rPr>
          <w:spacing w:val="53"/>
          <w:w w:val="150"/>
        </w:rPr>
        <w:t xml:space="preserve"> </w:t>
      </w:r>
      <w:r>
        <w:t>aracılığıyla</w:t>
      </w:r>
      <w:r>
        <w:rPr>
          <w:spacing w:val="53"/>
          <w:w w:val="150"/>
        </w:rPr>
        <w:t xml:space="preserve"> </w:t>
      </w:r>
      <w:r>
        <w:t>2D</w:t>
      </w:r>
      <w:r>
        <w:rPr>
          <w:spacing w:val="53"/>
          <w:w w:val="150"/>
        </w:rPr>
        <w:t xml:space="preserve"> </w:t>
      </w:r>
      <w:r>
        <w:t>veya</w:t>
      </w:r>
      <w:r>
        <w:rPr>
          <w:spacing w:val="53"/>
          <w:w w:val="150"/>
        </w:rPr>
        <w:t xml:space="preserve"> </w:t>
      </w:r>
      <w:r>
        <w:t>3D</w:t>
      </w:r>
      <w:r>
        <w:rPr>
          <w:spacing w:val="55"/>
          <w:w w:val="150"/>
        </w:rPr>
        <w:t xml:space="preserve"> </w:t>
      </w:r>
      <w:r>
        <w:t>görsellerin</w:t>
      </w:r>
      <w:r>
        <w:rPr>
          <w:spacing w:val="56"/>
          <w:w w:val="150"/>
        </w:rPr>
        <w:t xml:space="preserve"> </w:t>
      </w:r>
      <w:r>
        <w:t>gösterildiği</w:t>
      </w:r>
      <w:r>
        <w:rPr>
          <w:spacing w:val="55"/>
          <w:w w:val="150"/>
        </w:rPr>
        <w:t xml:space="preserve"> </w:t>
      </w:r>
      <w:r>
        <w:t>ve</w:t>
      </w:r>
      <w:r>
        <w:rPr>
          <w:spacing w:val="54"/>
          <w:w w:val="150"/>
        </w:rPr>
        <w:t xml:space="preserve"> </w:t>
      </w:r>
      <w:r>
        <w:rPr>
          <w:spacing w:val="-2"/>
        </w:rPr>
        <w:t>sürükleyici</w:t>
      </w:r>
      <w:r>
        <w:t xml:space="preserve"> elementlerin yer almadığı sanal gerçeklik ortamları olarak tanımlanır. Bu tür ortamlarda kullanıcılar, klavye ve mouse gibi standart giriş cihazları aracılığıyla interaktif deneyimler yaşarlar ve deneyim süresince gerçek dünyadan tam anlamıyla izole olmazlar. Genelde eğitim ve video oyun sektöründe tercih edilen bu sistemler, düşük immersiyon ve interaktivite seviyesi sunsa da, görsel kalite, kullanıcı konforu ve uygun maliyet yönünden avantajlar sunmaktadır (Alqahtani vd., 2017: 83).</w:t>
      </w:r>
    </w:p>
    <w:p w14:paraId="159CA28D">
      <w:pPr>
        <w:pStyle w:val="9"/>
        <w:spacing w:before="120" w:after="120" w:line="360" w:lineRule="auto"/>
        <w:ind w:left="0" w:firstLine="567"/>
        <w:jc w:val="left"/>
        <w:rPr>
          <w:sz w:val="15"/>
        </w:rPr>
      </w:pPr>
      <w:r>
        <w:rPr>
          <w:lang w:eastAsia="tr-TR"/>
        </w:rPr>
        <w:drawing>
          <wp:anchor distT="0" distB="0" distL="0" distR="0" simplePos="0" relativeHeight="251665408" behindDoc="1" locked="0" layoutInCell="1" allowOverlap="1">
            <wp:simplePos x="0" y="0"/>
            <wp:positionH relativeFrom="page">
              <wp:posOffset>1606550</wp:posOffset>
            </wp:positionH>
            <wp:positionV relativeFrom="paragraph">
              <wp:posOffset>130175</wp:posOffset>
            </wp:positionV>
            <wp:extent cx="4337685" cy="2019300"/>
            <wp:effectExtent l="0" t="0" r="0" b="0"/>
            <wp:wrapTopAndBottom/>
            <wp:docPr id="12"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4337398" cy="2019300"/>
                    </a:xfrm>
                    <a:prstGeom prst="rect">
                      <a:avLst/>
                    </a:prstGeom>
                  </pic:spPr>
                </pic:pic>
              </a:graphicData>
            </a:graphic>
          </wp:anchor>
        </w:drawing>
      </w:r>
    </w:p>
    <w:p w14:paraId="456CF986">
      <w:pPr>
        <w:pStyle w:val="9"/>
        <w:spacing w:line="360" w:lineRule="auto"/>
        <w:ind w:left="0" w:firstLine="567"/>
        <w:jc w:val="left"/>
        <w:rPr>
          <w:b/>
        </w:rPr>
      </w:pPr>
      <w:r>
        <w:rPr>
          <w:b/>
        </w:rPr>
        <w:t>Resim 2.</w:t>
      </w:r>
      <w:r>
        <w:rPr>
          <w:b/>
          <w:spacing w:val="-2"/>
        </w:rPr>
        <w:t xml:space="preserve"> </w:t>
      </w:r>
      <w:r>
        <w:rPr>
          <w:b/>
        </w:rPr>
        <w:t>6.</w:t>
      </w:r>
      <w:r>
        <w:rPr>
          <w:b/>
          <w:spacing w:val="-1"/>
        </w:rPr>
        <w:t xml:space="preserve"> </w:t>
      </w:r>
      <w:r>
        <w:t>Sürükleyici</w:t>
      </w:r>
      <w:r>
        <w:rPr>
          <w:spacing w:val="-2"/>
        </w:rPr>
        <w:t xml:space="preserve"> </w:t>
      </w:r>
      <w:r>
        <w:t>Olmayan</w:t>
      </w:r>
      <w:r>
        <w:rPr>
          <w:spacing w:val="-1"/>
        </w:rPr>
        <w:t xml:space="preserve"> </w:t>
      </w:r>
      <w:r>
        <w:t>VR</w:t>
      </w:r>
      <w:r>
        <w:rPr>
          <w:spacing w:val="-1"/>
        </w:rPr>
        <w:t xml:space="preserve"> </w:t>
      </w:r>
      <w:r>
        <w:t>Sistemlerine</w:t>
      </w:r>
      <w:r>
        <w:rPr>
          <w:spacing w:val="-3"/>
        </w:rPr>
        <w:t xml:space="preserve"> </w:t>
      </w:r>
      <w:r>
        <w:rPr>
          <w:spacing w:val="-2"/>
        </w:rPr>
        <w:t>Örnek</w:t>
      </w:r>
    </w:p>
    <w:p w14:paraId="58C0934B">
      <w:pPr>
        <w:pStyle w:val="9"/>
        <w:spacing w:line="360" w:lineRule="auto"/>
        <w:ind w:left="0" w:firstLine="567"/>
        <w:jc w:val="left"/>
        <w:rPr>
          <w:sz w:val="20"/>
        </w:rPr>
      </w:pPr>
      <w:r>
        <w:rPr>
          <w:b/>
          <w:sz w:val="20"/>
        </w:rPr>
        <w:t>Kaynak:</w:t>
      </w:r>
      <w:r>
        <w:rPr>
          <w:sz w:val="20"/>
        </w:rPr>
        <w:t xml:space="preserve"> https:/</w:t>
      </w:r>
      <w:r>
        <w:fldChar w:fldCharType="begin"/>
      </w:r>
      <w:r>
        <w:instrText xml:space="preserve"> HYPERLINK "http://www.slideshare.net/Manojkumawat12/virtual-reality-67472863" \h </w:instrText>
      </w:r>
      <w:r>
        <w:fldChar w:fldCharType="separate"/>
      </w:r>
      <w:r>
        <w:rPr>
          <w:sz w:val="20"/>
        </w:rPr>
        <w:t>/www.slideshare.n</w:t>
      </w:r>
      <w:r>
        <w:rPr>
          <w:sz w:val="20"/>
        </w:rPr>
        <w:fldChar w:fldCharType="end"/>
      </w:r>
      <w:r>
        <w:rPr>
          <w:sz w:val="20"/>
        </w:rPr>
        <w:t>e</w:t>
      </w:r>
      <w:r>
        <w:fldChar w:fldCharType="begin"/>
      </w:r>
      <w:r>
        <w:instrText xml:space="preserve"> HYPERLINK "http://www.slideshare.net/Manojkumawat12/virtual-reality-67472863" \h </w:instrText>
      </w:r>
      <w:r>
        <w:fldChar w:fldCharType="separate"/>
      </w:r>
      <w:r>
        <w:rPr>
          <w:sz w:val="20"/>
        </w:rPr>
        <w:t>t/Manojkumawat12/virtual-reality-67472863,</w:t>
      </w:r>
      <w:r>
        <w:rPr>
          <w:sz w:val="20"/>
        </w:rPr>
        <w:fldChar w:fldCharType="end"/>
      </w:r>
      <w:r>
        <w:rPr>
          <w:sz w:val="20"/>
        </w:rPr>
        <w:t xml:space="preserve"> (Erişim Tarihi: 05.007.2023).</w:t>
      </w:r>
    </w:p>
    <w:p w14:paraId="545016DD">
      <w:pPr>
        <w:pStyle w:val="9"/>
        <w:spacing w:before="120" w:after="120" w:line="360" w:lineRule="auto"/>
        <w:ind w:left="0" w:firstLine="567"/>
      </w:pPr>
      <w:r>
        <w:rPr>
          <w:spacing w:val="-2"/>
        </w:rPr>
        <w:t xml:space="preserve">Yarı sürükleyici projeksiyon sistemlerinde, kullanıcılara gerçek dünyayla bağlarını tamamen </w:t>
      </w:r>
      <w:r>
        <w:t>kesmeden bir sanal deneyim yaşatılır, bu sistemler fiziksel ve dijital elementleri bir arada kullanır. Non-immersive sistemlere nazaran, kullanıcılara daha yoğun bir varlık hissi sunarlar.</w:t>
      </w:r>
      <w:r>
        <w:rPr>
          <w:spacing w:val="-15"/>
        </w:rPr>
        <w:t xml:space="preserve"> </w:t>
      </w:r>
      <w:r>
        <w:t>Bu</w:t>
      </w:r>
      <w:r>
        <w:rPr>
          <w:spacing w:val="-14"/>
        </w:rPr>
        <w:t xml:space="preserve"> </w:t>
      </w:r>
      <w:r>
        <w:t>tür</w:t>
      </w:r>
      <w:r>
        <w:rPr>
          <w:spacing w:val="-14"/>
        </w:rPr>
        <w:t xml:space="preserve"> </w:t>
      </w:r>
      <w:r>
        <w:t>sistemlerin</w:t>
      </w:r>
      <w:r>
        <w:rPr>
          <w:spacing w:val="-14"/>
        </w:rPr>
        <w:t xml:space="preserve"> </w:t>
      </w:r>
      <w:r>
        <w:t>tipik</w:t>
      </w:r>
      <w:r>
        <w:rPr>
          <w:spacing w:val="-15"/>
        </w:rPr>
        <w:t xml:space="preserve"> </w:t>
      </w:r>
      <w:r>
        <w:t>kullanım</w:t>
      </w:r>
      <w:r>
        <w:rPr>
          <w:spacing w:val="-13"/>
        </w:rPr>
        <w:t xml:space="preserve"> </w:t>
      </w:r>
      <w:r>
        <w:t>alanları</w:t>
      </w:r>
      <w:r>
        <w:rPr>
          <w:spacing w:val="-15"/>
        </w:rPr>
        <w:t xml:space="preserve"> </w:t>
      </w:r>
      <w:r>
        <w:t>arasında,</w:t>
      </w:r>
      <w:r>
        <w:rPr>
          <w:spacing w:val="-14"/>
        </w:rPr>
        <w:t xml:space="preserve"> </w:t>
      </w:r>
      <w:r>
        <w:t>askeri</w:t>
      </w:r>
      <w:r>
        <w:rPr>
          <w:spacing w:val="-14"/>
        </w:rPr>
        <w:t xml:space="preserve"> </w:t>
      </w:r>
      <w:r>
        <w:t>ve</w:t>
      </w:r>
      <w:r>
        <w:rPr>
          <w:spacing w:val="-15"/>
        </w:rPr>
        <w:t xml:space="preserve"> </w:t>
      </w:r>
      <w:r>
        <w:t>havacılık</w:t>
      </w:r>
      <w:r>
        <w:rPr>
          <w:spacing w:val="-14"/>
        </w:rPr>
        <w:t xml:space="preserve"> </w:t>
      </w:r>
      <w:r>
        <w:t>sektörlerinde yer alan uçuş simülatörleri öne çıkmaktadır (Alqahtani vd., 2017: 83).</w:t>
      </w:r>
    </w:p>
    <w:p w14:paraId="6A77E05A">
      <w:pPr>
        <w:pStyle w:val="9"/>
        <w:spacing w:before="120" w:after="120" w:line="360" w:lineRule="auto"/>
        <w:ind w:left="0" w:firstLine="567"/>
      </w:pPr>
      <w:r>
        <w:t>Bu tür simülatörler, kullanıcıyı gerçeğe yakın bir kokpite yerleştirir ve büyük ekranlar aracılığıyla 3D görseller sunarak, kullanıcının uçuş esnasında meydana gelebilecek çeşitli senaryoları</w:t>
      </w:r>
      <w:r>
        <w:rPr>
          <w:spacing w:val="-15"/>
        </w:rPr>
        <w:t xml:space="preserve"> </w:t>
      </w:r>
      <w:r>
        <w:t>uçuşa</w:t>
      </w:r>
      <w:r>
        <w:rPr>
          <w:spacing w:val="-15"/>
        </w:rPr>
        <w:t xml:space="preserve"> </w:t>
      </w:r>
      <w:r>
        <w:t>çıkmadan</w:t>
      </w:r>
      <w:r>
        <w:rPr>
          <w:spacing w:val="-15"/>
        </w:rPr>
        <w:t xml:space="preserve"> </w:t>
      </w:r>
      <w:r>
        <w:t>önce</w:t>
      </w:r>
      <w:r>
        <w:rPr>
          <w:spacing w:val="-15"/>
        </w:rPr>
        <w:t xml:space="preserve"> </w:t>
      </w:r>
      <w:r>
        <w:t>deneyimlemesini</w:t>
      </w:r>
      <w:r>
        <w:rPr>
          <w:spacing w:val="-15"/>
        </w:rPr>
        <w:t xml:space="preserve"> </w:t>
      </w:r>
      <w:r>
        <w:t>mümkün</w:t>
      </w:r>
      <w:r>
        <w:rPr>
          <w:spacing w:val="-15"/>
        </w:rPr>
        <w:t xml:space="preserve"> </w:t>
      </w:r>
      <w:r>
        <w:t>kılar.</w:t>
      </w:r>
      <w:r>
        <w:rPr>
          <w:spacing w:val="-15"/>
        </w:rPr>
        <w:t xml:space="preserve"> </w:t>
      </w:r>
      <w:r>
        <w:t>Yani,</w:t>
      </w:r>
      <w:r>
        <w:rPr>
          <w:spacing w:val="-15"/>
        </w:rPr>
        <w:t xml:space="preserve"> </w:t>
      </w:r>
      <w:r>
        <w:t>yarı</w:t>
      </w:r>
      <w:r>
        <w:rPr>
          <w:spacing w:val="-15"/>
        </w:rPr>
        <w:t xml:space="preserve"> </w:t>
      </w:r>
      <w:r>
        <w:t>sürükleyici</w:t>
      </w:r>
      <w:r>
        <w:rPr>
          <w:spacing w:val="-14"/>
        </w:rPr>
        <w:t xml:space="preserve"> </w:t>
      </w:r>
      <w:r>
        <w:t>VR ortamları, kullanıcıya sofistike bir VR cihazı gerektirmeden, kısıtlı etkileşimle ama kullanımı daha kolay bir platform sunmaktadır (Kurbanoğlu, 1996: 26).</w:t>
      </w:r>
    </w:p>
    <w:p w14:paraId="3E5CE708">
      <w:pPr>
        <w:pStyle w:val="9"/>
        <w:spacing w:before="120" w:after="120" w:line="360" w:lineRule="auto"/>
        <w:ind w:left="0" w:firstLine="567"/>
        <w:jc w:val="left"/>
        <w:rPr>
          <w:sz w:val="20"/>
        </w:rPr>
      </w:pPr>
      <w:r>
        <w:rPr>
          <w:sz w:val="20"/>
          <w:lang w:eastAsia="tr-TR"/>
        </w:rPr>
        <w:drawing>
          <wp:inline distT="0" distB="0" distL="0" distR="0">
            <wp:extent cx="5067300" cy="1722120"/>
            <wp:effectExtent l="0" t="0" r="0" b="0"/>
            <wp:docPr id="13" name="Image 13"/>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5067300" cy="1722120"/>
                    </a:xfrm>
                    <a:prstGeom prst="rect">
                      <a:avLst/>
                    </a:prstGeom>
                  </pic:spPr>
                </pic:pic>
              </a:graphicData>
            </a:graphic>
          </wp:inline>
        </w:drawing>
      </w:r>
    </w:p>
    <w:p w14:paraId="10AE7377">
      <w:pPr>
        <w:spacing w:line="360" w:lineRule="auto"/>
        <w:ind w:firstLine="567"/>
        <w:rPr>
          <w:b/>
          <w:sz w:val="24"/>
        </w:rPr>
      </w:pPr>
      <w:r>
        <w:rPr>
          <w:b/>
          <w:sz w:val="24"/>
        </w:rPr>
        <w:t>Resim</w:t>
      </w:r>
      <w:r>
        <w:rPr>
          <w:b/>
          <w:spacing w:val="-2"/>
          <w:sz w:val="24"/>
        </w:rPr>
        <w:t xml:space="preserve"> 2.</w:t>
      </w:r>
      <w:r>
        <w:rPr>
          <w:b/>
          <w:sz w:val="24"/>
        </w:rPr>
        <w:t>7.</w:t>
      </w:r>
      <w:r>
        <w:rPr>
          <w:b/>
          <w:spacing w:val="-2"/>
          <w:sz w:val="24"/>
        </w:rPr>
        <w:t xml:space="preserve"> </w:t>
      </w:r>
      <w:r>
        <w:rPr>
          <w:sz w:val="24"/>
        </w:rPr>
        <w:t>Yarı</w:t>
      </w:r>
      <w:r>
        <w:rPr>
          <w:spacing w:val="-1"/>
          <w:sz w:val="24"/>
        </w:rPr>
        <w:t xml:space="preserve"> </w:t>
      </w:r>
      <w:r>
        <w:rPr>
          <w:sz w:val="24"/>
        </w:rPr>
        <w:t>sürükleyici</w:t>
      </w:r>
      <w:r>
        <w:rPr>
          <w:spacing w:val="-1"/>
          <w:sz w:val="24"/>
        </w:rPr>
        <w:t xml:space="preserve"> </w:t>
      </w:r>
      <w:r>
        <w:rPr>
          <w:sz w:val="24"/>
        </w:rPr>
        <w:t>VR</w:t>
      </w:r>
      <w:r>
        <w:rPr>
          <w:spacing w:val="-1"/>
          <w:sz w:val="24"/>
        </w:rPr>
        <w:t xml:space="preserve"> </w:t>
      </w:r>
      <w:r>
        <w:rPr>
          <w:sz w:val="24"/>
        </w:rPr>
        <w:t>Sistemlerine</w:t>
      </w:r>
      <w:r>
        <w:rPr>
          <w:spacing w:val="-3"/>
          <w:sz w:val="24"/>
        </w:rPr>
        <w:t xml:space="preserve"> </w:t>
      </w:r>
      <w:r>
        <w:rPr>
          <w:spacing w:val="-2"/>
          <w:sz w:val="24"/>
        </w:rPr>
        <w:t>Örnek</w:t>
      </w:r>
    </w:p>
    <w:p w14:paraId="1CBEB037">
      <w:pPr>
        <w:pStyle w:val="9"/>
        <w:spacing w:line="360" w:lineRule="auto"/>
        <w:ind w:left="0" w:firstLine="567"/>
        <w:jc w:val="left"/>
        <w:rPr>
          <w:sz w:val="20"/>
        </w:rPr>
      </w:pPr>
      <w:r>
        <w:rPr>
          <w:b/>
          <w:sz w:val="20"/>
        </w:rPr>
        <w:t>Kaynak:</w:t>
      </w:r>
      <w:r>
        <w:rPr>
          <w:spacing w:val="-7"/>
          <w:sz w:val="20"/>
        </w:rPr>
        <w:t xml:space="preserve"> </w:t>
      </w:r>
      <w:r>
        <w:rPr>
          <w:sz w:val="20"/>
        </w:rPr>
        <w:t>https://</w:t>
      </w:r>
      <w:r>
        <w:fldChar w:fldCharType="begin"/>
      </w:r>
      <w:r>
        <w:instrText xml:space="preserve"> HYPERLINK "http://www.realitytechnologies.com/virtual-reality/" \h </w:instrText>
      </w:r>
      <w:r>
        <w:fldChar w:fldCharType="separate"/>
      </w:r>
      <w:r>
        <w:rPr>
          <w:sz w:val="20"/>
        </w:rPr>
        <w:t>www.realitytechnologies.com/virtual-reality/,</w:t>
      </w:r>
      <w:r>
        <w:rPr>
          <w:sz w:val="20"/>
        </w:rPr>
        <w:fldChar w:fldCharType="end"/>
      </w:r>
      <w:r>
        <w:rPr>
          <w:spacing w:val="-3"/>
          <w:sz w:val="20"/>
        </w:rPr>
        <w:t xml:space="preserve"> </w:t>
      </w:r>
      <w:r>
        <w:rPr>
          <w:sz w:val="20"/>
        </w:rPr>
        <w:t>(Erişim</w:t>
      </w:r>
      <w:r>
        <w:rPr>
          <w:spacing w:val="-4"/>
          <w:sz w:val="20"/>
        </w:rPr>
        <w:t xml:space="preserve"> </w:t>
      </w:r>
      <w:r>
        <w:rPr>
          <w:sz w:val="20"/>
        </w:rPr>
        <w:t>Tarihi:</w:t>
      </w:r>
      <w:r>
        <w:rPr>
          <w:spacing w:val="-4"/>
          <w:sz w:val="20"/>
        </w:rPr>
        <w:t xml:space="preserve"> </w:t>
      </w:r>
      <w:r>
        <w:rPr>
          <w:spacing w:val="-2"/>
          <w:sz w:val="20"/>
        </w:rPr>
        <w:t>05.05.2023).</w:t>
      </w:r>
    </w:p>
    <w:p w14:paraId="7C714355">
      <w:pPr>
        <w:pStyle w:val="9"/>
        <w:spacing w:before="120" w:after="120" w:line="360" w:lineRule="auto"/>
        <w:ind w:left="0" w:firstLine="567"/>
      </w:pPr>
      <w:r>
        <w:t>Tam dalışlı sanal gerçeklik sistemleri, kullanıcılara bir gözlemci olmaktan ziyade sanal bir dünyanın aktif bir üyesi olma deneyimini sunar. 'CAVE' türündeki bu sistemler, kullanıcıların</w:t>
      </w:r>
      <w:r>
        <w:rPr>
          <w:spacing w:val="-15"/>
        </w:rPr>
        <w:t xml:space="preserve"> </w:t>
      </w:r>
      <w:r>
        <w:t>çok</w:t>
      </w:r>
      <w:r>
        <w:rPr>
          <w:spacing w:val="-15"/>
        </w:rPr>
        <w:t xml:space="preserve"> </w:t>
      </w:r>
      <w:r>
        <w:t>yönlü</w:t>
      </w:r>
      <w:r>
        <w:rPr>
          <w:spacing w:val="-15"/>
        </w:rPr>
        <w:t xml:space="preserve"> </w:t>
      </w:r>
      <w:r>
        <w:t>bir</w:t>
      </w:r>
      <w:r>
        <w:rPr>
          <w:spacing w:val="-15"/>
        </w:rPr>
        <w:t xml:space="preserve"> </w:t>
      </w:r>
      <w:r>
        <w:t>deneyim</w:t>
      </w:r>
      <w:r>
        <w:rPr>
          <w:spacing w:val="-15"/>
        </w:rPr>
        <w:t xml:space="preserve"> </w:t>
      </w:r>
      <w:r>
        <w:t>yaşamasını,</w:t>
      </w:r>
      <w:r>
        <w:rPr>
          <w:spacing w:val="-15"/>
        </w:rPr>
        <w:t xml:space="preserve"> </w:t>
      </w:r>
      <w:r>
        <w:t>birden</w:t>
      </w:r>
      <w:r>
        <w:rPr>
          <w:spacing w:val="-15"/>
        </w:rPr>
        <w:t xml:space="preserve"> </w:t>
      </w:r>
      <w:r>
        <w:t>fazla</w:t>
      </w:r>
      <w:r>
        <w:rPr>
          <w:spacing w:val="-15"/>
        </w:rPr>
        <w:t xml:space="preserve"> </w:t>
      </w:r>
      <w:r>
        <w:t>duyu</w:t>
      </w:r>
      <w:r>
        <w:rPr>
          <w:spacing w:val="-15"/>
        </w:rPr>
        <w:t xml:space="preserve"> </w:t>
      </w:r>
      <w:r>
        <w:t>organını</w:t>
      </w:r>
      <w:r>
        <w:rPr>
          <w:spacing w:val="-15"/>
        </w:rPr>
        <w:t xml:space="preserve"> </w:t>
      </w:r>
      <w:r>
        <w:t>kullanarak</w:t>
      </w:r>
      <w:r>
        <w:rPr>
          <w:spacing w:val="-15"/>
        </w:rPr>
        <w:t xml:space="preserve"> </w:t>
      </w:r>
      <w:r>
        <w:t>sanal dünyayla etkileşim kurmasını mümkün kılar. Bu tip bir deneyimi sunabilmek için, üç boyutlu modeller ve 360° video çekimleri gibi yazılım elementlerinin yanı sıra, zemin ve duvar projeksiyonları, surround sound sistemleri, gelişmiş kask tipi gösterge panelleri (HMD), hareket takip sistemleri ve dokunsal geri bildirim araçları (gibi giyilebilirler) de gereklidir (Muhanna, 2015: 347).</w:t>
      </w:r>
    </w:p>
    <w:p w14:paraId="7BA66D25">
      <w:pPr>
        <w:pStyle w:val="9"/>
        <w:spacing w:before="120" w:after="120" w:line="360" w:lineRule="auto"/>
        <w:ind w:left="0" w:firstLine="567"/>
      </w:pPr>
      <w:r>
        <w:t>Tam kapsamlı sanal gerçeklik deneyimlerinde, gerçek dünyadan gelen görsel ve işitsel uyarıcılar tamamen kısıtlandığı için, bireyler sanal dünyaya daha çabuk adapte olup bu dünya</w:t>
      </w:r>
      <w:r>
        <w:rPr>
          <w:spacing w:val="-3"/>
        </w:rPr>
        <w:t xml:space="preserve"> </w:t>
      </w:r>
      <w:r>
        <w:t>ile</w:t>
      </w:r>
      <w:r>
        <w:rPr>
          <w:spacing w:val="-3"/>
        </w:rPr>
        <w:t xml:space="preserve"> </w:t>
      </w:r>
      <w:r>
        <w:t>bütünleşebilmektedirler.</w:t>
      </w:r>
      <w:r>
        <w:rPr>
          <w:spacing w:val="-2"/>
        </w:rPr>
        <w:t xml:space="preserve"> </w:t>
      </w:r>
      <w:r>
        <w:t>Özellikle,</w:t>
      </w:r>
      <w:r>
        <w:rPr>
          <w:spacing w:val="-2"/>
        </w:rPr>
        <w:t xml:space="preserve"> </w:t>
      </w:r>
      <w:r>
        <w:t>sanal</w:t>
      </w:r>
      <w:r>
        <w:rPr>
          <w:spacing w:val="-2"/>
        </w:rPr>
        <w:t xml:space="preserve"> </w:t>
      </w:r>
      <w:r>
        <w:t>dünyada</w:t>
      </w:r>
      <w:r>
        <w:rPr>
          <w:spacing w:val="-3"/>
        </w:rPr>
        <w:t xml:space="preserve"> </w:t>
      </w:r>
      <w:r>
        <w:t>var</w:t>
      </w:r>
      <w:r>
        <w:rPr>
          <w:spacing w:val="-3"/>
        </w:rPr>
        <w:t xml:space="preserve"> </w:t>
      </w:r>
      <w:r>
        <w:t>olma</w:t>
      </w:r>
      <w:r>
        <w:rPr>
          <w:spacing w:val="-3"/>
        </w:rPr>
        <w:t xml:space="preserve"> </w:t>
      </w:r>
      <w:r>
        <w:t>ve</w:t>
      </w:r>
      <w:r>
        <w:rPr>
          <w:spacing w:val="-3"/>
        </w:rPr>
        <w:t xml:space="preserve"> </w:t>
      </w:r>
      <w:r>
        <w:t>etkileşim</w:t>
      </w:r>
      <w:r>
        <w:rPr>
          <w:spacing w:val="-1"/>
        </w:rPr>
        <w:t xml:space="preserve"> </w:t>
      </w:r>
      <w:r>
        <w:t xml:space="preserve">hissiyatı, sanal gerçeklik uygulamalarının kritik bileşenlerindendir; bu sebeple, tam kapsamlı deneyimler, kullanıcının bu ortamda yaşadığı sanal varoluş açısından büyük bir öneme sahiptir. Ancak, bu tip sanal gerçeklik deneyimleri, yarı kapsamlı alternatiflerine kıyasla daha fazla maliyetli oldukları için, kullanıcı merkezli gelişimleri beklenenden daha yavaş </w:t>
      </w:r>
      <w:r>
        <w:rPr>
          <w:spacing w:val="-2"/>
        </w:rPr>
        <w:t>ilerlemektedir.</w:t>
      </w:r>
    </w:p>
    <w:p w14:paraId="21CF7382">
      <w:pPr>
        <w:pStyle w:val="9"/>
        <w:spacing w:before="120" w:after="120" w:line="360" w:lineRule="auto"/>
        <w:ind w:left="0" w:firstLine="567"/>
        <w:jc w:val="left"/>
        <w:rPr>
          <w:sz w:val="20"/>
        </w:rPr>
      </w:pPr>
      <w:r>
        <w:rPr>
          <w:sz w:val="20"/>
          <w:lang w:eastAsia="tr-TR"/>
        </w:rPr>
        <w:drawing>
          <wp:inline distT="0" distB="0" distL="0" distR="0">
            <wp:extent cx="5218430" cy="2598420"/>
            <wp:effectExtent l="0" t="0" r="1270" b="0"/>
            <wp:docPr id="14" name="Image 14"/>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5254520" cy="2616186"/>
                    </a:xfrm>
                    <a:prstGeom prst="rect">
                      <a:avLst/>
                    </a:prstGeom>
                  </pic:spPr>
                </pic:pic>
              </a:graphicData>
            </a:graphic>
          </wp:inline>
        </w:drawing>
      </w:r>
    </w:p>
    <w:p w14:paraId="3A4FCC56">
      <w:pPr>
        <w:spacing w:line="360" w:lineRule="auto"/>
        <w:ind w:firstLine="567"/>
        <w:rPr>
          <w:sz w:val="24"/>
        </w:rPr>
      </w:pPr>
      <w:r>
        <w:rPr>
          <w:b/>
          <w:sz w:val="24"/>
        </w:rPr>
        <w:t>Resim</w:t>
      </w:r>
      <w:r>
        <w:rPr>
          <w:b/>
          <w:spacing w:val="-1"/>
          <w:sz w:val="24"/>
        </w:rPr>
        <w:t xml:space="preserve"> 2.</w:t>
      </w:r>
      <w:r>
        <w:rPr>
          <w:b/>
          <w:sz w:val="24"/>
        </w:rPr>
        <w:t>8.</w:t>
      </w:r>
      <w:r>
        <w:rPr>
          <w:spacing w:val="-1"/>
          <w:sz w:val="24"/>
        </w:rPr>
        <w:t xml:space="preserve"> </w:t>
      </w:r>
      <w:r>
        <w:rPr>
          <w:sz w:val="24"/>
        </w:rPr>
        <w:t>Tam</w:t>
      </w:r>
      <w:r>
        <w:rPr>
          <w:spacing w:val="-1"/>
          <w:sz w:val="24"/>
        </w:rPr>
        <w:t xml:space="preserve"> </w:t>
      </w:r>
      <w:r>
        <w:rPr>
          <w:sz w:val="24"/>
        </w:rPr>
        <w:t>Sürükleyici</w:t>
      </w:r>
      <w:r>
        <w:rPr>
          <w:spacing w:val="-1"/>
          <w:sz w:val="24"/>
        </w:rPr>
        <w:t xml:space="preserve"> </w:t>
      </w:r>
      <w:r>
        <w:rPr>
          <w:sz w:val="24"/>
        </w:rPr>
        <w:t>VR</w:t>
      </w:r>
      <w:r>
        <w:rPr>
          <w:spacing w:val="-1"/>
          <w:sz w:val="24"/>
        </w:rPr>
        <w:t xml:space="preserve"> </w:t>
      </w:r>
      <w:r>
        <w:rPr>
          <w:sz w:val="24"/>
        </w:rPr>
        <w:t>Sistemlerine</w:t>
      </w:r>
      <w:r>
        <w:rPr>
          <w:spacing w:val="-2"/>
          <w:sz w:val="24"/>
        </w:rPr>
        <w:t xml:space="preserve"> Örnek.</w:t>
      </w:r>
    </w:p>
    <w:p w14:paraId="22881D1C">
      <w:pPr>
        <w:pStyle w:val="9"/>
        <w:tabs>
          <w:tab w:val="left" w:pos="1737"/>
        </w:tabs>
        <w:spacing w:line="360" w:lineRule="auto"/>
        <w:ind w:left="0" w:firstLine="567"/>
        <w:rPr>
          <w:sz w:val="20"/>
        </w:rPr>
      </w:pPr>
      <w:r>
        <w:rPr>
          <w:b/>
          <w:spacing w:val="-2"/>
          <w:sz w:val="20"/>
        </w:rPr>
        <w:t>Kaynak:</w:t>
      </w:r>
      <w:r>
        <w:rPr>
          <w:b/>
          <w:sz w:val="20"/>
        </w:rPr>
        <w:tab/>
      </w:r>
      <w:r>
        <w:fldChar w:fldCharType="begin"/>
      </w:r>
      <w:r>
        <w:instrText xml:space="preserve"> HYPERLINK "http://www.sickchirpse.com/fully-imerrsive-virtual-reality-gaming-centre/" \h </w:instrText>
      </w:r>
      <w:r>
        <w:fldChar w:fldCharType="separate"/>
      </w:r>
      <w:r>
        <w:rPr>
          <w:spacing w:val="-2"/>
          <w:sz w:val="20"/>
        </w:rPr>
        <w:t>http://www.sickchirpse.com/fully-imerrsive-virtual-reality-gaming-centre/,</w:t>
      </w:r>
      <w:r>
        <w:rPr>
          <w:spacing w:val="-2"/>
          <w:sz w:val="20"/>
        </w:rPr>
        <w:fldChar w:fldCharType="end"/>
      </w:r>
      <w:r>
        <w:rPr>
          <w:spacing w:val="-2"/>
          <w:sz w:val="20"/>
        </w:rPr>
        <w:t xml:space="preserve"> </w:t>
      </w:r>
      <w:r>
        <w:rPr>
          <w:sz w:val="20"/>
        </w:rPr>
        <w:t>(Erişim Tarihi: 05.09.2023).</w:t>
      </w:r>
    </w:p>
    <w:p w14:paraId="41E96510">
      <w:pPr>
        <w:pStyle w:val="9"/>
        <w:spacing w:before="120" w:after="120" w:line="360" w:lineRule="auto"/>
        <w:ind w:left="0" w:firstLine="567"/>
      </w:pPr>
      <w:r>
        <w:t>Sanal gerçeklik, başlangıçta 3D video oyunları ve eğlence sektöründe kendine bir yer bulmuş olsa da, bilişim alanındaki yenilikler sayesinde etki alanını giderek genişleten bir teknoloji haline gelmiştir. 21. yüzyılın başlarında daha da popülerleşen bu teknolojiler, günümüzde;</w:t>
      </w:r>
      <w:r>
        <w:rPr>
          <w:spacing w:val="-10"/>
        </w:rPr>
        <w:t xml:space="preserve"> </w:t>
      </w:r>
      <w:r>
        <w:t>endüstriden</w:t>
      </w:r>
      <w:r>
        <w:rPr>
          <w:spacing w:val="-7"/>
        </w:rPr>
        <w:t xml:space="preserve"> </w:t>
      </w:r>
      <w:r>
        <w:t>askeriye,</w:t>
      </w:r>
      <w:r>
        <w:rPr>
          <w:spacing w:val="-9"/>
        </w:rPr>
        <w:t xml:space="preserve"> </w:t>
      </w:r>
      <w:r>
        <w:t>mimarlıktan</w:t>
      </w:r>
      <w:r>
        <w:rPr>
          <w:spacing w:val="-11"/>
        </w:rPr>
        <w:t xml:space="preserve"> </w:t>
      </w:r>
      <w:r>
        <w:t>sağlık</w:t>
      </w:r>
      <w:r>
        <w:rPr>
          <w:spacing w:val="-11"/>
        </w:rPr>
        <w:t xml:space="preserve"> </w:t>
      </w:r>
      <w:r>
        <w:t>sektörüne</w:t>
      </w:r>
      <w:r>
        <w:rPr>
          <w:spacing w:val="-12"/>
        </w:rPr>
        <w:t xml:space="preserve"> </w:t>
      </w:r>
      <w:r>
        <w:t>ve</w:t>
      </w:r>
      <w:r>
        <w:rPr>
          <w:spacing w:val="-12"/>
        </w:rPr>
        <w:t xml:space="preserve"> </w:t>
      </w:r>
      <w:r>
        <w:t>eğitimden</w:t>
      </w:r>
      <w:r>
        <w:rPr>
          <w:spacing w:val="-11"/>
        </w:rPr>
        <w:t xml:space="preserve"> </w:t>
      </w:r>
      <w:r>
        <w:t>turizme</w:t>
      </w:r>
      <w:r>
        <w:rPr>
          <w:spacing w:val="-11"/>
        </w:rPr>
        <w:t xml:space="preserve"> </w:t>
      </w:r>
      <w:r>
        <w:t>kadar birçok</w:t>
      </w:r>
      <w:r>
        <w:rPr>
          <w:spacing w:val="-4"/>
        </w:rPr>
        <w:t xml:space="preserve"> </w:t>
      </w:r>
      <w:r>
        <w:t>farklı</w:t>
      </w:r>
      <w:r>
        <w:rPr>
          <w:spacing w:val="-4"/>
        </w:rPr>
        <w:t xml:space="preserve"> </w:t>
      </w:r>
      <w:r>
        <w:t>alanda yaygın</w:t>
      </w:r>
      <w:r>
        <w:rPr>
          <w:spacing w:val="-4"/>
        </w:rPr>
        <w:t xml:space="preserve"> </w:t>
      </w:r>
      <w:r>
        <w:t>bir</w:t>
      </w:r>
      <w:r>
        <w:rPr>
          <w:spacing w:val="-4"/>
        </w:rPr>
        <w:t xml:space="preserve"> </w:t>
      </w:r>
      <w:r>
        <w:t>şekilde</w:t>
      </w:r>
      <w:r>
        <w:rPr>
          <w:spacing w:val="-5"/>
        </w:rPr>
        <w:t xml:space="preserve"> </w:t>
      </w:r>
      <w:r>
        <w:t>tercih</w:t>
      </w:r>
      <w:r>
        <w:rPr>
          <w:spacing w:val="-4"/>
        </w:rPr>
        <w:t xml:space="preserve"> </w:t>
      </w:r>
      <w:r>
        <w:t>edilmektedir.</w:t>
      </w:r>
      <w:r>
        <w:rPr>
          <w:spacing w:val="-4"/>
        </w:rPr>
        <w:t xml:space="preserve"> </w:t>
      </w:r>
      <w:r>
        <w:t>Sanal</w:t>
      </w:r>
      <w:r>
        <w:rPr>
          <w:spacing w:val="-2"/>
        </w:rPr>
        <w:t xml:space="preserve"> </w:t>
      </w:r>
      <w:r>
        <w:t>gerçeklik</w:t>
      </w:r>
      <w:r>
        <w:rPr>
          <w:spacing w:val="-4"/>
        </w:rPr>
        <w:t xml:space="preserve"> </w:t>
      </w:r>
      <w:r>
        <w:t>uygulamalarının ana kullanım sahaları şöyle sıralanabilir (Hui-Zhen ve Zong-Fa, 2013: 126):</w:t>
      </w:r>
    </w:p>
    <w:p w14:paraId="3DB5EB12">
      <w:pPr>
        <w:tabs>
          <w:tab w:val="left" w:pos="495"/>
        </w:tabs>
        <w:spacing w:before="120" w:after="120" w:line="360" w:lineRule="auto"/>
        <w:jc w:val="both"/>
        <w:rPr>
          <w:sz w:val="24"/>
        </w:rPr>
      </w:pPr>
      <w:r>
        <w:rPr>
          <w:sz w:val="24"/>
        </w:rPr>
        <w:t>Sanayi: Sanal gerçeklik teknolojileri, endüstrinin sürekli evrilen yeniliklerine adapte olabilme konusunda yeni ürün ve konseptlerin deneyimlenmesi, geliştirilecek ürünlerin bütçesini minimize etme, mevcut endüstriyel yapılara revize yapma ya da yeniden şekillendirme açısından büyük bir olanak sunar. Ayrıca, artırılmış gerçeklik uygulamaları da, kompleks makine üretim süreçleri ile bakım, tamir ve kurulum aşamalarında 3D teknik destek sunarak önemli bir avantaj sağlar. Üretim evresinde potansiyel tehlikelerin olduğu durumlarda, sanal aracılığıyla gerçekleştirilen uzaktan yönlendirmeler ve uzay teknolojisindeki projelerin daha verimli yürütülmesi için de sanal gerçeklik araçları kullanılabilmektedir (Frigo vd., 2016: 127).</w:t>
      </w:r>
    </w:p>
    <w:p w14:paraId="00EB7260">
      <w:pPr>
        <w:pStyle w:val="28"/>
        <w:numPr>
          <w:ilvl w:val="0"/>
          <w:numId w:val="5"/>
        </w:numPr>
        <w:tabs>
          <w:tab w:val="left" w:pos="430"/>
        </w:tabs>
        <w:spacing w:before="120" w:after="120" w:line="360" w:lineRule="auto"/>
        <w:jc w:val="both"/>
        <w:rPr>
          <w:sz w:val="24"/>
          <w:szCs w:val="24"/>
        </w:rPr>
      </w:pPr>
      <w:r>
        <w:rPr>
          <w:sz w:val="24"/>
          <w:szCs w:val="24"/>
        </w:rPr>
        <w:t>Askeri:</w:t>
      </w:r>
      <w:r>
        <w:rPr>
          <w:spacing w:val="-11"/>
          <w:sz w:val="24"/>
          <w:szCs w:val="24"/>
        </w:rPr>
        <w:t xml:space="preserve"> </w:t>
      </w:r>
      <w:r>
        <w:rPr>
          <w:sz w:val="24"/>
          <w:szCs w:val="24"/>
        </w:rPr>
        <w:t>Gerçeklik</w:t>
      </w:r>
      <w:r>
        <w:rPr>
          <w:spacing w:val="-12"/>
          <w:sz w:val="24"/>
          <w:szCs w:val="24"/>
        </w:rPr>
        <w:t xml:space="preserve"> </w:t>
      </w:r>
      <w:r>
        <w:rPr>
          <w:sz w:val="24"/>
          <w:szCs w:val="24"/>
        </w:rPr>
        <w:t>teknolojilerinin</w:t>
      </w:r>
      <w:r>
        <w:rPr>
          <w:spacing w:val="-11"/>
          <w:sz w:val="24"/>
          <w:szCs w:val="24"/>
        </w:rPr>
        <w:t xml:space="preserve"> </w:t>
      </w:r>
      <w:r>
        <w:rPr>
          <w:sz w:val="24"/>
          <w:szCs w:val="24"/>
        </w:rPr>
        <w:t>önemli</w:t>
      </w:r>
      <w:r>
        <w:rPr>
          <w:spacing w:val="-11"/>
          <w:sz w:val="24"/>
          <w:szCs w:val="24"/>
        </w:rPr>
        <w:t xml:space="preserve"> </w:t>
      </w:r>
      <w:r>
        <w:rPr>
          <w:sz w:val="24"/>
          <w:szCs w:val="24"/>
        </w:rPr>
        <w:t>bir</w:t>
      </w:r>
      <w:r>
        <w:rPr>
          <w:spacing w:val="-12"/>
          <w:sz w:val="24"/>
          <w:szCs w:val="24"/>
        </w:rPr>
        <w:t xml:space="preserve"> </w:t>
      </w:r>
      <w:r>
        <w:rPr>
          <w:sz w:val="24"/>
          <w:szCs w:val="24"/>
        </w:rPr>
        <w:t>bölümünü</w:t>
      </w:r>
      <w:r>
        <w:rPr>
          <w:spacing w:val="-12"/>
          <w:sz w:val="24"/>
          <w:szCs w:val="24"/>
        </w:rPr>
        <w:t xml:space="preserve"> </w:t>
      </w:r>
      <w:r>
        <w:rPr>
          <w:sz w:val="24"/>
          <w:szCs w:val="24"/>
        </w:rPr>
        <w:t>artırılmış</w:t>
      </w:r>
      <w:r>
        <w:rPr>
          <w:spacing w:val="-11"/>
          <w:sz w:val="24"/>
          <w:szCs w:val="24"/>
        </w:rPr>
        <w:t xml:space="preserve"> </w:t>
      </w:r>
      <w:r>
        <w:rPr>
          <w:sz w:val="24"/>
          <w:szCs w:val="24"/>
        </w:rPr>
        <w:t>gerçeklik</w:t>
      </w:r>
      <w:r>
        <w:rPr>
          <w:spacing w:val="-7"/>
          <w:sz w:val="24"/>
          <w:szCs w:val="24"/>
        </w:rPr>
        <w:t xml:space="preserve"> </w:t>
      </w:r>
      <w:r>
        <w:rPr>
          <w:sz w:val="24"/>
          <w:szCs w:val="24"/>
        </w:rPr>
        <w:t>uygulamaları oluştururken, askeri savunma sistemleri bu alana 1980'lerden itibaren büyük yatırımlar yapmışlardır. Uçuş simülatörleri, bu teknolojinin askeri alanda eğitim amaçlı kullanımı konusunda erken örneklerden biridir. Bu tür simülasyonlar sayesinde, pilotların acil durumlara</w:t>
      </w:r>
      <w:r>
        <w:rPr>
          <w:spacing w:val="-2"/>
          <w:sz w:val="24"/>
          <w:szCs w:val="24"/>
        </w:rPr>
        <w:t xml:space="preserve"> </w:t>
      </w:r>
      <w:r>
        <w:rPr>
          <w:sz w:val="24"/>
          <w:szCs w:val="24"/>
        </w:rPr>
        <w:t>nasıl yanıt</w:t>
      </w:r>
      <w:r>
        <w:rPr>
          <w:spacing w:val="-1"/>
          <w:sz w:val="24"/>
          <w:szCs w:val="24"/>
        </w:rPr>
        <w:t xml:space="preserve"> </w:t>
      </w:r>
      <w:r>
        <w:rPr>
          <w:sz w:val="24"/>
          <w:szCs w:val="24"/>
        </w:rPr>
        <w:t>verecekleri</w:t>
      </w:r>
      <w:r>
        <w:rPr>
          <w:spacing w:val="-2"/>
          <w:sz w:val="24"/>
          <w:szCs w:val="24"/>
        </w:rPr>
        <w:t xml:space="preserve"> </w:t>
      </w:r>
      <w:r>
        <w:rPr>
          <w:sz w:val="24"/>
          <w:szCs w:val="24"/>
        </w:rPr>
        <w:t>veya</w:t>
      </w:r>
      <w:r>
        <w:rPr>
          <w:spacing w:val="-2"/>
          <w:sz w:val="24"/>
          <w:szCs w:val="24"/>
        </w:rPr>
        <w:t xml:space="preserve"> </w:t>
      </w:r>
      <w:r>
        <w:rPr>
          <w:sz w:val="24"/>
          <w:szCs w:val="24"/>
        </w:rPr>
        <w:t>kara</w:t>
      </w:r>
      <w:r>
        <w:rPr>
          <w:spacing w:val="-3"/>
          <w:sz w:val="24"/>
          <w:szCs w:val="24"/>
        </w:rPr>
        <w:t xml:space="preserve"> </w:t>
      </w:r>
      <w:r>
        <w:rPr>
          <w:sz w:val="24"/>
          <w:szCs w:val="24"/>
        </w:rPr>
        <w:t>ve</w:t>
      </w:r>
      <w:r>
        <w:rPr>
          <w:spacing w:val="-2"/>
          <w:sz w:val="24"/>
          <w:szCs w:val="24"/>
        </w:rPr>
        <w:t xml:space="preserve"> </w:t>
      </w:r>
      <w:r>
        <w:rPr>
          <w:sz w:val="24"/>
          <w:szCs w:val="24"/>
        </w:rPr>
        <w:t>hava</w:t>
      </w:r>
      <w:r>
        <w:rPr>
          <w:spacing w:val="-2"/>
          <w:sz w:val="24"/>
          <w:szCs w:val="24"/>
        </w:rPr>
        <w:t xml:space="preserve"> </w:t>
      </w:r>
      <w:r>
        <w:rPr>
          <w:sz w:val="24"/>
          <w:szCs w:val="24"/>
        </w:rPr>
        <w:t>desteğinin</w:t>
      </w:r>
      <w:r>
        <w:rPr>
          <w:spacing w:val="-1"/>
          <w:sz w:val="24"/>
          <w:szCs w:val="24"/>
        </w:rPr>
        <w:t xml:space="preserve"> </w:t>
      </w:r>
      <w:r>
        <w:rPr>
          <w:sz w:val="24"/>
          <w:szCs w:val="24"/>
        </w:rPr>
        <w:t>nasıl organize</w:t>
      </w:r>
      <w:r>
        <w:rPr>
          <w:spacing w:val="-2"/>
          <w:sz w:val="24"/>
          <w:szCs w:val="24"/>
        </w:rPr>
        <w:t xml:space="preserve"> </w:t>
      </w:r>
      <w:r>
        <w:rPr>
          <w:sz w:val="24"/>
          <w:szCs w:val="24"/>
        </w:rPr>
        <w:t>edileceği gibi önemli konularda eğitimler, herhangi bir tehlike olmaksızın denetlenen bir ortamda gerçekleştirilebilmektedir (Frigo vd., 2016: 127).</w:t>
      </w:r>
    </w:p>
    <w:p w14:paraId="45E775E7">
      <w:pPr>
        <w:pStyle w:val="28"/>
        <w:numPr>
          <w:ilvl w:val="0"/>
          <w:numId w:val="5"/>
        </w:numPr>
        <w:tabs>
          <w:tab w:val="left" w:pos="530"/>
        </w:tabs>
        <w:spacing w:before="120" w:after="120" w:line="360" w:lineRule="auto"/>
        <w:jc w:val="both"/>
        <w:rPr>
          <w:sz w:val="24"/>
          <w:szCs w:val="24"/>
        </w:rPr>
      </w:pPr>
      <w:r>
        <w:rPr>
          <w:sz w:val="24"/>
          <w:szCs w:val="24"/>
        </w:rPr>
        <w:t>Mimari: Sanal gerçeklik teknolojisi, mimarlık alanında da büyük bir potansiyel sunmaktadır, zira bu teknoloji, başlangıçta bir görselleştirme aracı olarak kullanılmıştır. Günümüzde, bu teknoloji kentsel ve çevresel düzenlemeler ile mekanik tasarımların sanal bir ortamda 3D olarak hazırlanmasını mümkün kılmaktadır, bu da daha kapsamlı planlamalara</w:t>
      </w:r>
      <w:r>
        <w:rPr>
          <w:spacing w:val="-12"/>
          <w:sz w:val="24"/>
          <w:szCs w:val="24"/>
        </w:rPr>
        <w:t xml:space="preserve"> </w:t>
      </w:r>
      <w:r>
        <w:rPr>
          <w:sz w:val="24"/>
          <w:szCs w:val="24"/>
        </w:rPr>
        <w:t>olanak</w:t>
      </w:r>
      <w:r>
        <w:rPr>
          <w:spacing w:val="-10"/>
          <w:sz w:val="24"/>
          <w:szCs w:val="24"/>
        </w:rPr>
        <w:t xml:space="preserve"> </w:t>
      </w:r>
      <w:r>
        <w:rPr>
          <w:sz w:val="24"/>
          <w:szCs w:val="24"/>
        </w:rPr>
        <w:t>tanır.</w:t>
      </w:r>
      <w:r>
        <w:rPr>
          <w:spacing w:val="-10"/>
          <w:sz w:val="24"/>
          <w:szCs w:val="24"/>
        </w:rPr>
        <w:t xml:space="preserve"> </w:t>
      </w:r>
      <w:r>
        <w:rPr>
          <w:sz w:val="24"/>
          <w:szCs w:val="24"/>
        </w:rPr>
        <w:t>Sanal</w:t>
      </w:r>
      <w:r>
        <w:rPr>
          <w:spacing w:val="-10"/>
          <w:sz w:val="24"/>
          <w:szCs w:val="24"/>
        </w:rPr>
        <w:t xml:space="preserve"> </w:t>
      </w:r>
      <w:r>
        <w:rPr>
          <w:sz w:val="24"/>
          <w:szCs w:val="24"/>
        </w:rPr>
        <w:t>gerçeklik,</w:t>
      </w:r>
      <w:r>
        <w:rPr>
          <w:spacing w:val="-10"/>
          <w:sz w:val="24"/>
          <w:szCs w:val="24"/>
        </w:rPr>
        <w:t xml:space="preserve"> </w:t>
      </w:r>
      <w:r>
        <w:rPr>
          <w:sz w:val="24"/>
          <w:szCs w:val="24"/>
        </w:rPr>
        <w:t>binaların</w:t>
      </w:r>
      <w:r>
        <w:rPr>
          <w:spacing w:val="-10"/>
          <w:sz w:val="24"/>
          <w:szCs w:val="24"/>
        </w:rPr>
        <w:t xml:space="preserve"> </w:t>
      </w:r>
      <w:r>
        <w:rPr>
          <w:sz w:val="24"/>
          <w:szCs w:val="24"/>
        </w:rPr>
        <w:t>iç</w:t>
      </w:r>
      <w:r>
        <w:rPr>
          <w:spacing w:val="-11"/>
          <w:sz w:val="24"/>
          <w:szCs w:val="24"/>
        </w:rPr>
        <w:t xml:space="preserve"> </w:t>
      </w:r>
      <w:r>
        <w:rPr>
          <w:sz w:val="24"/>
          <w:szCs w:val="24"/>
        </w:rPr>
        <w:t>ve</w:t>
      </w:r>
      <w:r>
        <w:rPr>
          <w:spacing w:val="-11"/>
          <w:sz w:val="24"/>
          <w:szCs w:val="24"/>
        </w:rPr>
        <w:t xml:space="preserve"> </w:t>
      </w:r>
      <w:r>
        <w:rPr>
          <w:sz w:val="24"/>
          <w:szCs w:val="24"/>
        </w:rPr>
        <w:t>dış</w:t>
      </w:r>
      <w:r>
        <w:rPr>
          <w:spacing w:val="-7"/>
          <w:sz w:val="24"/>
          <w:szCs w:val="24"/>
        </w:rPr>
        <w:t xml:space="preserve"> </w:t>
      </w:r>
      <w:r>
        <w:rPr>
          <w:sz w:val="24"/>
          <w:szCs w:val="24"/>
        </w:rPr>
        <w:t>yapısının</w:t>
      </w:r>
      <w:r>
        <w:rPr>
          <w:spacing w:val="-10"/>
          <w:sz w:val="24"/>
          <w:szCs w:val="24"/>
        </w:rPr>
        <w:t xml:space="preserve"> </w:t>
      </w:r>
      <w:r>
        <w:rPr>
          <w:sz w:val="24"/>
          <w:szCs w:val="24"/>
        </w:rPr>
        <w:t>görselleştirilmesinin yanı sıra, deprem veya yangın gibi durumlar için güvenlik testlerinin de sanal bir ortamda gerçekleştirilmesini sağlayarak büyük bir avantaj yaratmaktadır (Derman, 2012: 12).</w:t>
      </w:r>
    </w:p>
    <w:p w14:paraId="331CF2A7">
      <w:pPr>
        <w:pStyle w:val="28"/>
        <w:numPr>
          <w:ilvl w:val="0"/>
          <w:numId w:val="5"/>
        </w:numPr>
        <w:tabs>
          <w:tab w:val="left" w:pos="445"/>
        </w:tabs>
        <w:spacing w:before="120" w:after="120" w:line="360" w:lineRule="auto"/>
        <w:jc w:val="both"/>
        <w:rPr>
          <w:sz w:val="24"/>
          <w:szCs w:val="24"/>
        </w:rPr>
      </w:pPr>
      <w:r>
        <w:rPr>
          <w:sz w:val="24"/>
          <w:szCs w:val="24"/>
        </w:rPr>
        <w:t>Tıp:</w:t>
      </w:r>
      <w:r>
        <w:rPr>
          <w:spacing w:val="-10"/>
          <w:sz w:val="24"/>
          <w:szCs w:val="24"/>
        </w:rPr>
        <w:t xml:space="preserve"> </w:t>
      </w:r>
      <w:r>
        <w:rPr>
          <w:sz w:val="24"/>
          <w:szCs w:val="24"/>
        </w:rPr>
        <w:t>Sanal</w:t>
      </w:r>
      <w:r>
        <w:rPr>
          <w:spacing w:val="-8"/>
          <w:sz w:val="24"/>
          <w:szCs w:val="24"/>
        </w:rPr>
        <w:t xml:space="preserve"> </w:t>
      </w:r>
      <w:r>
        <w:rPr>
          <w:sz w:val="24"/>
          <w:szCs w:val="24"/>
        </w:rPr>
        <w:t>gerçeklik</w:t>
      </w:r>
      <w:r>
        <w:rPr>
          <w:spacing w:val="-11"/>
          <w:sz w:val="24"/>
          <w:szCs w:val="24"/>
        </w:rPr>
        <w:t xml:space="preserve"> </w:t>
      </w:r>
      <w:r>
        <w:rPr>
          <w:sz w:val="24"/>
          <w:szCs w:val="24"/>
        </w:rPr>
        <w:t>teknolojileri,</w:t>
      </w:r>
      <w:r>
        <w:rPr>
          <w:spacing w:val="-11"/>
          <w:sz w:val="24"/>
          <w:szCs w:val="24"/>
        </w:rPr>
        <w:t xml:space="preserve"> </w:t>
      </w:r>
      <w:r>
        <w:rPr>
          <w:sz w:val="24"/>
          <w:szCs w:val="24"/>
        </w:rPr>
        <w:t>tıbbi</w:t>
      </w:r>
      <w:r>
        <w:rPr>
          <w:spacing w:val="-10"/>
          <w:sz w:val="24"/>
          <w:szCs w:val="24"/>
        </w:rPr>
        <w:t xml:space="preserve"> </w:t>
      </w:r>
      <w:r>
        <w:rPr>
          <w:sz w:val="24"/>
          <w:szCs w:val="24"/>
        </w:rPr>
        <w:t>alanda</w:t>
      </w:r>
      <w:r>
        <w:rPr>
          <w:spacing w:val="-12"/>
          <w:sz w:val="24"/>
          <w:szCs w:val="24"/>
        </w:rPr>
        <w:t xml:space="preserve"> </w:t>
      </w:r>
      <w:r>
        <w:rPr>
          <w:sz w:val="24"/>
          <w:szCs w:val="24"/>
        </w:rPr>
        <w:t>eğitim</w:t>
      </w:r>
      <w:r>
        <w:rPr>
          <w:spacing w:val="-10"/>
          <w:sz w:val="24"/>
          <w:szCs w:val="24"/>
        </w:rPr>
        <w:t xml:space="preserve"> </w:t>
      </w:r>
      <w:r>
        <w:rPr>
          <w:sz w:val="24"/>
          <w:szCs w:val="24"/>
        </w:rPr>
        <w:t>ve</w:t>
      </w:r>
      <w:r>
        <w:rPr>
          <w:spacing w:val="-12"/>
          <w:sz w:val="24"/>
          <w:szCs w:val="24"/>
        </w:rPr>
        <w:t xml:space="preserve"> </w:t>
      </w:r>
      <w:r>
        <w:rPr>
          <w:sz w:val="24"/>
          <w:szCs w:val="24"/>
        </w:rPr>
        <w:t>uygulamalar</w:t>
      </w:r>
      <w:r>
        <w:rPr>
          <w:spacing w:val="-11"/>
          <w:sz w:val="24"/>
          <w:szCs w:val="24"/>
        </w:rPr>
        <w:t xml:space="preserve"> </w:t>
      </w:r>
      <w:r>
        <w:rPr>
          <w:sz w:val="24"/>
          <w:szCs w:val="24"/>
        </w:rPr>
        <w:t>için</w:t>
      </w:r>
      <w:r>
        <w:rPr>
          <w:spacing w:val="-9"/>
          <w:sz w:val="24"/>
          <w:szCs w:val="24"/>
        </w:rPr>
        <w:t xml:space="preserve"> </w:t>
      </w:r>
      <w:r>
        <w:rPr>
          <w:sz w:val="24"/>
          <w:szCs w:val="24"/>
        </w:rPr>
        <w:t>önemli</w:t>
      </w:r>
      <w:r>
        <w:rPr>
          <w:spacing w:val="-10"/>
          <w:sz w:val="24"/>
          <w:szCs w:val="24"/>
        </w:rPr>
        <w:t xml:space="preserve"> </w:t>
      </w:r>
      <w:r>
        <w:rPr>
          <w:sz w:val="24"/>
          <w:szCs w:val="24"/>
        </w:rPr>
        <w:t>bir</w:t>
      </w:r>
      <w:r>
        <w:rPr>
          <w:spacing w:val="-11"/>
          <w:sz w:val="24"/>
          <w:szCs w:val="24"/>
        </w:rPr>
        <w:t xml:space="preserve"> </w:t>
      </w:r>
      <w:r>
        <w:rPr>
          <w:sz w:val="24"/>
          <w:szCs w:val="24"/>
        </w:rPr>
        <w:t>araç haline gelmiştir. Bu teknoloji sayesinde, doktorlar ve veterinerler, entegre eldiven veya konsol gibi aksesuarlar kullanarak, gerçek bir risk taşımayan simüle edilmiş ortamlarda cerrahi müdahaleler yapabilmekte ve yeteneklerini artırabilmektedirler. Aynı zamanda, sanal gerçeklik teknolojisi, fobi, anksiyete bozukluğu ve korku gibi çeşitli mental sağlık sorunlarının</w:t>
      </w:r>
      <w:r>
        <w:rPr>
          <w:spacing w:val="-5"/>
          <w:sz w:val="24"/>
          <w:szCs w:val="24"/>
        </w:rPr>
        <w:t xml:space="preserve"> </w:t>
      </w:r>
      <w:r>
        <w:rPr>
          <w:sz w:val="24"/>
          <w:szCs w:val="24"/>
        </w:rPr>
        <w:t>tedavisinde</w:t>
      </w:r>
      <w:r>
        <w:rPr>
          <w:spacing w:val="-3"/>
          <w:sz w:val="24"/>
          <w:szCs w:val="24"/>
        </w:rPr>
        <w:t xml:space="preserve"> </w:t>
      </w:r>
      <w:r>
        <w:rPr>
          <w:sz w:val="24"/>
          <w:szCs w:val="24"/>
        </w:rPr>
        <w:t>de</w:t>
      </w:r>
      <w:r>
        <w:rPr>
          <w:spacing w:val="-5"/>
          <w:sz w:val="24"/>
          <w:szCs w:val="24"/>
        </w:rPr>
        <w:t xml:space="preserve"> </w:t>
      </w:r>
      <w:r>
        <w:rPr>
          <w:sz w:val="24"/>
          <w:szCs w:val="24"/>
        </w:rPr>
        <w:t>etkili</w:t>
      </w:r>
      <w:r>
        <w:rPr>
          <w:spacing w:val="-4"/>
          <w:sz w:val="24"/>
          <w:szCs w:val="24"/>
        </w:rPr>
        <w:t xml:space="preserve"> </w:t>
      </w:r>
      <w:r>
        <w:rPr>
          <w:sz w:val="24"/>
          <w:szCs w:val="24"/>
        </w:rPr>
        <w:t>bir</w:t>
      </w:r>
      <w:r>
        <w:rPr>
          <w:spacing w:val="-2"/>
          <w:sz w:val="24"/>
          <w:szCs w:val="24"/>
        </w:rPr>
        <w:t xml:space="preserve"> </w:t>
      </w:r>
      <w:r>
        <w:rPr>
          <w:sz w:val="24"/>
          <w:szCs w:val="24"/>
        </w:rPr>
        <w:t>yöntem</w:t>
      </w:r>
      <w:r>
        <w:rPr>
          <w:spacing w:val="-4"/>
          <w:sz w:val="24"/>
          <w:szCs w:val="24"/>
        </w:rPr>
        <w:t xml:space="preserve"> </w:t>
      </w:r>
      <w:r>
        <w:rPr>
          <w:sz w:val="24"/>
          <w:szCs w:val="24"/>
        </w:rPr>
        <w:t>olarak</w:t>
      </w:r>
      <w:r>
        <w:rPr>
          <w:spacing w:val="-5"/>
          <w:sz w:val="24"/>
          <w:szCs w:val="24"/>
        </w:rPr>
        <w:t xml:space="preserve"> </w:t>
      </w:r>
      <w:r>
        <w:rPr>
          <w:sz w:val="24"/>
          <w:szCs w:val="24"/>
        </w:rPr>
        <w:t>kullanılmaktadır</w:t>
      </w:r>
      <w:r>
        <w:rPr>
          <w:spacing w:val="-5"/>
          <w:sz w:val="24"/>
          <w:szCs w:val="24"/>
        </w:rPr>
        <w:t xml:space="preserve"> </w:t>
      </w:r>
      <w:r>
        <w:rPr>
          <w:sz w:val="24"/>
          <w:szCs w:val="24"/>
        </w:rPr>
        <w:t>(Frigo</w:t>
      </w:r>
      <w:r>
        <w:rPr>
          <w:spacing w:val="-2"/>
          <w:sz w:val="24"/>
          <w:szCs w:val="24"/>
        </w:rPr>
        <w:t xml:space="preserve"> </w:t>
      </w:r>
      <w:r>
        <w:rPr>
          <w:sz w:val="24"/>
          <w:szCs w:val="24"/>
        </w:rPr>
        <w:t>vd.,</w:t>
      </w:r>
      <w:r>
        <w:rPr>
          <w:spacing w:val="-5"/>
          <w:sz w:val="24"/>
          <w:szCs w:val="24"/>
        </w:rPr>
        <w:t xml:space="preserve"> </w:t>
      </w:r>
      <w:r>
        <w:rPr>
          <w:sz w:val="24"/>
          <w:szCs w:val="24"/>
        </w:rPr>
        <w:t>2016:</w:t>
      </w:r>
      <w:r>
        <w:rPr>
          <w:spacing w:val="-3"/>
          <w:sz w:val="24"/>
          <w:szCs w:val="24"/>
        </w:rPr>
        <w:t xml:space="preserve"> </w:t>
      </w:r>
      <w:r>
        <w:rPr>
          <w:spacing w:val="-2"/>
          <w:sz w:val="24"/>
          <w:szCs w:val="24"/>
        </w:rPr>
        <w:t>127).</w:t>
      </w:r>
    </w:p>
    <w:p w14:paraId="75A06760">
      <w:pPr>
        <w:pStyle w:val="28"/>
        <w:numPr>
          <w:ilvl w:val="0"/>
          <w:numId w:val="5"/>
        </w:numPr>
        <w:tabs>
          <w:tab w:val="left" w:pos="468"/>
        </w:tabs>
        <w:spacing w:before="120" w:after="120" w:line="360" w:lineRule="auto"/>
        <w:jc w:val="both"/>
        <w:rPr>
          <w:sz w:val="24"/>
          <w:szCs w:val="24"/>
        </w:rPr>
      </w:pPr>
      <w:r>
        <w:rPr>
          <w:sz w:val="24"/>
          <w:szCs w:val="24"/>
        </w:rPr>
        <w:t>Eğlence: Sanal gerçeklik, çoğunlukla video oyun endüstrisi ile özdeşleştirilmektedir. Fakat bu teknoloji, yalnızca oyunlarla sınırlı kalmayıp, geniş bir eğlence spektrumu içinde de</w:t>
      </w:r>
      <w:r>
        <w:rPr>
          <w:spacing w:val="-10"/>
          <w:sz w:val="24"/>
          <w:szCs w:val="24"/>
        </w:rPr>
        <w:t xml:space="preserve"> </w:t>
      </w:r>
      <w:r>
        <w:rPr>
          <w:sz w:val="24"/>
          <w:szCs w:val="24"/>
        </w:rPr>
        <w:t>kendine</w:t>
      </w:r>
      <w:r>
        <w:rPr>
          <w:spacing w:val="-4"/>
          <w:sz w:val="24"/>
          <w:szCs w:val="24"/>
        </w:rPr>
        <w:t xml:space="preserve"> </w:t>
      </w:r>
      <w:r>
        <w:rPr>
          <w:sz w:val="24"/>
          <w:szCs w:val="24"/>
        </w:rPr>
        <w:t>yer</w:t>
      </w:r>
      <w:r>
        <w:rPr>
          <w:spacing w:val="-10"/>
          <w:sz w:val="24"/>
          <w:szCs w:val="24"/>
        </w:rPr>
        <w:t xml:space="preserve"> </w:t>
      </w:r>
      <w:r>
        <w:rPr>
          <w:sz w:val="24"/>
          <w:szCs w:val="24"/>
        </w:rPr>
        <w:t>bulmuştur.</w:t>
      </w:r>
      <w:r>
        <w:rPr>
          <w:spacing w:val="-9"/>
          <w:sz w:val="24"/>
          <w:szCs w:val="24"/>
        </w:rPr>
        <w:t xml:space="preserve"> </w:t>
      </w:r>
      <w:r>
        <w:rPr>
          <w:sz w:val="24"/>
          <w:szCs w:val="24"/>
        </w:rPr>
        <w:t>Bu</w:t>
      </w:r>
      <w:r>
        <w:rPr>
          <w:spacing w:val="-9"/>
          <w:sz w:val="24"/>
          <w:szCs w:val="24"/>
        </w:rPr>
        <w:t xml:space="preserve"> </w:t>
      </w:r>
      <w:r>
        <w:rPr>
          <w:sz w:val="24"/>
          <w:szCs w:val="24"/>
        </w:rPr>
        <w:t>teknolojinin</w:t>
      </w:r>
      <w:r>
        <w:rPr>
          <w:spacing w:val="-9"/>
          <w:sz w:val="24"/>
          <w:szCs w:val="24"/>
        </w:rPr>
        <w:t xml:space="preserve"> </w:t>
      </w:r>
      <w:r>
        <w:rPr>
          <w:sz w:val="24"/>
          <w:szCs w:val="24"/>
        </w:rPr>
        <w:t>kökleri,</w:t>
      </w:r>
      <w:r>
        <w:rPr>
          <w:spacing w:val="-9"/>
          <w:sz w:val="24"/>
          <w:szCs w:val="24"/>
        </w:rPr>
        <w:t xml:space="preserve"> </w:t>
      </w:r>
      <w:r>
        <w:rPr>
          <w:sz w:val="24"/>
          <w:szCs w:val="24"/>
        </w:rPr>
        <w:t>1962</w:t>
      </w:r>
      <w:r>
        <w:rPr>
          <w:spacing w:val="-7"/>
          <w:sz w:val="24"/>
          <w:szCs w:val="24"/>
        </w:rPr>
        <w:t xml:space="preserve"> </w:t>
      </w:r>
      <w:r>
        <w:rPr>
          <w:sz w:val="24"/>
          <w:szCs w:val="24"/>
        </w:rPr>
        <w:t>yılında</w:t>
      </w:r>
      <w:r>
        <w:rPr>
          <w:spacing w:val="-10"/>
          <w:sz w:val="24"/>
          <w:szCs w:val="24"/>
        </w:rPr>
        <w:t xml:space="preserve"> </w:t>
      </w:r>
      <w:r>
        <w:rPr>
          <w:sz w:val="24"/>
          <w:szCs w:val="24"/>
        </w:rPr>
        <w:t>çoklu</w:t>
      </w:r>
      <w:r>
        <w:rPr>
          <w:spacing w:val="-9"/>
          <w:sz w:val="24"/>
          <w:szCs w:val="24"/>
        </w:rPr>
        <w:t xml:space="preserve"> </w:t>
      </w:r>
      <w:r>
        <w:rPr>
          <w:sz w:val="24"/>
          <w:szCs w:val="24"/>
        </w:rPr>
        <w:t>duyu</w:t>
      </w:r>
      <w:r>
        <w:rPr>
          <w:spacing w:val="-7"/>
          <w:sz w:val="24"/>
          <w:szCs w:val="24"/>
        </w:rPr>
        <w:t xml:space="preserve"> </w:t>
      </w:r>
      <w:r>
        <w:rPr>
          <w:sz w:val="24"/>
          <w:szCs w:val="24"/>
        </w:rPr>
        <w:t>deneyimi</w:t>
      </w:r>
      <w:r>
        <w:rPr>
          <w:spacing w:val="-9"/>
          <w:sz w:val="24"/>
          <w:szCs w:val="24"/>
        </w:rPr>
        <w:t xml:space="preserve"> </w:t>
      </w:r>
      <w:r>
        <w:rPr>
          <w:sz w:val="24"/>
          <w:szCs w:val="24"/>
        </w:rPr>
        <w:t>sunan Sensorama simülatörüne dayanmaktadır. Gündelik yaşamın monotonluğundan sıyrılmak, yeni deneyimler arayan ya da fiziksel olarak erişilemez aktiviteleri sanal bir ortamda deneyimlemek isteyen bireyler için birçok seçenek mevcuttur. Sanal gerçeklik, eğlence sektöründe</w:t>
      </w:r>
      <w:r>
        <w:rPr>
          <w:spacing w:val="-15"/>
          <w:sz w:val="24"/>
          <w:szCs w:val="24"/>
        </w:rPr>
        <w:t xml:space="preserve"> </w:t>
      </w:r>
      <w:r>
        <w:rPr>
          <w:sz w:val="24"/>
          <w:szCs w:val="24"/>
        </w:rPr>
        <w:t>birçok</w:t>
      </w:r>
      <w:r>
        <w:rPr>
          <w:spacing w:val="-15"/>
          <w:sz w:val="24"/>
          <w:szCs w:val="24"/>
        </w:rPr>
        <w:t xml:space="preserve"> </w:t>
      </w:r>
      <w:r>
        <w:rPr>
          <w:sz w:val="24"/>
          <w:szCs w:val="24"/>
        </w:rPr>
        <w:t>farklı</w:t>
      </w:r>
      <w:r>
        <w:rPr>
          <w:spacing w:val="-12"/>
          <w:sz w:val="24"/>
          <w:szCs w:val="24"/>
        </w:rPr>
        <w:t xml:space="preserve"> </w:t>
      </w:r>
      <w:r>
        <w:rPr>
          <w:sz w:val="24"/>
          <w:szCs w:val="24"/>
        </w:rPr>
        <w:t>kategoride;</w:t>
      </w:r>
      <w:r>
        <w:rPr>
          <w:spacing w:val="-15"/>
          <w:sz w:val="24"/>
          <w:szCs w:val="24"/>
        </w:rPr>
        <w:t xml:space="preserve"> </w:t>
      </w:r>
      <w:r>
        <w:rPr>
          <w:sz w:val="24"/>
          <w:szCs w:val="24"/>
        </w:rPr>
        <w:t>VR</w:t>
      </w:r>
      <w:r>
        <w:rPr>
          <w:spacing w:val="-15"/>
          <w:sz w:val="24"/>
          <w:szCs w:val="24"/>
        </w:rPr>
        <w:t xml:space="preserve"> </w:t>
      </w:r>
      <w:r>
        <w:rPr>
          <w:sz w:val="24"/>
          <w:szCs w:val="24"/>
        </w:rPr>
        <w:t>deneyim</w:t>
      </w:r>
      <w:r>
        <w:rPr>
          <w:spacing w:val="-12"/>
          <w:sz w:val="24"/>
          <w:szCs w:val="24"/>
        </w:rPr>
        <w:t xml:space="preserve"> </w:t>
      </w:r>
      <w:r>
        <w:rPr>
          <w:sz w:val="24"/>
          <w:szCs w:val="24"/>
        </w:rPr>
        <w:t>merkezlerinden,</w:t>
      </w:r>
      <w:r>
        <w:rPr>
          <w:spacing w:val="-15"/>
          <w:sz w:val="24"/>
          <w:szCs w:val="24"/>
        </w:rPr>
        <w:t xml:space="preserve"> </w:t>
      </w:r>
      <w:r>
        <w:rPr>
          <w:sz w:val="24"/>
          <w:szCs w:val="24"/>
        </w:rPr>
        <w:t>tema</w:t>
      </w:r>
      <w:r>
        <w:rPr>
          <w:spacing w:val="-15"/>
          <w:sz w:val="24"/>
          <w:szCs w:val="24"/>
        </w:rPr>
        <w:t xml:space="preserve"> </w:t>
      </w:r>
      <w:r>
        <w:rPr>
          <w:sz w:val="24"/>
          <w:szCs w:val="24"/>
        </w:rPr>
        <w:t>parklarına,</w:t>
      </w:r>
      <w:r>
        <w:rPr>
          <w:spacing w:val="-15"/>
          <w:sz w:val="24"/>
          <w:szCs w:val="24"/>
        </w:rPr>
        <w:t xml:space="preserve"> </w:t>
      </w:r>
      <w:r>
        <w:rPr>
          <w:sz w:val="24"/>
          <w:szCs w:val="24"/>
        </w:rPr>
        <w:t>teknoloji sergilerinden, VR</w:t>
      </w:r>
      <w:r>
        <w:rPr>
          <w:spacing w:val="-1"/>
          <w:sz w:val="24"/>
          <w:szCs w:val="24"/>
        </w:rPr>
        <w:t xml:space="preserve"> </w:t>
      </w:r>
      <w:r>
        <w:rPr>
          <w:sz w:val="24"/>
          <w:szCs w:val="24"/>
        </w:rPr>
        <w:t>destekli</w:t>
      </w:r>
      <w:r>
        <w:rPr>
          <w:spacing w:val="-1"/>
          <w:sz w:val="24"/>
          <w:szCs w:val="24"/>
        </w:rPr>
        <w:t xml:space="preserve"> </w:t>
      </w:r>
      <w:r>
        <w:rPr>
          <w:sz w:val="24"/>
          <w:szCs w:val="24"/>
        </w:rPr>
        <w:t>sinemalara ve çeşitli</w:t>
      </w:r>
      <w:r>
        <w:rPr>
          <w:spacing w:val="-1"/>
          <w:sz w:val="24"/>
          <w:szCs w:val="24"/>
        </w:rPr>
        <w:t xml:space="preserve"> </w:t>
      </w:r>
      <w:r>
        <w:rPr>
          <w:sz w:val="24"/>
          <w:szCs w:val="24"/>
        </w:rPr>
        <w:t>spor</w:t>
      </w:r>
      <w:r>
        <w:rPr>
          <w:spacing w:val="-2"/>
          <w:sz w:val="24"/>
          <w:szCs w:val="24"/>
        </w:rPr>
        <w:t xml:space="preserve"> </w:t>
      </w:r>
      <w:r>
        <w:rPr>
          <w:sz w:val="24"/>
          <w:szCs w:val="24"/>
        </w:rPr>
        <w:t>ve rekreasyon etkinliklerine</w:t>
      </w:r>
      <w:r>
        <w:rPr>
          <w:spacing w:val="-2"/>
          <w:sz w:val="24"/>
          <w:szCs w:val="24"/>
        </w:rPr>
        <w:t xml:space="preserve"> </w:t>
      </w:r>
      <w:r>
        <w:rPr>
          <w:sz w:val="24"/>
          <w:szCs w:val="24"/>
        </w:rPr>
        <w:t>kadar çok çeşitli platformlarda kullanılmaktadır (Gutierrez vd., 2008: 4).</w:t>
      </w:r>
    </w:p>
    <w:p w14:paraId="4B0E598D">
      <w:pPr>
        <w:pStyle w:val="28"/>
        <w:numPr>
          <w:ilvl w:val="0"/>
          <w:numId w:val="5"/>
        </w:numPr>
        <w:tabs>
          <w:tab w:val="left" w:pos="470"/>
        </w:tabs>
        <w:spacing w:before="120" w:after="120" w:line="360" w:lineRule="auto"/>
        <w:jc w:val="both"/>
        <w:rPr>
          <w:sz w:val="24"/>
          <w:szCs w:val="24"/>
        </w:rPr>
      </w:pPr>
      <w:r>
        <w:rPr>
          <w:sz w:val="24"/>
          <w:szCs w:val="24"/>
        </w:rPr>
        <w:t>Eğitim: Gerçeklik teknolojileri, oyun ve eğlence dünyasından sonra en çok eğitim sektöründe kendini göstermektedir. Bu teknoloji, öğretim sürecinin her evresinde aktif bir şekilde rol alabilmekte, özellikle; interaktif görsel materyaller sayesinde fen ve sosyal bilgiler derslerini daha cazip kılmak, dil öğrenimini daha efektif hale getirmek ve deneyim temelli öğrenme metodlarını daha verimli bir şekilde uygulamak amacıyla tercih edilmektedir. Sanal ve artırılmış gerçeklik araçlarıyla hazırlanan eğitsel içerikler, öğrencilere</w:t>
      </w:r>
      <w:r>
        <w:rPr>
          <w:spacing w:val="-9"/>
          <w:sz w:val="24"/>
          <w:szCs w:val="24"/>
        </w:rPr>
        <w:t xml:space="preserve"> </w:t>
      </w:r>
      <w:r>
        <w:rPr>
          <w:sz w:val="24"/>
          <w:szCs w:val="24"/>
        </w:rPr>
        <w:t>gerçek</w:t>
      </w:r>
      <w:r>
        <w:rPr>
          <w:spacing w:val="-8"/>
          <w:sz w:val="24"/>
          <w:szCs w:val="24"/>
        </w:rPr>
        <w:t xml:space="preserve"> </w:t>
      </w:r>
      <w:r>
        <w:rPr>
          <w:sz w:val="24"/>
          <w:szCs w:val="24"/>
        </w:rPr>
        <w:t>dünya</w:t>
      </w:r>
      <w:r>
        <w:rPr>
          <w:spacing w:val="-4"/>
          <w:sz w:val="24"/>
          <w:szCs w:val="24"/>
        </w:rPr>
        <w:t xml:space="preserve"> </w:t>
      </w:r>
      <w:r>
        <w:rPr>
          <w:sz w:val="24"/>
          <w:szCs w:val="24"/>
        </w:rPr>
        <w:t>deneyimleri</w:t>
      </w:r>
      <w:r>
        <w:rPr>
          <w:spacing w:val="-7"/>
          <w:sz w:val="24"/>
          <w:szCs w:val="24"/>
        </w:rPr>
        <w:t xml:space="preserve"> </w:t>
      </w:r>
      <w:r>
        <w:rPr>
          <w:sz w:val="24"/>
          <w:szCs w:val="24"/>
        </w:rPr>
        <w:t>sunarak</w:t>
      </w:r>
      <w:r>
        <w:rPr>
          <w:spacing w:val="-8"/>
          <w:sz w:val="24"/>
          <w:szCs w:val="24"/>
        </w:rPr>
        <w:t xml:space="preserve"> </w:t>
      </w:r>
      <w:r>
        <w:rPr>
          <w:sz w:val="24"/>
          <w:szCs w:val="24"/>
        </w:rPr>
        <w:t>daha</w:t>
      </w:r>
      <w:r>
        <w:rPr>
          <w:spacing w:val="-9"/>
          <w:sz w:val="24"/>
          <w:szCs w:val="24"/>
        </w:rPr>
        <w:t xml:space="preserve"> </w:t>
      </w:r>
      <w:r>
        <w:rPr>
          <w:sz w:val="24"/>
          <w:szCs w:val="24"/>
        </w:rPr>
        <w:t>derin</w:t>
      </w:r>
      <w:r>
        <w:rPr>
          <w:spacing w:val="-8"/>
          <w:sz w:val="24"/>
          <w:szCs w:val="24"/>
        </w:rPr>
        <w:t xml:space="preserve"> </w:t>
      </w:r>
      <w:r>
        <w:rPr>
          <w:sz w:val="24"/>
          <w:szCs w:val="24"/>
        </w:rPr>
        <w:t>bir</w:t>
      </w:r>
      <w:r>
        <w:rPr>
          <w:spacing w:val="-8"/>
          <w:sz w:val="24"/>
          <w:szCs w:val="24"/>
        </w:rPr>
        <w:t xml:space="preserve"> </w:t>
      </w:r>
      <w:r>
        <w:rPr>
          <w:sz w:val="24"/>
          <w:szCs w:val="24"/>
        </w:rPr>
        <w:t>öğrenme</w:t>
      </w:r>
      <w:r>
        <w:rPr>
          <w:spacing w:val="-9"/>
          <w:sz w:val="24"/>
          <w:szCs w:val="24"/>
        </w:rPr>
        <w:t xml:space="preserve"> </w:t>
      </w:r>
      <w:r>
        <w:rPr>
          <w:sz w:val="24"/>
          <w:szCs w:val="24"/>
        </w:rPr>
        <w:t>süreci</w:t>
      </w:r>
      <w:r>
        <w:rPr>
          <w:spacing w:val="-5"/>
          <w:sz w:val="24"/>
          <w:szCs w:val="24"/>
        </w:rPr>
        <w:t xml:space="preserve"> </w:t>
      </w:r>
      <w:r>
        <w:rPr>
          <w:sz w:val="24"/>
          <w:szCs w:val="24"/>
        </w:rPr>
        <w:t>yaratmaktadır. Bunun yanı sıra, gerçek dünyada gerçekleştirilmesi tehlikeli veya maliyetli olan çeşitli deneyler ve uygulamalar, bu teknoloji vasıtasıyla güvenli ve ekonomik bir şekilde yapılabilme</w:t>
      </w:r>
      <w:r>
        <w:rPr>
          <w:spacing w:val="-12"/>
          <w:sz w:val="24"/>
          <w:szCs w:val="24"/>
        </w:rPr>
        <w:t xml:space="preserve"> </w:t>
      </w:r>
      <w:r>
        <w:rPr>
          <w:sz w:val="24"/>
          <w:szCs w:val="24"/>
        </w:rPr>
        <w:t>olanağına</w:t>
      </w:r>
      <w:r>
        <w:rPr>
          <w:spacing w:val="-9"/>
          <w:sz w:val="24"/>
          <w:szCs w:val="24"/>
        </w:rPr>
        <w:t xml:space="preserve"> </w:t>
      </w:r>
      <w:r>
        <w:rPr>
          <w:sz w:val="24"/>
          <w:szCs w:val="24"/>
        </w:rPr>
        <w:t>sahiptir</w:t>
      </w:r>
      <w:r>
        <w:rPr>
          <w:spacing w:val="-10"/>
          <w:sz w:val="24"/>
          <w:szCs w:val="24"/>
        </w:rPr>
        <w:t xml:space="preserve"> </w:t>
      </w:r>
      <w:r>
        <w:rPr>
          <w:sz w:val="24"/>
          <w:szCs w:val="24"/>
        </w:rPr>
        <w:t>(Alqahtani</w:t>
      </w:r>
      <w:r>
        <w:rPr>
          <w:spacing w:val="-8"/>
          <w:sz w:val="24"/>
          <w:szCs w:val="24"/>
        </w:rPr>
        <w:t xml:space="preserve"> </w:t>
      </w:r>
      <w:r>
        <w:rPr>
          <w:sz w:val="24"/>
          <w:szCs w:val="24"/>
        </w:rPr>
        <w:t>vd.,</w:t>
      </w:r>
      <w:r>
        <w:rPr>
          <w:spacing w:val="-9"/>
          <w:sz w:val="24"/>
          <w:szCs w:val="24"/>
        </w:rPr>
        <w:t xml:space="preserve"> </w:t>
      </w:r>
      <w:r>
        <w:rPr>
          <w:sz w:val="24"/>
          <w:szCs w:val="24"/>
        </w:rPr>
        <w:t>2017:</w:t>
      </w:r>
      <w:r>
        <w:rPr>
          <w:spacing w:val="-9"/>
          <w:sz w:val="24"/>
          <w:szCs w:val="24"/>
        </w:rPr>
        <w:t xml:space="preserve"> </w:t>
      </w:r>
      <w:r>
        <w:rPr>
          <w:sz w:val="24"/>
          <w:szCs w:val="24"/>
        </w:rPr>
        <w:t>86</w:t>
      </w:r>
      <w:r>
        <w:rPr>
          <w:spacing w:val="-2"/>
          <w:sz w:val="24"/>
          <w:szCs w:val="24"/>
        </w:rPr>
        <w:t>).</w:t>
      </w:r>
    </w:p>
    <w:p w14:paraId="34178CF8">
      <w:pPr>
        <w:pStyle w:val="28"/>
        <w:tabs>
          <w:tab w:val="left" w:pos="470"/>
        </w:tabs>
        <w:spacing w:before="120" w:after="120" w:line="360" w:lineRule="auto"/>
        <w:ind w:left="720" w:firstLine="0"/>
        <w:jc w:val="both"/>
        <w:rPr>
          <w:sz w:val="24"/>
          <w:szCs w:val="24"/>
        </w:rPr>
      </w:pPr>
      <w:r>
        <w:rPr>
          <w:sz w:val="24"/>
          <w:szCs w:val="24"/>
        </w:rPr>
        <w:t>Sanal gerçeklik teknolojisinin eğitim sektöründeki kullanımına dair Türkiye'deki öne</w:t>
      </w:r>
      <w:r>
        <w:rPr>
          <w:spacing w:val="-1"/>
          <w:sz w:val="24"/>
          <w:szCs w:val="24"/>
        </w:rPr>
        <w:t xml:space="preserve"> </w:t>
      </w:r>
      <w:r>
        <w:rPr>
          <w:sz w:val="24"/>
          <w:szCs w:val="24"/>
        </w:rPr>
        <w:t>çıkan girişim; Frankfurt'ta faaliyet gösteren oyun yaratıcı ve teknoloji şirketi “Crytek ile Bahçeşehir Üniversitesi”nin ortaklaşa hayata geçirdiği, “Türkiye'nin ilk Sanal Gerçeklik Laboratuvarı”dır.</w:t>
      </w:r>
      <w:r>
        <w:rPr>
          <w:spacing w:val="-4"/>
          <w:sz w:val="24"/>
          <w:szCs w:val="24"/>
        </w:rPr>
        <w:t xml:space="preserve"> </w:t>
      </w:r>
      <w:r>
        <w:rPr>
          <w:sz w:val="24"/>
          <w:szCs w:val="24"/>
        </w:rPr>
        <w:t>2020 yılında</w:t>
      </w:r>
      <w:r>
        <w:rPr>
          <w:spacing w:val="-4"/>
          <w:sz w:val="24"/>
          <w:szCs w:val="24"/>
        </w:rPr>
        <w:t xml:space="preserve"> </w:t>
      </w:r>
      <w:r>
        <w:rPr>
          <w:sz w:val="24"/>
          <w:szCs w:val="24"/>
        </w:rPr>
        <w:t>30</w:t>
      </w:r>
      <w:r>
        <w:rPr>
          <w:spacing w:val="-4"/>
          <w:sz w:val="24"/>
          <w:szCs w:val="24"/>
        </w:rPr>
        <w:t xml:space="preserve"> </w:t>
      </w:r>
      <w:r>
        <w:rPr>
          <w:sz w:val="24"/>
          <w:szCs w:val="24"/>
        </w:rPr>
        <w:t>milyar</w:t>
      </w:r>
      <w:r>
        <w:rPr>
          <w:spacing w:val="-4"/>
          <w:sz w:val="24"/>
          <w:szCs w:val="24"/>
        </w:rPr>
        <w:t xml:space="preserve"> </w:t>
      </w:r>
      <w:r>
        <w:rPr>
          <w:sz w:val="24"/>
          <w:szCs w:val="24"/>
        </w:rPr>
        <w:t>dolarlık</w:t>
      </w:r>
      <w:r>
        <w:rPr>
          <w:spacing w:val="-2"/>
          <w:sz w:val="24"/>
          <w:szCs w:val="24"/>
        </w:rPr>
        <w:t xml:space="preserve"> </w:t>
      </w:r>
      <w:r>
        <w:rPr>
          <w:sz w:val="24"/>
          <w:szCs w:val="24"/>
        </w:rPr>
        <w:t>bir</w:t>
      </w:r>
      <w:r>
        <w:rPr>
          <w:spacing w:val="-4"/>
          <w:sz w:val="24"/>
          <w:szCs w:val="24"/>
        </w:rPr>
        <w:t xml:space="preserve"> </w:t>
      </w:r>
      <w:r>
        <w:rPr>
          <w:sz w:val="24"/>
          <w:szCs w:val="24"/>
        </w:rPr>
        <w:t>pazar</w:t>
      </w:r>
      <w:r>
        <w:rPr>
          <w:spacing w:val="-4"/>
          <w:sz w:val="24"/>
          <w:szCs w:val="24"/>
        </w:rPr>
        <w:t xml:space="preserve"> </w:t>
      </w:r>
      <w:r>
        <w:rPr>
          <w:sz w:val="24"/>
          <w:szCs w:val="24"/>
        </w:rPr>
        <w:t>büyüklüğüne</w:t>
      </w:r>
      <w:r>
        <w:rPr>
          <w:spacing w:val="-5"/>
          <w:sz w:val="24"/>
          <w:szCs w:val="24"/>
        </w:rPr>
        <w:t xml:space="preserve"> </w:t>
      </w:r>
      <w:r>
        <w:rPr>
          <w:sz w:val="24"/>
          <w:szCs w:val="24"/>
        </w:rPr>
        <w:t>ulaşması</w:t>
      </w:r>
      <w:r>
        <w:rPr>
          <w:spacing w:val="-4"/>
          <w:sz w:val="24"/>
          <w:szCs w:val="24"/>
        </w:rPr>
        <w:t xml:space="preserve"> </w:t>
      </w:r>
      <w:r>
        <w:rPr>
          <w:sz w:val="24"/>
          <w:szCs w:val="24"/>
        </w:rPr>
        <w:t>beklenen sanal</w:t>
      </w:r>
      <w:r>
        <w:rPr>
          <w:spacing w:val="-9"/>
          <w:sz w:val="24"/>
          <w:szCs w:val="24"/>
        </w:rPr>
        <w:t xml:space="preserve"> </w:t>
      </w:r>
      <w:r>
        <w:rPr>
          <w:sz w:val="24"/>
          <w:szCs w:val="24"/>
        </w:rPr>
        <w:t>gerçeklik</w:t>
      </w:r>
      <w:r>
        <w:rPr>
          <w:spacing w:val="-12"/>
          <w:sz w:val="24"/>
          <w:szCs w:val="24"/>
        </w:rPr>
        <w:t xml:space="preserve"> </w:t>
      </w:r>
      <w:r>
        <w:rPr>
          <w:sz w:val="24"/>
          <w:szCs w:val="24"/>
        </w:rPr>
        <w:t>alanında</w:t>
      </w:r>
      <w:r>
        <w:rPr>
          <w:spacing w:val="-10"/>
          <w:sz w:val="24"/>
          <w:szCs w:val="24"/>
        </w:rPr>
        <w:t xml:space="preserve"> </w:t>
      </w:r>
      <w:r>
        <w:rPr>
          <w:sz w:val="24"/>
          <w:szCs w:val="24"/>
        </w:rPr>
        <w:t>araştırma</w:t>
      </w:r>
      <w:r>
        <w:rPr>
          <w:spacing w:val="-13"/>
          <w:sz w:val="24"/>
          <w:szCs w:val="24"/>
        </w:rPr>
        <w:t xml:space="preserve"> </w:t>
      </w:r>
      <w:r>
        <w:rPr>
          <w:sz w:val="24"/>
          <w:szCs w:val="24"/>
        </w:rPr>
        <w:t>ve</w:t>
      </w:r>
      <w:r>
        <w:rPr>
          <w:spacing w:val="-10"/>
          <w:sz w:val="24"/>
          <w:szCs w:val="24"/>
        </w:rPr>
        <w:t xml:space="preserve"> </w:t>
      </w:r>
      <w:r>
        <w:rPr>
          <w:sz w:val="24"/>
          <w:szCs w:val="24"/>
        </w:rPr>
        <w:t>geliştirme</w:t>
      </w:r>
      <w:r>
        <w:rPr>
          <w:spacing w:val="-13"/>
          <w:sz w:val="24"/>
          <w:szCs w:val="24"/>
        </w:rPr>
        <w:t xml:space="preserve"> </w:t>
      </w:r>
      <w:r>
        <w:rPr>
          <w:sz w:val="24"/>
          <w:szCs w:val="24"/>
        </w:rPr>
        <w:t>faaliyetlerini</w:t>
      </w:r>
      <w:r>
        <w:rPr>
          <w:spacing w:val="-11"/>
          <w:sz w:val="24"/>
          <w:szCs w:val="24"/>
        </w:rPr>
        <w:t xml:space="preserve"> </w:t>
      </w:r>
      <w:r>
        <w:rPr>
          <w:sz w:val="24"/>
          <w:szCs w:val="24"/>
        </w:rPr>
        <w:t>desteklemek</w:t>
      </w:r>
      <w:r>
        <w:rPr>
          <w:spacing w:val="-10"/>
          <w:sz w:val="24"/>
          <w:szCs w:val="24"/>
        </w:rPr>
        <w:t xml:space="preserve"> </w:t>
      </w:r>
      <w:r>
        <w:rPr>
          <w:sz w:val="24"/>
          <w:szCs w:val="24"/>
        </w:rPr>
        <w:t>amacıyla</w:t>
      </w:r>
      <w:r>
        <w:rPr>
          <w:spacing w:val="-13"/>
          <w:sz w:val="24"/>
          <w:szCs w:val="24"/>
        </w:rPr>
        <w:t xml:space="preserve"> </w:t>
      </w:r>
      <w:r>
        <w:rPr>
          <w:sz w:val="24"/>
          <w:szCs w:val="24"/>
        </w:rPr>
        <w:t>kurulan bu merkez, genç iş kurucularına bu teknolojinin olanaklarını araştırma ve kullanma fırsatı tanımaktadır (Arat ve Baltacıoğlu, 2016: 108).</w:t>
      </w:r>
    </w:p>
    <w:p w14:paraId="6AE11ADE">
      <w:pPr>
        <w:pStyle w:val="28"/>
        <w:numPr>
          <w:ilvl w:val="0"/>
          <w:numId w:val="5"/>
        </w:numPr>
        <w:tabs>
          <w:tab w:val="left" w:pos="493"/>
        </w:tabs>
        <w:spacing w:before="120" w:after="120" w:line="360" w:lineRule="auto"/>
        <w:jc w:val="both"/>
        <w:rPr>
          <w:sz w:val="24"/>
          <w:szCs w:val="24"/>
        </w:rPr>
      </w:pPr>
      <w:r>
        <w:rPr>
          <w:sz w:val="24"/>
          <w:szCs w:val="24"/>
        </w:rPr>
        <w:t>Turizm: Sanal gerçeklik teknolojisinin turizm endüstrisindeki yükselişi, sanal turizm uygulamalarının ortaya çıkmasına ve sektörde birçok novasyonun yaşanmasına olanak tanımıştır. Gezegenimizdeki birçok eşsiz manzarayı ve popüler turistik mekanı kişisel kısıtlamalar</w:t>
      </w:r>
      <w:r>
        <w:rPr>
          <w:spacing w:val="-2"/>
          <w:sz w:val="24"/>
          <w:szCs w:val="24"/>
        </w:rPr>
        <w:t xml:space="preserve"> </w:t>
      </w:r>
      <w:r>
        <w:rPr>
          <w:sz w:val="24"/>
          <w:szCs w:val="24"/>
        </w:rPr>
        <w:t>nedeniyle ziyaret etmek</w:t>
      </w:r>
      <w:r>
        <w:rPr>
          <w:spacing w:val="-1"/>
          <w:sz w:val="24"/>
          <w:szCs w:val="24"/>
        </w:rPr>
        <w:t xml:space="preserve"> </w:t>
      </w:r>
      <w:r>
        <w:rPr>
          <w:sz w:val="24"/>
          <w:szCs w:val="24"/>
        </w:rPr>
        <w:t>her</w:t>
      </w:r>
      <w:r>
        <w:rPr>
          <w:spacing w:val="-2"/>
          <w:sz w:val="24"/>
          <w:szCs w:val="24"/>
        </w:rPr>
        <w:t xml:space="preserve"> </w:t>
      </w:r>
      <w:r>
        <w:rPr>
          <w:sz w:val="24"/>
          <w:szCs w:val="24"/>
        </w:rPr>
        <w:t>zaman mümkün</w:t>
      </w:r>
      <w:r>
        <w:rPr>
          <w:spacing w:val="-1"/>
          <w:sz w:val="24"/>
          <w:szCs w:val="24"/>
        </w:rPr>
        <w:t xml:space="preserve"> </w:t>
      </w:r>
      <w:r>
        <w:rPr>
          <w:sz w:val="24"/>
          <w:szCs w:val="24"/>
        </w:rPr>
        <w:t>olmayabilir.</w:t>
      </w:r>
      <w:r>
        <w:rPr>
          <w:spacing w:val="-2"/>
          <w:sz w:val="24"/>
          <w:szCs w:val="24"/>
        </w:rPr>
        <w:t xml:space="preserve"> </w:t>
      </w:r>
      <w:r>
        <w:rPr>
          <w:sz w:val="24"/>
          <w:szCs w:val="24"/>
        </w:rPr>
        <w:t>Ancak,</w:t>
      </w:r>
      <w:r>
        <w:rPr>
          <w:spacing w:val="-1"/>
          <w:sz w:val="24"/>
          <w:szCs w:val="24"/>
        </w:rPr>
        <w:t xml:space="preserve"> </w:t>
      </w:r>
      <w:r>
        <w:rPr>
          <w:sz w:val="24"/>
          <w:szCs w:val="24"/>
        </w:rPr>
        <w:t xml:space="preserve">360° görüntü </w:t>
      </w:r>
      <w:r>
        <w:rPr>
          <w:spacing w:val="-2"/>
          <w:sz w:val="24"/>
          <w:szCs w:val="24"/>
        </w:rPr>
        <w:t>ve</w:t>
      </w:r>
      <w:r>
        <w:rPr>
          <w:spacing w:val="-5"/>
          <w:sz w:val="24"/>
          <w:szCs w:val="24"/>
        </w:rPr>
        <w:t xml:space="preserve"> </w:t>
      </w:r>
      <w:r>
        <w:rPr>
          <w:spacing w:val="-2"/>
          <w:sz w:val="24"/>
          <w:szCs w:val="24"/>
        </w:rPr>
        <w:t>video</w:t>
      </w:r>
      <w:r>
        <w:rPr>
          <w:spacing w:val="-4"/>
          <w:sz w:val="24"/>
          <w:szCs w:val="24"/>
        </w:rPr>
        <w:t xml:space="preserve"> </w:t>
      </w:r>
      <w:r>
        <w:rPr>
          <w:spacing w:val="-2"/>
          <w:sz w:val="24"/>
          <w:szCs w:val="24"/>
        </w:rPr>
        <w:t>tabanlı</w:t>
      </w:r>
      <w:r>
        <w:rPr>
          <w:spacing w:val="-3"/>
          <w:sz w:val="24"/>
          <w:szCs w:val="24"/>
        </w:rPr>
        <w:t xml:space="preserve"> </w:t>
      </w:r>
      <w:r>
        <w:rPr>
          <w:spacing w:val="-2"/>
          <w:sz w:val="24"/>
          <w:szCs w:val="24"/>
        </w:rPr>
        <w:t>sanal</w:t>
      </w:r>
      <w:r>
        <w:rPr>
          <w:spacing w:val="-3"/>
          <w:sz w:val="24"/>
          <w:szCs w:val="24"/>
        </w:rPr>
        <w:t xml:space="preserve"> </w:t>
      </w:r>
      <w:r>
        <w:rPr>
          <w:spacing w:val="-2"/>
          <w:sz w:val="24"/>
          <w:szCs w:val="24"/>
        </w:rPr>
        <w:t>tur platformları</w:t>
      </w:r>
      <w:r>
        <w:rPr>
          <w:spacing w:val="-4"/>
          <w:sz w:val="24"/>
          <w:szCs w:val="24"/>
        </w:rPr>
        <w:t xml:space="preserve"> </w:t>
      </w:r>
      <w:r>
        <w:rPr>
          <w:spacing w:val="-2"/>
          <w:sz w:val="24"/>
          <w:szCs w:val="24"/>
        </w:rPr>
        <w:t>sayesinde,</w:t>
      </w:r>
      <w:r>
        <w:rPr>
          <w:spacing w:val="-4"/>
          <w:sz w:val="24"/>
          <w:szCs w:val="24"/>
        </w:rPr>
        <w:t xml:space="preserve"> </w:t>
      </w:r>
      <w:r>
        <w:rPr>
          <w:spacing w:val="-2"/>
          <w:sz w:val="24"/>
          <w:szCs w:val="24"/>
        </w:rPr>
        <w:t>kullanıcılar</w:t>
      </w:r>
      <w:r>
        <w:rPr>
          <w:spacing w:val="-5"/>
          <w:sz w:val="24"/>
          <w:szCs w:val="24"/>
        </w:rPr>
        <w:t xml:space="preserve"> </w:t>
      </w:r>
      <w:r>
        <w:rPr>
          <w:spacing w:val="-2"/>
          <w:sz w:val="24"/>
          <w:szCs w:val="24"/>
        </w:rPr>
        <w:t>bu</w:t>
      </w:r>
      <w:r>
        <w:rPr>
          <w:spacing w:val="-4"/>
          <w:sz w:val="24"/>
          <w:szCs w:val="24"/>
        </w:rPr>
        <w:t xml:space="preserve"> </w:t>
      </w:r>
      <w:r>
        <w:rPr>
          <w:spacing w:val="-2"/>
          <w:sz w:val="24"/>
          <w:szCs w:val="24"/>
        </w:rPr>
        <w:t>sınırlamaları</w:t>
      </w:r>
      <w:r>
        <w:rPr>
          <w:spacing w:val="-3"/>
          <w:sz w:val="24"/>
          <w:szCs w:val="24"/>
        </w:rPr>
        <w:t xml:space="preserve"> </w:t>
      </w:r>
      <w:r>
        <w:rPr>
          <w:spacing w:val="-2"/>
          <w:sz w:val="24"/>
          <w:szCs w:val="24"/>
        </w:rPr>
        <w:t xml:space="preserve">aşarak gerçekçi </w:t>
      </w:r>
      <w:r>
        <w:rPr>
          <w:sz w:val="24"/>
          <w:szCs w:val="24"/>
        </w:rPr>
        <w:t>bir</w:t>
      </w:r>
      <w:r>
        <w:rPr>
          <w:spacing w:val="-13"/>
          <w:sz w:val="24"/>
          <w:szCs w:val="24"/>
        </w:rPr>
        <w:t xml:space="preserve"> </w:t>
      </w:r>
      <w:r>
        <w:rPr>
          <w:sz w:val="24"/>
          <w:szCs w:val="24"/>
        </w:rPr>
        <w:t>gezi</w:t>
      </w:r>
      <w:r>
        <w:rPr>
          <w:spacing w:val="-12"/>
          <w:sz w:val="24"/>
          <w:szCs w:val="24"/>
        </w:rPr>
        <w:t xml:space="preserve"> </w:t>
      </w:r>
      <w:r>
        <w:rPr>
          <w:sz w:val="24"/>
          <w:szCs w:val="24"/>
        </w:rPr>
        <w:t>deneyimi</w:t>
      </w:r>
      <w:r>
        <w:rPr>
          <w:spacing w:val="-8"/>
          <w:sz w:val="24"/>
          <w:szCs w:val="24"/>
        </w:rPr>
        <w:t xml:space="preserve"> </w:t>
      </w:r>
      <w:r>
        <w:rPr>
          <w:sz w:val="24"/>
          <w:szCs w:val="24"/>
        </w:rPr>
        <w:t>yaşayabilmektedirler.</w:t>
      </w:r>
      <w:r>
        <w:rPr>
          <w:spacing w:val="-13"/>
          <w:sz w:val="24"/>
          <w:szCs w:val="24"/>
        </w:rPr>
        <w:t xml:space="preserve"> </w:t>
      </w:r>
      <w:r>
        <w:rPr>
          <w:sz w:val="24"/>
          <w:szCs w:val="24"/>
        </w:rPr>
        <w:t>Sanal</w:t>
      </w:r>
      <w:r>
        <w:rPr>
          <w:spacing w:val="-12"/>
          <w:sz w:val="24"/>
          <w:szCs w:val="24"/>
        </w:rPr>
        <w:t xml:space="preserve"> </w:t>
      </w:r>
      <w:r>
        <w:rPr>
          <w:sz w:val="24"/>
          <w:szCs w:val="24"/>
        </w:rPr>
        <w:t>gerçeklik</w:t>
      </w:r>
      <w:r>
        <w:rPr>
          <w:spacing w:val="-13"/>
          <w:sz w:val="24"/>
          <w:szCs w:val="24"/>
        </w:rPr>
        <w:t xml:space="preserve"> </w:t>
      </w:r>
      <w:r>
        <w:rPr>
          <w:sz w:val="24"/>
          <w:szCs w:val="24"/>
        </w:rPr>
        <w:t>araçları,</w:t>
      </w:r>
      <w:r>
        <w:rPr>
          <w:spacing w:val="-13"/>
          <w:sz w:val="24"/>
          <w:szCs w:val="24"/>
        </w:rPr>
        <w:t xml:space="preserve"> </w:t>
      </w:r>
      <w:r>
        <w:rPr>
          <w:sz w:val="24"/>
          <w:szCs w:val="24"/>
        </w:rPr>
        <w:t>bu</w:t>
      </w:r>
      <w:r>
        <w:rPr>
          <w:spacing w:val="-13"/>
          <w:sz w:val="24"/>
          <w:szCs w:val="24"/>
        </w:rPr>
        <w:t xml:space="preserve"> </w:t>
      </w:r>
      <w:r>
        <w:rPr>
          <w:sz w:val="24"/>
          <w:szCs w:val="24"/>
        </w:rPr>
        <w:t>tür</w:t>
      </w:r>
      <w:r>
        <w:rPr>
          <w:spacing w:val="-13"/>
          <w:sz w:val="24"/>
          <w:szCs w:val="24"/>
        </w:rPr>
        <w:t xml:space="preserve"> </w:t>
      </w:r>
      <w:r>
        <w:rPr>
          <w:sz w:val="24"/>
          <w:szCs w:val="24"/>
        </w:rPr>
        <w:t>kısıtlamaları</w:t>
      </w:r>
      <w:r>
        <w:rPr>
          <w:spacing w:val="-13"/>
          <w:sz w:val="24"/>
          <w:szCs w:val="24"/>
        </w:rPr>
        <w:t xml:space="preserve"> </w:t>
      </w:r>
      <w:r>
        <w:rPr>
          <w:sz w:val="24"/>
          <w:szCs w:val="24"/>
        </w:rPr>
        <w:t>ortadan kaldırarak, ziyaretçilere dünyanın dört bir yanını keşfetme fırsatı sunmaktadır (Berger vd., 2007: 84).</w:t>
      </w:r>
    </w:p>
    <w:p w14:paraId="60CC72E0">
      <w:pPr>
        <w:pStyle w:val="9"/>
        <w:spacing w:before="120" w:after="120" w:line="360" w:lineRule="auto"/>
        <w:ind w:left="0" w:firstLine="567"/>
      </w:pPr>
      <w:r>
        <w:t>Turizm alanında, uluslararası destinasyonların tanıtılmasında, seyahat organizasyonu ve stratejisinin kurgulanmasında, gezegenlerarası deneyimler veya Ay maceraları gibi ulaşılması zor veya imkânsız deneyimlerin yaşatılmasında, pazarlama ve promosyon stratejilerinin</w:t>
      </w:r>
      <w:r>
        <w:rPr>
          <w:spacing w:val="28"/>
        </w:rPr>
        <w:t xml:space="preserve"> </w:t>
      </w:r>
      <w:r>
        <w:t>daha</w:t>
      </w:r>
      <w:r>
        <w:rPr>
          <w:spacing w:val="31"/>
        </w:rPr>
        <w:t xml:space="preserve"> </w:t>
      </w:r>
      <w:r>
        <w:t>etkin</w:t>
      </w:r>
      <w:r>
        <w:rPr>
          <w:spacing w:val="30"/>
        </w:rPr>
        <w:t xml:space="preserve"> </w:t>
      </w:r>
      <w:r>
        <w:t>bir</w:t>
      </w:r>
      <w:r>
        <w:rPr>
          <w:spacing w:val="31"/>
        </w:rPr>
        <w:t xml:space="preserve"> </w:t>
      </w:r>
      <w:r>
        <w:t>şekilde</w:t>
      </w:r>
      <w:r>
        <w:rPr>
          <w:spacing w:val="30"/>
        </w:rPr>
        <w:t xml:space="preserve"> </w:t>
      </w:r>
      <w:r>
        <w:t>geliştirilmesinde,</w:t>
      </w:r>
      <w:r>
        <w:rPr>
          <w:spacing w:val="30"/>
        </w:rPr>
        <w:t xml:space="preserve"> </w:t>
      </w:r>
      <w:r>
        <w:t>turizmin</w:t>
      </w:r>
      <w:r>
        <w:rPr>
          <w:spacing w:val="29"/>
        </w:rPr>
        <w:t xml:space="preserve"> </w:t>
      </w:r>
      <w:r>
        <w:t>sebep</w:t>
      </w:r>
      <w:r>
        <w:rPr>
          <w:spacing w:val="31"/>
        </w:rPr>
        <w:t xml:space="preserve"> </w:t>
      </w:r>
      <w:r>
        <w:t>olduğu</w:t>
      </w:r>
      <w:r>
        <w:rPr>
          <w:spacing w:val="31"/>
        </w:rPr>
        <w:t xml:space="preserve"> </w:t>
      </w:r>
      <w:r>
        <w:t>çevresel</w:t>
      </w:r>
      <w:r>
        <w:rPr>
          <w:spacing w:val="31"/>
        </w:rPr>
        <w:t xml:space="preserve"> </w:t>
      </w:r>
      <w:r>
        <w:rPr>
          <w:spacing w:val="-5"/>
        </w:rPr>
        <w:t>ve</w:t>
      </w:r>
      <w:r>
        <w:t xml:space="preserve"> toplumsal</w:t>
      </w:r>
      <w:r>
        <w:rPr>
          <w:spacing w:val="-5"/>
        </w:rPr>
        <w:t xml:space="preserve"> </w:t>
      </w:r>
      <w:r>
        <w:t>negatif</w:t>
      </w:r>
      <w:r>
        <w:rPr>
          <w:spacing w:val="-4"/>
        </w:rPr>
        <w:t xml:space="preserve"> </w:t>
      </w:r>
      <w:r>
        <w:t>etkilerin</w:t>
      </w:r>
      <w:r>
        <w:rPr>
          <w:spacing w:val="-5"/>
        </w:rPr>
        <w:t xml:space="preserve"> </w:t>
      </w:r>
      <w:r>
        <w:t>azaltılmasında</w:t>
      </w:r>
      <w:r>
        <w:rPr>
          <w:spacing w:val="-6"/>
        </w:rPr>
        <w:t xml:space="preserve"> </w:t>
      </w:r>
      <w:r>
        <w:t>ve</w:t>
      </w:r>
      <w:r>
        <w:rPr>
          <w:spacing w:val="-6"/>
        </w:rPr>
        <w:t xml:space="preserve"> </w:t>
      </w:r>
      <w:r>
        <w:t>kültürel</w:t>
      </w:r>
      <w:r>
        <w:rPr>
          <w:spacing w:val="-5"/>
        </w:rPr>
        <w:t xml:space="preserve"> </w:t>
      </w:r>
      <w:r>
        <w:t>mirasın</w:t>
      </w:r>
      <w:r>
        <w:rPr>
          <w:spacing w:val="-5"/>
        </w:rPr>
        <w:t xml:space="preserve"> </w:t>
      </w:r>
      <w:r>
        <w:t>korunmasında</w:t>
      </w:r>
      <w:r>
        <w:rPr>
          <w:spacing w:val="-4"/>
        </w:rPr>
        <w:t xml:space="preserve"> </w:t>
      </w:r>
      <w:r>
        <w:t>sanal</w:t>
      </w:r>
      <w:r>
        <w:rPr>
          <w:spacing w:val="-3"/>
        </w:rPr>
        <w:t xml:space="preserve"> </w:t>
      </w:r>
      <w:r>
        <w:t>gerçeklik araçlarından yararlanılabilmektedir (Gibson ve O'Rawe, 2017: 93).</w:t>
      </w:r>
    </w:p>
    <w:p w14:paraId="480F1245">
      <w:pPr>
        <w:pStyle w:val="9"/>
        <w:spacing w:before="120" w:after="120" w:line="360" w:lineRule="auto"/>
        <w:ind w:left="0" w:firstLine="567"/>
      </w:pPr>
      <w:r>
        <w:t>Turizm sektöründe, özellikle eğlence tesisleri ve diğer turizm firmaları, çeşitli hedefler doğrultusunda sanal gerçeklik teknolojilerini kullanmaktadırlar. İlk kez sanal turlar düzenleyen müzeler, sadece internet sitelerinin ziyaretini değil, günümüzdeki gelişmiş teknolojiler sayesinde fiziki müze ziyaretlerini de teşvik etmek ve böylece kuvvetli bir ilgi odağı oluşturmak amacındadırlar (Guerra vd., 2015: 52).</w:t>
      </w:r>
    </w:p>
    <w:p w14:paraId="7A830834">
      <w:pPr>
        <w:pStyle w:val="9"/>
        <w:spacing w:before="120" w:after="120" w:line="360" w:lineRule="auto"/>
        <w:ind w:left="0" w:firstLine="567"/>
      </w:pPr>
      <w:r>
        <w:t xml:space="preserve">Belirtilen sektörlerin haricinde, moda endüstrisi, farklı sanat formları, iletişim ve uzay araştırmaları gibi birçok alanda sanal gerçeklik teknolojileri, günlük hayatı daha önce eşi benzeri görülmemiş bir hızda yeniden şekillendirmeye ve dönüştürmeye yardımcı </w:t>
      </w:r>
      <w:r>
        <w:rPr>
          <w:spacing w:val="-2"/>
        </w:rPr>
        <w:t>olmaktadır.</w:t>
      </w:r>
    </w:p>
    <w:p w14:paraId="60A3B297">
      <w:pPr>
        <w:pStyle w:val="4"/>
        <w:spacing w:before="240" w:after="240" w:line="360" w:lineRule="auto"/>
        <w:ind w:left="567" w:firstLine="0"/>
        <w:rPr>
          <w:i w:val="0"/>
        </w:rPr>
      </w:pPr>
      <w:bookmarkStart w:id="60" w:name="_Toc197351231"/>
      <w:bookmarkStart w:id="61" w:name="_Toc195875794"/>
      <w:bookmarkStart w:id="62" w:name="_Toc195877778"/>
      <w:r>
        <w:rPr>
          <w:i w:val="0"/>
        </w:rPr>
        <w:t>2.2.4. Sanal Gerçeklik Teorileri</w:t>
      </w:r>
      <w:bookmarkEnd w:id="60"/>
      <w:bookmarkEnd w:id="61"/>
      <w:bookmarkEnd w:id="62"/>
    </w:p>
    <w:p w14:paraId="1E0733EE">
      <w:pPr>
        <w:pStyle w:val="9"/>
        <w:spacing w:before="120" w:after="120" w:line="360" w:lineRule="auto"/>
        <w:ind w:left="0" w:firstLine="567"/>
        <w:rPr>
          <w:b/>
          <w:bCs/>
          <w:sz w:val="22"/>
          <w:szCs w:val="22"/>
        </w:rPr>
      </w:pPr>
      <w:r>
        <w:t>Sanal gerçeklik</w:t>
      </w:r>
      <w:r>
        <w:rPr>
          <w:spacing w:val="-2"/>
        </w:rPr>
        <w:t xml:space="preserve"> </w:t>
      </w:r>
      <w:r>
        <w:t>teorileri, insanların</w:t>
      </w:r>
      <w:r>
        <w:rPr>
          <w:spacing w:val="-3"/>
        </w:rPr>
        <w:t xml:space="preserve"> </w:t>
      </w:r>
      <w:r>
        <w:t>ve</w:t>
      </w:r>
      <w:r>
        <w:rPr>
          <w:spacing w:val="-1"/>
        </w:rPr>
        <w:t xml:space="preserve"> </w:t>
      </w:r>
      <w:r>
        <w:t>çevrelerinin gerçeklik</w:t>
      </w:r>
      <w:r>
        <w:rPr>
          <w:spacing w:val="-2"/>
        </w:rPr>
        <w:t xml:space="preserve"> </w:t>
      </w:r>
      <w:r>
        <w:t>algısını</w:t>
      </w:r>
      <w:r>
        <w:rPr>
          <w:spacing w:val="-2"/>
        </w:rPr>
        <w:t xml:space="preserve"> </w:t>
      </w:r>
      <w:r>
        <w:t>sorgulayan</w:t>
      </w:r>
      <w:r>
        <w:rPr>
          <w:spacing w:val="-2"/>
        </w:rPr>
        <w:t xml:space="preserve"> </w:t>
      </w:r>
      <w:r>
        <w:t>ve</w:t>
      </w:r>
      <w:r>
        <w:rPr>
          <w:spacing w:val="-3"/>
        </w:rPr>
        <w:t xml:space="preserve"> </w:t>
      </w:r>
      <w:r>
        <w:t>tartışan felsefi ve bilimsel görüşlerdir. Bu teoriler, gerçeklik kavramını ve insan algısını anlamak için kullanılırlar. İşte bazı popüler sanal gerçeklik teorileri:</w:t>
      </w:r>
    </w:p>
    <w:p w14:paraId="535856E4">
      <w:pPr>
        <w:pStyle w:val="9"/>
        <w:spacing w:before="240" w:after="240" w:line="360" w:lineRule="auto"/>
        <w:ind w:left="567"/>
        <w:outlineLvl w:val="3"/>
        <w:rPr>
          <w:b/>
        </w:rPr>
      </w:pPr>
      <w:bookmarkStart w:id="63" w:name="_Toc197351232"/>
      <w:bookmarkStart w:id="64" w:name="_Toc195877779"/>
      <w:r>
        <w:rPr>
          <w:b/>
        </w:rPr>
        <w:t>2.2.4.1. Simülasyon Teorileri</w:t>
      </w:r>
      <w:bookmarkEnd w:id="63"/>
      <w:bookmarkEnd w:id="64"/>
      <w:r>
        <w:rPr>
          <w:b/>
        </w:rPr>
        <w:t xml:space="preserve"> </w:t>
      </w:r>
    </w:p>
    <w:p w14:paraId="63356C85">
      <w:pPr>
        <w:pStyle w:val="9"/>
        <w:spacing w:before="120" w:after="120" w:line="360" w:lineRule="auto"/>
        <w:ind w:left="0" w:firstLine="567"/>
      </w:pPr>
      <w:r>
        <w:t>Bu teoriye göre, yaşadığımız dünya ve deneyimlediğimiz her şey, gelişmiş bir bilgisayar veya süper akıllı varlıklar tarafından oluşturulmuş bir simülasyon olabilir. Buna göre, yaşadığımız dünya aslında bir sanal gerçeklik ortamı olabilir (Güncan, 2021: 15).</w:t>
      </w:r>
    </w:p>
    <w:p w14:paraId="16671B27">
      <w:pPr>
        <w:pStyle w:val="9"/>
        <w:spacing w:before="120" w:after="120" w:line="360" w:lineRule="auto"/>
        <w:ind w:left="0" w:firstLine="567"/>
      </w:pPr>
      <w:r>
        <w:t>Günümüzde teknoloji, insan deneyimini kökten değiştiren birçok yeniliği beraberinde getirmiştir. Bu yeniliklerden biri de sanal gerçeklik (VR) teknolojisi ve onunla ilişkilendirilen simülasyon teorisidir. Sanal gerçeklik, kullanıcıların kendilerini tamamen farklı</w:t>
      </w:r>
      <w:r>
        <w:rPr>
          <w:spacing w:val="-10"/>
        </w:rPr>
        <w:t xml:space="preserve"> </w:t>
      </w:r>
      <w:r>
        <w:t>bir</w:t>
      </w:r>
      <w:r>
        <w:rPr>
          <w:spacing w:val="-11"/>
        </w:rPr>
        <w:t xml:space="preserve"> </w:t>
      </w:r>
      <w:r>
        <w:t>dijital</w:t>
      </w:r>
      <w:r>
        <w:rPr>
          <w:spacing w:val="-10"/>
        </w:rPr>
        <w:t xml:space="preserve"> </w:t>
      </w:r>
      <w:r>
        <w:t>dünyada</w:t>
      </w:r>
      <w:r>
        <w:rPr>
          <w:spacing w:val="-9"/>
        </w:rPr>
        <w:t xml:space="preserve"> </w:t>
      </w:r>
      <w:r>
        <w:t>hissetmelerini</w:t>
      </w:r>
      <w:r>
        <w:rPr>
          <w:spacing w:val="-10"/>
        </w:rPr>
        <w:t xml:space="preserve"> </w:t>
      </w:r>
      <w:r>
        <w:t>sağlayan</w:t>
      </w:r>
      <w:r>
        <w:rPr>
          <w:spacing w:val="-9"/>
        </w:rPr>
        <w:t xml:space="preserve"> </w:t>
      </w:r>
      <w:r>
        <w:t>bir</w:t>
      </w:r>
      <w:r>
        <w:rPr>
          <w:spacing w:val="-11"/>
        </w:rPr>
        <w:t xml:space="preserve"> </w:t>
      </w:r>
      <w:r>
        <w:t>teknoloji</w:t>
      </w:r>
      <w:r>
        <w:rPr>
          <w:spacing w:val="-10"/>
        </w:rPr>
        <w:t xml:space="preserve"> </w:t>
      </w:r>
      <w:r>
        <w:t>olarak</w:t>
      </w:r>
      <w:r>
        <w:rPr>
          <w:spacing w:val="-9"/>
        </w:rPr>
        <w:t xml:space="preserve"> </w:t>
      </w:r>
      <w:r>
        <w:t>tanımlanır.</w:t>
      </w:r>
      <w:r>
        <w:rPr>
          <w:spacing w:val="-11"/>
        </w:rPr>
        <w:t xml:space="preserve"> </w:t>
      </w:r>
      <w:r>
        <w:t>Simülasyon teorisi, aslında</w:t>
      </w:r>
      <w:r>
        <w:rPr>
          <w:spacing w:val="-1"/>
        </w:rPr>
        <w:t xml:space="preserve"> </w:t>
      </w:r>
      <w:r>
        <w:t>gerçek dünyanın bir tür taklidi olan sanal bir dünyanın varlığını savunan bir teoridir. Bu teori, "biz gerçekten var mıyız?" sorusu etrafında döner. Bir bakıma, tüm deneyimlerimizin bir tür simülasyon veya sanal gerçeklik olabileceğini öne sürer. Bu kavram, filozoflar, bilim insanları ve teknoloji meraklıları arasında büyük ilgi uyandırmış ve birçok tartışma yaratmıştır (Güncan, 2021: 15).</w:t>
      </w:r>
    </w:p>
    <w:p w14:paraId="29EE9F5D">
      <w:pPr>
        <w:pStyle w:val="9"/>
        <w:spacing w:before="120" w:after="120" w:line="360" w:lineRule="auto"/>
        <w:ind w:left="0" w:firstLine="567"/>
      </w:pPr>
      <w:r>
        <w:t>Sanal gerçeklik teknolojisi, simülasyon teorisini somutlaştırır. VR, kullanıcılara gerçek dünyanın dışına çıkıp tamamen sanal bir dünyada deneyimler yaşama fırsatı sunar. Bu deneyimler,</w:t>
      </w:r>
      <w:r>
        <w:rPr>
          <w:spacing w:val="-15"/>
        </w:rPr>
        <w:t xml:space="preserve"> </w:t>
      </w:r>
      <w:r>
        <w:t>simülasyon</w:t>
      </w:r>
      <w:r>
        <w:rPr>
          <w:spacing w:val="-15"/>
        </w:rPr>
        <w:t xml:space="preserve"> </w:t>
      </w:r>
      <w:r>
        <w:t>teorisini</w:t>
      </w:r>
      <w:r>
        <w:rPr>
          <w:spacing w:val="-15"/>
        </w:rPr>
        <w:t xml:space="preserve"> </w:t>
      </w:r>
      <w:r>
        <w:t>daha</w:t>
      </w:r>
      <w:r>
        <w:rPr>
          <w:spacing w:val="-15"/>
        </w:rPr>
        <w:t xml:space="preserve"> </w:t>
      </w:r>
      <w:r>
        <w:t>önce</w:t>
      </w:r>
      <w:r>
        <w:rPr>
          <w:spacing w:val="-15"/>
        </w:rPr>
        <w:t xml:space="preserve"> </w:t>
      </w:r>
      <w:r>
        <w:t>hiç</w:t>
      </w:r>
      <w:r>
        <w:rPr>
          <w:spacing w:val="-15"/>
        </w:rPr>
        <w:t xml:space="preserve"> </w:t>
      </w:r>
      <w:r>
        <w:t>olmadığı</w:t>
      </w:r>
      <w:r>
        <w:rPr>
          <w:spacing w:val="-15"/>
        </w:rPr>
        <w:t xml:space="preserve"> </w:t>
      </w:r>
      <w:r>
        <w:t>kadar</w:t>
      </w:r>
      <w:r>
        <w:rPr>
          <w:spacing w:val="-15"/>
        </w:rPr>
        <w:t xml:space="preserve"> </w:t>
      </w:r>
      <w:r>
        <w:t>gerçekçi</w:t>
      </w:r>
      <w:r>
        <w:rPr>
          <w:spacing w:val="-15"/>
        </w:rPr>
        <w:t xml:space="preserve"> </w:t>
      </w:r>
      <w:r>
        <w:t>ve</w:t>
      </w:r>
      <w:r>
        <w:rPr>
          <w:spacing w:val="-15"/>
        </w:rPr>
        <w:t xml:space="preserve"> </w:t>
      </w:r>
      <w:r>
        <w:t>etkileyici</w:t>
      </w:r>
      <w:r>
        <w:rPr>
          <w:spacing w:val="-15"/>
        </w:rPr>
        <w:t xml:space="preserve"> </w:t>
      </w:r>
      <w:r>
        <w:t>bir</w:t>
      </w:r>
      <w:r>
        <w:rPr>
          <w:spacing w:val="-15"/>
        </w:rPr>
        <w:t xml:space="preserve"> </w:t>
      </w:r>
      <w:r>
        <w:t>hale getirir (Güncan, 2021: 15).</w:t>
      </w:r>
    </w:p>
    <w:p w14:paraId="3FF9564D">
      <w:pPr>
        <w:pStyle w:val="9"/>
        <w:spacing w:before="120" w:after="120" w:line="360" w:lineRule="auto"/>
        <w:ind w:left="0" w:firstLine="567"/>
      </w:pPr>
      <w:r>
        <w:t>Sanal gerçeklik teknolojisi, simülasyon teorisini destekler ve bu teorinin gerçeklikle nasıl etkileşime girdiğini gösterir. Kullanıcılar, VR deneyimleri sırasında gerçek dünyadan tamamen</w:t>
      </w:r>
      <w:r>
        <w:rPr>
          <w:spacing w:val="-12"/>
        </w:rPr>
        <w:t xml:space="preserve"> </w:t>
      </w:r>
      <w:r>
        <w:t>kopabilirler.</w:t>
      </w:r>
      <w:r>
        <w:rPr>
          <w:spacing w:val="-12"/>
        </w:rPr>
        <w:t xml:space="preserve"> </w:t>
      </w:r>
      <w:r>
        <w:t>Bu,</w:t>
      </w:r>
      <w:r>
        <w:rPr>
          <w:spacing w:val="-12"/>
        </w:rPr>
        <w:t xml:space="preserve"> </w:t>
      </w:r>
      <w:r>
        <w:t>insan</w:t>
      </w:r>
      <w:r>
        <w:rPr>
          <w:spacing w:val="-12"/>
        </w:rPr>
        <w:t xml:space="preserve"> </w:t>
      </w:r>
      <w:r>
        <w:t>zihninin</w:t>
      </w:r>
      <w:r>
        <w:rPr>
          <w:spacing w:val="-12"/>
        </w:rPr>
        <w:t xml:space="preserve"> </w:t>
      </w:r>
      <w:r>
        <w:t>ne</w:t>
      </w:r>
      <w:r>
        <w:rPr>
          <w:spacing w:val="-13"/>
        </w:rPr>
        <w:t xml:space="preserve"> </w:t>
      </w:r>
      <w:r>
        <w:t>kadar</w:t>
      </w:r>
      <w:r>
        <w:rPr>
          <w:spacing w:val="-12"/>
        </w:rPr>
        <w:t xml:space="preserve"> </w:t>
      </w:r>
      <w:r>
        <w:t>esnek</w:t>
      </w:r>
      <w:r>
        <w:rPr>
          <w:spacing w:val="-12"/>
        </w:rPr>
        <w:t xml:space="preserve"> </w:t>
      </w:r>
      <w:r>
        <w:t>olduğunu</w:t>
      </w:r>
      <w:r>
        <w:rPr>
          <w:spacing w:val="-12"/>
        </w:rPr>
        <w:t xml:space="preserve"> </w:t>
      </w:r>
      <w:r>
        <w:t>ve</w:t>
      </w:r>
      <w:r>
        <w:rPr>
          <w:spacing w:val="-13"/>
        </w:rPr>
        <w:t xml:space="preserve"> </w:t>
      </w:r>
      <w:r>
        <w:t>sanal</w:t>
      </w:r>
      <w:r>
        <w:rPr>
          <w:spacing w:val="-11"/>
        </w:rPr>
        <w:t xml:space="preserve"> </w:t>
      </w:r>
      <w:r>
        <w:t>dünyanın</w:t>
      </w:r>
      <w:r>
        <w:rPr>
          <w:spacing w:val="-9"/>
        </w:rPr>
        <w:t xml:space="preserve"> </w:t>
      </w:r>
      <w:r>
        <w:t>gerçek dünya deneyimleriyle nasıl örtüştüğünü göstermektedir (Güzel, 2015: 66).</w:t>
      </w:r>
    </w:p>
    <w:p w14:paraId="7BED733E">
      <w:pPr>
        <w:pStyle w:val="9"/>
        <w:spacing w:before="120" w:after="120" w:line="360" w:lineRule="auto"/>
        <w:ind w:left="0" w:firstLine="567"/>
      </w:pPr>
      <w:r>
        <w:t>Sanal</w:t>
      </w:r>
      <w:r>
        <w:rPr>
          <w:spacing w:val="-2"/>
        </w:rPr>
        <w:t xml:space="preserve"> </w:t>
      </w:r>
      <w:r>
        <w:t>gerçeklik,</w:t>
      </w:r>
      <w:r>
        <w:rPr>
          <w:spacing w:val="-2"/>
        </w:rPr>
        <w:t xml:space="preserve"> </w:t>
      </w:r>
      <w:r>
        <w:t>eğitimden</w:t>
      </w:r>
      <w:r>
        <w:rPr>
          <w:spacing w:val="-2"/>
        </w:rPr>
        <w:t xml:space="preserve"> </w:t>
      </w:r>
      <w:r>
        <w:t>eğlenceye,</w:t>
      </w:r>
      <w:r>
        <w:rPr>
          <w:spacing w:val="-2"/>
        </w:rPr>
        <w:t xml:space="preserve"> </w:t>
      </w:r>
      <w:r>
        <w:t>sağlık</w:t>
      </w:r>
      <w:r>
        <w:rPr>
          <w:spacing w:val="-2"/>
        </w:rPr>
        <w:t xml:space="preserve"> </w:t>
      </w:r>
      <w:r>
        <w:t>hizmetlerinden</w:t>
      </w:r>
      <w:r>
        <w:rPr>
          <w:spacing w:val="-3"/>
        </w:rPr>
        <w:t xml:space="preserve"> </w:t>
      </w:r>
      <w:r>
        <w:t>sanat</w:t>
      </w:r>
      <w:r>
        <w:rPr>
          <w:spacing w:val="-2"/>
        </w:rPr>
        <w:t xml:space="preserve"> </w:t>
      </w:r>
      <w:r>
        <w:t>ve</w:t>
      </w:r>
      <w:r>
        <w:rPr>
          <w:spacing w:val="-3"/>
        </w:rPr>
        <w:t xml:space="preserve"> </w:t>
      </w:r>
      <w:r>
        <w:t>tasarıma</w:t>
      </w:r>
      <w:r>
        <w:rPr>
          <w:spacing w:val="-3"/>
        </w:rPr>
        <w:t xml:space="preserve"> </w:t>
      </w:r>
      <w:r>
        <w:t>kadar</w:t>
      </w:r>
      <w:r>
        <w:rPr>
          <w:spacing w:val="-3"/>
        </w:rPr>
        <w:t xml:space="preserve"> </w:t>
      </w:r>
      <w:r>
        <w:t>birçok alanda kullanılmaktadır. Simülasyon teorisi ile birleştiğinde, VR teknolojisi gerçek dünya deneyimlerini</w:t>
      </w:r>
      <w:r>
        <w:rPr>
          <w:spacing w:val="-1"/>
        </w:rPr>
        <w:t xml:space="preserve"> </w:t>
      </w:r>
      <w:r>
        <w:t>taklit</w:t>
      </w:r>
      <w:r>
        <w:rPr>
          <w:spacing w:val="-1"/>
        </w:rPr>
        <w:t xml:space="preserve"> </w:t>
      </w:r>
      <w:r>
        <w:t>edebilir</w:t>
      </w:r>
      <w:r>
        <w:rPr>
          <w:spacing w:val="-2"/>
        </w:rPr>
        <w:t xml:space="preserve"> </w:t>
      </w:r>
      <w:r>
        <w:t>veya geliştirebilir. Örneğin,</w:t>
      </w:r>
      <w:r>
        <w:rPr>
          <w:spacing w:val="-1"/>
        </w:rPr>
        <w:t xml:space="preserve"> </w:t>
      </w:r>
      <w:r>
        <w:t>tıp</w:t>
      </w:r>
      <w:r>
        <w:rPr>
          <w:spacing w:val="-2"/>
        </w:rPr>
        <w:t xml:space="preserve"> </w:t>
      </w:r>
      <w:r>
        <w:t>öğrencileri,</w:t>
      </w:r>
      <w:r>
        <w:rPr>
          <w:spacing w:val="-2"/>
        </w:rPr>
        <w:t xml:space="preserve"> </w:t>
      </w:r>
      <w:r>
        <w:t>cerrahi</w:t>
      </w:r>
      <w:r>
        <w:rPr>
          <w:spacing w:val="-1"/>
        </w:rPr>
        <w:t xml:space="preserve"> </w:t>
      </w:r>
      <w:r>
        <w:t>becerilerini geliştirmek için VR simülasyonları kullanabilirler. Sanatçılar, sanal galerilerde eserlerini sergileyebilirler. Bu, insan deneyimini daha önce mümkün olmayan yollarla zenginleştirmektedir (Özdemir, 2019: 55).</w:t>
      </w:r>
    </w:p>
    <w:p w14:paraId="3750FC6C">
      <w:pPr>
        <w:pStyle w:val="9"/>
        <w:spacing w:before="120" w:after="120" w:line="360" w:lineRule="auto"/>
        <w:ind w:left="0" w:firstLine="567"/>
      </w:pPr>
      <w:r>
        <w:t>Sanal Gerçeklik Teorilerinde Simülasyon Teorisi, teknolojinin ve felsefenin sınırlarının nasıl birleştirilebileceğini gösteren ilginç bir alanı temsil eder. VR teknolojisi, insan deneyimini zenginleştirirken aynı zamanda gerçeklik algımızı sorgulamamıza neden olabilir. Bu, gelecekteki teknolojik gelişmelerin ve felsefi tartışmaların merkezinde yer alacak önemli bir konudur. Sanal gerçeklik ve simülasyon teorisi, dijital dünyanın gerçeklikle nasıl buluştuğunu ve insan deneyimini nasıl şekillendirdiğini anlamamızı sağlayan bir perspektif sunmaktadır (Özdemir, 2019: 55).</w:t>
      </w:r>
    </w:p>
    <w:p w14:paraId="3DCB65A8">
      <w:pPr>
        <w:pStyle w:val="5"/>
        <w:spacing w:before="240" w:after="240" w:line="360" w:lineRule="auto"/>
        <w:ind w:left="567"/>
        <w:rPr>
          <w:rFonts w:ascii="Times New Roman" w:hAnsi="Times New Roman" w:cs="Times New Roman"/>
          <w:b/>
          <w:i w:val="0"/>
          <w:color w:val="auto"/>
          <w:sz w:val="24"/>
        </w:rPr>
      </w:pPr>
      <w:bookmarkStart w:id="65" w:name="_Toc195877780"/>
      <w:bookmarkStart w:id="66" w:name="_Toc195875795"/>
      <w:bookmarkStart w:id="67" w:name="_Toc197351233"/>
      <w:r>
        <w:rPr>
          <w:rFonts w:ascii="Times New Roman" w:hAnsi="Times New Roman" w:cs="Times New Roman"/>
          <w:b/>
          <w:i w:val="0"/>
          <w:color w:val="auto"/>
          <w:sz w:val="24"/>
        </w:rPr>
        <w:t>2.2.4.2. Beyin Tankı Teorisi</w:t>
      </w:r>
      <w:bookmarkEnd w:id="65"/>
      <w:bookmarkEnd w:id="66"/>
      <w:bookmarkEnd w:id="67"/>
    </w:p>
    <w:p w14:paraId="53D227C3">
      <w:pPr>
        <w:pStyle w:val="9"/>
        <w:spacing w:before="120" w:after="120" w:line="360" w:lineRule="auto"/>
        <w:ind w:left="0" w:firstLine="567"/>
      </w:pPr>
      <w:r>
        <w:t>Bu</w:t>
      </w:r>
      <w:r>
        <w:rPr>
          <w:spacing w:val="-7"/>
        </w:rPr>
        <w:t xml:space="preserve"> </w:t>
      </w:r>
      <w:r>
        <w:t>teoriye</w:t>
      </w:r>
      <w:r>
        <w:rPr>
          <w:spacing w:val="-5"/>
        </w:rPr>
        <w:t xml:space="preserve"> </w:t>
      </w:r>
      <w:r>
        <w:t>göre,</w:t>
      </w:r>
      <w:r>
        <w:rPr>
          <w:spacing w:val="-7"/>
        </w:rPr>
        <w:t xml:space="preserve"> </w:t>
      </w:r>
      <w:r>
        <w:t>beynimiz</w:t>
      </w:r>
      <w:r>
        <w:rPr>
          <w:spacing w:val="-6"/>
        </w:rPr>
        <w:t xml:space="preserve"> </w:t>
      </w:r>
      <w:r>
        <w:t>bir</w:t>
      </w:r>
      <w:r>
        <w:rPr>
          <w:spacing w:val="-7"/>
        </w:rPr>
        <w:t xml:space="preserve"> </w:t>
      </w:r>
      <w:r>
        <w:t>tankta</w:t>
      </w:r>
      <w:r>
        <w:rPr>
          <w:spacing w:val="-8"/>
        </w:rPr>
        <w:t xml:space="preserve"> </w:t>
      </w:r>
      <w:r>
        <w:t>veya</w:t>
      </w:r>
      <w:r>
        <w:rPr>
          <w:spacing w:val="-8"/>
        </w:rPr>
        <w:t xml:space="preserve"> </w:t>
      </w:r>
      <w:r>
        <w:t>bir</w:t>
      </w:r>
      <w:r>
        <w:rPr>
          <w:spacing w:val="-7"/>
        </w:rPr>
        <w:t xml:space="preserve"> </w:t>
      </w:r>
      <w:r>
        <w:t>kavanozda</w:t>
      </w:r>
      <w:r>
        <w:rPr>
          <w:spacing w:val="-8"/>
        </w:rPr>
        <w:t xml:space="preserve"> </w:t>
      </w:r>
      <w:r>
        <w:t>bulunur</w:t>
      </w:r>
      <w:r>
        <w:rPr>
          <w:spacing w:val="-7"/>
        </w:rPr>
        <w:t xml:space="preserve"> </w:t>
      </w:r>
      <w:r>
        <w:t>ve</w:t>
      </w:r>
      <w:r>
        <w:rPr>
          <w:spacing w:val="-8"/>
        </w:rPr>
        <w:t xml:space="preserve"> </w:t>
      </w:r>
      <w:r>
        <w:t>tüm</w:t>
      </w:r>
      <w:r>
        <w:rPr>
          <w:spacing w:val="-6"/>
        </w:rPr>
        <w:t xml:space="preserve"> </w:t>
      </w:r>
      <w:r>
        <w:t>deneyimlerimiz</w:t>
      </w:r>
      <w:r>
        <w:rPr>
          <w:spacing w:val="-5"/>
        </w:rPr>
        <w:t xml:space="preserve"> </w:t>
      </w:r>
      <w:r>
        <w:t>bir bilgisayar veya başka bir mekanizma tarafından beynimize yüklenir. Yani, gerçek dünya deneyimleri yerine sadece bir tür sanal gerçeklik deneyimi yaşarız (Ümmühan, 2021: 83).</w:t>
      </w:r>
    </w:p>
    <w:p w14:paraId="1914EC5F">
      <w:pPr>
        <w:pStyle w:val="9"/>
        <w:spacing w:before="120" w:after="120" w:line="360" w:lineRule="auto"/>
        <w:ind w:left="0" w:firstLine="567"/>
      </w:pPr>
      <w:r>
        <w:t>Sanal gerçeklik (VR) teknolojisi, insanların kendilerini tamamen farklı bir dijital dünyada hissetmelerini sağlayan bir yenilikçi teknolojidir. VR, gerçek dünyanın sınırlarını aşarak kullanıcıları</w:t>
      </w:r>
      <w:r>
        <w:rPr>
          <w:spacing w:val="-2"/>
        </w:rPr>
        <w:t xml:space="preserve"> </w:t>
      </w:r>
      <w:r>
        <w:t>sanal</w:t>
      </w:r>
      <w:r>
        <w:rPr>
          <w:spacing w:val="-2"/>
        </w:rPr>
        <w:t xml:space="preserve"> </w:t>
      </w:r>
      <w:r>
        <w:t>bir</w:t>
      </w:r>
      <w:r>
        <w:rPr>
          <w:spacing w:val="-1"/>
        </w:rPr>
        <w:t xml:space="preserve"> </w:t>
      </w:r>
      <w:r>
        <w:t>dünyanın</w:t>
      </w:r>
      <w:r>
        <w:rPr>
          <w:spacing w:val="-2"/>
        </w:rPr>
        <w:t xml:space="preserve"> </w:t>
      </w:r>
      <w:r>
        <w:t>içine</w:t>
      </w:r>
      <w:r>
        <w:rPr>
          <w:spacing w:val="-1"/>
        </w:rPr>
        <w:t xml:space="preserve"> </w:t>
      </w:r>
      <w:r>
        <w:t>çekmektedir.</w:t>
      </w:r>
      <w:r>
        <w:rPr>
          <w:spacing w:val="-1"/>
        </w:rPr>
        <w:t xml:space="preserve"> </w:t>
      </w:r>
      <w:r>
        <w:t>Beyin</w:t>
      </w:r>
      <w:r>
        <w:rPr>
          <w:spacing w:val="-2"/>
        </w:rPr>
        <w:t xml:space="preserve"> </w:t>
      </w:r>
      <w:r>
        <w:t>Tankı</w:t>
      </w:r>
      <w:r>
        <w:rPr>
          <w:spacing w:val="-1"/>
        </w:rPr>
        <w:t xml:space="preserve"> </w:t>
      </w:r>
      <w:r>
        <w:t>Teorisi,</w:t>
      </w:r>
      <w:r>
        <w:rPr>
          <w:spacing w:val="-2"/>
        </w:rPr>
        <w:t xml:space="preserve"> </w:t>
      </w:r>
      <w:r>
        <w:t>insanların</w:t>
      </w:r>
      <w:r>
        <w:rPr>
          <w:spacing w:val="-1"/>
        </w:rPr>
        <w:t xml:space="preserve"> </w:t>
      </w:r>
      <w:r>
        <w:rPr>
          <w:spacing w:val="-2"/>
        </w:rPr>
        <w:t>beyninin</w:t>
      </w:r>
      <w:r>
        <w:t xml:space="preserve"> gerçek</w:t>
      </w:r>
      <w:r>
        <w:rPr>
          <w:spacing w:val="-4"/>
        </w:rPr>
        <w:t xml:space="preserve"> </w:t>
      </w:r>
      <w:r>
        <w:t>dünyadan</w:t>
      </w:r>
      <w:r>
        <w:rPr>
          <w:spacing w:val="-4"/>
        </w:rPr>
        <w:t xml:space="preserve"> </w:t>
      </w:r>
      <w:r>
        <w:t>ziyade</w:t>
      </w:r>
      <w:r>
        <w:rPr>
          <w:spacing w:val="-4"/>
        </w:rPr>
        <w:t xml:space="preserve"> </w:t>
      </w:r>
      <w:r>
        <w:t>bir</w:t>
      </w:r>
      <w:r>
        <w:rPr>
          <w:spacing w:val="-6"/>
        </w:rPr>
        <w:t xml:space="preserve"> </w:t>
      </w:r>
      <w:r>
        <w:t>tür</w:t>
      </w:r>
      <w:r>
        <w:rPr>
          <w:spacing w:val="-6"/>
        </w:rPr>
        <w:t xml:space="preserve"> </w:t>
      </w:r>
      <w:r>
        <w:t>"beyin</w:t>
      </w:r>
      <w:r>
        <w:rPr>
          <w:spacing w:val="-5"/>
        </w:rPr>
        <w:t xml:space="preserve"> </w:t>
      </w:r>
      <w:r>
        <w:t>tankında"</w:t>
      </w:r>
      <w:r>
        <w:rPr>
          <w:spacing w:val="-8"/>
        </w:rPr>
        <w:t xml:space="preserve"> </w:t>
      </w:r>
      <w:r>
        <w:t>olabileceğini</w:t>
      </w:r>
      <w:r>
        <w:rPr>
          <w:spacing w:val="-5"/>
        </w:rPr>
        <w:t xml:space="preserve"> </w:t>
      </w:r>
      <w:r>
        <w:t>ileri</w:t>
      </w:r>
      <w:r>
        <w:rPr>
          <w:spacing w:val="-6"/>
        </w:rPr>
        <w:t xml:space="preserve"> </w:t>
      </w:r>
      <w:r>
        <w:t>süren</w:t>
      </w:r>
      <w:r>
        <w:rPr>
          <w:spacing w:val="-4"/>
        </w:rPr>
        <w:t xml:space="preserve"> </w:t>
      </w:r>
      <w:r>
        <w:t>bir</w:t>
      </w:r>
      <w:r>
        <w:rPr>
          <w:spacing w:val="-6"/>
        </w:rPr>
        <w:t xml:space="preserve"> </w:t>
      </w:r>
      <w:r>
        <w:t>felsefi</w:t>
      </w:r>
      <w:r>
        <w:rPr>
          <w:spacing w:val="-6"/>
        </w:rPr>
        <w:t xml:space="preserve"> </w:t>
      </w:r>
      <w:r>
        <w:t>düşünce deneyidir. Bu teoriye göre, tüm deneyimlerimiz ve algılarımız, bir süper bilgisayar veya başka bir tür bilinç dışı varlık tarafından yaratılan bir simülasyonun parçasıdır. Bu, gerçek dünyanın aslında bir tür sanal gerçeklik olduğunu öne sürmektedir (Ümmühan, 2021: 84).</w:t>
      </w:r>
    </w:p>
    <w:p w14:paraId="1C31B489">
      <w:pPr>
        <w:pStyle w:val="9"/>
        <w:spacing w:before="120" w:after="120" w:line="360" w:lineRule="auto"/>
        <w:ind w:left="0" w:firstLine="567"/>
      </w:pPr>
      <w:r>
        <w:t>Sanal</w:t>
      </w:r>
      <w:r>
        <w:rPr>
          <w:spacing w:val="-11"/>
        </w:rPr>
        <w:t xml:space="preserve"> </w:t>
      </w:r>
      <w:r>
        <w:t>gerçeklik,</w:t>
      </w:r>
      <w:r>
        <w:rPr>
          <w:spacing w:val="-12"/>
        </w:rPr>
        <w:t xml:space="preserve"> </w:t>
      </w:r>
      <w:r>
        <w:t>Beyin</w:t>
      </w:r>
      <w:r>
        <w:rPr>
          <w:spacing w:val="-11"/>
        </w:rPr>
        <w:t xml:space="preserve"> </w:t>
      </w:r>
      <w:r>
        <w:t>Tankı</w:t>
      </w:r>
      <w:r>
        <w:rPr>
          <w:spacing w:val="-12"/>
        </w:rPr>
        <w:t xml:space="preserve"> </w:t>
      </w:r>
      <w:r>
        <w:t>Teorisi</w:t>
      </w:r>
      <w:r>
        <w:rPr>
          <w:spacing w:val="-14"/>
        </w:rPr>
        <w:t xml:space="preserve"> </w:t>
      </w:r>
      <w:r>
        <w:t>ile</w:t>
      </w:r>
      <w:r>
        <w:rPr>
          <w:spacing w:val="-13"/>
        </w:rPr>
        <w:t xml:space="preserve"> </w:t>
      </w:r>
      <w:r>
        <w:t>ilginç</w:t>
      </w:r>
      <w:r>
        <w:rPr>
          <w:spacing w:val="-12"/>
        </w:rPr>
        <w:t xml:space="preserve"> </w:t>
      </w:r>
      <w:r>
        <w:t>bir</w:t>
      </w:r>
      <w:r>
        <w:rPr>
          <w:spacing w:val="-12"/>
        </w:rPr>
        <w:t xml:space="preserve"> </w:t>
      </w:r>
      <w:r>
        <w:t>bağlantı</w:t>
      </w:r>
      <w:r>
        <w:rPr>
          <w:spacing w:val="-13"/>
        </w:rPr>
        <w:t xml:space="preserve"> </w:t>
      </w:r>
      <w:r>
        <w:t>taşır.</w:t>
      </w:r>
      <w:r>
        <w:rPr>
          <w:spacing w:val="-14"/>
        </w:rPr>
        <w:t xml:space="preserve"> </w:t>
      </w:r>
      <w:r>
        <w:t>VR</w:t>
      </w:r>
      <w:r>
        <w:rPr>
          <w:spacing w:val="-12"/>
        </w:rPr>
        <w:t xml:space="preserve"> </w:t>
      </w:r>
      <w:r>
        <w:t>teknolojisi,</w:t>
      </w:r>
      <w:r>
        <w:rPr>
          <w:spacing w:val="-13"/>
        </w:rPr>
        <w:t xml:space="preserve"> </w:t>
      </w:r>
      <w:r>
        <w:t>kullanıcıları gerçek dünyadan tamamen ayırarak onları sanal bir dünyanın içine taşır. Bu deneyim, kullanıcıların gerçek dünyadan kopmalarını ve tamamen farklı bir ortamda bulunmalarını sağlamaktadır. Beyin Tankı Teorisi ile benzer şekilde, VR deneyimi de kullanıcıların gerçekliği algılayış biçimini sorgulamaktadır (Çiğdem, 2022: 1156).</w:t>
      </w:r>
    </w:p>
    <w:p w14:paraId="63B9E09D">
      <w:pPr>
        <w:pStyle w:val="9"/>
        <w:spacing w:before="120" w:after="120" w:line="360" w:lineRule="auto"/>
        <w:ind w:left="0" w:firstLine="567"/>
      </w:pPr>
      <w:r>
        <w:t>Sanal</w:t>
      </w:r>
      <w:r>
        <w:rPr>
          <w:spacing w:val="-15"/>
        </w:rPr>
        <w:t xml:space="preserve"> </w:t>
      </w:r>
      <w:r>
        <w:t>gerçeklik,</w:t>
      </w:r>
      <w:r>
        <w:rPr>
          <w:spacing w:val="-15"/>
        </w:rPr>
        <w:t xml:space="preserve"> </w:t>
      </w:r>
      <w:r>
        <w:t>eğlence,</w:t>
      </w:r>
      <w:r>
        <w:rPr>
          <w:spacing w:val="-15"/>
        </w:rPr>
        <w:t xml:space="preserve"> </w:t>
      </w:r>
      <w:r>
        <w:t>eğitim,</w:t>
      </w:r>
      <w:r>
        <w:rPr>
          <w:spacing w:val="-15"/>
        </w:rPr>
        <w:t xml:space="preserve"> </w:t>
      </w:r>
      <w:r>
        <w:t>sağlık</w:t>
      </w:r>
      <w:r>
        <w:rPr>
          <w:spacing w:val="-15"/>
        </w:rPr>
        <w:t xml:space="preserve"> </w:t>
      </w:r>
      <w:r>
        <w:t>hizmetleri</w:t>
      </w:r>
      <w:r>
        <w:rPr>
          <w:spacing w:val="-15"/>
        </w:rPr>
        <w:t xml:space="preserve"> </w:t>
      </w:r>
      <w:r>
        <w:t>ve</w:t>
      </w:r>
      <w:r>
        <w:rPr>
          <w:spacing w:val="-15"/>
        </w:rPr>
        <w:t xml:space="preserve"> </w:t>
      </w:r>
      <w:r>
        <w:t>daha</w:t>
      </w:r>
      <w:r>
        <w:rPr>
          <w:spacing w:val="-15"/>
        </w:rPr>
        <w:t xml:space="preserve"> </w:t>
      </w:r>
      <w:r>
        <w:t>birçok</w:t>
      </w:r>
      <w:r>
        <w:rPr>
          <w:spacing w:val="-15"/>
        </w:rPr>
        <w:t xml:space="preserve"> </w:t>
      </w:r>
      <w:r>
        <w:t>alanda</w:t>
      </w:r>
      <w:r>
        <w:rPr>
          <w:spacing w:val="-15"/>
        </w:rPr>
        <w:t xml:space="preserve"> </w:t>
      </w:r>
      <w:r>
        <w:t>kullanılırken,</w:t>
      </w:r>
      <w:r>
        <w:rPr>
          <w:spacing w:val="-15"/>
        </w:rPr>
        <w:t xml:space="preserve"> </w:t>
      </w:r>
      <w:r>
        <w:t>Beyin Tankı Teorisi gibi düşünce deneyleri, insanların algılarını ve düşünce tarzlarını sorgulamalarına yardımcı olabilir. VR teknolojisi, kullanıcıların farklı gerçeklikleri deneyimlemelerini ve düşünsel sınırlarını zorlamalarını sağlar. Bu, yaratıcılığı ve eleştirel düşünmeyi teşvik edebilir (Vargün, 2022: 565).</w:t>
      </w:r>
    </w:p>
    <w:p w14:paraId="19EA0B8D">
      <w:pPr>
        <w:pStyle w:val="9"/>
        <w:spacing w:before="120" w:after="120" w:line="360" w:lineRule="auto"/>
        <w:ind w:left="0" w:firstLine="567"/>
      </w:pPr>
      <w:r>
        <w:t>Sanal Gerçeklik Teorilerinde Beyin Tankı Teorisi, teknolojinin ve felsefenin ilginç bir kesişimini</w:t>
      </w:r>
      <w:r>
        <w:rPr>
          <w:spacing w:val="-1"/>
        </w:rPr>
        <w:t xml:space="preserve"> </w:t>
      </w:r>
      <w:r>
        <w:t>temsil</w:t>
      </w:r>
      <w:r>
        <w:rPr>
          <w:spacing w:val="-1"/>
        </w:rPr>
        <w:t xml:space="preserve"> </w:t>
      </w:r>
      <w:r>
        <w:t>eder.</w:t>
      </w:r>
      <w:r>
        <w:rPr>
          <w:spacing w:val="-2"/>
        </w:rPr>
        <w:t xml:space="preserve"> </w:t>
      </w:r>
      <w:r>
        <w:t>Her</w:t>
      </w:r>
      <w:r>
        <w:rPr>
          <w:spacing w:val="-2"/>
        </w:rPr>
        <w:t xml:space="preserve"> </w:t>
      </w:r>
      <w:r>
        <w:t>ikisi</w:t>
      </w:r>
      <w:r>
        <w:rPr>
          <w:spacing w:val="-1"/>
        </w:rPr>
        <w:t xml:space="preserve"> </w:t>
      </w:r>
      <w:r>
        <w:t>de</w:t>
      </w:r>
      <w:r>
        <w:rPr>
          <w:spacing w:val="-2"/>
        </w:rPr>
        <w:t xml:space="preserve"> </w:t>
      </w:r>
      <w:r>
        <w:t>gerçek</w:t>
      </w:r>
      <w:r>
        <w:rPr>
          <w:spacing w:val="-1"/>
        </w:rPr>
        <w:t xml:space="preserve"> </w:t>
      </w:r>
      <w:r>
        <w:t>dünyanın</w:t>
      </w:r>
      <w:r>
        <w:rPr>
          <w:spacing w:val="-1"/>
        </w:rPr>
        <w:t xml:space="preserve"> </w:t>
      </w:r>
      <w:r>
        <w:t>ne</w:t>
      </w:r>
      <w:r>
        <w:rPr>
          <w:spacing w:val="-2"/>
        </w:rPr>
        <w:t xml:space="preserve"> </w:t>
      </w:r>
      <w:r>
        <w:t>olduğunu</w:t>
      </w:r>
      <w:r>
        <w:rPr>
          <w:spacing w:val="-1"/>
        </w:rPr>
        <w:t xml:space="preserve"> </w:t>
      </w:r>
      <w:r>
        <w:t>ve</w:t>
      </w:r>
      <w:r>
        <w:rPr>
          <w:spacing w:val="-2"/>
        </w:rPr>
        <w:t xml:space="preserve"> </w:t>
      </w:r>
      <w:r>
        <w:t>insan</w:t>
      </w:r>
      <w:r>
        <w:rPr>
          <w:spacing w:val="-2"/>
        </w:rPr>
        <w:t xml:space="preserve"> </w:t>
      </w:r>
      <w:r>
        <w:t>deneyimini</w:t>
      </w:r>
      <w:r>
        <w:rPr>
          <w:spacing w:val="-1"/>
        </w:rPr>
        <w:t xml:space="preserve"> </w:t>
      </w:r>
      <w:r>
        <w:t>nasıl şekillendirdiğimizi sorgulamamıza neden olabilir. Sanal gerçeklik, insanların sınırlarını ve düşünsel perspektiflerini genişletmelerine yardımcı olurken, Beyin Tankı Teorisi gibi teoriler</w:t>
      </w:r>
      <w:r>
        <w:rPr>
          <w:spacing w:val="-3"/>
        </w:rPr>
        <w:t xml:space="preserve"> </w:t>
      </w:r>
      <w:r>
        <w:t>düşünme</w:t>
      </w:r>
      <w:r>
        <w:rPr>
          <w:spacing w:val="-3"/>
        </w:rPr>
        <w:t xml:space="preserve"> </w:t>
      </w:r>
      <w:r>
        <w:t>tarzlarını</w:t>
      </w:r>
      <w:r>
        <w:rPr>
          <w:spacing w:val="-2"/>
        </w:rPr>
        <w:t xml:space="preserve"> </w:t>
      </w:r>
      <w:r>
        <w:t>sorgulamalarına</w:t>
      </w:r>
      <w:r>
        <w:rPr>
          <w:spacing w:val="-1"/>
        </w:rPr>
        <w:t xml:space="preserve"> </w:t>
      </w:r>
      <w:r>
        <w:t>ve</w:t>
      </w:r>
      <w:r>
        <w:rPr>
          <w:spacing w:val="-1"/>
        </w:rPr>
        <w:t xml:space="preserve"> </w:t>
      </w:r>
      <w:r>
        <w:t>farklı</w:t>
      </w:r>
      <w:r>
        <w:rPr>
          <w:spacing w:val="-2"/>
        </w:rPr>
        <w:t xml:space="preserve"> </w:t>
      </w:r>
      <w:r>
        <w:t>gerçekliklerin varlığını</w:t>
      </w:r>
      <w:r>
        <w:rPr>
          <w:spacing w:val="-2"/>
        </w:rPr>
        <w:t xml:space="preserve"> </w:t>
      </w:r>
      <w:r>
        <w:t>düşünmelerine olanak</w:t>
      </w:r>
      <w:r>
        <w:rPr>
          <w:spacing w:val="-7"/>
        </w:rPr>
        <w:t xml:space="preserve"> </w:t>
      </w:r>
      <w:r>
        <w:t>tanır.</w:t>
      </w:r>
      <w:r>
        <w:rPr>
          <w:spacing w:val="-8"/>
        </w:rPr>
        <w:t xml:space="preserve"> </w:t>
      </w:r>
      <w:r>
        <w:t>Bu</w:t>
      </w:r>
      <w:r>
        <w:rPr>
          <w:spacing w:val="-7"/>
        </w:rPr>
        <w:t xml:space="preserve"> </w:t>
      </w:r>
      <w:r>
        <w:t>nedenle,</w:t>
      </w:r>
      <w:r>
        <w:rPr>
          <w:spacing w:val="-5"/>
        </w:rPr>
        <w:t xml:space="preserve"> </w:t>
      </w:r>
      <w:r>
        <w:t>sanal</w:t>
      </w:r>
      <w:r>
        <w:rPr>
          <w:spacing w:val="-6"/>
        </w:rPr>
        <w:t xml:space="preserve"> </w:t>
      </w:r>
      <w:r>
        <w:t>gerçeklik</w:t>
      </w:r>
      <w:r>
        <w:rPr>
          <w:spacing w:val="-7"/>
        </w:rPr>
        <w:t xml:space="preserve"> </w:t>
      </w:r>
      <w:r>
        <w:t>ve</w:t>
      </w:r>
      <w:r>
        <w:rPr>
          <w:spacing w:val="-8"/>
        </w:rPr>
        <w:t xml:space="preserve"> </w:t>
      </w:r>
      <w:r>
        <w:t>Beyin</w:t>
      </w:r>
      <w:r>
        <w:rPr>
          <w:spacing w:val="-5"/>
        </w:rPr>
        <w:t xml:space="preserve"> </w:t>
      </w:r>
      <w:r>
        <w:t>Tankı</w:t>
      </w:r>
      <w:r>
        <w:rPr>
          <w:spacing w:val="-6"/>
        </w:rPr>
        <w:t xml:space="preserve"> </w:t>
      </w:r>
      <w:r>
        <w:t>Teorisi,</w:t>
      </w:r>
      <w:r>
        <w:rPr>
          <w:spacing w:val="-6"/>
        </w:rPr>
        <w:t xml:space="preserve"> </w:t>
      </w:r>
      <w:r>
        <w:t>dijital</w:t>
      </w:r>
      <w:r>
        <w:rPr>
          <w:spacing w:val="-6"/>
        </w:rPr>
        <w:t xml:space="preserve"> </w:t>
      </w:r>
      <w:r>
        <w:t>dünyanın</w:t>
      </w:r>
      <w:r>
        <w:rPr>
          <w:spacing w:val="-6"/>
        </w:rPr>
        <w:t xml:space="preserve"> </w:t>
      </w:r>
      <w:r>
        <w:t>sınırlarını aşarak insan deneyimini şekillendiren önemli kavramlardır (Vargün, 2022: 566).</w:t>
      </w:r>
    </w:p>
    <w:p w14:paraId="3BAC3135">
      <w:pPr>
        <w:pStyle w:val="5"/>
        <w:spacing w:before="240" w:after="240" w:line="360" w:lineRule="auto"/>
        <w:ind w:left="567"/>
        <w:rPr>
          <w:rFonts w:ascii="Times New Roman" w:hAnsi="Times New Roman" w:cs="Times New Roman"/>
          <w:b/>
          <w:i w:val="0"/>
          <w:color w:val="auto"/>
          <w:sz w:val="24"/>
        </w:rPr>
      </w:pPr>
      <w:bookmarkStart w:id="68" w:name="_Toc195877781"/>
      <w:bookmarkStart w:id="69" w:name="_Toc195875796"/>
      <w:bookmarkStart w:id="70" w:name="_Toc197351234"/>
      <w:r>
        <w:rPr>
          <w:rFonts w:ascii="Times New Roman" w:hAnsi="Times New Roman" w:cs="Times New Roman"/>
          <w:b/>
          <w:i w:val="0"/>
          <w:color w:val="auto"/>
          <w:sz w:val="24"/>
        </w:rPr>
        <w:t>2.2.4.3. Bilinç Alanı Teorisi</w:t>
      </w:r>
      <w:bookmarkEnd w:id="68"/>
      <w:bookmarkEnd w:id="69"/>
      <w:bookmarkEnd w:id="70"/>
    </w:p>
    <w:p w14:paraId="62A86C07">
      <w:pPr>
        <w:pStyle w:val="9"/>
        <w:spacing w:before="120" w:after="120" w:line="360" w:lineRule="auto"/>
        <w:ind w:left="0" w:firstLine="567"/>
      </w:pPr>
      <w:r>
        <w:t>Bu teoriye göre, gerçek dünya aslında bir kolektif bilinç alanının ürünüdür ve bireysel deneyimlerimiz bu alanın bir parçası olarak ortaya çıkar. Bu yaklaşım, bireysel bilincin bir tür holografik yansıması olarak gerçek dünyayı algıladığını öne sürmektedir.</w:t>
      </w:r>
    </w:p>
    <w:p w14:paraId="37D4F19D">
      <w:pPr>
        <w:pStyle w:val="9"/>
        <w:spacing w:before="120" w:after="120" w:line="360" w:lineRule="auto"/>
        <w:ind w:left="0" w:firstLine="567"/>
      </w:pPr>
      <w:r>
        <w:t>Sanal gerçeklik (VR) teknolojisi, insanları gerçek dünyadan alıp tamamen farklı bir dijital dünyada deneyimler yaşatma yeteneği ile büyük ilgi çekmektedir. Bilinç Alanı Teorisi, bilinci</w:t>
      </w:r>
      <w:r>
        <w:rPr>
          <w:spacing w:val="16"/>
        </w:rPr>
        <w:t xml:space="preserve"> </w:t>
      </w:r>
      <w:r>
        <w:t>ve</w:t>
      </w:r>
      <w:r>
        <w:rPr>
          <w:spacing w:val="17"/>
        </w:rPr>
        <w:t xml:space="preserve"> </w:t>
      </w:r>
      <w:r>
        <w:t>deneyimleri</w:t>
      </w:r>
      <w:r>
        <w:rPr>
          <w:spacing w:val="20"/>
        </w:rPr>
        <w:t xml:space="preserve"> </w:t>
      </w:r>
      <w:r>
        <w:t>fiziksel</w:t>
      </w:r>
      <w:r>
        <w:rPr>
          <w:spacing w:val="18"/>
        </w:rPr>
        <w:t xml:space="preserve"> </w:t>
      </w:r>
      <w:r>
        <w:t>bir</w:t>
      </w:r>
      <w:r>
        <w:rPr>
          <w:spacing w:val="17"/>
        </w:rPr>
        <w:t xml:space="preserve"> </w:t>
      </w:r>
      <w:r>
        <w:t>beyinden</w:t>
      </w:r>
      <w:r>
        <w:rPr>
          <w:spacing w:val="19"/>
        </w:rPr>
        <w:t xml:space="preserve"> </w:t>
      </w:r>
      <w:r>
        <w:t>bağımsız</w:t>
      </w:r>
      <w:r>
        <w:rPr>
          <w:spacing w:val="19"/>
        </w:rPr>
        <w:t xml:space="preserve"> </w:t>
      </w:r>
      <w:r>
        <w:t>bir</w:t>
      </w:r>
      <w:r>
        <w:rPr>
          <w:spacing w:val="17"/>
        </w:rPr>
        <w:t xml:space="preserve"> </w:t>
      </w:r>
      <w:r>
        <w:t>şekilde</w:t>
      </w:r>
      <w:r>
        <w:rPr>
          <w:spacing w:val="17"/>
        </w:rPr>
        <w:t xml:space="preserve"> </w:t>
      </w:r>
      <w:r>
        <w:t>ele</w:t>
      </w:r>
      <w:r>
        <w:rPr>
          <w:spacing w:val="17"/>
        </w:rPr>
        <w:t xml:space="preserve"> </w:t>
      </w:r>
      <w:r>
        <w:t>alır.</w:t>
      </w:r>
      <w:r>
        <w:rPr>
          <w:spacing w:val="19"/>
        </w:rPr>
        <w:t xml:space="preserve"> </w:t>
      </w:r>
      <w:r>
        <w:t>Bu</w:t>
      </w:r>
      <w:r>
        <w:rPr>
          <w:spacing w:val="17"/>
        </w:rPr>
        <w:t xml:space="preserve"> </w:t>
      </w:r>
      <w:r>
        <w:t>teoriye</w:t>
      </w:r>
      <w:r>
        <w:rPr>
          <w:spacing w:val="20"/>
        </w:rPr>
        <w:t xml:space="preserve"> </w:t>
      </w:r>
      <w:r>
        <w:rPr>
          <w:spacing w:val="-2"/>
        </w:rPr>
        <w:t>göre,</w:t>
      </w:r>
      <w:r>
        <w:t xml:space="preserve"> bilinç, evrensel bir bilinç</w:t>
      </w:r>
      <w:r>
        <w:rPr>
          <w:spacing w:val="-3"/>
        </w:rPr>
        <w:t xml:space="preserve"> </w:t>
      </w:r>
      <w:r>
        <w:t>alanında</w:t>
      </w:r>
      <w:r>
        <w:rPr>
          <w:spacing w:val="-1"/>
        </w:rPr>
        <w:t xml:space="preserve"> </w:t>
      </w:r>
      <w:r>
        <w:t>var</w:t>
      </w:r>
      <w:r>
        <w:rPr>
          <w:spacing w:val="-1"/>
        </w:rPr>
        <w:t xml:space="preserve"> </w:t>
      </w:r>
      <w:r>
        <w:t>olan bağımsız bir varlık olarak düşünülebilir.</w:t>
      </w:r>
      <w:r>
        <w:rPr>
          <w:spacing w:val="-1"/>
        </w:rPr>
        <w:t xml:space="preserve"> </w:t>
      </w:r>
      <w:r>
        <w:t>Bilinç, sadece</w:t>
      </w:r>
      <w:r>
        <w:rPr>
          <w:spacing w:val="-15"/>
        </w:rPr>
        <w:t xml:space="preserve"> </w:t>
      </w:r>
      <w:r>
        <w:t>bir</w:t>
      </w:r>
      <w:r>
        <w:rPr>
          <w:spacing w:val="-15"/>
        </w:rPr>
        <w:t xml:space="preserve"> </w:t>
      </w:r>
      <w:r>
        <w:t>bireyin</w:t>
      </w:r>
      <w:r>
        <w:rPr>
          <w:spacing w:val="-15"/>
        </w:rPr>
        <w:t xml:space="preserve"> </w:t>
      </w:r>
      <w:r>
        <w:t>fiziksel</w:t>
      </w:r>
      <w:r>
        <w:rPr>
          <w:spacing w:val="-15"/>
        </w:rPr>
        <w:t xml:space="preserve"> </w:t>
      </w:r>
      <w:r>
        <w:t>bedeninden</w:t>
      </w:r>
      <w:r>
        <w:rPr>
          <w:spacing w:val="-15"/>
        </w:rPr>
        <w:t xml:space="preserve"> </w:t>
      </w:r>
      <w:r>
        <w:t>değil,</w:t>
      </w:r>
      <w:r>
        <w:rPr>
          <w:spacing w:val="-15"/>
        </w:rPr>
        <w:t xml:space="preserve"> </w:t>
      </w:r>
      <w:r>
        <w:t>tüm</w:t>
      </w:r>
      <w:r>
        <w:rPr>
          <w:spacing w:val="-15"/>
        </w:rPr>
        <w:t xml:space="preserve"> </w:t>
      </w:r>
      <w:r>
        <w:t>evrenden</w:t>
      </w:r>
      <w:r>
        <w:rPr>
          <w:spacing w:val="-15"/>
        </w:rPr>
        <w:t xml:space="preserve"> </w:t>
      </w:r>
      <w:r>
        <w:t>etkilenebilir.</w:t>
      </w:r>
      <w:r>
        <w:rPr>
          <w:spacing w:val="-15"/>
        </w:rPr>
        <w:t xml:space="preserve"> </w:t>
      </w:r>
      <w:r>
        <w:t>Bu</w:t>
      </w:r>
      <w:r>
        <w:rPr>
          <w:spacing w:val="-15"/>
        </w:rPr>
        <w:t xml:space="preserve"> </w:t>
      </w:r>
      <w:r>
        <w:t>düşünce,</w:t>
      </w:r>
      <w:r>
        <w:rPr>
          <w:spacing w:val="-15"/>
        </w:rPr>
        <w:t xml:space="preserve"> </w:t>
      </w:r>
      <w:r>
        <w:t>bilincin sadece insan bedenine sınırlı olmadığını öne sürmektedir (Dönmez ve Erkılıç, 2018: 40).</w:t>
      </w:r>
    </w:p>
    <w:p w14:paraId="752F09EE">
      <w:pPr>
        <w:pStyle w:val="9"/>
        <w:spacing w:before="120" w:after="120" w:line="360" w:lineRule="auto"/>
        <w:ind w:left="0" w:firstLine="567"/>
      </w:pPr>
      <w:r>
        <w:t>Sanal gerçeklik teknolojisi, Bilinç Alanı Teorisi ile ilginç bir bağlantıya sahiptir. VR deneyimleri, kullanıcıların gerçek dünyadan kopmalarını ve sanal bir dünyada tamamen farklı deneyimler yaşamalarını sağlar. Bu, kullanıcıların bilincini ve algısını, fiziksel sınırların ötesine taşıyabilir. VR kullanıcısı, sanal bir dünyada dolaşırken, bilinci fiziksel dünyanın</w:t>
      </w:r>
      <w:r>
        <w:rPr>
          <w:spacing w:val="-15"/>
        </w:rPr>
        <w:t xml:space="preserve"> </w:t>
      </w:r>
      <w:r>
        <w:t>sınırlarını</w:t>
      </w:r>
      <w:r>
        <w:rPr>
          <w:spacing w:val="-15"/>
        </w:rPr>
        <w:t xml:space="preserve"> </w:t>
      </w:r>
      <w:r>
        <w:t>aşarak</w:t>
      </w:r>
      <w:r>
        <w:rPr>
          <w:spacing w:val="-15"/>
        </w:rPr>
        <w:t xml:space="preserve"> </w:t>
      </w:r>
      <w:r>
        <w:t>geniş</w:t>
      </w:r>
      <w:r>
        <w:rPr>
          <w:spacing w:val="-15"/>
        </w:rPr>
        <w:t xml:space="preserve"> </w:t>
      </w:r>
      <w:r>
        <w:t>bir</w:t>
      </w:r>
      <w:r>
        <w:rPr>
          <w:spacing w:val="-15"/>
        </w:rPr>
        <w:t xml:space="preserve"> </w:t>
      </w:r>
      <w:r>
        <w:t>"bilinç</w:t>
      </w:r>
      <w:r>
        <w:rPr>
          <w:spacing w:val="-15"/>
        </w:rPr>
        <w:t xml:space="preserve"> </w:t>
      </w:r>
      <w:r>
        <w:t>alanı"</w:t>
      </w:r>
      <w:r>
        <w:rPr>
          <w:spacing w:val="-15"/>
        </w:rPr>
        <w:t xml:space="preserve"> </w:t>
      </w:r>
      <w:r>
        <w:t>içinde</w:t>
      </w:r>
      <w:r>
        <w:rPr>
          <w:spacing w:val="-15"/>
        </w:rPr>
        <w:t xml:space="preserve"> </w:t>
      </w:r>
      <w:r>
        <w:t>deneyimler</w:t>
      </w:r>
      <w:r>
        <w:rPr>
          <w:spacing w:val="-13"/>
        </w:rPr>
        <w:t xml:space="preserve"> </w:t>
      </w:r>
      <w:r>
        <w:t>yaşamaktadır</w:t>
      </w:r>
      <w:r>
        <w:rPr>
          <w:spacing w:val="-15"/>
        </w:rPr>
        <w:t xml:space="preserve"> </w:t>
      </w:r>
      <w:r>
        <w:t xml:space="preserve">(Altınörs, </w:t>
      </w:r>
      <w:r>
        <w:rPr>
          <w:spacing w:val="-2"/>
        </w:rPr>
        <w:t>2023:22).</w:t>
      </w:r>
    </w:p>
    <w:p w14:paraId="21CC01FE">
      <w:pPr>
        <w:pStyle w:val="9"/>
        <w:spacing w:before="120" w:after="120" w:line="360" w:lineRule="auto"/>
        <w:ind w:left="0" w:firstLine="567"/>
      </w:pPr>
      <w:r>
        <w:t>Sanal gerçeklik, eğlence, eğitim, sağlık hizmetleri ve daha birçok alanda kullanılmaktadır. Bilinç Alanı Teorisi ile birleştiğinde, VR teknolojisi insanları sıradan deneyimlerin ötesine taşır. Bu teknoloji, kullanıcıların farklı gerçekliklerde dolaşmalarını ve bilincin sınırlarını zorlamalarını sağlar. Bu, yaratıcılığı artırabilir ve kullanıcıların düşünsel sınırlarını genişletebilir (Argan ve Maksatbekova, 2019: 36).</w:t>
      </w:r>
    </w:p>
    <w:p w14:paraId="31CA5F06">
      <w:pPr>
        <w:pStyle w:val="9"/>
        <w:spacing w:before="120" w:after="120" w:line="360" w:lineRule="auto"/>
        <w:ind w:left="0" w:firstLine="567"/>
      </w:pPr>
      <w:r>
        <w:t>Sanal Gerçeklik Teorilerinde Bilinç Alanı Teorisi, insan bilincini ve deneyimini nasıl şekillendirdiğimizi sorgulayan ilginç bir bakış açısı sunar. Her ikisi de insanın fiziksel sınırlarının ötesine geçebileceği ve bilincin evrensel bir alan içinde deneyimlenebileceği fikrini</w:t>
      </w:r>
      <w:r>
        <w:rPr>
          <w:spacing w:val="-3"/>
        </w:rPr>
        <w:t xml:space="preserve"> </w:t>
      </w:r>
      <w:r>
        <w:t>destekler.</w:t>
      </w:r>
      <w:r>
        <w:rPr>
          <w:spacing w:val="-2"/>
        </w:rPr>
        <w:t xml:space="preserve"> </w:t>
      </w:r>
      <w:r>
        <w:t>Bu</w:t>
      </w:r>
      <w:r>
        <w:rPr>
          <w:spacing w:val="-1"/>
        </w:rPr>
        <w:t xml:space="preserve"> </w:t>
      </w:r>
      <w:r>
        <w:t>nedenle,</w:t>
      </w:r>
      <w:r>
        <w:rPr>
          <w:spacing w:val="-3"/>
        </w:rPr>
        <w:t xml:space="preserve"> </w:t>
      </w:r>
      <w:r>
        <w:t>“sanal</w:t>
      </w:r>
      <w:r>
        <w:rPr>
          <w:spacing w:val="-1"/>
        </w:rPr>
        <w:t xml:space="preserve"> </w:t>
      </w:r>
      <w:r>
        <w:t>gerçeklik</w:t>
      </w:r>
      <w:r>
        <w:rPr>
          <w:spacing w:val="-3"/>
        </w:rPr>
        <w:t xml:space="preserve"> </w:t>
      </w:r>
      <w:r>
        <w:t>ve</w:t>
      </w:r>
      <w:r>
        <w:rPr>
          <w:spacing w:val="-2"/>
        </w:rPr>
        <w:t xml:space="preserve"> </w:t>
      </w:r>
      <w:r>
        <w:t>Bilinç</w:t>
      </w:r>
      <w:r>
        <w:rPr>
          <w:spacing w:val="-3"/>
        </w:rPr>
        <w:t xml:space="preserve"> </w:t>
      </w:r>
      <w:r>
        <w:t>Alanı</w:t>
      </w:r>
      <w:r>
        <w:rPr>
          <w:spacing w:val="-1"/>
        </w:rPr>
        <w:t xml:space="preserve"> </w:t>
      </w:r>
      <w:r>
        <w:t>Teorisi”</w:t>
      </w:r>
      <w:r>
        <w:rPr>
          <w:spacing w:val="-2"/>
        </w:rPr>
        <w:t xml:space="preserve"> </w:t>
      </w:r>
      <w:r>
        <w:t>dijital</w:t>
      </w:r>
      <w:r>
        <w:rPr>
          <w:spacing w:val="-3"/>
        </w:rPr>
        <w:t xml:space="preserve"> </w:t>
      </w:r>
      <w:r>
        <w:t>dünyaların</w:t>
      </w:r>
      <w:r>
        <w:rPr>
          <w:spacing w:val="-3"/>
        </w:rPr>
        <w:t xml:space="preserve"> </w:t>
      </w:r>
      <w:r>
        <w:t>ve insan bilincinin sınırlarıyla ilgili önemli kavramları temsil etmektedir (Argan ve Maksatbekova, 2019: 37).</w:t>
      </w:r>
    </w:p>
    <w:p w14:paraId="7C229DE2">
      <w:pPr>
        <w:pStyle w:val="5"/>
        <w:spacing w:before="240" w:after="240" w:line="360" w:lineRule="auto"/>
        <w:ind w:left="567"/>
        <w:rPr>
          <w:rFonts w:ascii="Times New Roman" w:hAnsi="Times New Roman" w:cs="Times New Roman"/>
          <w:b/>
          <w:i w:val="0"/>
          <w:color w:val="auto"/>
          <w:sz w:val="24"/>
        </w:rPr>
      </w:pPr>
      <w:bookmarkStart w:id="71" w:name="_Toc195877782"/>
      <w:bookmarkStart w:id="72" w:name="_Toc195875797"/>
      <w:bookmarkStart w:id="73" w:name="_Toc197351235"/>
      <w:r>
        <w:rPr>
          <w:rFonts w:ascii="Times New Roman" w:hAnsi="Times New Roman" w:cs="Times New Roman"/>
          <w:b/>
          <w:i w:val="0"/>
          <w:color w:val="auto"/>
          <w:sz w:val="24"/>
        </w:rPr>
        <w:t>2.2.4.4. Görsel Algı Teorileri</w:t>
      </w:r>
      <w:bookmarkEnd w:id="71"/>
      <w:bookmarkEnd w:id="72"/>
      <w:bookmarkEnd w:id="73"/>
    </w:p>
    <w:p w14:paraId="7502E76B">
      <w:pPr>
        <w:pStyle w:val="9"/>
        <w:spacing w:before="120" w:after="120" w:line="360" w:lineRule="auto"/>
        <w:ind w:left="0" w:firstLine="567"/>
      </w:pPr>
      <w:r>
        <w:t>Bazı teoriler, insan görsel algısının gerçek dünyanın bir temsili olduğunu ve aslında dünya hakkında</w:t>
      </w:r>
      <w:r>
        <w:rPr>
          <w:spacing w:val="-15"/>
        </w:rPr>
        <w:t xml:space="preserve"> </w:t>
      </w:r>
      <w:r>
        <w:t>sınırlı</w:t>
      </w:r>
      <w:r>
        <w:rPr>
          <w:spacing w:val="-14"/>
        </w:rPr>
        <w:t xml:space="preserve"> </w:t>
      </w:r>
      <w:r>
        <w:t>bilgi</w:t>
      </w:r>
      <w:r>
        <w:rPr>
          <w:spacing w:val="-14"/>
        </w:rPr>
        <w:t xml:space="preserve"> </w:t>
      </w:r>
      <w:r>
        <w:t>taşıdığını</w:t>
      </w:r>
      <w:r>
        <w:rPr>
          <w:spacing w:val="-13"/>
        </w:rPr>
        <w:t xml:space="preserve"> </w:t>
      </w:r>
      <w:r>
        <w:t>öne</w:t>
      </w:r>
      <w:r>
        <w:rPr>
          <w:spacing w:val="-15"/>
        </w:rPr>
        <w:t xml:space="preserve"> </w:t>
      </w:r>
      <w:r>
        <w:t>sürer.</w:t>
      </w:r>
      <w:r>
        <w:rPr>
          <w:spacing w:val="-15"/>
        </w:rPr>
        <w:t xml:space="preserve"> </w:t>
      </w:r>
      <w:r>
        <w:t>Bu</w:t>
      </w:r>
      <w:r>
        <w:rPr>
          <w:spacing w:val="-14"/>
        </w:rPr>
        <w:t xml:space="preserve"> </w:t>
      </w:r>
      <w:r>
        <w:t>teorilere</w:t>
      </w:r>
      <w:r>
        <w:rPr>
          <w:spacing w:val="-13"/>
        </w:rPr>
        <w:t xml:space="preserve"> </w:t>
      </w:r>
      <w:r>
        <w:t>göre,</w:t>
      </w:r>
      <w:r>
        <w:rPr>
          <w:spacing w:val="-13"/>
        </w:rPr>
        <w:t xml:space="preserve"> </w:t>
      </w:r>
      <w:r>
        <w:t>gördüğümüz</w:t>
      </w:r>
      <w:r>
        <w:rPr>
          <w:spacing w:val="-13"/>
        </w:rPr>
        <w:t xml:space="preserve"> </w:t>
      </w:r>
      <w:r>
        <w:t>nesneler</w:t>
      </w:r>
      <w:r>
        <w:rPr>
          <w:spacing w:val="-15"/>
        </w:rPr>
        <w:t xml:space="preserve"> </w:t>
      </w:r>
      <w:r>
        <w:t>ve</w:t>
      </w:r>
      <w:r>
        <w:rPr>
          <w:spacing w:val="-15"/>
        </w:rPr>
        <w:t xml:space="preserve"> </w:t>
      </w:r>
      <w:r>
        <w:t>olaylar, gerçek dünyadaki şeylerin özü hakkında sadece bir çeşit sembolik temsilidir(Zheng vd.,1998:20).</w:t>
      </w:r>
    </w:p>
    <w:p w14:paraId="1E278156">
      <w:pPr>
        <w:pStyle w:val="9"/>
        <w:spacing w:before="120" w:after="120" w:line="360" w:lineRule="auto"/>
        <w:ind w:left="0" w:firstLine="567"/>
      </w:pPr>
      <w:r>
        <w:t>Sanal gerçeklik (VR) teknolojisi, insanları gerçek dünyadan alıp tamamen farklı bir dijital dünyada</w:t>
      </w:r>
      <w:r>
        <w:rPr>
          <w:spacing w:val="-15"/>
        </w:rPr>
        <w:t xml:space="preserve"> </w:t>
      </w:r>
      <w:r>
        <w:t>deneyimler</w:t>
      </w:r>
      <w:r>
        <w:rPr>
          <w:spacing w:val="-10"/>
        </w:rPr>
        <w:t xml:space="preserve"> </w:t>
      </w:r>
      <w:r>
        <w:t>yaşatma</w:t>
      </w:r>
      <w:r>
        <w:rPr>
          <w:spacing w:val="-13"/>
        </w:rPr>
        <w:t xml:space="preserve"> </w:t>
      </w:r>
      <w:r>
        <w:t>yeteneği</w:t>
      </w:r>
      <w:r>
        <w:rPr>
          <w:spacing w:val="-14"/>
        </w:rPr>
        <w:t xml:space="preserve"> </w:t>
      </w:r>
      <w:r>
        <w:t>ile</w:t>
      </w:r>
      <w:r>
        <w:rPr>
          <w:spacing w:val="-15"/>
        </w:rPr>
        <w:t xml:space="preserve"> </w:t>
      </w:r>
      <w:r>
        <w:t>büyük</w:t>
      </w:r>
      <w:r>
        <w:rPr>
          <w:spacing w:val="-14"/>
        </w:rPr>
        <w:t xml:space="preserve"> </w:t>
      </w:r>
      <w:r>
        <w:t>ilgi</w:t>
      </w:r>
      <w:r>
        <w:rPr>
          <w:spacing w:val="-14"/>
        </w:rPr>
        <w:t xml:space="preserve"> </w:t>
      </w:r>
      <w:r>
        <w:t>çekmektedir.</w:t>
      </w:r>
      <w:r>
        <w:rPr>
          <w:spacing w:val="-12"/>
        </w:rPr>
        <w:t xml:space="preserve"> </w:t>
      </w:r>
      <w:r>
        <w:t>Görsel</w:t>
      </w:r>
      <w:r>
        <w:rPr>
          <w:spacing w:val="-14"/>
        </w:rPr>
        <w:t xml:space="preserve"> </w:t>
      </w:r>
      <w:r>
        <w:t>algı</w:t>
      </w:r>
      <w:r>
        <w:rPr>
          <w:spacing w:val="-14"/>
        </w:rPr>
        <w:t xml:space="preserve"> </w:t>
      </w:r>
      <w:r>
        <w:t>teorileri,</w:t>
      </w:r>
      <w:r>
        <w:rPr>
          <w:spacing w:val="-9"/>
        </w:rPr>
        <w:t xml:space="preserve"> </w:t>
      </w:r>
      <w:r>
        <w:t>insan gözünün nasıl çalıştığını ve çevremizdeki dünyayı nasıl algıladığımızı anlamaya yönelik çalışmaları</w:t>
      </w:r>
      <w:r>
        <w:rPr>
          <w:spacing w:val="21"/>
        </w:rPr>
        <w:t xml:space="preserve"> </w:t>
      </w:r>
      <w:r>
        <w:t>içermektedir.</w:t>
      </w:r>
      <w:r>
        <w:rPr>
          <w:spacing w:val="27"/>
        </w:rPr>
        <w:t xml:space="preserve"> </w:t>
      </w:r>
      <w:r>
        <w:t>Bu</w:t>
      </w:r>
      <w:r>
        <w:rPr>
          <w:spacing w:val="25"/>
        </w:rPr>
        <w:t xml:space="preserve"> </w:t>
      </w:r>
      <w:r>
        <w:t>teoriler,</w:t>
      </w:r>
      <w:r>
        <w:rPr>
          <w:spacing w:val="26"/>
        </w:rPr>
        <w:t xml:space="preserve"> </w:t>
      </w:r>
      <w:r>
        <w:t>renk</w:t>
      </w:r>
      <w:r>
        <w:rPr>
          <w:spacing w:val="27"/>
        </w:rPr>
        <w:t xml:space="preserve"> </w:t>
      </w:r>
      <w:r>
        <w:t>algısı,</w:t>
      </w:r>
      <w:r>
        <w:rPr>
          <w:spacing w:val="24"/>
        </w:rPr>
        <w:t xml:space="preserve"> </w:t>
      </w:r>
      <w:r>
        <w:t>derinlik</w:t>
      </w:r>
      <w:r>
        <w:rPr>
          <w:spacing w:val="25"/>
        </w:rPr>
        <w:t xml:space="preserve"> </w:t>
      </w:r>
      <w:r>
        <w:t>algısı,</w:t>
      </w:r>
      <w:r>
        <w:rPr>
          <w:spacing w:val="25"/>
        </w:rPr>
        <w:t xml:space="preserve"> </w:t>
      </w:r>
      <w:r>
        <w:t>nesne</w:t>
      </w:r>
      <w:r>
        <w:rPr>
          <w:spacing w:val="26"/>
        </w:rPr>
        <w:t xml:space="preserve"> </w:t>
      </w:r>
      <w:r>
        <w:t>tanıma</w:t>
      </w:r>
      <w:r>
        <w:rPr>
          <w:spacing w:val="24"/>
        </w:rPr>
        <w:t xml:space="preserve"> </w:t>
      </w:r>
      <w:r>
        <w:t>ve</w:t>
      </w:r>
      <w:r>
        <w:rPr>
          <w:spacing w:val="24"/>
        </w:rPr>
        <w:t xml:space="preserve"> </w:t>
      </w:r>
      <w:r>
        <w:rPr>
          <w:spacing w:val="-2"/>
        </w:rPr>
        <w:t>hareket</w:t>
      </w:r>
      <w:r>
        <w:t xml:space="preserve"> algısı gibi farklı görsel yetenekleri açıklamaya çalışmaktadır. Görsel algı, gözlerimizden beyne</w:t>
      </w:r>
      <w:r>
        <w:rPr>
          <w:spacing w:val="-10"/>
        </w:rPr>
        <w:t xml:space="preserve"> </w:t>
      </w:r>
      <w:r>
        <w:t>iletilen</w:t>
      </w:r>
      <w:r>
        <w:rPr>
          <w:spacing w:val="-7"/>
        </w:rPr>
        <w:t xml:space="preserve"> </w:t>
      </w:r>
      <w:r>
        <w:t>görüntülerin</w:t>
      </w:r>
      <w:r>
        <w:rPr>
          <w:spacing w:val="-9"/>
        </w:rPr>
        <w:t xml:space="preserve"> </w:t>
      </w:r>
      <w:r>
        <w:t>işlenmesi</w:t>
      </w:r>
      <w:r>
        <w:rPr>
          <w:spacing w:val="-9"/>
        </w:rPr>
        <w:t xml:space="preserve"> </w:t>
      </w:r>
      <w:r>
        <w:t>ve</w:t>
      </w:r>
      <w:r>
        <w:rPr>
          <w:spacing w:val="-8"/>
        </w:rPr>
        <w:t xml:space="preserve"> </w:t>
      </w:r>
      <w:r>
        <w:t>yorumlanması</w:t>
      </w:r>
      <w:r>
        <w:rPr>
          <w:spacing w:val="-9"/>
        </w:rPr>
        <w:t xml:space="preserve"> </w:t>
      </w:r>
      <w:r>
        <w:t>sürecini</w:t>
      </w:r>
      <w:r>
        <w:rPr>
          <w:spacing w:val="-9"/>
        </w:rPr>
        <w:t xml:space="preserve"> </w:t>
      </w:r>
      <w:r>
        <w:t>içermektedir</w:t>
      </w:r>
      <w:r>
        <w:rPr>
          <w:spacing w:val="-10"/>
        </w:rPr>
        <w:t xml:space="preserve"> </w:t>
      </w:r>
      <w:r>
        <w:t>(Kaplan,</w:t>
      </w:r>
      <w:r>
        <w:rPr>
          <w:spacing w:val="-10"/>
        </w:rPr>
        <w:t xml:space="preserve"> </w:t>
      </w:r>
      <w:r>
        <w:t xml:space="preserve">2014: </w:t>
      </w:r>
      <w:r>
        <w:rPr>
          <w:spacing w:val="-4"/>
        </w:rPr>
        <w:t>55).</w:t>
      </w:r>
    </w:p>
    <w:p w14:paraId="45A0EAE4">
      <w:pPr>
        <w:pStyle w:val="9"/>
        <w:spacing w:before="120" w:after="120" w:line="360" w:lineRule="auto"/>
        <w:ind w:left="0" w:firstLine="567"/>
      </w:pPr>
      <w:r>
        <w:t>Sanal gerçeklik, görsel algı teorileri ile yakından ilişkilidir. VR teknolojisi, kullanıcıların kendilerini tamamen farklı bir dijital dünyada hissetmelerini sağlar. Bu deneyim, kullanıcıların görsel algılarını etkileyerek gerçek dünyadan tamamen farklı bir deneyim sunar.</w:t>
      </w:r>
      <w:r>
        <w:rPr>
          <w:spacing w:val="-13"/>
        </w:rPr>
        <w:t xml:space="preserve"> </w:t>
      </w:r>
      <w:r>
        <w:t>Örneğin,</w:t>
      </w:r>
      <w:r>
        <w:rPr>
          <w:spacing w:val="-12"/>
        </w:rPr>
        <w:t xml:space="preserve"> </w:t>
      </w:r>
      <w:r>
        <w:t>kullanıcılar</w:t>
      </w:r>
      <w:r>
        <w:rPr>
          <w:spacing w:val="-13"/>
        </w:rPr>
        <w:t xml:space="preserve"> </w:t>
      </w:r>
      <w:r>
        <w:t>VR</w:t>
      </w:r>
      <w:r>
        <w:rPr>
          <w:spacing w:val="-12"/>
        </w:rPr>
        <w:t xml:space="preserve"> </w:t>
      </w:r>
      <w:r>
        <w:t>başlıkları</w:t>
      </w:r>
      <w:r>
        <w:rPr>
          <w:spacing w:val="-12"/>
        </w:rPr>
        <w:t xml:space="preserve"> </w:t>
      </w:r>
      <w:r>
        <w:t>takarken,</w:t>
      </w:r>
      <w:r>
        <w:rPr>
          <w:spacing w:val="-13"/>
        </w:rPr>
        <w:t xml:space="preserve"> </w:t>
      </w:r>
      <w:r>
        <w:t>çevrelerindeki</w:t>
      </w:r>
      <w:r>
        <w:rPr>
          <w:spacing w:val="-12"/>
        </w:rPr>
        <w:t xml:space="preserve"> </w:t>
      </w:r>
      <w:r>
        <w:t>sanal</w:t>
      </w:r>
      <w:r>
        <w:rPr>
          <w:spacing w:val="-12"/>
        </w:rPr>
        <w:t xml:space="preserve"> </w:t>
      </w:r>
      <w:r>
        <w:t>dünyayı</w:t>
      </w:r>
      <w:r>
        <w:rPr>
          <w:spacing w:val="-10"/>
        </w:rPr>
        <w:t xml:space="preserve"> </w:t>
      </w:r>
      <w:r>
        <w:t>360</w:t>
      </w:r>
      <w:r>
        <w:rPr>
          <w:spacing w:val="-13"/>
        </w:rPr>
        <w:t xml:space="preserve"> </w:t>
      </w:r>
      <w:r>
        <w:t>derece olarak görebilirler. Bu, görsel algıyı genişletir ve kullanıcıların sanal dünyanın içine tamamen dalmalarına yardımcı olur (Özkazanç ve Esentürk, 2020: 309).</w:t>
      </w:r>
    </w:p>
    <w:p w14:paraId="321D7664">
      <w:pPr>
        <w:pStyle w:val="9"/>
        <w:spacing w:before="120" w:after="120" w:line="360" w:lineRule="auto"/>
        <w:ind w:left="0" w:firstLine="567"/>
      </w:pPr>
      <w:r>
        <w:t>Sanal gerçeklik, eğlence, eğitim, sağlık hizmetleri ve daha birçok alanda kullanılırken, görsel algı teorileri bu deneyimlerin tasarımında büyük bir rol oynar. VR geliştiricileri, kullanıcıların</w:t>
      </w:r>
      <w:r>
        <w:rPr>
          <w:spacing w:val="-4"/>
        </w:rPr>
        <w:t xml:space="preserve"> </w:t>
      </w:r>
      <w:r>
        <w:t>daha</w:t>
      </w:r>
      <w:r>
        <w:rPr>
          <w:spacing w:val="-6"/>
        </w:rPr>
        <w:t xml:space="preserve"> </w:t>
      </w:r>
      <w:r>
        <w:t>etkileyici</w:t>
      </w:r>
      <w:r>
        <w:rPr>
          <w:spacing w:val="-4"/>
        </w:rPr>
        <w:t xml:space="preserve"> </w:t>
      </w:r>
      <w:r>
        <w:t>ve</w:t>
      </w:r>
      <w:r>
        <w:rPr>
          <w:spacing w:val="-3"/>
        </w:rPr>
        <w:t xml:space="preserve"> </w:t>
      </w:r>
      <w:r>
        <w:t>gerçekçi</w:t>
      </w:r>
      <w:r>
        <w:rPr>
          <w:spacing w:val="-4"/>
        </w:rPr>
        <w:t xml:space="preserve"> </w:t>
      </w:r>
      <w:r>
        <w:t>deneyimler</w:t>
      </w:r>
      <w:r>
        <w:rPr>
          <w:spacing w:val="-4"/>
        </w:rPr>
        <w:t xml:space="preserve"> </w:t>
      </w:r>
      <w:r>
        <w:t>yaşamalarını</w:t>
      </w:r>
      <w:r>
        <w:rPr>
          <w:spacing w:val="-4"/>
        </w:rPr>
        <w:t xml:space="preserve"> </w:t>
      </w:r>
      <w:r>
        <w:t>sağlamak</w:t>
      </w:r>
      <w:r>
        <w:rPr>
          <w:spacing w:val="-4"/>
        </w:rPr>
        <w:t xml:space="preserve"> </w:t>
      </w:r>
      <w:r>
        <w:t>için</w:t>
      </w:r>
      <w:r>
        <w:rPr>
          <w:spacing w:val="-4"/>
        </w:rPr>
        <w:t xml:space="preserve"> </w:t>
      </w:r>
      <w:r>
        <w:t>görsel</w:t>
      </w:r>
      <w:r>
        <w:rPr>
          <w:spacing w:val="-3"/>
        </w:rPr>
        <w:t xml:space="preserve"> </w:t>
      </w:r>
      <w:r>
        <w:t>algı teorilerini</w:t>
      </w:r>
      <w:r>
        <w:rPr>
          <w:spacing w:val="-10"/>
        </w:rPr>
        <w:t xml:space="preserve"> </w:t>
      </w:r>
      <w:r>
        <w:t>kullanır.</w:t>
      </w:r>
      <w:r>
        <w:rPr>
          <w:spacing w:val="-11"/>
        </w:rPr>
        <w:t xml:space="preserve"> </w:t>
      </w:r>
      <w:r>
        <w:t>Bu,</w:t>
      </w:r>
      <w:r>
        <w:rPr>
          <w:spacing w:val="-11"/>
        </w:rPr>
        <w:t xml:space="preserve"> </w:t>
      </w:r>
      <w:r>
        <w:t>eğitimden</w:t>
      </w:r>
      <w:r>
        <w:rPr>
          <w:spacing w:val="-11"/>
        </w:rPr>
        <w:t xml:space="preserve"> </w:t>
      </w:r>
      <w:r>
        <w:t>sanal</w:t>
      </w:r>
      <w:r>
        <w:rPr>
          <w:spacing w:val="-10"/>
        </w:rPr>
        <w:t xml:space="preserve"> </w:t>
      </w:r>
      <w:r>
        <w:t>turlara</w:t>
      </w:r>
      <w:r>
        <w:rPr>
          <w:spacing w:val="-12"/>
        </w:rPr>
        <w:t xml:space="preserve"> </w:t>
      </w:r>
      <w:r>
        <w:t>kadar</w:t>
      </w:r>
      <w:r>
        <w:rPr>
          <w:spacing w:val="-11"/>
        </w:rPr>
        <w:t xml:space="preserve"> </w:t>
      </w:r>
      <w:r>
        <w:t>birçok</w:t>
      </w:r>
      <w:r>
        <w:rPr>
          <w:spacing w:val="-11"/>
        </w:rPr>
        <w:t xml:space="preserve"> </w:t>
      </w:r>
      <w:r>
        <w:t>alanda</w:t>
      </w:r>
      <w:r>
        <w:rPr>
          <w:spacing w:val="-12"/>
        </w:rPr>
        <w:t xml:space="preserve"> </w:t>
      </w:r>
      <w:r>
        <w:t>daha</w:t>
      </w:r>
      <w:r>
        <w:rPr>
          <w:spacing w:val="-12"/>
        </w:rPr>
        <w:t xml:space="preserve"> </w:t>
      </w:r>
      <w:r>
        <w:t>zengin</w:t>
      </w:r>
      <w:r>
        <w:rPr>
          <w:spacing w:val="-10"/>
        </w:rPr>
        <w:t xml:space="preserve"> </w:t>
      </w:r>
      <w:r>
        <w:t>ve</w:t>
      </w:r>
      <w:r>
        <w:rPr>
          <w:spacing w:val="-12"/>
        </w:rPr>
        <w:t xml:space="preserve"> </w:t>
      </w:r>
      <w:r>
        <w:t>etkileyici deneyimler sunmaktadır (Tanrıkulu ve Karagöl, 2021: 95).</w:t>
      </w:r>
    </w:p>
    <w:p w14:paraId="5B522496">
      <w:pPr>
        <w:pStyle w:val="9"/>
        <w:spacing w:before="120" w:after="120" w:line="360" w:lineRule="auto"/>
        <w:ind w:left="0" w:firstLine="567"/>
      </w:pPr>
      <w:r>
        <w:t>Sanal</w:t>
      </w:r>
      <w:r>
        <w:rPr>
          <w:spacing w:val="-9"/>
        </w:rPr>
        <w:t xml:space="preserve"> </w:t>
      </w:r>
      <w:r>
        <w:t>Gerçeklik</w:t>
      </w:r>
      <w:r>
        <w:rPr>
          <w:spacing w:val="-9"/>
        </w:rPr>
        <w:t xml:space="preserve"> </w:t>
      </w:r>
      <w:r>
        <w:t>Teorilerinde</w:t>
      </w:r>
      <w:r>
        <w:rPr>
          <w:spacing w:val="-10"/>
        </w:rPr>
        <w:t xml:space="preserve"> </w:t>
      </w:r>
      <w:r>
        <w:t>Görsel</w:t>
      </w:r>
      <w:r>
        <w:rPr>
          <w:spacing w:val="-9"/>
        </w:rPr>
        <w:t xml:space="preserve"> </w:t>
      </w:r>
      <w:r>
        <w:t>Algı</w:t>
      </w:r>
      <w:r>
        <w:rPr>
          <w:spacing w:val="-9"/>
        </w:rPr>
        <w:t xml:space="preserve"> </w:t>
      </w:r>
      <w:r>
        <w:t>Teorileri,</w:t>
      </w:r>
      <w:r>
        <w:rPr>
          <w:spacing w:val="-10"/>
        </w:rPr>
        <w:t xml:space="preserve"> </w:t>
      </w:r>
      <w:r>
        <w:t>insan</w:t>
      </w:r>
      <w:r>
        <w:rPr>
          <w:spacing w:val="-10"/>
        </w:rPr>
        <w:t xml:space="preserve"> </w:t>
      </w:r>
      <w:r>
        <w:t>görsel</w:t>
      </w:r>
      <w:r>
        <w:rPr>
          <w:spacing w:val="-9"/>
        </w:rPr>
        <w:t xml:space="preserve"> </w:t>
      </w:r>
      <w:r>
        <w:t>algısının</w:t>
      </w:r>
      <w:r>
        <w:rPr>
          <w:spacing w:val="-9"/>
        </w:rPr>
        <w:t xml:space="preserve"> </w:t>
      </w:r>
      <w:r>
        <w:t>nasıl</w:t>
      </w:r>
      <w:r>
        <w:rPr>
          <w:spacing w:val="-8"/>
        </w:rPr>
        <w:t xml:space="preserve"> </w:t>
      </w:r>
      <w:r>
        <w:t>çalıştığını</w:t>
      </w:r>
      <w:r>
        <w:rPr>
          <w:spacing w:val="-9"/>
        </w:rPr>
        <w:t xml:space="preserve"> </w:t>
      </w:r>
      <w:r>
        <w:t>ve nasıl</w:t>
      </w:r>
      <w:r>
        <w:rPr>
          <w:spacing w:val="-1"/>
        </w:rPr>
        <w:t xml:space="preserve"> </w:t>
      </w:r>
      <w:r>
        <w:t>optimize</w:t>
      </w:r>
      <w:r>
        <w:rPr>
          <w:spacing w:val="-2"/>
        </w:rPr>
        <w:t xml:space="preserve"> </w:t>
      </w:r>
      <w:r>
        <w:t>edilebileceğini anlamamıza yardımcı</w:t>
      </w:r>
      <w:r>
        <w:rPr>
          <w:spacing w:val="-2"/>
        </w:rPr>
        <w:t xml:space="preserve"> </w:t>
      </w:r>
      <w:r>
        <w:t>olan</w:t>
      </w:r>
      <w:r>
        <w:rPr>
          <w:spacing w:val="-2"/>
        </w:rPr>
        <w:t xml:space="preserve"> </w:t>
      </w:r>
      <w:r>
        <w:t>önemli</w:t>
      </w:r>
      <w:r>
        <w:rPr>
          <w:spacing w:val="-2"/>
        </w:rPr>
        <w:t xml:space="preserve"> </w:t>
      </w:r>
      <w:r>
        <w:t>bir</w:t>
      </w:r>
      <w:r>
        <w:rPr>
          <w:spacing w:val="-2"/>
        </w:rPr>
        <w:t xml:space="preserve"> </w:t>
      </w:r>
      <w:r>
        <w:t>perspektifi</w:t>
      </w:r>
      <w:r>
        <w:rPr>
          <w:spacing w:val="-2"/>
        </w:rPr>
        <w:t xml:space="preserve"> </w:t>
      </w:r>
      <w:r>
        <w:t>temsil</w:t>
      </w:r>
      <w:r>
        <w:rPr>
          <w:spacing w:val="-2"/>
        </w:rPr>
        <w:t xml:space="preserve"> </w:t>
      </w:r>
      <w:r>
        <w:t>eder. VR teknolojisi, görsel algının sınırlarını genişletirken, görsel algı teorileri bu deneyimlerin daha iyi tasarlanmasına yardımcı olur. Bu nedenle, sanal gerçeklik ve görsel algı teorileri, dijital dünyaların gözlerimizin önünde nasıl şekillendiğiyle ilgili önemli kavramları temsil etmektedir (Tanrıkulu ve Karagöl, 2021: 95).</w:t>
      </w:r>
    </w:p>
    <w:p w14:paraId="3265C676">
      <w:pPr>
        <w:pStyle w:val="5"/>
        <w:spacing w:before="240" w:after="240" w:line="360" w:lineRule="auto"/>
        <w:ind w:left="567"/>
        <w:rPr>
          <w:rFonts w:ascii="Times New Roman" w:hAnsi="Times New Roman" w:cs="Times New Roman"/>
          <w:b/>
          <w:i w:val="0"/>
          <w:color w:val="auto"/>
          <w:sz w:val="24"/>
        </w:rPr>
      </w:pPr>
      <w:bookmarkStart w:id="74" w:name="_Toc197351236"/>
      <w:bookmarkStart w:id="75" w:name="_Toc195877783"/>
      <w:bookmarkStart w:id="76" w:name="_Toc195875798"/>
      <w:r>
        <w:rPr>
          <w:rFonts w:ascii="Times New Roman" w:hAnsi="Times New Roman" w:cs="Times New Roman"/>
          <w:b/>
          <w:i w:val="0"/>
          <w:color w:val="auto"/>
          <w:sz w:val="24"/>
        </w:rPr>
        <w:t>2.2.4.5. Holografik Evren Teorisi</w:t>
      </w:r>
      <w:bookmarkEnd w:id="74"/>
      <w:bookmarkEnd w:id="75"/>
      <w:bookmarkEnd w:id="76"/>
    </w:p>
    <w:p w14:paraId="02214054">
      <w:pPr>
        <w:pStyle w:val="9"/>
        <w:spacing w:before="120" w:after="120" w:line="360" w:lineRule="auto"/>
        <w:ind w:left="0" w:firstLine="567"/>
      </w:pPr>
      <w:r>
        <w:t>Bu</w:t>
      </w:r>
      <w:r>
        <w:rPr>
          <w:spacing w:val="-8"/>
        </w:rPr>
        <w:t xml:space="preserve"> </w:t>
      </w:r>
      <w:r>
        <w:t>teoriye</w:t>
      </w:r>
      <w:r>
        <w:rPr>
          <w:spacing w:val="-5"/>
        </w:rPr>
        <w:t xml:space="preserve"> </w:t>
      </w:r>
      <w:r>
        <w:t>göre,</w:t>
      </w:r>
      <w:r>
        <w:rPr>
          <w:spacing w:val="-4"/>
        </w:rPr>
        <w:t xml:space="preserve"> </w:t>
      </w:r>
      <w:r>
        <w:t>gerçek</w:t>
      </w:r>
      <w:r>
        <w:rPr>
          <w:spacing w:val="-8"/>
        </w:rPr>
        <w:t xml:space="preserve"> </w:t>
      </w:r>
      <w:r>
        <w:t>dünya</w:t>
      </w:r>
      <w:r>
        <w:rPr>
          <w:spacing w:val="-7"/>
        </w:rPr>
        <w:t xml:space="preserve"> </w:t>
      </w:r>
      <w:r>
        <w:t>bir</w:t>
      </w:r>
      <w:r>
        <w:rPr>
          <w:spacing w:val="-9"/>
        </w:rPr>
        <w:t xml:space="preserve"> </w:t>
      </w:r>
      <w:r>
        <w:t>tür</w:t>
      </w:r>
      <w:r>
        <w:rPr>
          <w:spacing w:val="-9"/>
        </w:rPr>
        <w:t xml:space="preserve"> </w:t>
      </w:r>
      <w:r>
        <w:t>holografik</w:t>
      </w:r>
      <w:r>
        <w:rPr>
          <w:spacing w:val="-3"/>
        </w:rPr>
        <w:t xml:space="preserve"> </w:t>
      </w:r>
      <w:r>
        <w:t>yapıya</w:t>
      </w:r>
      <w:r>
        <w:rPr>
          <w:spacing w:val="-9"/>
        </w:rPr>
        <w:t xml:space="preserve"> </w:t>
      </w:r>
      <w:r>
        <w:t>sahiptir</w:t>
      </w:r>
      <w:r>
        <w:rPr>
          <w:spacing w:val="-9"/>
        </w:rPr>
        <w:t xml:space="preserve"> </w:t>
      </w:r>
      <w:r>
        <w:t>ve</w:t>
      </w:r>
      <w:r>
        <w:rPr>
          <w:spacing w:val="-9"/>
        </w:rPr>
        <w:t xml:space="preserve"> </w:t>
      </w:r>
      <w:r>
        <w:t>üç</w:t>
      </w:r>
      <w:r>
        <w:rPr>
          <w:spacing w:val="-7"/>
        </w:rPr>
        <w:t xml:space="preserve"> </w:t>
      </w:r>
      <w:r>
        <w:t>boyutlu</w:t>
      </w:r>
      <w:r>
        <w:rPr>
          <w:spacing w:val="-8"/>
        </w:rPr>
        <w:t xml:space="preserve"> </w:t>
      </w:r>
      <w:r>
        <w:t>dünya</w:t>
      </w:r>
      <w:r>
        <w:rPr>
          <w:spacing w:val="-7"/>
        </w:rPr>
        <w:t xml:space="preserve"> </w:t>
      </w:r>
      <w:r>
        <w:t xml:space="preserve">aslında daha yüksek boyutlu bir alanın yüzeyindeki bir yansımadır. Bu yaklaşım, bazı fiziğin ve kuantum mekaniğin garip özelliklerini açıklamak için kullanılır. </w:t>
      </w:r>
      <w:r>
        <w:rPr>
          <w:i/>
        </w:rPr>
        <w:t xml:space="preserve">“Sanal gerçeklik (VR) teknolojisi”, </w:t>
      </w:r>
      <w:r>
        <w:t>insanları gerçek dünyadan alıp tamamen farklı bir dijital dünyada deneyimler yaşatma yeteneği ile büyük ilgi çekmektedir (Şeker, 2014: 14).</w:t>
      </w:r>
    </w:p>
    <w:p w14:paraId="64ECBD95">
      <w:pPr>
        <w:pStyle w:val="9"/>
        <w:spacing w:before="120" w:after="120" w:line="360" w:lineRule="auto"/>
        <w:ind w:left="0" w:firstLine="567"/>
      </w:pPr>
      <w:r>
        <w:t>Holografik Evren Teorisi, evrenin temel yapısının bir tür hologram veya 2D yüzey olarak düşünülebileceğini</w:t>
      </w:r>
      <w:r>
        <w:rPr>
          <w:spacing w:val="62"/>
          <w:w w:val="150"/>
        </w:rPr>
        <w:t xml:space="preserve"> </w:t>
      </w:r>
      <w:r>
        <w:t>ileri</w:t>
      </w:r>
      <w:r>
        <w:rPr>
          <w:spacing w:val="63"/>
          <w:w w:val="150"/>
        </w:rPr>
        <w:t xml:space="preserve"> </w:t>
      </w:r>
      <w:r>
        <w:t>süren</w:t>
      </w:r>
      <w:r>
        <w:rPr>
          <w:spacing w:val="64"/>
          <w:w w:val="150"/>
        </w:rPr>
        <w:t xml:space="preserve"> </w:t>
      </w:r>
      <w:r>
        <w:t>bir</w:t>
      </w:r>
      <w:r>
        <w:rPr>
          <w:spacing w:val="63"/>
          <w:w w:val="150"/>
        </w:rPr>
        <w:t xml:space="preserve"> </w:t>
      </w:r>
      <w:r>
        <w:t>fizik</w:t>
      </w:r>
      <w:r>
        <w:rPr>
          <w:spacing w:val="65"/>
          <w:w w:val="150"/>
        </w:rPr>
        <w:t xml:space="preserve"> </w:t>
      </w:r>
      <w:r>
        <w:t>teorisidir.</w:t>
      </w:r>
      <w:r>
        <w:rPr>
          <w:spacing w:val="63"/>
          <w:w w:val="150"/>
        </w:rPr>
        <w:t xml:space="preserve"> </w:t>
      </w:r>
      <w:r>
        <w:t>Bu</w:t>
      </w:r>
      <w:r>
        <w:rPr>
          <w:spacing w:val="63"/>
          <w:w w:val="150"/>
        </w:rPr>
        <w:t xml:space="preserve"> </w:t>
      </w:r>
      <w:r>
        <w:t>teoriye</w:t>
      </w:r>
      <w:r>
        <w:rPr>
          <w:spacing w:val="66"/>
          <w:w w:val="150"/>
        </w:rPr>
        <w:t xml:space="preserve"> </w:t>
      </w:r>
      <w:r>
        <w:t>göre,</w:t>
      </w:r>
      <w:r>
        <w:rPr>
          <w:spacing w:val="66"/>
          <w:w w:val="150"/>
        </w:rPr>
        <w:t xml:space="preserve"> </w:t>
      </w:r>
      <w:r>
        <w:t>3D</w:t>
      </w:r>
      <w:r>
        <w:rPr>
          <w:spacing w:val="64"/>
          <w:w w:val="150"/>
        </w:rPr>
        <w:t xml:space="preserve"> </w:t>
      </w:r>
      <w:r>
        <w:rPr>
          <w:spacing w:val="-2"/>
        </w:rPr>
        <w:t>evrenimizin</w:t>
      </w:r>
      <w:r>
        <w:t xml:space="preserve"> karmaşıklığı aslında daha düşük boyutlu bir yüzeyin bilgisini içerir. Bu, evrenin fiziksel gerçekliğinin daha derin bir katmanının varlığını öne sürmektedir (Şeker, 2014: 14).</w:t>
      </w:r>
    </w:p>
    <w:p w14:paraId="025795D0">
      <w:pPr>
        <w:pStyle w:val="9"/>
        <w:spacing w:before="120" w:after="120" w:line="360" w:lineRule="auto"/>
        <w:ind w:left="0" w:firstLine="567"/>
      </w:pPr>
      <w:r>
        <w:t>Sanal gerçeklik teknolojisi, Holografik Evren Teorisi ile ilginç bir bağlantı taşır. VR deneyimleri,</w:t>
      </w:r>
      <w:r>
        <w:rPr>
          <w:spacing w:val="-10"/>
        </w:rPr>
        <w:t xml:space="preserve"> </w:t>
      </w:r>
      <w:r>
        <w:t>kullanıcıları</w:t>
      </w:r>
      <w:r>
        <w:rPr>
          <w:spacing w:val="-8"/>
        </w:rPr>
        <w:t xml:space="preserve"> </w:t>
      </w:r>
      <w:r>
        <w:t>gerçek</w:t>
      </w:r>
      <w:r>
        <w:rPr>
          <w:spacing w:val="-10"/>
        </w:rPr>
        <w:t xml:space="preserve"> </w:t>
      </w:r>
      <w:r>
        <w:t>dünyadan</w:t>
      </w:r>
      <w:r>
        <w:rPr>
          <w:spacing w:val="-10"/>
        </w:rPr>
        <w:t xml:space="preserve"> </w:t>
      </w:r>
      <w:r>
        <w:t>alıp</w:t>
      </w:r>
      <w:r>
        <w:rPr>
          <w:spacing w:val="-10"/>
        </w:rPr>
        <w:t xml:space="preserve"> </w:t>
      </w:r>
      <w:r>
        <w:t>sanal</w:t>
      </w:r>
      <w:r>
        <w:rPr>
          <w:spacing w:val="-10"/>
        </w:rPr>
        <w:t xml:space="preserve"> </w:t>
      </w:r>
      <w:r>
        <w:t>bir</w:t>
      </w:r>
      <w:r>
        <w:rPr>
          <w:spacing w:val="-11"/>
        </w:rPr>
        <w:t xml:space="preserve"> </w:t>
      </w:r>
      <w:r>
        <w:t>dünyada</w:t>
      </w:r>
      <w:r>
        <w:rPr>
          <w:spacing w:val="-11"/>
        </w:rPr>
        <w:t xml:space="preserve"> </w:t>
      </w:r>
      <w:r>
        <w:t>deneyimler</w:t>
      </w:r>
      <w:r>
        <w:rPr>
          <w:spacing w:val="-9"/>
        </w:rPr>
        <w:t xml:space="preserve"> </w:t>
      </w:r>
      <w:r>
        <w:t>yaşatırken,</w:t>
      </w:r>
      <w:r>
        <w:rPr>
          <w:spacing w:val="-10"/>
        </w:rPr>
        <w:t xml:space="preserve"> </w:t>
      </w:r>
      <w:r>
        <w:t>bu deneyimlerin temelinde 3D görseller ve sesler bulunur. Holografik Evren Teorisi, gerçek dünyanın</w:t>
      </w:r>
      <w:r>
        <w:rPr>
          <w:spacing w:val="-2"/>
        </w:rPr>
        <w:t xml:space="preserve"> </w:t>
      </w:r>
      <w:r>
        <w:t>temel yapısının</w:t>
      </w:r>
      <w:r>
        <w:rPr>
          <w:spacing w:val="-2"/>
        </w:rPr>
        <w:t xml:space="preserve"> </w:t>
      </w:r>
      <w:r>
        <w:t>daha</w:t>
      </w:r>
      <w:r>
        <w:rPr>
          <w:spacing w:val="-3"/>
        </w:rPr>
        <w:t xml:space="preserve"> </w:t>
      </w:r>
      <w:r>
        <w:t>düşük</w:t>
      </w:r>
      <w:r>
        <w:rPr>
          <w:spacing w:val="-2"/>
        </w:rPr>
        <w:t xml:space="preserve"> </w:t>
      </w:r>
      <w:r>
        <w:t>boyutlu</w:t>
      </w:r>
      <w:r>
        <w:rPr>
          <w:spacing w:val="-2"/>
        </w:rPr>
        <w:t xml:space="preserve"> </w:t>
      </w:r>
      <w:r>
        <w:t>bir yüzeyin</w:t>
      </w:r>
      <w:r>
        <w:rPr>
          <w:spacing w:val="-2"/>
        </w:rPr>
        <w:t xml:space="preserve"> </w:t>
      </w:r>
      <w:r>
        <w:t>bilgisini</w:t>
      </w:r>
      <w:r>
        <w:rPr>
          <w:spacing w:val="-2"/>
        </w:rPr>
        <w:t xml:space="preserve"> </w:t>
      </w:r>
      <w:r>
        <w:t>içerdiğini</w:t>
      </w:r>
      <w:r>
        <w:rPr>
          <w:spacing w:val="-2"/>
        </w:rPr>
        <w:t xml:space="preserve"> </w:t>
      </w:r>
      <w:r>
        <w:t>iddia</w:t>
      </w:r>
      <w:r>
        <w:rPr>
          <w:spacing w:val="-3"/>
        </w:rPr>
        <w:t xml:space="preserve"> </w:t>
      </w:r>
      <w:r>
        <w:t xml:space="preserve">ederken, VR deneyimi de kullanıcıları 3D dünyalara çeker. Bu, insanların gerçek dünyanın ne olduğunu ve dijital dünyaların nasıl işlediğini sorgulamalarına neden olabilir (Okul, 2022: </w:t>
      </w:r>
      <w:r>
        <w:rPr>
          <w:spacing w:val="-4"/>
        </w:rPr>
        <w:t>19).</w:t>
      </w:r>
    </w:p>
    <w:p w14:paraId="37418F61">
      <w:pPr>
        <w:pStyle w:val="9"/>
        <w:spacing w:before="120" w:after="120" w:line="360" w:lineRule="auto"/>
        <w:ind w:left="0" w:firstLine="567"/>
      </w:pPr>
      <w:r>
        <w:t>Sanal gerçeklik, eğlence, eğitim, sağlık hizmetleri ve daha birçok alanda kullanılırken, Holografik Evren Teorisi gibi düşünce deneyleri insanları evrenin derinliklerine ve karmaşıklığına daha yakından bakmaya teşvik edebilir. VR teknolojisi, kullanıcıları farklı gerçeklikleri deneyimlemeye ve düşünsel sınırları zorlamaya yönlendirir. Bu, yaratıcılığı teşvik edebilir ve insanların düşünsel perspektiflerini genişletebilir (Ferhat, 2016: 725).</w:t>
      </w:r>
    </w:p>
    <w:p w14:paraId="1DF93FE9">
      <w:pPr>
        <w:pStyle w:val="9"/>
        <w:spacing w:before="120" w:after="120" w:line="360" w:lineRule="auto"/>
        <w:ind w:left="0" w:firstLine="567"/>
      </w:pPr>
      <w:r>
        <w:t>“Sanal</w:t>
      </w:r>
      <w:r>
        <w:rPr>
          <w:spacing w:val="-3"/>
        </w:rPr>
        <w:t xml:space="preserve"> </w:t>
      </w:r>
      <w:r>
        <w:t>Gerçeklik</w:t>
      </w:r>
      <w:r>
        <w:rPr>
          <w:spacing w:val="-3"/>
        </w:rPr>
        <w:t xml:space="preserve"> </w:t>
      </w:r>
      <w:r>
        <w:t>Teorilerinde</w:t>
      </w:r>
      <w:r>
        <w:rPr>
          <w:spacing w:val="-5"/>
        </w:rPr>
        <w:t xml:space="preserve"> </w:t>
      </w:r>
      <w:r>
        <w:t>Holografik</w:t>
      </w:r>
      <w:r>
        <w:rPr>
          <w:spacing w:val="-3"/>
        </w:rPr>
        <w:t xml:space="preserve"> </w:t>
      </w:r>
      <w:r>
        <w:t>Evren</w:t>
      </w:r>
      <w:r>
        <w:rPr>
          <w:spacing w:val="-1"/>
        </w:rPr>
        <w:t xml:space="preserve"> </w:t>
      </w:r>
      <w:r>
        <w:t>Teorisi”</w:t>
      </w:r>
      <w:r>
        <w:rPr>
          <w:spacing w:val="-3"/>
        </w:rPr>
        <w:t xml:space="preserve"> </w:t>
      </w:r>
      <w:r>
        <w:t>dijital</w:t>
      </w:r>
      <w:r>
        <w:rPr>
          <w:spacing w:val="-3"/>
        </w:rPr>
        <w:t xml:space="preserve"> </w:t>
      </w:r>
      <w:r>
        <w:t>dünyaların</w:t>
      </w:r>
      <w:r>
        <w:rPr>
          <w:spacing w:val="-2"/>
        </w:rPr>
        <w:t xml:space="preserve"> </w:t>
      </w:r>
      <w:r>
        <w:t>ve</w:t>
      </w:r>
      <w:r>
        <w:rPr>
          <w:spacing w:val="-4"/>
        </w:rPr>
        <w:t xml:space="preserve"> </w:t>
      </w:r>
      <w:r>
        <w:t>evrenin</w:t>
      </w:r>
      <w:r>
        <w:rPr>
          <w:spacing w:val="-3"/>
        </w:rPr>
        <w:t xml:space="preserve"> </w:t>
      </w:r>
      <w:r>
        <w:t>nasıl işlediği konusunda ilginç bir perspektifi temsil eder. Her ikisi de insan deneyimini sorgulamamıza ve evrenin karmaşıklığına daha yakından bakmamıza yardımcı olabilir. Bu nedenle,</w:t>
      </w:r>
      <w:r>
        <w:rPr>
          <w:spacing w:val="-15"/>
        </w:rPr>
        <w:t xml:space="preserve"> </w:t>
      </w:r>
      <w:r>
        <w:t>sanal</w:t>
      </w:r>
      <w:r>
        <w:rPr>
          <w:spacing w:val="-14"/>
        </w:rPr>
        <w:t xml:space="preserve"> </w:t>
      </w:r>
      <w:r>
        <w:t>gerçeklik</w:t>
      </w:r>
      <w:r>
        <w:rPr>
          <w:spacing w:val="-14"/>
        </w:rPr>
        <w:t xml:space="preserve"> </w:t>
      </w:r>
      <w:r>
        <w:t>ve</w:t>
      </w:r>
      <w:r>
        <w:rPr>
          <w:spacing w:val="-15"/>
        </w:rPr>
        <w:t xml:space="preserve"> </w:t>
      </w:r>
      <w:r>
        <w:t>“Holografik</w:t>
      </w:r>
      <w:r>
        <w:rPr>
          <w:spacing w:val="-14"/>
        </w:rPr>
        <w:t xml:space="preserve"> </w:t>
      </w:r>
      <w:r>
        <w:t>Evren</w:t>
      </w:r>
      <w:r>
        <w:rPr>
          <w:spacing w:val="-14"/>
        </w:rPr>
        <w:t xml:space="preserve"> </w:t>
      </w:r>
      <w:r>
        <w:t>Teorisi”</w:t>
      </w:r>
      <w:r>
        <w:rPr>
          <w:spacing w:val="-15"/>
        </w:rPr>
        <w:t xml:space="preserve"> </w:t>
      </w:r>
      <w:r>
        <w:t>insan</w:t>
      </w:r>
      <w:r>
        <w:rPr>
          <w:spacing w:val="-14"/>
        </w:rPr>
        <w:t xml:space="preserve"> </w:t>
      </w:r>
      <w:r>
        <w:t>deneyimini</w:t>
      </w:r>
      <w:r>
        <w:rPr>
          <w:spacing w:val="-13"/>
        </w:rPr>
        <w:t xml:space="preserve"> </w:t>
      </w:r>
      <w:r>
        <w:t>ve</w:t>
      </w:r>
      <w:r>
        <w:rPr>
          <w:spacing w:val="-15"/>
        </w:rPr>
        <w:t xml:space="preserve"> </w:t>
      </w:r>
      <w:r>
        <w:t>evrenin</w:t>
      </w:r>
      <w:r>
        <w:rPr>
          <w:spacing w:val="-9"/>
        </w:rPr>
        <w:t xml:space="preserve"> </w:t>
      </w:r>
      <w:r>
        <w:t>yapısını anlama çabalarında önemli kavramları temsil etmektedir (Ferhat, 2016: 725).</w:t>
      </w:r>
    </w:p>
    <w:p w14:paraId="171745F2">
      <w:pPr>
        <w:pStyle w:val="4"/>
        <w:spacing w:before="240" w:after="240" w:line="360" w:lineRule="auto"/>
        <w:ind w:left="567" w:firstLine="0"/>
        <w:rPr>
          <w:i w:val="0"/>
        </w:rPr>
      </w:pPr>
      <w:bookmarkStart w:id="77" w:name="_Toc197351237"/>
      <w:bookmarkStart w:id="78" w:name="_Toc195877784"/>
      <w:bookmarkStart w:id="79" w:name="_Toc195875799"/>
      <w:r>
        <w:rPr>
          <w:i w:val="0"/>
        </w:rPr>
        <w:t>2.2.5. Artırılmış Gerçeklik</w:t>
      </w:r>
      <w:bookmarkEnd w:id="77"/>
      <w:bookmarkEnd w:id="78"/>
      <w:bookmarkEnd w:id="79"/>
    </w:p>
    <w:p w14:paraId="767F2294">
      <w:pPr>
        <w:pStyle w:val="9"/>
        <w:spacing w:before="120" w:after="120" w:line="360" w:lineRule="auto"/>
        <w:ind w:left="0" w:firstLine="567"/>
      </w:pPr>
      <w:r>
        <w:t>Artırılmış gerçeklik (Augmented Reality-AR), görüntüleri bilgisayar tarafından üretilen faydalı verilerle kaplayarak video veya fotoğraf görüntülerini birleştirme veya "artırma" işlemi</w:t>
      </w:r>
      <w:r>
        <w:rPr>
          <w:spacing w:val="-8"/>
        </w:rPr>
        <w:t xml:space="preserve"> </w:t>
      </w:r>
      <w:r>
        <w:t>olarak</w:t>
      </w:r>
      <w:r>
        <w:rPr>
          <w:spacing w:val="-9"/>
        </w:rPr>
        <w:t xml:space="preserve"> </w:t>
      </w:r>
      <w:r>
        <w:t>tanımlanmaktadır.</w:t>
      </w:r>
      <w:r>
        <w:rPr>
          <w:spacing w:val="-8"/>
        </w:rPr>
        <w:t xml:space="preserve"> </w:t>
      </w:r>
      <w:r>
        <w:t>Artırılmış</w:t>
      </w:r>
      <w:r>
        <w:rPr>
          <w:spacing w:val="-9"/>
        </w:rPr>
        <w:t xml:space="preserve"> </w:t>
      </w:r>
      <w:r>
        <w:t>gerçekliğin</w:t>
      </w:r>
      <w:r>
        <w:rPr>
          <w:spacing w:val="-9"/>
        </w:rPr>
        <w:t xml:space="preserve"> </w:t>
      </w:r>
      <w:r>
        <w:t>ilk</w:t>
      </w:r>
      <w:r>
        <w:rPr>
          <w:spacing w:val="-9"/>
        </w:rPr>
        <w:t xml:space="preserve"> </w:t>
      </w:r>
      <w:r>
        <w:t>uygulamaları,</w:t>
      </w:r>
      <w:r>
        <w:rPr>
          <w:spacing w:val="-7"/>
        </w:rPr>
        <w:t xml:space="preserve"> </w:t>
      </w:r>
      <w:r>
        <w:t>askeri</w:t>
      </w:r>
      <w:r>
        <w:rPr>
          <w:spacing w:val="-9"/>
        </w:rPr>
        <w:t xml:space="preserve"> </w:t>
      </w:r>
      <w:r>
        <w:t>uçaklarda</w:t>
      </w:r>
      <w:r>
        <w:rPr>
          <w:spacing w:val="-7"/>
        </w:rPr>
        <w:t xml:space="preserve"> </w:t>
      </w:r>
      <w:r>
        <w:t>ve tanklarda kullanılan, gösterge paneli tipi bilgilerin aynı kokpit kanopisine veya bir mürettebat</w:t>
      </w:r>
      <w:r>
        <w:rPr>
          <w:spacing w:val="-5"/>
        </w:rPr>
        <w:t xml:space="preserve"> </w:t>
      </w:r>
      <w:r>
        <w:t>üyesinin</w:t>
      </w:r>
      <w:r>
        <w:rPr>
          <w:spacing w:val="-6"/>
        </w:rPr>
        <w:t xml:space="preserve"> </w:t>
      </w:r>
      <w:r>
        <w:t>içinden</w:t>
      </w:r>
      <w:r>
        <w:rPr>
          <w:spacing w:val="-6"/>
        </w:rPr>
        <w:t xml:space="preserve"> </w:t>
      </w:r>
      <w:r>
        <w:t>dış</w:t>
      </w:r>
      <w:r>
        <w:rPr>
          <w:spacing w:val="-5"/>
        </w:rPr>
        <w:t xml:space="preserve"> </w:t>
      </w:r>
      <w:r>
        <w:t>çevreden</w:t>
      </w:r>
      <w:r>
        <w:rPr>
          <w:spacing w:val="-6"/>
        </w:rPr>
        <w:t xml:space="preserve"> </w:t>
      </w:r>
      <w:r>
        <w:t>oluşmaktadır.</w:t>
      </w:r>
      <w:r>
        <w:rPr>
          <w:spacing w:val="-6"/>
        </w:rPr>
        <w:t xml:space="preserve"> </w:t>
      </w:r>
      <w:r>
        <w:t>Daha</w:t>
      </w:r>
      <w:r>
        <w:rPr>
          <w:spacing w:val="-7"/>
        </w:rPr>
        <w:t xml:space="preserve"> </w:t>
      </w:r>
      <w:r>
        <w:t>hızlı</w:t>
      </w:r>
      <w:r>
        <w:rPr>
          <w:spacing w:val="-5"/>
        </w:rPr>
        <w:t xml:space="preserve"> </w:t>
      </w:r>
      <w:r>
        <w:t>bilgisayar</w:t>
      </w:r>
      <w:r>
        <w:rPr>
          <w:spacing w:val="-7"/>
        </w:rPr>
        <w:t xml:space="preserve"> </w:t>
      </w:r>
      <w:r>
        <w:t>işlemcileri,</w:t>
      </w:r>
      <w:r>
        <w:rPr>
          <w:spacing w:val="-5"/>
        </w:rPr>
        <w:t xml:space="preserve"> </w:t>
      </w:r>
      <w:r>
        <w:t>bu tür veri ekranlarını gerçek zamanlı video ile birleştirmeyi mümkün kıldı. Bu tür artırılmış gerçekliğin en eski ve en belirgin örnekleri arasında, ilk kez 1990’ların ortalarında Fox kanalının</w:t>
      </w:r>
      <w:r>
        <w:rPr>
          <w:spacing w:val="41"/>
        </w:rPr>
        <w:t xml:space="preserve"> </w:t>
      </w:r>
      <w:r>
        <w:t>ağında</w:t>
      </w:r>
      <w:r>
        <w:rPr>
          <w:spacing w:val="44"/>
        </w:rPr>
        <w:t xml:space="preserve"> </w:t>
      </w:r>
      <w:r>
        <w:t>gösterildiği</w:t>
      </w:r>
      <w:r>
        <w:rPr>
          <w:spacing w:val="43"/>
        </w:rPr>
        <w:t xml:space="preserve"> </w:t>
      </w:r>
      <w:r>
        <w:t>gibi,</w:t>
      </w:r>
      <w:r>
        <w:rPr>
          <w:spacing w:val="42"/>
        </w:rPr>
        <w:t xml:space="preserve"> </w:t>
      </w:r>
      <w:r>
        <w:t>Amerikan</w:t>
      </w:r>
      <w:r>
        <w:rPr>
          <w:spacing w:val="43"/>
        </w:rPr>
        <w:t xml:space="preserve"> </w:t>
      </w:r>
      <w:r>
        <w:t>futbol</w:t>
      </w:r>
      <w:r>
        <w:rPr>
          <w:spacing w:val="42"/>
        </w:rPr>
        <w:t xml:space="preserve"> </w:t>
      </w:r>
      <w:r>
        <w:t>sahalarının</w:t>
      </w:r>
      <w:r>
        <w:rPr>
          <w:spacing w:val="43"/>
        </w:rPr>
        <w:t xml:space="preserve"> </w:t>
      </w:r>
      <w:r>
        <w:t>ve</w:t>
      </w:r>
      <w:r>
        <w:rPr>
          <w:spacing w:val="42"/>
        </w:rPr>
        <w:t xml:space="preserve"> </w:t>
      </w:r>
      <w:r>
        <w:t>sanal</w:t>
      </w:r>
      <w:r>
        <w:rPr>
          <w:spacing w:val="42"/>
        </w:rPr>
        <w:t xml:space="preserve"> </w:t>
      </w:r>
      <w:r>
        <w:t>uçuş</w:t>
      </w:r>
      <w:r>
        <w:rPr>
          <w:spacing w:val="45"/>
        </w:rPr>
        <w:t xml:space="preserve"> </w:t>
      </w:r>
      <w:r>
        <w:rPr>
          <w:spacing w:val="-2"/>
        </w:rPr>
        <w:t>yollarının</w:t>
      </w:r>
      <w:r>
        <w:t xml:space="preserve"> televizyon görüntülerine bindirilmiş sarı ilk aşağı şeritler bulunmaktaydı. Anılan teknoloji ayrıca televizyon izleyicilerinin hokey diskleri ve golf toplarının yollarını izlemelerine yardımcı olmak için de kullanıldı (Hosch, 2022:56).</w:t>
      </w:r>
    </w:p>
    <w:p w14:paraId="10C44723">
      <w:pPr>
        <w:pStyle w:val="9"/>
        <w:spacing w:before="120" w:after="120" w:line="360" w:lineRule="auto"/>
        <w:ind w:left="0" w:firstLine="567"/>
      </w:pPr>
      <w:r>
        <w:t>Artırılmış</w:t>
      </w:r>
      <w:r>
        <w:rPr>
          <w:spacing w:val="-9"/>
        </w:rPr>
        <w:t xml:space="preserve"> </w:t>
      </w:r>
      <w:r>
        <w:t>gerçeklik,</w:t>
      </w:r>
      <w:r>
        <w:rPr>
          <w:spacing w:val="-9"/>
        </w:rPr>
        <w:t xml:space="preserve"> </w:t>
      </w:r>
      <w:r>
        <w:t>oyuncuların</w:t>
      </w:r>
      <w:r>
        <w:rPr>
          <w:spacing w:val="-9"/>
        </w:rPr>
        <w:t xml:space="preserve"> </w:t>
      </w:r>
      <w:r>
        <w:t>bakış</w:t>
      </w:r>
      <w:r>
        <w:rPr>
          <w:spacing w:val="-9"/>
        </w:rPr>
        <w:t xml:space="preserve"> </w:t>
      </w:r>
      <w:r>
        <w:t>açılarına</w:t>
      </w:r>
      <w:r>
        <w:rPr>
          <w:spacing w:val="-10"/>
        </w:rPr>
        <w:t xml:space="preserve"> </w:t>
      </w:r>
      <w:r>
        <w:t>çevre,</w:t>
      </w:r>
      <w:r>
        <w:rPr>
          <w:spacing w:val="-9"/>
        </w:rPr>
        <w:t xml:space="preserve"> </w:t>
      </w:r>
      <w:r>
        <w:t>sağlık</w:t>
      </w:r>
      <w:r>
        <w:rPr>
          <w:spacing w:val="-9"/>
        </w:rPr>
        <w:t xml:space="preserve"> </w:t>
      </w:r>
      <w:r>
        <w:t>ve</w:t>
      </w:r>
      <w:r>
        <w:rPr>
          <w:spacing w:val="-10"/>
        </w:rPr>
        <w:t xml:space="preserve"> </w:t>
      </w:r>
      <w:r>
        <w:t>diğer</w:t>
      </w:r>
      <w:r>
        <w:rPr>
          <w:spacing w:val="-10"/>
        </w:rPr>
        <w:t xml:space="preserve"> </w:t>
      </w:r>
      <w:r>
        <w:t>bilgileri</w:t>
      </w:r>
      <w:r>
        <w:rPr>
          <w:spacing w:val="-9"/>
        </w:rPr>
        <w:t xml:space="preserve"> </w:t>
      </w:r>
      <w:r>
        <w:t>eklemek</w:t>
      </w:r>
      <w:r>
        <w:rPr>
          <w:spacing w:val="-9"/>
        </w:rPr>
        <w:t xml:space="preserve"> </w:t>
      </w:r>
      <w:r>
        <w:t>için elektronik birinci şahıs nişancı oyunlarında yaygın olarak kullanılır. Bu bağlamda, çeşitli ordular, kişisel başa takılan vizörler kullanan gerçek askerlere benzer kaplamalar eklemeyi denemeye başladı. Cihazların vizöründen veya elektronik ekranlarından görülen belirli sitelerde bina adresleri, emlak işaretleri, perakende satış teklifleri ve restoran incelemeleri gibi bilgileri görüntülemek için akıllı telefonlar için artırılmış gerçeklik uygulamaları da geliştirildi. Bu tür bilgiler, ticari veya açık kaynaklı bir veri tabanına bağlı bir küresel konumlandırma sistemi (GPS) kullanılarak sağlanabilir. Bazı vizyonerler, hafif güneş gözlüklerine</w:t>
      </w:r>
      <w:r>
        <w:rPr>
          <w:spacing w:val="-13"/>
        </w:rPr>
        <w:t xml:space="preserve"> </w:t>
      </w:r>
      <w:r>
        <w:t>bu</w:t>
      </w:r>
      <w:r>
        <w:rPr>
          <w:spacing w:val="-12"/>
        </w:rPr>
        <w:t xml:space="preserve"> </w:t>
      </w:r>
      <w:r>
        <w:t>tür</w:t>
      </w:r>
      <w:r>
        <w:rPr>
          <w:spacing w:val="-12"/>
        </w:rPr>
        <w:t xml:space="preserve"> </w:t>
      </w:r>
      <w:r>
        <w:t>bilgilendirici</w:t>
      </w:r>
      <w:r>
        <w:rPr>
          <w:spacing w:val="-10"/>
        </w:rPr>
        <w:t xml:space="preserve"> </w:t>
      </w:r>
      <w:r>
        <w:t>ekranlar</w:t>
      </w:r>
      <w:r>
        <w:rPr>
          <w:spacing w:val="-12"/>
        </w:rPr>
        <w:t xml:space="preserve"> </w:t>
      </w:r>
      <w:r>
        <w:t>eklemenin</w:t>
      </w:r>
      <w:r>
        <w:rPr>
          <w:spacing w:val="-11"/>
        </w:rPr>
        <w:t xml:space="preserve"> </w:t>
      </w:r>
      <w:r>
        <w:t>bir</w:t>
      </w:r>
      <w:r>
        <w:rPr>
          <w:spacing w:val="-12"/>
        </w:rPr>
        <w:t xml:space="preserve"> </w:t>
      </w:r>
      <w:r>
        <w:t>sonraki</w:t>
      </w:r>
      <w:r>
        <w:rPr>
          <w:spacing w:val="-11"/>
        </w:rPr>
        <w:t xml:space="preserve"> </w:t>
      </w:r>
      <w:r>
        <w:t>adımını</w:t>
      </w:r>
      <w:r>
        <w:rPr>
          <w:spacing w:val="-13"/>
        </w:rPr>
        <w:t xml:space="preserve"> </w:t>
      </w:r>
      <w:r>
        <w:t>atmayı</w:t>
      </w:r>
      <w:r>
        <w:rPr>
          <w:spacing w:val="-11"/>
        </w:rPr>
        <w:t xml:space="preserve"> </w:t>
      </w:r>
      <w:r>
        <w:t>ummakta</w:t>
      </w:r>
      <w:r>
        <w:rPr>
          <w:spacing w:val="-12"/>
        </w:rPr>
        <w:t xml:space="preserve"> </w:t>
      </w:r>
      <w:r>
        <w:t>ve sosyal ağ savunucuları, bu tür ekranlara her türlü kişisel kimlik etiketinin eklenmesini öngörmektedir (Sahlsten, 2020:1310).</w:t>
      </w:r>
    </w:p>
    <w:p w14:paraId="532C250C">
      <w:pPr>
        <w:pStyle w:val="9"/>
        <w:spacing w:before="120" w:after="120" w:line="360" w:lineRule="auto"/>
        <w:ind w:left="0" w:firstLine="567"/>
      </w:pPr>
      <w:r>
        <w:t>Artırılmış gerçeklik de</w:t>
      </w:r>
      <w:r>
        <w:rPr>
          <w:spacing w:val="-1"/>
        </w:rPr>
        <w:t xml:space="preserve"> </w:t>
      </w:r>
      <w:r>
        <w:t>başlangıçta birçok yeni teknolojinin ilk kullanıldığı alan olan askeri sanayi ve teknoloji sayesinde gelişmiştir. Bu çerçevede, artırılmış gerçeklik marifetiyle kamera pilotun başıyla birlikte hareket ederek hem gece görüşünü güçlendirdi hem de pilotun görüş alanını kameradan gelen görüntülerle eşitlemesi için yeterli bir daldırma düzeyi sağladı. Sutherland, 1966'da Harvard Üniversitesi için DARPA'dan ayrıldığında, bilgisayar görüntüleri için bağlı bir ekran üzerinde çalışmaya başladı. Bu, bilgisayar tarafından</w:t>
      </w:r>
      <w:r>
        <w:rPr>
          <w:spacing w:val="-8"/>
        </w:rPr>
        <w:t xml:space="preserve"> </w:t>
      </w:r>
      <w:r>
        <w:t>üretilen</w:t>
      </w:r>
      <w:r>
        <w:rPr>
          <w:spacing w:val="-8"/>
        </w:rPr>
        <w:t xml:space="preserve"> </w:t>
      </w:r>
      <w:r>
        <w:t>grafik</w:t>
      </w:r>
      <w:r>
        <w:rPr>
          <w:spacing w:val="-5"/>
        </w:rPr>
        <w:t xml:space="preserve"> </w:t>
      </w:r>
      <w:r>
        <w:t>çıktıyı</w:t>
      </w:r>
      <w:r>
        <w:rPr>
          <w:spacing w:val="-7"/>
        </w:rPr>
        <w:t xml:space="preserve"> </w:t>
      </w:r>
      <w:r>
        <w:t>gösteren</w:t>
      </w:r>
      <w:r>
        <w:rPr>
          <w:spacing w:val="-5"/>
        </w:rPr>
        <w:t xml:space="preserve"> </w:t>
      </w:r>
      <w:r>
        <w:t>gözlüklerle,</w:t>
      </w:r>
      <w:r>
        <w:rPr>
          <w:spacing w:val="-8"/>
        </w:rPr>
        <w:t xml:space="preserve"> </w:t>
      </w:r>
      <w:r>
        <w:t>başa</w:t>
      </w:r>
      <w:r>
        <w:rPr>
          <w:spacing w:val="-9"/>
        </w:rPr>
        <w:t xml:space="preserve"> </w:t>
      </w:r>
      <w:r>
        <w:t>oturacak</w:t>
      </w:r>
      <w:r>
        <w:rPr>
          <w:spacing w:val="-8"/>
        </w:rPr>
        <w:t xml:space="preserve"> </w:t>
      </w:r>
      <w:r>
        <w:t>şekilde</w:t>
      </w:r>
      <w:r>
        <w:rPr>
          <w:spacing w:val="-9"/>
        </w:rPr>
        <w:t xml:space="preserve"> </w:t>
      </w:r>
      <w:r>
        <w:t>şekillendirilmiş bir</w:t>
      </w:r>
      <w:r>
        <w:rPr>
          <w:spacing w:val="-4"/>
        </w:rPr>
        <w:t xml:space="preserve"> </w:t>
      </w:r>
      <w:r>
        <w:t>aparattı.</w:t>
      </w:r>
      <w:r>
        <w:rPr>
          <w:spacing w:val="-4"/>
        </w:rPr>
        <w:t xml:space="preserve"> </w:t>
      </w:r>
      <w:r>
        <w:t>Ekran,</w:t>
      </w:r>
      <w:r>
        <w:rPr>
          <w:spacing w:val="-4"/>
        </w:rPr>
        <w:t xml:space="preserve"> </w:t>
      </w:r>
      <w:r>
        <w:t>rahatça</w:t>
      </w:r>
      <w:r>
        <w:rPr>
          <w:spacing w:val="-5"/>
        </w:rPr>
        <w:t xml:space="preserve"> </w:t>
      </w:r>
      <w:r>
        <w:t>taşınamayacak</w:t>
      </w:r>
      <w:r>
        <w:rPr>
          <w:spacing w:val="-4"/>
        </w:rPr>
        <w:t xml:space="preserve"> </w:t>
      </w:r>
      <w:r>
        <w:t>kadar</w:t>
      </w:r>
      <w:r>
        <w:rPr>
          <w:spacing w:val="-3"/>
        </w:rPr>
        <w:t xml:space="preserve"> </w:t>
      </w:r>
      <w:r>
        <w:t>ağır</w:t>
      </w:r>
      <w:r>
        <w:rPr>
          <w:spacing w:val="-4"/>
        </w:rPr>
        <w:t xml:space="preserve"> </w:t>
      </w:r>
      <w:r>
        <w:t>olduğu</w:t>
      </w:r>
      <w:r>
        <w:rPr>
          <w:spacing w:val="-4"/>
        </w:rPr>
        <w:t xml:space="preserve"> </w:t>
      </w:r>
      <w:r>
        <w:t>için</w:t>
      </w:r>
      <w:r>
        <w:rPr>
          <w:spacing w:val="-4"/>
        </w:rPr>
        <w:t xml:space="preserve"> </w:t>
      </w:r>
      <w:r>
        <w:t>bir</w:t>
      </w:r>
      <w:r>
        <w:rPr>
          <w:spacing w:val="-4"/>
        </w:rPr>
        <w:t xml:space="preserve"> </w:t>
      </w:r>
      <w:r>
        <w:t>süspansiyon</w:t>
      </w:r>
      <w:r>
        <w:rPr>
          <w:spacing w:val="-4"/>
        </w:rPr>
        <w:t xml:space="preserve"> </w:t>
      </w:r>
      <w:r>
        <w:t>sistemiyle yerinde tutuldu. Cihaza, kullanıcının kulaklarına yakın iki küçük CRT ekranı monte edildi ve aynalar görüntüleri gözlerine yansıtarak, kısa mesafeden rahatça izlenebilen stereo üç boyutlu</w:t>
      </w:r>
      <w:r>
        <w:rPr>
          <w:spacing w:val="-15"/>
        </w:rPr>
        <w:t xml:space="preserve"> </w:t>
      </w:r>
      <w:r>
        <w:t>bir</w:t>
      </w:r>
      <w:r>
        <w:rPr>
          <w:spacing w:val="-15"/>
        </w:rPr>
        <w:t xml:space="preserve"> </w:t>
      </w:r>
      <w:r>
        <w:t>görsel</w:t>
      </w:r>
      <w:r>
        <w:rPr>
          <w:spacing w:val="-15"/>
        </w:rPr>
        <w:t xml:space="preserve"> </w:t>
      </w:r>
      <w:r>
        <w:t>ortam</w:t>
      </w:r>
      <w:r>
        <w:rPr>
          <w:spacing w:val="-15"/>
        </w:rPr>
        <w:t xml:space="preserve"> </w:t>
      </w:r>
      <w:r>
        <w:t>yarattı.</w:t>
      </w:r>
      <w:r>
        <w:rPr>
          <w:spacing w:val="-15"/>
        </w:rPr>
        <w:t xml:space="preserve"> </w:t>
      </w:r>
      <w:r>
        <w:t>HMD</w:t>
      </w:r>
      <w:r>
        <w:rPr>
          <w:spacing w:val="-15"/>
        </w:rPr>
        <w:t xml:space="preserve"> </w:t>
      </w:r>
      <w:r>
        <w:t>ayrıca</w:t>
      </w:r>
      <w:r>
        <w:rPr>
          <w:spacing w:val="-15"/>
        </w:rPr>
        <w:t xml:space="preserve"> </w:t>
      </w:r>
      <w:r>
        <w:t>kullanıcının</w:t>
      </w:r>
      <w:r>
        <w:rPr>
          <w:spacing w:val="-15"/>
        </w:rPr>
        <w:t xml:space="preserve"> </w:t>
      </w:r>
      <w:r>
        <w:t>görüş</w:t>
      </w:r>
      <w:r>
        <w:rPr>
          <w:spacing w:val="-15"/>
        </w:rPr>
        <w:t xml:space="preserve"> </w:t>
      </w:r>
      <w:r>
        <w:t>alanı</w:t>
      </w:r>
      <w:r>
        <w:rPr>
          <w:spacing w:val="-15"/>
        </w:rPr>
        <w:t xml:space="preserve"> </w:t>
      </w:r>
      <w:r>
        <w:t>için</w:t>
      </w:r>
      <w:r>
        <w:rPr>
          <w:spacing w:val="-15"/>
        </w:rPr>
        <w:t xml:space="preserve"> </w:t>
      </w:r>
      <w:r>
        <w:t>doğru</w:t>
      </w:r>
      <w:r>
        <w:rPr>
          <w:spacing w:val="-15"/>
        </w:rPr>
        <w:t xml:space="preserve"> </w:t>
      </w:r>
      <w:r>
        <w:t>görüntülerin üretilmesi için kullanıcının nereye baktığını da takip etti. İzleyicinin görüntülenen sanal alana</w:t>
      </w:r>
      <w:r>
        <w:rPr>
          <w:spacing w:val="-15"/>
        </w:rPr>
        <w:t xml:space="preserve"> </w:t>
      </w:r>
      <w:r>
        <w:t>dalması,</w:t>
      </w:r>
      <w:r>
        <w:rPr>
          <w:spacing w:val="-15"/>
        </w:rPr>
        <w:t xml:space="preserve"> </w:t>
      </w:r>
      <w:r>
        <w:t>HMD’nin</w:t>
      </w:r>
      <w:r>
        <w:rPr>
          <w:spacing w:val="-15"/>
        </w:rPr>
        <w:t xml:space="preserve"> </w:t>
      </w:r>
      <w:r>
        <w:t>görsel</w:t>
      </w:r>
      <w:r>
        <w:rPr>
          <w:spacing w:val="-15"/>
        </w:rPr>
        <w:t xml:space="preserve"> </w:t>
      </w:r>
      <w:r>
        <w:t>izolasyonuyla</w:t>
      </w:r>
      <w:r>
        <w:rPr>
          <w:spacing w:val="-11"/>
        </w:rPr>
        <w:t xml:space="preserve"> </w:t>
      </w:r>
      <w:r>
        <w:t>yoğunlaştı,</w:t>
      </w:r>
      <w:r>
        <w:rPr>
          <w:spacing w:val="-15"/>
        </w:rPr>
        <w:t xml:space="preserve"> </w:t>
      </w:r>
      <w:r>
        <w:t>ancak</w:t>
      </w:r>
      <w:r>
        <w:rPr>
          <w:spacing w:val="-14"/>
        </w:rPr>
        <w:t xml:space="preserve"> </w:t>
      </w:r>
      <w:r>
        <w:t>diğer</w:t>
      </w:r>
      <w:r>
        <w:rPr>
          <w:spacing w:val="-15"/>
        </w:rPr>
        <w:t xml:space="preserve"> </w:t>
      </w:r>
      <w:r>
        <w:t>duyular</w:t>
      </w:r>
      <w:r>
        <w:rPr>
          <w:spacing w:val="-15"/>
        </w:rPr>
        <w:t xml:space="preserve"> </w:t>
      </w:r>
      <w:r>
        <w:t>aynı</w:t>
      </w:r>
      <w:r>
        <w:rPr>
          <w:spacing w:val="-15"/>
        </w:rPr>
        <w:t xml:space="preserve"> </w:t>
      </w:r>
      <w:r>
        <w:t>derecede izole edilmedi ve giyen kişi etrafta yürümeye devam edebildi (McLellan,1991:25).</w:t>
      </w:r>
    </w:p>
    <w:p w14:paraId="56BA0438">
      <w:pPr>
        <w:pStyle w:val="9"/>
        <w:spacing w:before="120" w:after="120" w:line="360" w:lineRule="auto"/>
        <w:ind w:left="0" w:firstLine="567"/>
      </w:pPr>
      <w:r>
        <w:t>Diğer yandan, uçuş simülatörleri, insan-bilgisayar arayüzleri ve artırılmış gerçeklik sistemlerindeki gelişmeler, yalnızca araştırma veya eğitim için değil, aynı zamanda geliştirilmiş performans için sürükleyici, gerçek zamanlı kontrol sistemlerinin olasılığına işaret etti. Elektrik mühendisi Thomas Furness, ABD Hava Kuvvetleri için 1960'larda kokpitlerde</w:t>
      </w:r>
      <w:r>
        <w:rPr>
          <w:spacing w:val="-13"/>
        </w:rPr>
        <w:t xml:space="preserve"> </w:t>
      </w:r>
      <w:r>
        <w:t>görsel</w:t>
      </w:r>
      <w:r>
        <w:rPr>
          <w:spacing w:val="-11"/>
        </w:rPr>
        <w:t xml:space="preserve"> </w:t>
      </w:r>
      <w:r>
        <w:t>göstergeler</w:t>
      </w:r>
      <w:r>
        <w:rPr>
          <w:spacing w:val="-15"/>
        </w:rPr>
        <w:t xml:space="preserve"> </w:t>
      </w:r>
      <w:r>
        <w:t>ve</w:t>
      </w:r>
      <w:r>
        <w:rPr>
          <w:spacing w:val="-15"/>
        </w:rPr>
        <w:t xml:space="preserve"> </w:t>
      </w:r>
      <w:r>
        <w:t>enstrümantasyon</w:t>
      </w:r>
      <w:r>
        <w:rPr>
          <w:spacing w:val="-12"/>
        </w:rPr>
        <w:t xml:space="preserve"> </w:t>
      </w:r>
      <w:r>
        <w:t>üzerinde</w:t>
      </w:r>
      <w:r>
        <w:rPr>
          <w:spacing w:val="-15"/>
        </w:rPr>
        <w:t xml:space="preserve"> </w:t>
      </w:r>
      <w:r>
        <w:t>çalışıyordu.</w:t>
      </w:r>
      <w:r>
        <w:rPr>
          <w:spacing w:val="-15"/>
        </w:rPr>
        <w:t xml:space="preserve"> </w:t>
      </w:r>
      <w:r>
        <w:t>1970'lerin</w:t>
      </w:r>
      <w:r>
        <w:rPr>
          <w:spacing w:val="-14"/>
        </w:rPr>
        <w:t xml:space="preserve"> </w:t>
      </w:r>
      <w:r>
        <w:t xml:space="preserve">sonunda, uçuş kontrolü için sanal arayüzler geliştirmeye başladı ve 1982'de, popüler Star Wars filmindeki zırhlı baş kötü adam için daha çok Darth Vader kaskı olarak bilinen “Visually Coupled Airborne Systems Simulator”u tanıttı. 1986'dan 1989'a kadar Furness, hava kuvvetlerinin Süper Kokpit programını yönetti. Bu projenin temel fikri, insan pilotların uzamsal bilgileri işleme kapasitesinin, bu verilerin "insanın doğal algı mekanizmalarından yararlanacak şekilde tasvir edilmesine" bağlı olduğuydu. HMD'yi bu amaca uygulayan Furness, bilgisayar tarafından oluşturulan üç boyutlu haritalar, ileriye dönük kızılötesi ve </w:t>
      </w:r>
      <w:r>
        <w:rPr>
          <w:spacing w:val="-2"/>
        </w:rPr>
        <w:t>radar görüntüleri ve</w:t>
      </w:r>
      <w:r>
        <w:rPr>
          <w:spacing w:val="-3"/>
        </w:rPr>
        <w:t xml:space="preserve"> </w:t>
      </w:r>
      <w:r>
        <w:rPr>
          <w:spacing w:val="-2"/>
        </w:rPr>
        <w:t>aviyonik verileri gibi bilgileri pilotun görüntüleyebileceği ve</w:t>
      </w:r>
      <w:r>
        <w:rPr>
          <w:spacing w:val="-3"/>
        </w:rPr>
        <w:t xml:space="preserve"> </w:t>
      </w:r>
      <w:r>
        <w:rPr>
          <w:spacing w:val="-2"/>
        </w:rPr>
        <w:t xml:space="preserve">sürükleyici </w:t>
      </w:r>
      <w:r>
        <w:t>bir üç boyutlu sanal alana yansıtan bir sistem tasarladı. Kaskın izleme sistemi, sesle çalıştırılan</w:t>
      </w:r>
      <w:r>
        <w:rPr>
          <w:spacing w:val="-15"/>
        </w:rPr>
        <w:t xml:space="preserve"> </w:t>
      </w:r>
      <w:r>
        <w:t>kontroller</w:t>
      </w:r>
      <w:r>
        <w:rPr>
          <w:spacing w:val="-15"/>
        </w:rPr>
        <w:t xml:space="preserve"> </w:t>
      </w:r>
      <w:r>
        <w:t>ve</w:t>
      </w:r>
      <w:r>
        <w:rPr>
          <w:spacing w:val="-15"/>
        </w:rPr>
        <w:t xml:space="preserve"> </w:t>
      </w:r>
      <w:r>
        <w:t>sensörler,</w:t>
      </w:r>
      <w:r>
        <w:rPr>
          <w:spacing w:val="-15"/>
        </w:rPr>
        <w:t xml:space="preserve"> </w:t>
      </w:r>
      <w:r>
        <w:t>pilotun</w:t>
      </w:r>
      <w:r>
        <w:rPr>
          <w:spacing w:val="-15"/>
        </w:rPr>
        <w:t xml:space="preserve"> </w:t>
      </w:r>
      <w:r>
        <w:t>uçağı</w:t>
      </w:r>
      <w:r>
        <w:rPr>
          <w:spacing w:val="-15"/>
        </w:rPr>
        <w:t xml:space="preserve"> </w:t>
      </w:r>
      <w:r>
        <w:t>jestler,</w:t>
      </w:r>
      <w:r>
        <w:rPr>
          <w:spacing w:val="-15"/>
        </w:rPr>
        <w:t xml:space="preserve"> </w:t>
      </w:r>
      <w:r>
        <w:t>ifadeler</w:t>
      </w:r>
      <w:r>
        <w:rPr>
          <w:spacing w:val="-15"/>
        </w:rPr>
        <w:t xml:space="preserve"> </w:t>
      </w:r>
      <w:r>
        <w:t>ve</w:t>
      </w:r>
      <w:r>
        <w:rPr>
          <w:spacing w:val="-15"/>
        </w:rPr>
        <w:t xml:space="preserve"> </w:t>
      </w:r>
      <w:r>
        <w:t>göz</w:t>
      </w:r>
      <w:r>
        <w:rPr>
          <w:spacing w:val="-15"/>
        </w:rPr>
        <w:t xml:space="preserve"> </w:t>
      </w:r>
      <w:r>
        <w:t>hareketleriyle</w:t>
      </w:r>
      <w:r>
        <w:rPr>
          <w:spacing w:val="-15"/>
        </w:rPr>
        <w:t xml:space="preserve"> </w:t>
      </w:r>
      <w:r>
        <w:t>kontrol etmesini sağlayarak veri dolu bir sanal alana dalmayı kontrol modalitelerine dönüştürdü. Daha doğal algısal arayüz, kokpitteki kontrollerin karmaşıklığını ve sayısını da azalttı. Böylece Süper Kokpit, pilotların veriler üzerinde uçtuğu sanal bir ortam yaratarak Licklider'ın</w:t>
      </w:r>
      <w:r>
        <w:rPr>
          <w:spacing w:val="-10"/>
        </w:rPr>
        <w:t xml:space="preserve"> </w:t>
      </w:r>
      <w:r>
        <w:t>insan-makine</w:t>
      </w:r>
      <w:r>
        <w:rPr>
          <w:spacing w:val="-11"/>
        </w:rPr>
        <w:t xml:space="preserve"> </w:t>
      </w:r>
      <w:r>
        <w:t>simbiyozu</w:t>
      </w:r>
      <w:r>
        <w:rPr>
          <w:spacing w:val="-10"/>
        </w:rPr>
        <w:t xml:space="preserve"> </w:t>
      </w:r>
      <w:r>
        <w:t>vizyonunu</w:t>
      </w:r>
      <w:r>
        <w:rPr>
          <w:spacing w:val="-8"/>
        </w:rPr>
        <w:t xml:space="preserve"> </w:t>
      </w:r>
      <w:r>
        <w:t>gerçekleştirdi.</w:t>
      </w:r>
      <w:r>
        <w:rPr>
          <w:spacing w:val="-11"/>
        </w:rPr>
        <w:t xml:space="preserve"> </w:t>
      </w:r>
      <w:r>
        <w:t>1987'den</w:t>
      </w:r>
      <w:r>
        <w:rPr>
          <w:spacing w:val="-10"/>
        </w:rPr>
        <w:t xml:space="preserve"> </w:t>
      </w:r>
      <w:r>
        <w:t>başlayarak,</w:t>
      </w:r>
      <w:r>
        <w:rPr>
          <w:spacing w:val="-8"/>
        </w:rPr>
        <w:t xml:space="preserve"> </w:t>
      </w:r>
      <w:r>
        <w:t>British Aerospace (artık BAE Systems'in bir parçası) HMD'yi baş, el ve göz izlemenin yanı sıra konuşma tanımayı da içeren Sanal Kokpit olarak bilinen benzer bir eğitim simülatörünün temeli olarak kullandı (Lowood, 2022:25).</w:t>
      </w:r>
    </w:p>
    <w:p w14:paraId="61B017E3">
      <w:pPr>
        <w:pStyle w:val="9"/>
        <w:spacing w:before="120" w:after="120" w:line="360" w:lineRule="auto"/>
        <w:ind w:left="0" w:firstLine="567"/>
      </w:pPr>
      <w:r>
        <w:t>Öte</w:t>
      </w:r>
      <w:r>
        <w:rPr>
          <w:spacing w:val="-15"/>
        </w:rPr>
        <w:t xml:space="preserve"> </w:t>
      </w:r>
      <w:r>
        <w:t>yandan,</w:t>
      </w:r>
      <w:r>
        <w:rPr>
          <w:spacing w:val="-15"/>
        </w:rPr>
        <w:t xml:space="preserve"> </w:t>
      </w:r>
      <w:r>
        <w:t>artırılmış</w:t>
      </w:r>
      <w:r>
        <w:rPr>
          <w:spacing w:val="-14"/>
        </w:rPr>
        <w:t xml:space="preserve"> </w:t>
      </w:r>
      <w:r>
        <w:t>gerçeklik</w:t>
      </w:r>
      <w:r>
        <w:rPr>
          <w:spacing w:val="-15"/>
        </w:rPr>
        <w:t xml:space="preserve"> </w:t>
      </w:r>
      <w:r>
        <w:t>günümüzde</w:t>
      </w:r>
      <w:r>
        <w:rPr>
          <w:spacing w:val="-15"/>
        </w:rPr>
        <w:t xml:space="preserve"> </w:t>
      </w:r>
      <w:r>
        <w:t>oldukça</w:t>
      </w:r>
      <w:r>
        <w:rPr>
          <w:spacing w:val="-15"/>
        </w:rPr>
        <w:t xml:space="preserve"> </w:t>
      </w:r>
      <w:r>
        <w:t>farklı</w:t>
      </w:r>
      <w:r>
        <w:rPr>
          <w:spacing w:val="-15"/>
        </w:rPr>
        <w:t xml:space="preserve"> </w:t>
      </w:r>
      <w:r>
        <w:t>alanlarda</w:t>
      </w:r>
      <w:r>
        <w:rPr>
          <w:spacing w:val="-15"/>
        </w:rPr>
        <w:t xml:space="preserve"> </w:t>
      </w:r>
      <w:r>
        <w:t>kullanılmaktadır. Yakın gelecekte şirketlerin karar verme ve iş prosedürlerini iyileştirmek için artırılmış gerçekliği daha yoğun bir şekilde kullanacakları beklenmektedir. Operatörler, sanal dünyada bir düğmeye tıklayarak makineleriyle etkileşime geçebilecek, parametrelerini değiştirebilecek ve işletim verilerini ve bakım talimatlarını alabilecektir. Artırılmış gerçeklik, endüstriyel tasarımcıların ürünlerinin tasarımını ve çalışmasını tamamlanmadan önce deneyimlemelerine</w:t>
      </w:r>
      <w:r>
        <w:rPr>
          <w:spacing w:val="-15"/>
        </w:rPr>
        <w:t xml:space="preserve"> </w:t>
      </w:r>
      <w:r>
        <w:t>yardımcı</w:t>
      </w:r>
      <w:r>
        <w:rPr>
          <w:spacing w:val="-15"/>
        </w:rPr>
        <w:t xml:space="preserve"> </w:t>
      </w:r>
      <w:r>
        <w:t>olabilmektedir.</w:t>
      </w:r>
      <w:r>
        <w:rPr>
          <w:spacing w:val="-15"/>
        </w:rPr>
        <w:t xml:space="preserve"> </w:t>
      </w:r>
      <w:r>
        <w:t>Volkswagen,</w:t>
      </w:r>
      <w:r>
        <w:rPr>
          <w:spacing w:val="-15"/>
        </w:rPr>
        <w:t xml:space="preserve"> </w:t>
      </w:r>
      <w:r>
        <w:t>tahmin</w:t>
      </w:r>
      <w:r>
        <w:rPr>
          <w:spacing w:val="-15"/>
        </w:rPr>
        <w:t xml:space="preserve"> </w:t>
      </w:r>
      <w:r>
        <w:t>edilen</w:t>
      </w:r>
      <w:r>
        <w:rPr>
          <w:spacing w:val="-15"/>
        </w:rPr>
        <w:t xml:space="preserve"> </w:t>
      </w:r>
      <w:r>
        <w:t>ve</w:t>
      </w:r>
      <w:r>
        <w:rPr>
          <w:spacing w:val="-15"/>
        </w:rPr>
        <w:t xml:space="preserve"> </w:t>
      </w:r>
      <w:r>
        <w:t>gerçek</w:t>
      </w:r>
      <w:r>
        <w:rPr>
          <w:spacing w:val="-15"/>
        </w:rPr>
        <w:t xml:space="preserve"> </w:t>
      </w:r>
      <w:r>
        <w:t>çarpışma testi</w:t>
      </w:r>
      <w:r>
        <w:rPr>
          <w:spacing w:val="74"/>
          <w:w w:val="150"/>
        </w:rPr>
        <w:t xml:space="preserve"> </w:t>
      </w:r>
      <w:r>
        <w:t>görüntülerini</w:t>
      </w:r>
      <w:r>
        <w:rPr>
          <w:spacing w:val="77"/>
          <w:w w:val="150"/>
        </w:rPr>
        <w:t xml:space="preserve"> </w:t>
      </w:r>
      <w:r>
        <w:t>karşılaştırmak</w:t>
      </w:r>
      <w:r>
        <w:rPr>
          <w:spacing w:val="76"/>
          <w:w w:val="150"/>
        </w:rPr>
        <w:t xml:space="preserve"> </w:t>
      </w:r>
      <w:r>
        <w:t>için</w:t>
      </w:r>
      <w:r>
        <w:rPr>
          <w:spacing w:val="75"/>
          <w:w w:val="150"/>
        </w:rPr>
        <w:t xml:space="preserve"> </w:t>
      </w:r>
      <w:r>
        <w:t>artırılmış</w:t>
      </w:r>
      <w:r>
        <w:rPr>
          <w:spacing w:val="77"/>
          <w:w w:val="150"/>
        </w:rPr>
        <w:t xml:space="preserve"> </w:t>
      </w:r>
      <w:r>
        <w:t>gerçeklik</w:t>
      </w:r>
      <w:r>
        <w:rPr>
          <w:spacing w:val="76"/>
          <w:w w:val="150"/>
        </w:rPr>
        <w:t xml:space="preserve"> </w:t>
      </w:r>
      <w:r>
        <w:t>kullanmaktadır.</w:t>
      </w:r>
      <w:r>
        <w:rPr>
          <w:spacing w:val="76"/>
          <w:w w:val="150"/>
        </w:rPr>
        <w:t xml:space="preserve"> </w:t>
      </w:r>
      <w:r>
        <w:rPr>
          <w:spacing w:val="-2"/>
        </w:rPr>
        <w:t>Artırılmış</w:t>
      </w:r>
      <w:r>
        <w:t xml:space="preserve"> gerçeklik ayrıca, bir arabanın gövde yapısını ve motor düzenini görselleştirmek ve araç üzerinde işlemler gerçekleştirmek için de kullanılabilmektedir. Artırılmış gerçeklikle, bir ürünün içindekileri paketi açmadan ön izleme yapma imkânı bulunmaktadır. Ekip üyeleri arasındaki iş birliği, artırılmış gerçeklik ve sanal katılımcılarla konferans yoluyla kolaylaştırılabilir. Aslında aynı ortamda olmayan çalışanlar, sanki aynı ortamdaymış gibi beyin fırtınası yapabilir ve tartışabilir, dokunmatik ekranlar ve grafikler aracılığıyla paylaşılan</w:t>
      </w:r>
      <w:r>
        <w:rPr>
          <w:spacing w:val="-1"/>
        </w:rPr>
        <w:t xml:space="preserve"> </w:t>
      </w:r>
      <w:r>
        <w:t>görselleştirmenin kullanıldığı toplantılar,</w:t>
      </w:r>
      <w:r>
        <w:rPr>
          <w:spacing w:val="-1"/>
        </w:rPr>
        <w:t xml:space="preserve"> </w:t>
      </w:r>
      <w:r>
        <w:t>etkileşimli dijital</w:t>
      </w:r>
      <w:r>
        <w:rPr>
          <w:spacing w:val="-1"/>
        </w:rPr>
        <w:t xml:space="preserve"> </w:t>
      </w:r>
      <w:r>
        <w:t>beyaz tahtaları, ortak tasarım alanlarını ve dağıtılmış kontrol odalarını içerebilir (Kahraman, 2022:10).</w:t>
      </w:r>
    </w:p>
    <w:p w14:paraId="63E9AFE9">
      <w:pPr>
        <w:pStyle w:val="9"/>
        <w:spacing w:before="120" w:after="120" w:line="360" w:lineRule="auto"/>
        <w:ind w:left="0" w:firstLine="567"/>
      </w:pPr>
      <w:r>
        <w:t>Artırılmış gerçeklik adını verdiğimiz bu yeni teknoloji, bilgisayar evreni ile gerçek evren arasındaki çizgiyi bulanıklaştırmaktadır. Görme, hissetme, dokunma, koklama ve işitme duyularımızın</w:t>
      </w:r>
      <w:r>
        <w:rPr>
          <w:spacing w:val="-15"/>
        </w:rPr>
        <w:t xml:space="preserve"> </w:t>
      </w:r>
      <w:r>
        <w:t>yaratılan</w:t>
      </w:r>
      <w:r>
        <w:rPr>
          <w:spacing w:val="-15"/>
        </w:rPr>
        <w:t xml:space="preserve"> </w:t>
      </w:r>
      <w:r>
        <w:t>yeni</w:t>
      </w:r>
      <w:r>
        <w:rPr>
          <w:spacing w:val="-15"/>
        </w:rPr>
        <w:t xml:space="preserve"> </w:t>
      </w:r>
      <w:r>
        <w:t>bir</w:t>
      </w:r>
      <w:r>
        <w:rPr>
          <w:spacing w:val="-15"/>
        </w:rPr>
        <w:t xml:space="preserve"> </w:t>
      </w:r>
      <w:r>
        <w:t>evrende</w:t>
      </w:r>
      <w:r>
        <w:rPr>
          <w:spacing w:val="-15"/>
        </w:rPr>
        <w:t xml:space="preserve"> </w:t>
      </w:r>
      <w:r>
        <w:t>harekete</w:t>
      </w:r>
      <w:r>
        <w:rPr>
          <w:spacing w:val="-15"/>
        </w:rPr>
        <w:t xml:space="preserve"> </w:t>
      </w:r>
      <w:r>
        <w:t>geçmesini</w:t>
      </w:r>
      <w:r>
        <w:rPr>
          <w:spacing w:val="-15"/>
        </w:rPr>
        <w:t xml:space="preserve"> </w:t>
      </w:r>
      <w:r>
        <w:t>sağlamaktadır.</w:t>
      </w:r>
      <w:r>
        <w:rPr>
          <w:spacing w:val="-15"/>
        </w:rPr>
        <w:t xml:space="preserve"> </w:t>
      </w:r>
      <w:r>
        <w:t>Yakın</w:t>
      </w:r>
      <w:r>
        <w:rPr>
          <w:spacing w:val="-15"/>
        </w:rPr>
        <w:t xml:space="preserve"> </w:t>
      </w:r>
      <w:r>
        <w:t>gelecekte, artırılmış gerçeklikle ağrıyan karnımızda olup bitenleri canlı olarak izleyebilecek, gözlüklerimizi veya başlığımızı takıp, arkadaşlarımızla gerçek zamanlı olarak dünyanın herhangi</w:t>
      </w:r>
      <w:r>
        <w:rPr>
          <w:spacing w:val="-1"/>
        </w:rPr>
        <w:t xml:space="preserve"> </w:t>
      </w:r>
      <w:r>
        <w:t>bir yerine</w:t>
      </w:r>
      <w:r>
        <w:rPr>
          <w:spacing w:val="-2"/>
        </w:rPr>
        <w:t xml:space="preserve"> </w:t>
      </w:r>
      <w:r>
        <w:t>seyahat</w:t>
      </w:r>
      <w:r>
        <w:rPr>
          <w:spacing w:val="-1"/>
        </w:rPr>
        <w:t xml:space="preserve"> </w:t>
      </w:r>
      <w:r>
        <w:t>edebilecek</w:t>
      </w:r>
      <w:r>
        <w:rPr>
          <w:spacing w:val="-1"/>
        </w:rPr>
        <w:t xml:space="preserve"> </w:t>
      </w:r>
      <w:r>
        <w:t>veya</w:t>
      </w:r>
      <w:r>
        <w:rPr>
          <w:spacing w:val="-2"/>
        </w:rPr>
        <w:t xml:space="preserve"> </w:t>
      </w:r>
      <w:r>
        <w:t>strateji</w:t>
      </w:r>
      <w:r>
        <w:rPr>
          <w:spacing w:val="-1"/>
        </w:rPr>
        <w:t xml:space="preserve"> </w:t>
      </w:r>
      <w:r>
        <w:t>oyunu</w:t>
      </w:r>
      <w:r>
        <w:rPr>
          <w:spacing w:val="-1"/>
        </w:rPr>
        <w:t xml:space="preserve"> </w:t>
      </w:r>
      <w:r>
        <w:t>oynamak</w:t>
      </w:r>
      <w:r>
        <w:rPr>
          <w:spacing w:val="-2"/>
        </w:rPr>
        <w:t xml:space="preserve"> </w:t>
      </w:r>
      <w:r>
        <w:t>mümkün</w:t>
      </w:r>
      <w:r>
        <w:rPr>
          <w:spacing w:val="-1"/>
        </w:rPr>
        <w:t xml:space="preserve"> </w:t>
      </w:r>
      <w:r>
        <w:t>olabilecektir. Bundan da önemlisi insanın hayal gücü bu teknolojiyle birleşerek gündelik hayatı kolaylaştıracak ürünler ortaya konulabilmektedir (İçten ve Bal,2017:134).</w:t>
      </w:r>
    </w:p>
    <w:p w14:paraId="7F00A8A7">
      <w:pPr>
        <w:pStyle w:val="3"/>
        <w:tabs>
          <w:tab w:val="left" w:pos="580"/>
        </w:tabs>
        <w:spacing w:before="240" w:after="240" w:line="360" w:lineRule="auto"/>
        <w:ind w:left="567"/>
      </w:pPr>
      <w:bookmarkStart w:id="80" w:name="_Toc195877785"/>
      <w:bookmarkStart w:id="81" w:name="_Toc197351238"/>
      <w:bookmarkStart w:id="82" w:name="_Toc195875800"/>
      <w:r>
        <w:t xml:space="preserve">2.3. Sanal </w:t>
      </w:r>
      <w:r>
        <w:rPr>
          <w:spacing w:val="-2"/>
        </w:rPr>
        <w:t>Rekreasyon</w:t>
      </w:r>
      <w:bookmarkEnd w:id="80"/>
      <w:bookmarkEnd w:id="81"/>
      <w:bookmarkEnd w:id="82"/>
    </w:p>
    <w:p w14:paraId="63E2422A">
      <w:pPr>
        <w:pStyle w:val="9"/>
        <w:spacing w:before="120" w:after="120" w:line="360" w:lineRule="auto"/>
        <w:ind w:left="0" w:firstLine="567"/>
      </w:pPr>
      <w:r>
        <w:t>Sanal</w:t>
      </w:r>
      <w:r>
        <w:rPr>
          <w:spacing w:val="-14"/>
        </w:rPr>
        <w:t xml:space="preserve"> </w:t>
      </w:r>
      <w:r>
        <w:t>rekreasyon</w:t>
      </w:r>
      <w:r>
        <w:rPr>
          <w:spacing w:val="-14"/>
        </w:rPr>
        <w:t xml:space="preserve"> </w:t>
      </w:r>
      <w:r>
        <w:t>“bireylerin</w:t>
      </w:r>
      <w:r>
        <w:rPr>
          <w:spacing w:val="-14"/>
        </w:rPr>
        <w:t xml:space="preserve"> </w:t>
      </w:r>
      <w:r>
        <w:t>boş</w:t>
      </w:r>
      <w:r>
        <w:rPr>
          <w:spacing w:val="-14"/>
        </w:rPr>
        <w:t xml:space="preserve"> </w:t>
      </w:r>
      <w:r>
        <w:t>zamanlarında</w:t>
      </w:r>
      <w:r>
        <w:rPr>
          <w:spacing w:val="-15"/>
        </w:rPr>
        <w:t xml:space="preserve"> </w:t>
      </w:r>
      <w:r>
        <w:t>elektronik</w:t>
      </w:r>
      <w:r>
        <w:rPr>
          <w:spacing w:val="-14"/>
        </w:rPr>
        <w:t xml:space="preserve"> </w:t>
      </w:r>
      <w:r>
        <w:t>boş</w:t>
      </w:r>
      <w:r>
        <w:rPr>
          <w:spacing w:val="-14"/>
        </w:rPr>
        <w:t xml:space="preserve"> </w:t>
      </w:r>
      <w:r>
        <w:t>zaman</w:t>
      </w:r>
      <w:r>
        <w:rPr>
          <w:spacing w:val="-15"/>
        </w:rPr>
        <w:t xml:space="preserve"> </w:t>
      </w:r>
      <w:r>
        <w:t>aktivitelerine</w:t>
      </w:r>
      <w:r>
        <w:rPr>
          <w:spacing w:val="-15"/>
        </w:rPr>
        <w:t xml:space="preserve"> </w:t>
      </w:r>
      <w:r>
        <w:t>katılması ve bu aktiviteleri deneyimlemesi” şeklinde tanımlanmaktadır. Diğer bir tanımda sanal rekreasyon, “zaman ve mekân bağımlılığı olmadan, insanda gerçekmiş hissi yaratarak olağanüstü deneyimler sunan, gönüllü ve ücret ödeme zorunluluğu olmadan da gerçekleşebilen deneyimlerin tümü” şeklinde açıklanmıştır (Güncan, 2021: 66).</w:t>
      </w:r>
    </w:p>
    <w:p w14:paraId="739D6C6F">
      <w:pPr>
        <w:pStyle w:val="9"/>
        <w:spacing w:before="120" w:after="120" w:line="360" w:lineRule="auto"/>
        <w:ind w:left="0" w:firstLine="567"/>
      </w:pPr>
      <w:r>
        <w:t>Sanal rekreasyon kavramı, daha önceden çevrimiçi rekreasyon (Whitty ve McLaughlin, 2007:</w:t>
      </w:r>
      <w:r>
        <w:rPr>
          <w:spacing w:val="-1"/>
        </w:rPr>
        <w:t xml:space="preserve"> </w:t>
      </w:r>
      <w:r>
        <w:t>1435) ya</w:t>
      </w:r>
      <w:r>
        <w:rPr>
          <w:spacing w:val="-2"/>
        </w:rPr>
        <w:t xml:space="preserve"> </w:t>
      </w:r>
      <w:r>
        <w:t>da</w:t>
      </w:r>
      <w:r>
        <w:rPr>
          <w:spacing w:val="-2"/>
        </w:rPr>
        <w:t xml:space="preserve"> </w:t>
      </w:r>
      <w:r>
        <w:t>dijital rekreasyon</w:t>
      </w:r>
      <w:r>
        <w:rPr>
          <w:spacing w:val="-1"/>
        </w:rPr>
        <w:t xml:space="preserve"> </w:t>
      </w:r>
      <w:r>
        <w:t>şeklinde adlandırılarak</w:t>
      </w:r>
      <w:r>
        <w:rPr>
          <w:spacing w:val="-1"/>
        </w:rPr>
        <w:t xml:space="preserve"> </w:t>
      </w:r>
      <w:r>
        <w:t>ele</w:t>
      </w:r>
      <w:r>
        <w:rPr>
          <w:spacing w:val="-2"/>
        </w:rPr>
        <w:t xml:space="preserve"> </w:t>
      </w:r>
      <w:r>
        <w:t>alınmış</w:t>
      </w:r>
      <w:r>
        <w:rPr>
          <w:spacing w:val="-1"/>
        </w:rPr>
        <w:t xml:space="preserve"> </w:t>
      </w:r>
      <w:r>
        <w:t>olsa</w:t>
      </w:r>
      <w:r>
        <w:rPr>
          <w:spacing w:val="-2"/>
        </w:rPr>
        <w:t xml:space="preserve"> </w:t>
      </w:r>
      <w:r>
        <w:t>da günümüzde özellikle Covid-19 ve sosyal izolasyonla zorunlu kısıtlamalar nedeniyle ciddi bir önem kazanmıştır ve üzerine yapılan çalışmalar artış göstermiştir (Aylan ve Aylan, 2020: 2746).</w:t>
      </w:r>
    </w:p>
    <w:p w14:paraId="69913492">
      <w:pPr>
        <w:pStyle w:val="4"/>
        <w:spacing w:before="240" w:after="240" w:line="360" w:lineRule="auto"/>
        <w:ind w:left="567" w:firstLine="0"/>
        <w:rPr>
          <w:i w:val="0"/>
        </w:rPr>
      </w:pPr>
      <w:bookmarkStart w:id="83" w:name="_Toc197351239"/>
      <w:bookmarkStart w:id="84" w:name="_Toc195877786"/>
      <w:r>
        <w:rPr>
          <w:i w:val="0"/>
        </w:rPr>
        <w:t xml:space="preserve">2.3.1. </w:t>
      </w:r>
      <w:bookmarkStart w:id="85" w:name="_Toc195875801"/>
      <w:r>
        <w:rPr>
          <w:i w:val="0"/>
        </w:rPr>
        <w:t>Elektronik Boş Zaman</w:t>
      </w:r>
      <w:bookmarkEnd w:id="83"/>
      <w:bookmarkEnd w:id="84"/>
      <w:bookmarkEnd w:id="85"/>
    </w:p>
    <w:p w14:paraId="66C170BD">
      <w:pPr>
        <w:pStyle w:val="9"/>
        <w:spacing w:before="120" w:after="120" w:line="360" w:lineRule="auto"/>
        <w:ind w:left="0" w:firstLine="567"/>
      </w:pPr>
      <w:r>
        <w:t>Bireyin sahip olduğu zaman genellikle “iş” kavramıyla ilişkilendirilmekte olup, bireylerin yaşadığı yerler</w:t>
      </w:r>
      <w:r>
        <w:rPr>
          <w:spacing w:val="-4"/>
        </w:rPr>
        <w:t xml:space="preserve"> </w:t>
      </w:r>
      <w:r>
        <w:t>ile</w:t>
      </w:r>
      <w:r>
        <w:rPr>
          <w:spacing w:val="-5"/>
        </w:rPr>
        <w:t xml:space="preserve"> </w:t>
      </w:r>
      <w:r>
        <w:t>işyerlerinin</w:t>
      </w:r>
      <w:r>
        <w:rPr>
          <w:spacing w:val="-4"/>
        </w:rPr>
        <w:t xml:space="preserve"> </w:t>
      </w:r>
      <w:r>
        <w:t>birbirinden</w:t>
      </w:r>
      <w:r>
        <w:rPr>
          <w:spacing w:val="-4"/>
        </w:rPr>
        <w:t xml:space="preserve"> </w:t>
      </w:r>
      <w:r>
        <w:t>net</w:t>
      </w:r>
      <w:r>
        <w:rPr>
          <w:spacing w:val="-4"/>
        </w:rPr>
        <w:t xml:space="preserve"> </w:t>
      </w:r>
      <w:r>
        <w:t>bir</w:t>
      </w:r>
      <w:r>
        <w:rPr>
          <w:spacing w:val="-4"/>
        </w:rPr>
        <w:t xml:space="preserve"> </w:t>
      </w:r>
      <w:r>
        <w:t>şekilde</w:t>
      </w:r>
      <w:r>
        <w:rPr>
          <w:spacing w:val="-5"/>
        </w:rPr>
        <w:t xml:space="preserve"> </w:t>
      </w:r>
      <w:r>
        <w:t>ayrılması</w:t>
      </w:r>
      <w:r>
        <w:rPr>
          <w:spacing w:val="-4"/>
        </w:rPr>
        <w:t xml:space="preserve"> </w:t>
      </w:r>
      <w:r>
        <w:t>nedeniyle</w:t>
      </w:r>
      <w:r>
        <w:rPr>
          <w:spacing w:val="-5"/>
        </w:rPr>
        <w:t xml:space="preserve"> </w:t>
      </w:r>
      <w:r>
        <w:t>çalışma</w:t>
      </w:r>
      <w:r>
        <w:rPr>
          <w:spacing w:val="-4"/>
        </w:rPr>
        <w:t xml:space="preserve"> </w:t>
      </w:r>
      <w:r>
        <w:t>süresi birey ve evdeki zorunlu işler için belirli bir süre olmaya başlamıştır. Kalan bu süre “boş zaman”, “serbest zaman” ve “çalışma dışı zaman” olarak anılmıştır (Demiray, 1986: 1).</w:t>
      </w:r>
    </w:p>
    <w:p w14:paraId="6635E5C1">
      <w:pPr>
        <w:pStyle w:val="9"/>
        <w:spacing w:before="120" w:after="120" w:line="360" w:lineRule="auto"/>
        <w:ind w:left="0" w:firstLine="567"/>
      </w:pPr>
      <w:r>
        <w:t>Literatürde çalışma zamanı ve çalışma dışı zamana ilişkin birçok çalışma yapılmıştır. Bu çalışmalarda iş ve boş zaman arasındaki ilişki ortaya konmaya çalışılmış ve zaman çeşitli türlere ayrılmıştır. Buna göre zaman,</w:t>
      </w:r>
    </w:p>
    <w:p w14:paraId="58B2DB2B">
      <w:pPr>
        <w:pStyle w:val="28"/>
        <w:numPr>
          <w:ilvl w:val="0"/>
          <w:numId w:val="6"/>
        </w:numPr>
        <w:tabs>
          <w:tab w:val="left" w:pos="879"/>
        </w:tabs>
        <w:spacing w:before="120" w:after="120" w:line="360" w:lineRule="auto"/>
        <w:ind w:left="0" w:firstLine="567"/>
        <w:jc w:val="both"/>
        <w:rPr>
          <w:sz w:val="24"/>
        </w:rPr>
      </w:pPr>
      <w:r>
        <w:rPr>
          <w:sz w:val="24"/>
        </w:rPr>
        <w:t>Varoluşla</w:t>
      </w:r>
      <w:r>
        <w:rPr>
          <w:spacing w:val="-4"/>
          <w:sz w:val="24"/>
        </w:rPr>
        <w:t xml:space="preserve"> </w:t>
      </w:r>
      <w:r>
        <w:rPr>
          <w:sz w:val="24"/>
        </w:rPr>
        <w:t>ilgili</w:t>
      </w:r>
      <w:r>
        <w:rPr>
          <w:spacing w:val="-2"/>
          <w:sz w:val="24"/>
        </w:rPr>
        <w:t xml:space="preserve"> zaman,</w:t>
      </w:r>
    </w:p>
    <w:p w14:paraId="41F1CB59">
      <w:pPr>
        <w:pStyle w:val="28"/>
        <w:numPr>
          <w:ilvl w:val="0"/>
          <w:numId w:val="6"/>
        </w:numPr>
        <w:tabs>
          <w:tab w:val="left" w:pos="879"/>
        </w:tabs>
        <w:spacing w:before="120" w:after="120" w:line="360" w:lineRule="auto"/>
        <w:ind w:left="0" w:firstLine="567"/>
        <w:jc w:val="both"/>
        <w:rPr>
          <w:sz w:val="24"/>
        </w:rPr>
      </w:pPr>
      <w:r>
        <w:rPr>
          <w:sz w:val="24"/>
        </w:rPr>
        <w:t>Geçimle</w:t>
      </w:r>
      <w:r>
        <w:rPr>
          <w:spacing w:val="-3"/>
          <w:sz w:val="24"/>
        </w:rPr>
        <w:t xml:space="preserve"> </w:t>
      </w:r>
      <w:r>
        <w:rPr>
          <w:sz w:val="24"/>
        </w:rPr>
        <w:t>ilgili</w:t>
      </w:r>
      <w:r>
        <w:rPr>
          <w:spacing w:val="-2"/>
          <w:sz w:val="24"/>
        </w:rPr>
        <w:t xml:space="preserve"> zaman,</w:t>
      </w:r>
    </w:p>
    <w:p w14:paraId="74229236">
      <w:pPr>
        <w:pStyle w:val="28"/>
        <w:numPr>
          <w:ilvl w:val="0"/>
          <w:numId w:val="6"/>
        </w:numPr>
        <w:tabs>
          <w:tab w:val="left" w:pos="879"/>
        </w:tabs>
        <w:spacing w:before="120" w:after="120" w:line="360" w:lineRule="auto"/>
        <w:ind w:left="0" w:firstLine="567"/>
        <w:jc w:val="both"/>
        <w:rPr>
          <w:sz w:val="24"/>
        </w:rPr>
      </w:pPr>
      <w:r>
        <w:rPr>
          <w:sz w:val="24"/>
        </w:rPr>
        <w:t>Boş zaman olarak</w:t>
      </w:r>
      <w:r>
        <w:rPr>
          <w:spacing w:val="-15"/>
          <w:sz w:val="24"/>
        </w:rPr>
        <w:t xml:space="preserve"> </w:t>
      </w:r>
      <w:r>
        <w:rPr>
          <w:sz w:val="24"/>
        </w:rPr>
        <w:t>üçe</w:t>
      </w:r>
      <w:r>
        <w:rPr>
          <w:spacing w:val="-15"/>
          <w:sz w:val="24"/>
        </w:rPr>
        <w:t xml:space="preserve"> </w:t>
      </w:r>
      <w:r>
        <w:rPr>
          <w:sz w:val="24"/>
        </w:rPr>
        <w:t>ayrılmıştır.</w:t>
      </w:r>
    </w:p>
    <w:p w14:paraId="4084E022">
      <w:pPr>
        <w:pStyle w:val="9"/>
        <w:spacing w:before="120" w:after="120" w:line="360" w:lineRule="auto"/>
        <w:ind w:left="0" w:firstLine="567"/>
      </w:pPr>
      <w:r>
        <w:t>Bu zaman türlerinden biri yemek yeme, uyuma ve vücut temizliği gibi kişisel bakımla ilgiliyken; geçim süresi, bir kişinin işyerinde çalıştığı çalışma süresini ifade etmekte ve işe ilişkin faaliyetleri içermektedir. Serbest zaman ise bu iki zamanın dışında kalan ve kişinin özgürce değerlendirebildiği zaman dilimini anlatmaktadır (Çakır, 2017: 6).</w:t>
      </w:r>
    </w:p>
    <w:p w14:paraId="4063BA07">
      <w:pPr>
        <w:pStyle w:val="9"/>
        <w:spacing w:before="120" w:after="120" w:line="360" w:lineRule="auto"/>
        <w:ind w:left="0" w:firstLine="567"/>
      </w:pPr>
      <w:r>
        <w:t>Boş</w:t>
      </w:r>
      <w:r>
        <w:rPr>
          <w:spacing w:val="-7"/>
        </w:rPr>
        <w:t xml:space="preserve"> </w:t>
      </w:r>
      <w:r>
        <w:t>zaman</w:t>
      </w:r>
      <w:r>
        <w:rPr>
          <w:spacing w:val="-7"/>
        </w:rPr>
        <w:t xml:space="preserve"> </w:t>
      </w:r>
      <w:r>
        <w:t>kavramının</w:t>
      </w:r>
      <w:r>
        <w:rPr>
          <w:spacing w:val="-6"/>
        </w:rPr>
        <w:t xml:space="preserve"> </w:t>
      </w:r>
      <w:r>
        <w:t>tanımına</w:t>
      </w:r>
      <w:r>
        <w:rPr>
          <w:spacing w:val="-7"/>
        </w:rPr>
        <w:t xml:space="preserve"> </w:t>
      </w:r>
      <w:r>
        <w:t>ilişkin</w:t>
      </w:r>
      <w:r>
        <w:rPr>
          <w:spacing w:val="-7"/>
        </w:rPr>
        <w:t xml:space="preserve"> </w:t>
      </w:r>
      <w:r>
        <w:t>literatürde</w:t>
      </w:r>
      <w:r>
        <w:rPr>
          <w:spacing w:val="-6"/>
        </w:rPr>
        <w:t xml:space="preserve"> </w:t>
      </w:r>
      <w:r>
        <w:t>farklı</w:t>
      </w:r>
      <w:r>
        <w:rPr>
          <w:spacing w:val="-2"/>
        </w:rPr>
        <w:t xml:space="preserve"> </w:t>
      </w:r>
      <w:r>
        <w:t>yaklaşımlar</w:t>
      </w:r>
      <w:r>
        <w:rPr>
          <w:spacing w:val="-5"/>
        </w:rPr>
        <w:t xml:space="preserve"> </w:t>
      </w:r>
      <w:r>
        <w:t>da</w:t>
      </w:r>
      <w:r>
        <w:rPr>
          <w:spacing w:val="-6"/>
        </w:rPr>
        <w:t xml:space="preserve"> </w:t>
      </w:r>
      <w:r>
        <w:t>ortaya</w:t>
      </w:r>
      <w:r>
        <w:rPr>
          <w:spacing w:val="-3"/>
        </w:rPr>
        <w:t xml:space="preserve"> </w:t>
      </w:r>
      <w:r>
        <w:t xml:space="preserve">konulmuştur </w:t>
      </w:r>
      <w:r>
        <w:rPr>
          <w:spacing w:val="-2"/>
        </w:rPr>
        <w:t>(Argan,</w:t>
      </w:r>
      <w:r>
        <w:rPr>
          <w:spacing w:val="-7"/>
        </w:rPr>
        <w:t xml:space="preserve"> </w:t>
      </w:r>
      <w:r>
        <w:rPr>
          <w:spacing w:val="-2"/>
        </w:rPr>
        <w:t>2007:</w:t>
      </w:r>
      <w:r>
        <w:rPr>
          <w:spacing w:val="-5"/>
        </w:rPr>
        <w:t xml:space="preserve"> </w:t>
      </w:r>
      <w:r>
        <w:rPr>
          <w:spacing w:val="-2"/>
        </w:rPr>
        <w:t>13).</w:t>
      </w:r>
      <w:r>
        <w:rPr>
          <w:spacing w:val="-4"/>
        </w:rPr>
        <w:t xml:space="preserve"> </w:t>
      </w:r>
      <w:r>
        <w:rPr>
          <w:spacing w:val="-2"/>
        </w:rPr>
        <w:t>Buna</w:t>
      </w:r>
      <w:r>
        <w:rPr>
          <w:spacing w:val="-4"/>
        </w:rPr>
        <w:t xml:space="preserve"> </w:t>
      </w:r>
      <w:r>
        <w:rPr>
          <w:spacing w:val="-2"/>
        </w:rPr>
        <w:t>göre</w:t>
      </w:r>
      <w:r>
        <w:rPr>
          <w:spacing w:val="-8"/>
        </w:rPr>
        <w:t xml:space="preserve"> </w:t>
      </w:r>
      <w:r>
        <w:rPr>
          <w:spacing w:val="-2"/>
        </w:rPr>
        <w:t>serbest</w:t>
      </w:r>
      <w:r>
        <w:rPr>
          <w:spacing w:val="-5"/>
        </w:rPr>
        <w:t xml:space="preserve"> </w:t>
      </w:r>
      <w:r>
        <w:rPr>
          <w:spacing w:val="-2"/>
        </w:rPr>
        <w:t>zaman,</w:t>
      </w:r>
      <w:r>
        <w:rPr>
          <w:spacing w:val="-7"/>
        </w:rPr>
        <w:t xml:space="preserve"> </w:t>
      </w:r>
      <w:r>
        <w:rPr>
          <w:spacing w:val="-2"/>
        </w:rPr>
        <w:t>“bireyin</w:t>
      </w:r>
      <w:r>
        <w:rPr>
          <w:spacing w:val="-7"/>
        </w:rPr>
        <w:t xml:space="preserve"> </w:t>
      </w:r>
      <w:r>
        <w:rPr>
          <w:spacing w:val="-2"/>
        </w:rPr>
        <w:t>iş</w:t>
      </w:r>
      <w:r>
        <w:rPr>
          <w:spacing w:val="-5"/>
        </w:rPr>
        <w:t xml:space="preserve"> </w:t>
      </w:r>
      <w:r>
        <w:rPr>
          <w:spacing w:val="-2"/>
        </w:rPr>
        <w:t>ve yaşamla</w:t>
      </w:r>
      <w:r>
        <w:rPr>
          <w:spacing w:val="-8"/>
        </w:rPr>
        <w:t xml:space="preserve"> </w:t>
      </w:r>
      <w:r>
        <w:rPr>
          <w:spacing w:val="-2"/>
        </w:rPr>
        <w:t>ilgili</w:t>
      </w:r>
      <w:r>
        <w:rPr>
          <w:spacing w:val="-5"/>
        </w:rPr>
        <w:t xml:space="preserve"> </w:t>
      </w:r>
      <w:r>
        <w:rPr>
          <w:spacing w:val="-2"/>
        </w:rPr>
        <w:t>zorunlu</w:t>
      </w:r>
      <w:r>
        <w:rPr>
          <w:spacing w:val="-7"/>
        </w:rPr>
        <w:t xml:space="preserve"> </w:t>
      </w:r>
      <w:r>
        <w:rPr>
          <w:spacing w:val="-2"/>
        </w:rPr>
        <w:t xml:space="preserve">sorumluluk </w:t>
      </w:r>
      <w:r>
        <w:t>ve</w:t>
      </w:r>
      <w:r>
        <w:rPr>
          <w:spacing w:val="-2"/>
        </w:rPr>
        <w:t xml:space="preserve"> </w:t>
      </w:r>
      <w:r>
        <w:t>görevlerini yerine</w:t>
      </w:r>
      <w:r>
        <w:rPr>
          <w:spacing w:val="-2"/>
        </w:rPr>
        <w:t xml:space="preserve"> </w:t>
      </w:r>
      <w:r>
        <w:t>getirdikten</w:t>
      </w:r>
      <w:r>
        <w:rPr>
          <w:spacing w:val="-3"/>
        </w:rPr>
        <w:t xml:space="preserve"> </w:t>
      </w:r>
      <w:r>
        <w:t>sonra</w:t>
      </w:r>
      <w:r>
        <w:rPr>
          <w:spacing w:val="-3"/>
        </w:rPr>
        <w:t xml:space="preserve"> </w:t>
      </w:r>
      <w:r>
        <w:t>kalan,</w:t>
      </w:r>
      <w:r>
        <w:rPr>
          <w:spacing w:val="-2"/>
        </w:rPr>
        <w:t xml:space="preserve"> </w:t>
      </w:r>
      <w:r>
        <w:t>kendi</w:t>
      </w:r>
      <w:r>
        <w:rPr>
          <w:spacing w:val="-3"/>
        </w:rPr>
        <w:t xml:space="preserve"> </w:t>
      </w:r>
      <w:r>
        <w:t>adına</w:t>
      </w:r>
      <w:r>
        <w:rPr>
          <w:spacing w:val="-4"/>
        </w:rPr>
        <w:t xml:space="preserve"> </w:t>
      </w:r>
      <w:r>
        <w:t>serbestçe</w:t>
      </w:r>
      <w:r>
        <w:rPr>
          <w:spacing w:val="-4"/>
        </w:rPr>
        <w:t xml:space="preserve"> </w:t>
      </w:r>
      <w:r>
        <w:t>kullanma</w:t>
      </w:r>
      <w:r>
        <w:rPr>
          <w:spacing w:val="-4"/>
        </w:rPr>
        <w:t xml:space="preserve"> </w:t>
      </w:r>
      <w:r>
        <w:t>hakkına</w:t>
      </w:r>
      <w:r>
        <w:rPr>
          <w:spacing w:val="-2"/>
        </w:rPr>
        <w:t xml:space="preserve"> </w:t>
      </w:r>
      <w:r>
        <w:t>sahip olduğu</w:t>
      </w:r>
      <w:r>
        <w:rPr>
          <w:spacing w:val="-8"/>
        </w:rPr>
        <w:t xml:space="preserve"> </w:t>
      </w:r>
      <w:r>
        <w:t>süre”</w:t>
      </w:r>
      <w:r>
        <w:rPr>
          <w:spacing w:val="-9"/>
        </w:rPr>
        <w:t xml:space="preserve"> </w:t>
      </w:r>
      <w:r>
        <w:t>olarak</w:t>
      </w:r>
      <w:r>
        <w:rPr>
          <w:spacing w:val="-8"/>
        </w:rPr>
        <w:t xml:space="preserve"> </w:t>
      </w:r>
      <w:r>
        <w:t>tanımlanmakta,</w:t>
      </w:r>
      <w:r>
        <w:rPr>
          <w:spacing w:val="-8"/>
        </w:rPr>
        <w:t xml:space="preserve"> </w:t>
      </w:r>
      <w:r>
        <w:t>“kişinin</w:t>
      </w:r>
      <w:r>
        <w:rPr>
          <w:spacing w:val="-8"/>
        </w:rPr>
        <w:t xml:space="preserve"> </w:t>
      </w:r>
      <w:r>
        <w:t>bir</w:t>
      </w:r>
      <w:r>
        <w:rPr>
          <w:spacing w:val="-8"/>
        </w:rPr>
        <w:t xml:space="preserve"> </w:t>
      </w:r>
      <w:r>
        <w:t>şeyi</w:t>
      </w:r>
      <w:r>
        <w:rPr>
          <w:spacing w:val="-4"/>
        </w:rPr>
        <w:t xml:space="preserve"> </w:t>
      </w:r>
      <w:r>
        <w:t>yapmakla</w:t>
      </w:r>
      <w:r>
        <w:rPr>
          <w:spacing w:val="-5"/>
        </w:rPr>
        <w:t xml:space="preserve"> </w:t>
      </w:r>
      <w:r>
        <w:t>yapmamak</w:t>
      </w:r>
      <w:r>
        <w:rPr>
          <w:spacing w:val="-8"/>
        </w:rPr>
        <w:t xml:space="preserve"> </w:t>
      </w:r>
      <w:r>
        <w:t>arasında</w:t>
      </w:r>
      <w:r>
        <w:rPr>
          <w:spacing w:val="-8"/>
        </w:rPr>
        <w:t xml:space="preserve"> </w:t>
      </w:r>
      <w:r>
        <w:t>özgürce seçim</w:t>
      </w:r>
      <w:r>
        <w:rPr>
          <w:spacing w:val="-12"/>
        </w:rPr>
        <w:t xml:space="preserve"> </w:t>
      </w:r>
      <w:r>
        <w:t>yapabileceği,</w:t>
      </w:r>
      <w:r>
        <w:rPr>
          <w:spacing w:val="-9"/>
        </w:rPr>
        <w:t xml:space="preserve"> </w:t>
      </w:r>
      <w:r>
        <w:t>yapmak</w:t>
      </w:r>
      <w:r>
        <w:rPr>
          <w:spacing w:val="-15"/>
        </w:rPr>
        <w:t xml:space="preserve"> </w:t>
      </w:r>
      <w:r>
        <w:t>isteyip</w:t>
      </w:r>
      <w:r>
        <w:rPr>
          <w:spacing w:val="-14"/>
        </w:rPr>
        <w:t xml:space="preserve"> </w:t>
      </w:r>
      <w:r>
        <w:t>istemediğini</w:t>
      </w:r>
      <w:r>
        <w:rPr>
          <w:spacing w:val="-14"/>
        </w:rPr>
        <w:t xml:space="preserve"> </w:t>
      </w:r>
      <w:r>
        <w:t>özgürce</w:t>
      </w:r>
      <w:r>
        <w:rPr>
          <w:spacing w:val="-15"/>
        </w:rPr>
        <w:t xml:space="preserve"> </w:t>
      </w:r>
      <w:r>
        <w:t>belirleyebildiği,</w:t>
      </w:r>
      <w:r>
        <w:rPr>
          <w:spacing w:val="-12"/>
        </w:rPr>
        <w:t xml:space="preserve"> </w:t>
      </w:r>
      <w:r>
        <w:t>ancak</w:t>
      </w:r>
      <w:r>
        <w:rPr>
          <w:spacing w:val="-10"/>
        </w:rPr>
        <w:t xml:space="preserve"> </w:t>
      </w:r>
      <w:r>
        <w:t>yapılan</w:t>
      </w:r>
      <w:r>
        <w:rPr>
          <w:spacing w:val="-15"/>
        </w:rPr>
        <w:t xml:space="preserve"> </w:t>
      </w:r>
      <w:r>
        <w:t>işin sorumluluğunu üstlenebildiği ve sorumlu davranış gösterebildiği zaman” olarak da ifade edilmektedir. Ancak, herkes tarafından kabul edilen boş zaman, en basit tanımıyla “bireyin her</w:t>
      </w:r>
      <w:r>
        <w:rPr>
          <w:spacing w:val="-15"/>
        </w:rPr>
        <w:t xml:space="preserve"> </w:t>
      </w:r>
      <w:r>
        <w:t>türlü</w:t>
      </w:r>
      <w:r>
        <w:rPr>
          <w:spacing w:val="-15"/>
        </w:rPr>
        <w:t xml:space="preserve"> </w:t>
      </w:r>
      <w:r>
        <w:t>zaruret</w:t>
      </w:r>
      <w:r>
        <w:rPr>
          <w:spacing w:val="-15"/>
        </w:rPr>
        <w:t xml:space="preserve"> </w:t>
      </w:r>
      <w:r>
        <w:t>ve</w:t>
      </w:r>
      <w:r>
        <w:rPr>
          <w:spacing w:val="-15"/>
        </w:rPr>
        <w:t xml:space="preserve"> </w:t>
      </w:r>
      <w:r>
        <w:t>zorlamadan</w:t>
      </w:r>
      <w:r>
        <w:rPr>
          <w:spacing w:val="-15"/>
        </w:rPr>
        <w:t xml:space="preserve"> </w:t>
      </w:r>
      <w:r>
        <w:t>uzak,</w:t>
      </w:r>
      <w:r>
        <w:rPr>
          <w:spacing w:val="-15"/>
        </w:rPr>
        <w:t xml:space="preserve"> </w:t>
      </w:r>
      <w:r>
        <w:t>özgürce</w:t>
      </w:r>
      <w:r>
        <w:rPr>
          <w:spacing w:val="-15"/>
        </w:rPr>
        <w:t xml:space="preserve"> </w:t>
      </w:r>
      <w:r>
        <w:t>ve</w:t>
      </w:r>
      <w:r>
        <w:rPr>
          <w:spacing w:val="-15"/>
        </w:rPr>
        <w:t xml:space="preserve"> </w:t>
      </w:r>
      <w:r>
        <w:t>kendi</w:t>
      </w:r>
      <w:r>
        <w:rPr>
          <w:spacing w:val="-15"/>
        </w:rPr>
        <w:t xml:space="preserve"> </w:t>
      </w:r>
      <w:r>
        <w:t>tercihleri</w:t>
      </w:r>
      <w:r>
        <w:rPr>
          <w:spacing w:val="-15"/>
        </w:rPr>
        <w:t xml:space="preserve"> </w:t>
      </w:r>
      <w:r>
        <w:t>doğrultusunda</w:t>
      </w:r>
      <w:r>
        <w:rPr>
          <w:spacing w:val="-15"/>
        </w:rPr>
        <w:t xml:space="preserve"> </w:t>
      </w:r>
      <w:r>
        <w:t>geçirebildiği zaman” olarak tanımlanmaktadır (Çakır, 2017: 7).</w:t>
      </w:r>
    </w:p>
    <w:p w14:paraId="528A5A92">
      <w:pPr>
        <w:pStyle w:val="9"/>
        <w:spacing w:before="120" w:after="120" w:line="360" w:lineRule="auto"/>
        <w:ind w:left="0" w:firstLine="567"/>
      </w:pPr>
      <w:r>
        <w:t>Boş zaman kavramına ilişkin tanımlar incelendiğinde, tanımların genel olarak zaman, etkinlik</w:t>
      </w:r>
      <w:r>
        <w:rPr>
          <w:spacing w:val="5"/>
        </w:rPr>
        <w:t xml:space="preserve"> </w:t>
      </w:r>
      <w:r>
        <w:t>ve</w:t>
      </w:r>
      <w:r>
        <w:rPr>
          <w:spacing w:val="7"/>
        </w:rPr>
        <w:t xml:space="preserve"> </w:t>
      </w:r>
      <w:r>
        <w:t>zihinsel</w:t>
      </w:r>
      <w:r>
        <w:rPr>
          <w:spacing w:val="8"/>
        </w:rPr>
        <w:t xml:space="preserve"> </w:t>
      </w:r>
      <w:r>
        <w:t>durum</w:t>
      </w:r>
      <w:r>
        <w:rPr>
          <w:spacing w:val="8"/>
        </w:rPr>
        <w:t xml:space="preserve"> </w:t>
      </w:r>
      <w:r>
        <w:t>olmak</w:t>
      </w:r>
      <w:r>
        <w:rPr>
          <w:spacing w:val="8"/>
        </w:rPr>
        <w:t xml:space="preserve"> </w:t>
      </w:r>
      <w:r>
        <w:t>üzere</w:t>
      </w:r>
      <w:r>
        <w:rPr>
          <w:spacing w:val="6"/>
        </w:rPr>
        <w:t xml:space="preserve"> </w:t>
      </w:r>
      <w:r>
        <w:t>üç</w:t>
      </w:r>
      <w:r>
        <w:rPr>
          <w:spacing w:val="7"/>
        </w:rPr>
        <w:t xml:space="preserve"> </w:t>
      </w:r>
      <w:r>
        <w:t>temel</w:t>
      </w:r>
      <w:r>
        <w:rPr>
          <w:spacing w:val="8"/>
        </w:rPr>
        <w:t xml:space="preserve"> </w:t>
      </w:r>
      <w:r>
        <w:t>unsuru</w:t>
      </w:r>
      <w:r>
        <w:rPr>
          <w:spacing w:val="7"/>
        </w:rPr>
        <w:t xml:space="preserve"> </w:t>
      </w:r>
      <w:r>
        <w:t>içerdiği</w:t>
      </w:r>
      <w:r>
        <w:rPr>
          <w:spacing w:val="8"/>
        </w:rPr>
        <w:t xml:space="preserve"> </w:t>
      </w:r>
      <w:r>
        <w:t>görülmektedir.</w:t>
      </w:r>
      <w:r>
        <w:rPr>
          <w:spacing w:val="7"/>
        </w:rPr>
        <w:t xml:space="preserve"> </w:t>
      </w:r>
      <w:r>
        <w:t>Buna</w:t>
      </w:r>
      <w:r>
        <w:rPr>
          <w:spacing w:val="9"/>
        </w:rPr>
        <w:t xml:space="preserve"> </w:t>
      </w:r>
      <w:r>
        <w:rPr>
          <w:spacing w:val="-4"/>
        </w:rPr>
        <w:t>göre</w:t>
      </w:r>
      <w:r>
        <w:t xml:space="preserve"> boş zamana zaman açısından yaklaşıldığında bu kavram hayatın gerekliliklerinin yerine getirilmesinden</w:t>
      </w:r>
      <w:r>
        <w:rPr>
          <w:spacing w:val="-13"/>
        </w:rPr>
        <w:t xml:space="preserve"> </w:t>
      </w:r>
      <w:r>
        <w:t>sonra</w:t>
      </w:r>
      <w:r>
        <w:rPr>
          <w:spacing w:val="-14"/>
        </w:rPr>
        <w:t xml:space="preserve"> </w:t>
      </w:r>
      <w:r>
        <w:t>kalan</w:t>
      </w:r>
      <w:r>
        <w:rPr>
          <w:spacing w:val="-13"/>
        </w:rPr>
        <w:t xml:space="preserve"> </w:t>
      </w:r>
      <w:r>
        <w:t>zamanı</w:t>
      </w:r>
      <w:r>
        <w:rPr>
          <w:spacing w:val="-13"/>
        </w:rPr>
        <w:t xml:space="preserve"> </w:t>
      </w:r>
      <w:r>
        <w:t>ifade</w:t>
      </w:r>
      <w:r>
        <w:rPr>
          <w:spacing w:val="-13"/>
        </w:rPr>
        <w:t xml:space="preserve"> </w:t>
      </w:r>
      <w:r>
        <w:t>etmektedir.</w:t>
      </w:r>
      <w:r>
        <w:rPr>
          <w:spacing w:val="-13"/>
        </w:rPr>
        <w:t xml:space="preserve"> </w:t>
      </w:r>
      <w:r>
        <w:t>Etkinlik</w:t>
      </w:r>
      <w:r>
        <w:rPr>
          <w:spacing w:val="-13"/>
        </w:rPr>
        <w:t xml:space="preserve"> </w:t>
      </w:r>
      <w:r>
        <w:t>açısından</w:t>
      </w:r>
      <w:r>
        <w:rPr>
          <w:spacing w:val="-13"/>
        </w:rPr>
        <w:t xml:space="preserve"> </w:t>
      </w:r>
      <w:r>
        <w:t>bakıldığında</w:t>
      </w:r>
      <w:r>
        <w:rPr>
          <w:spacing w:val="-13"/>
        </w:rPr>
        <w:t xml:space="preserve"> </w:t>
      </w:r>
      <w:r>
        <w:t>ise</w:t>
      </w:r>
      <w:r>
        <w:rPr>
          <w:spacing w:val="-13"/>
        </w:rPr>
        <w:t xml:space="preserve"> </w:t>
      </w:r>
      <w:r>
        <w:t>boş zamanlardaki olumlu etkinliklere ağırlık verilir ve bu etkinlikler boş zamanı oluşturur. Bu kavrama bağlı ruhsal durum ön plana çıktığında boş zaman, çalışma yaşamının sınırlarını aşma, bireyi yenileme, ona hayat verme ve güç kazanma kapasitesi olarak anlam kazanmaktadır.</w:t>
      </w:r>
      <w:r>
        <w:rPr>
          <w:spacing w:val="-11"/>
        </w:rPr>
        <w:t xml:space="preserve"> </w:t>
      </w:r>
      <w:r>
        <w:t>Dolayısıyla</w:t>
      </w:r>
      <w:r>
        <w:rPr>
          <w:spacing w:val="-12"/>
        </w:rPr>
        <w:t xml:space="preserve"> </w:t>
      </w:r>
      <w:r>
        <w:t>boş</w:t>
      </w:r>
      <w:r>
        <w:rPr>
          <w:spacing w:val="-10"/>
        </w:rPr>
        <w:t xml:space="preserve"> </w:t>
      </w:r>
      <w:r>
        <w:t>zaman,</w:t>
      </w:r>
      <w:r>
        <w:rPr>
          <w:spacing w:val="-11"/>
        </w:rPr>
        <w:t xml:space="preserve"> </w:t>
      </w:r>
      <w:r>
        <w:t>ruhsal</w:t>
      </w:r>
      <w:r>
        <w:rPr>
          <w:spacing w:val="-10"/>
        </w:rPr>
        <w:t xml:space="preserve"> </w:t>
      </w:r>
      <w:r>
        <w:t>ve</w:t>
      </w:r>
      <w:r>
        <w:rPr>
          <w:spacing w:val="-12"/>
        </w:rPr>
        <w:t xml:space="preserve"> </w:t>
      </w:r>
      <w:r>
        <w:t>zihinsel</w:t>
      </w:r>
      <w:r>
        <w:rPr>
          <w:spacing w:val="-10"/>
        </w:rPr>
        <w:t xml:space="preserve"> </w:t>
      </w:r>
      <w:r>
        <w:t>bir</w:t>
      </w:r>
      <w:r>
        <w:rPr>
          <w:spacing w:val="-11"/>
        </w:rPr>
        <w:t xml:space="preserve"> </w:t>
      </w:r>
      <w:r>
        <w:t>tutumu</w:t>
      </w:r>
      <w:r>
        <w:rPr>
          <w:spacing w:val="-10"/>
        </w:rPr>
        <w:t xml:space="preserve"> </w:t>
      </w:r>
      <w:r>
        <w:t>ifade</w:t>
      </w:r>
      <w:r>
        <w:rPr>
          <w:spacing w:val="-12"/>
        </w:rPr>
        <w:t xml:space="preserve"> </w:t>
      </w:r>
      <w:r>
        <w:t>eder</w:t>
      </w:r>
      <w:r>
        <w:rPr>
          <w:spacing w:val="-11"/>
        </w:rPr>
        <w:t xml:space="preserve"> </w:t>
      </w:r>
      <w:r>
        <w:t>ve</w:t>
      </w:r>
      <w:r>
        <w:rPr>
          <w:spacing w:val="-12"/>
        </w:rPr>
        <w:t xml:space="preserve"> </w:t>
      </w:r>
      <w:r>
        <w:t>dinginlik, huzur,</w:t>
      </w:r>
      <w:r>
        <w:rPr>
          <w:spacing w:val="-11"/>
        </w:rPr>
        <w:t xml:space="preserve"> </w:t>
      </w:r>
      <w:r>
        <w:t>rahatlama</w:t>
      </w:r>
      <w:r>
        <w:rPr>
          <w:spacing w:val="-7"/>
        </w:rPr>
        <w:t xml:space="preserve"> </w:t>
      </w:r>
      <w:r>
        <w:t>gibi</w:t>
      </w:r>
      <w:r>
        <w:rPr>
          <w:spacing w:val="-10"/>
        </w:rPr>
        <w:t xml:space="preserve"> </w:t>
      </w:r>
      <w:r>
        <w:t>duyguları</w:t>
      </w:r>
      <w:r>
        <w:rPr>
          <w:spacing w:val="-8"/>
        </w:rPr>
        <w:t xml:space="preserve"> </w:t>
      </w:r>
      <w:r>
        <w:t>içerir</w:t>
      </w:r>
      <w:r>
        <w:rPr>
          <w:spacing w:val="-10"/>
        </w:rPr>
        <w:t xml:space="preserve"> </w:t>
      </w:r>
      <w:r>
        <w:t>(Karakuş,</w:t>
      </w:r>
      <w:r>
        <w:rPr>
          <w:spacing w:val="-10"/>
        </w:rPr>
        <w:t xml:space="preserve"> </w:t>
      </w:r>
      <w:r>
        <w:t>2008:</w:t>
      </w:r>
      <w:r>
        <w:rPr>
          <w:spacing w:val="-10"/>
        </w:rPr>
        <w:t xml:space="preserve"> </w:t>
      </w:r>
      <w:r>
        <w:t>33).</w:t>
      </w:r>
      <w:r>
        <w:rPr>
          <w:spacing w:val="-9"/>
        </w:rPr>
        <w:t xml:space="preserve"> </w:t>
      </w:r>
      <w:r>
        <w:t>Burada</w:t>
      </w:r>
      <w:r>
        <w:rPr>
          <w:spacing w:val="-12"/>
        </w:rPr>
        <w:t xml:space="preserve"> </w:t>
      </w:r>
      <w:r>
        <w:t>serbest</w:t>
      </w:r>
      <w:r>
        <w:rPr>
          <w:spacing w:val="-10"/>
        </w:rPr>
        <w:t xml:space="preserve"> </w:t>
      </w:r>
      <w:r>
        <w:t>zamana</w:t>
      </w:r>
      <w:r>
        <w:rPr>
          <w:spacing w:val="-12"/>
        </w:rPr>
        <w:t xml:space="preserve"> </w:t>
      </w:r>
      <w:r>
        <w:t>ilişkin</w:t>
      </w:r>
      <w:r>
        <w:rPr>
          <w:spacing w:val="-11"/>
        </w:rPr>
        <w:t xml:space="preserve"> </w:t>
      </w:r>
      <w:r>
        <w:t>en önemli</w:t>
      </w:r>
      <w:r>
        <w:rPr>
          <w:spacing w:val="-4"/>
        </w:rPr>
        <w:t xml:space="preserve"> </w:t>
      </w:r>
      <w:r>
        <w:t>hususun,</w:t>
      </w:r>
      <w:r>
        <w:rPr>
          <w:spacing w:val="-4"/>
        </w:rPr>
        <w:t xml:space="preserve"> </w:t>
      </w:r>
      <w:r>
        <w:t>bireyin</w:t>
      </w:r>
      <w:r>
        <w:rPr>
          <w:spacing w:val="-4"/>
        </w:rPr>
        <w:t xml:space="preserve"> </w:t>
      </w:r>
      <w:r>
        <w:t>işine</w:t>
      </w:r>
      <w:r>
        <w:rPr>
          <w:spacing w:val="-4"/>
        </w:rPr>
        <w:t xml:space="preserve"> </w:t>
      </w:r>
      <w:r>
        <w:t>ve</w:t>
      </w:r>
      <w:r>
        <w:rPr>
          <w:spacing w:val="-6"/>
        </w:rPr>
        <w:t xml:space="preserve"> </w:t>
      </w:r>
      <w:r>
        <w:t>kendi</w:t>
      </w:r>
      <w:r>
        <w:rPr>
          <w:spacing w:val="-4"/>
        </w:rPr>
        <w:t xml:space="preserve"> </w:t>
      </w:r>
      <w:r>
        <w:t>temel</w:t>
      </w:r>
      <w:r>
        <w:rPr>
          <w:spacing w:val="-4"/>
        </w:rPr>
        <w:t xml:space="preserve"> </w:t>
      </w:r>
      <w:r>
        <w:t>ihtiyaçlarına</w:t>
      </w:r>
      <w:r>
        <w:rPr>
          <w:spacing w:val="-3"/>
        </w:rPr>
        <w:t xml:space="preserve"> </w:t>
      </w:r>
      <w:r>
        <w:t>ayırma</w:t>
      </w:r>
      <w:r>
        <w:rPr>
          <w:spacing w:val="-5"/>
        </w:rPr>
        <w:t xml:space="preserve"> </w:t>
      </w:r>
      <w:r>
        <w:t>zorunluluğunu</w:t>
      </w:r>
      <w:r>
        <w:rPr>
          <w:spacing w:val="-2"/>
        </w:rPr>
        <w:t xml:space="preserve"> </w:t>
      </w:r>
      <w:r>
        <w:t>gerektiren zaman diliminden bağımsız olduğu görülmektedir. Öte yandan, bireyin bu zamanı nasıl kullanacağına kendi özgür iradesiyle karar vermesi, bu zaman dilimini kişisel tercihleri doğrultusunda şekillendirerek belirli bir faaliyete katılması ve bunları yaparken belli bir manevi fayda sağlaması, onu oluşturan temel unsurlardır.</w:t>
      </w:r>
    </w:p>
    <w:p w14:paraId="2934C9AA">
      <w:pPr>
        <w:pStyle w:val="9"/>
        <w:spacing w:before="120" w:after="120" w:line="360" w:lineRule="auto"/>
        <w:ind w:left="0" w:firstLine="567"/>
      </w:pPr>
      <w:r>
        <w:t>Gelişen teknoloji, post modern toplumun hem çalışma hayatında hem de günlük hayatında birçok değişikliğe neden olmuş, boş zaman aktivitelerini de değiştirmiştir. Buna göre bu kavrama</w:t>
      </w:r>
      <w:r>
        <w:rPr>
          <w:spacing w:val="-15"/>
        </w:rPr>
        <w:t xml:space="preserve"> </w:t>
      </w:r>
      <w:r>
        <w:t>ilişkin</w:t>
      </w:r>
      <w:r>
        <w:rPr>
          <w:spacing w:val="-15"/>
        </w:rPr>
        <w:t xml:space="preserve"> </w:t>
      </w:r>
      <w:r>
        <w:t>tanımların</w:t>
      </w:r>
      <w:r>
        <w:rPr>
          <w:spacing w:val="-15"/>
        </w:rPr>
        <w:t xml:space="preserve"> </w:t>
      </w:r>
      <w:r>
        <w:t>geçerliliğini</w:t>
      </w:r>
      <w:r>
        <w:rPr>
          <w:spacing w:val="-15"/>
        </w:rPr>
        <w:t xml:space="preserve"> </w:t>
      </w:r>
      <w:r>
        <w:t>yitirdiği</w:t>
      </w:r>
      <w:r>
        <w:rPr>
          <w:spacing w:val="-15"/>
        </w:rPr>
        <w:t xml:space="preserve"> </w:t>
      </w:r>
      <w:r>
        <w:t>görülmüştür.</w:t>
      </w:r>
      <w:r>
        <w:rPr>
          <w:spacing w:val="-15"/>
        </w:rPr>
        <w:t xml:space="preserve"> </w:t>
      </w:r>
      <w:r>
        <w:t>Zira,</w:t>
      </w:r>
      <w:r>
        <w:rPr>
          <w:spacing w:val="-15"/>
        </w:rPr>
        <w:t xml:space="preserve"> </w:t>
      </w:r>
      <w:r>
        <w:t>bu</w:t>
      </w:r>
      <w:r>
        <w:rPr>
          <w:spacing w:val="-15"/>
        </w:rPr>
        <w:t xml:space="preserve"> </w:t>
      </w:r>
      <w:r>
        <w:t>dönemdeki</w:t>
      </w:r>
      <w:r>
        <w:rPr>
          <w:spacing w:val="-15"/>
        </w:rPr>
        <w:t xml:space="preserve"> </w:t>
      </w:r>
      <w:r>
        <w:t>boş</w:t>
      </w:r>
      <w:r>
        <w:rPr>
          <w:spacing w:val="-15"/>
        </w:rPr>
        <w:t xml:space="preserve"> </w:t>
      </w:r>
      <w:r>
        <w:t>zaman olgusu gerçeğinden çok farklı olarak değerlendirilmektedir (Aytaç, 2004: 117). Bu farklılaşmanın temelinde gramofon, televizyon, film tabakası, video oynatıcılar, kişisel bilgisayarlar ve cep telefonları gibi elektronik cihazların icadı yatmaktadır. Bu cihazların icadıyla birlikte bireylerin boş zamanlarını değerlendirme biçimleri de değişmiş, bilgisayar ve video oyunları, sanal turlar ve elektronik etkinlikler boş zamanın bir parçası haline gelmiştir (Nimrod ve Adoni, 2012: 32).</w:t>
      </w:r>
    </w:p>
    <w:p w14:paraId="36EAF75D">
      <w:pPr>
        <w:pStyle w:val="9"/>
        <w:spacing w:before="120" w:after="120" w:line="360" w:lineRule="auto"/>
        <w:ind w:left="0" w:firstLine="567"/>
      </w:pPr>
      <w:r>
        <w:t>Öte yandan, 1990'lı yıllarda internetin dünya kültürüne girmesiyle birlikte bilgisayar ve mobil</w:t>
      </w:r>
      <w:r>
        <w:rPr>
          <w:spacing w:val="-7"/>
        </w:rPr>
        <w:t xml:space="preserve"> </w:t>
      </w:r>
      <w:r>
        <w:t>iletişim</w:t>
      </w:r>
      <w:r>
        <w:rPr>
          <w:spacing w:val="-9"/>
        </w:rPr>
        <w:t xml:space="preserve"> </w:t>
      </w:r>
      <w:r>
        <w:t>teknolojilerinin</w:t>
      </w:r>
      <w:r>
        <w:rPr>
          <w:spacing w:val="-8"/>
        </w:rPr>
        <w:t xml:space="preserve"> </w:t>
      </w:r>
      <w:r>
        <w:t>entegrasyonu</w:t>
      </w:r>
      <w:r>
        <w:rPr>
          <w:spacing w:val="-8"/>
        </w:rPr>
        <w:t xml:space="preserve"> </w:t>
      </w:r>
      <w:r>
        <w:t>sağlanmış,</w:t>
      </w:r>
      <w:r>
        <w:rPr>
          <w:spacing w:val="-8"/>
        </w:rPr>
        <w:t xml:space="preserve"> </w:t>
      </w:r>
      <w:r>
        <w:t>internet</w:t>
      </w:r>
      <w:r>
        <w:rPr>
          <w:spacing w:val="-7"/>
        </w:rPr>
        <w:t xml:space="preserve"> </w:t>
      </w:r>
      <w:r>
        <w:t>erişimi</w:t>
      </w:r>
      <w:r>
        <w:rPr>
          <w:spacing w:val="-10"/>
        </w:rPr>
        <w:t xml:space="preserve"> </w:t>
      </w:r>
      <w:r>
        <w:t>için</w:t>
      </w:r>
      <w:r>
        <w:rPr>
          <w:spacing w:val="-8"/>
        </w:rPr>
        <w:t xml:space="preserve"> </w:t>
      </w:r>
      <w:r>
        <w:t>alan</w:t>
      </w:r>
      <w:r>
        <w:rPr>
          <w:spacing w:val="-8"/>
        </w:rPr>
        <w:t xml:space="preserve"> </w:t>
      </w:r>
      <w:r>
        <w:t>sınırlaması kaldırılmış, internet ve sosyal ağların kullanımı toplumlar arasında yaygınlaşmıştır (Kart, 2014:184). Bu gelişmelere bağlı olarak yeni bilgi ve iletişim teknolojileri, internet, kişisel bilgisayarlar, cep telefonları, tabletler, oyun konsolları, dijital oyun makineleri, sanal gerçeklik</w:t>
      </w:r>
      <w:r>
        <w:rPr>
          <w:spacing w:val="-12"/>
        </w:rPr>
        <w:t xml:space="preserve"> </w:t>
      </w:r>
      <w:r>
        <w:t>gözlükleri</w:t>
      </w:r>
      <w:r>
        <w:rPr>
          <w:spacing w:val="-14"/>
        </w:rPr>
        <w:t xml:space="preserve"> </w:t>
      </w:r>
      <w:r>
        <w:t>ve</w:t>
      </w:r>
      <w:r>
        <w:rPr>
          <w:spacing w:val="-15"/>
        </w:rPr>
        <w:t xml:space="preserve"> </w:t>
      </w:r>
      <w:r>
        <w:t>sanal</w:t>
      </w:r>
      <w:r>
        <w:rPr>
          <w:spacing w:val="-14"/>
        </w:rPr>
        <w:t xml:space="preserve"> </w:t>
      </w:r>
      <w:r>
        <w:t>sensörler</w:t>
      </w:r>
      <w:r>
        <w:rPr>
          <w:spacing w:val="-10"/>
        </w:rPr>
        <w:t xml:space="preserve"> </w:t>
      </w:r>
      <w:r>
        <w:t>gibi</w:t>
      </w:r>
      <w:r>
        <w:rPr>
          <w:spacing w:val="-13"/>
        </w:rPr>
        <w:t xml:space="preserve"> </w:t>
      </w:r>
      <w:r>
        <w:t>cihazlar</w:t>
      </w:r>
      <w:r>
        <w:rPr>
          <w:spacing w:val="-13"/>
        </w:rPr>
        <w:t xml:space="preserve"> </w:t>
      </w:r>
      <w:r>
        <w:t>günlük</w:t>
      </w:r>
      <w:r>
        <w:rPr>
          <w:spacing w:val="-14"/>
        </w:rPr>
        <w:t xml:space="preserve"> </w:t>
      </w:r>
      <w:r>
        <w:t>hayattaki</w:t>
      </w:r>
      <w:r>
        <w:rPr>
          <w:spacing w:val="-14"/>
        </w:rPr>
        <w:t xml:space="preserve"> </w:t>
      </w:r>
      <w:r>
        <w:t>tüm</w:t>
      </w:r>
      <w:r>
        <w:rPr>
          <w:spacing w:val="-13"/>
        </w:rPr>
        <w:t xml:space="preserve"> </w:t>
      </w:r>
      <w:r>
        <w:t>pratikleri</w:t>
      </w:r>
      <w:r>
        <w:rPr>
          <w:spacing w:val="-14"/>
        </w:rPr>
        <w:t xml:space="preserve"> </w:t>
      </w:r>
      <w:r>
        <w:t>derinden etkilemiş ve bireylerin yaşam biçimlerini değiştirmiştir (Nimrod ve Adoni, 2012: 32). Bu çerçevede, bireyler</w:t>
      </w:r>
      <w:r>
        <w:rPr>
          <w:spacing w:val="2"/>
        </w:rPr>
        <w:t xml:space="preserve"> </w:t>
      </w:r>
      <w:r>
        <w:t>zamanlarının</w:t>
      </w:r>
      <w:r>
        <w:rPr>
          <w:spacing w:val="3"/>
        </w:rPr>
        <w:t xml:space="preserve"> </w:t>
      </w:r>
      <w:r>
        <w:t>çoğunu</w:t>
      </w:r>
      <w:r>
        <w:rPr>
          <w:spacing w:val="3"/>
        </w:rPr>
        <w:t xml:space="preserve"> </w:t>
      </w:r>
      <w:r>
        <w:t>daha</w:t>
      </w:r>
      <w:r>
        <w:rPr>
          <w:spacing w:val="4"/>
        </w:rPr>
        <w:t xml:space="preserve"> </w:t>
      </w:r>
      <w:r>
        <w:t>ekonomik</w:t>
      </w:r>
      <w:r>
        <w:rPr>
          <w:spacing w:val="3"/>
        </w:rPr>
        <w:t xml:space="preserve"> </w:t>
      </w:r>
      <w:r>
        <w:t>ve</w:t>
      </w:r>
      <w:r>
        <w:rPr>
          <w:spacing w:val="2"/>
        </w:rPr>
        <w:t xml:space="preserve"> </w:t>
      </w:r>
      <w:r>
        <w:t>eğlenceli</w:t>
      </w:r>
      <w:r>
        <w:rPr>
          <w:spacing w:val="4"/>
        </w:rPr>
        <w:t xml:space="preserve"> </w:t>
      </w:r>
      <w:r>
        <w:t>buldukları</w:t>
      </w:r>
      <w:r>
        <w:rPr>
          <w:spacing w:val="4"/>
        </w:rPr>
        <w:t xml:space="preserve"> </w:t>
      </w:r>
      <w:r>
        <w:rPr>
          <w:spacing w:val="-2"/>
        </w:rPr>
        <w:t>elektronik</w:t>
      </w:r>
      <w:r>
        <w:t xml:space="preserve"> ortamlarda geçirmeye başlamış ve bu uygulamalar günlük yaşamda eğlenme, dinlenme ve keyif alma aracı haline gelmiştir.</w:t>
      </w:r>
    </w:p>
    <w:p w14:paraId="4148727C">
      <w:pPr>
        <w:pStyle w:val="9"/>
        <w:spacing w:before="120" w:after="120" w:line="360" w:lineRule="auto"/>
        <w:ind w:left="0" w:firstLine="567"/>
      </w:pPr>
      <w:r>
        <w:t>Böylece bu uygulamalar, bireylerin var olan kültürel, sanatsal, sportif ve sosyal bilgilerini beslemelerinde, dolayısıyla yeni zevklerini ortaya çıkarmalarında ve aktif hallerini gerçekleştirmelerinde etkili olmuştur. Serbest zamandaki bu değişim sonucunda bireyler bilgisayar, tablet, cep telefonu, video oynatıcı, oyun konsolları, dijital oyun makinelerini kullanmanın</w:t>
      </w:r>
      <w:r>
        <w:rPr>
          <w:spacing w:val="-15"/>
        </w:rPr>
        <w:t xml:space="preserve"> </w:t>
      </w:r>
      <w:r>
        <w:t>yanı</w:t>
      </w:r>
      <w:r>
        <w:rPr>
          <w:spacing w:val="-15"/>
        </w:rPr>
        <w:t xml:space="preserve"> </w:t>
      </w:r>
      <w:r>
        <w:t>sıra,</w:t>
      </w:r>
      <w:r>
        <w:rPr>
          <w:spacing w:val="-15"/>
        </w:rPr>
        <w:t xml:space="preserve"> </w:t>
      </w:r>
      <w:r>
        <w:t>boş</w:t>
      </w:r>
      <w:r>
        <w:rPr>
          <w:spacing w:val="-15"/>
        </w:rPr>
        <w:t xml:space="preserve"> </w:t>
      </w:r>
      <w:r>
        <w:t>zamanlarını</w:t>
      </w:r>
      <w:r>
        <w:rPr>
          <w:spacing w:val="-15"/>
        </w:rPr>
        <w:t xml:space="preserve"> </w:t>
      </w:r>
      <w:r>
        <w:t>değerlendirmek</w:t>
      </w:r>
      <w:r>
        <w:rPr>
          <w:spacing w:val="-15"/>
        </w:rPr>
        <w:t xml:space="preserve"> </w:t>
      </w:r>
      <w:r>
        <w:t>için</w:t>
      </w:r>
      <w:r>
        <w:rPr>
          <w:spacing w:val="-15"/>
        </w:rPr>
        <w:t xml:space="preserve"> </w:t>
      </w:r>
      <w:r>
        <w:t>ev</w:t>
      </w:r>
      <w:r>
        <w:rPr>
          <w:spacing w:val="-15"/>
        </w:rPr>
        <w:t xml:space="preserve"> </w:t>
      </w:r>
      <w:r>
        <w:t>dışında</w:t>
      </w:r>
      <w:r>
        <w:rPr>
          <w:spacing w:val="-15"/>
        </w:rPr>
        <w:t xml:space="preserve"> </w:t>
      </w:r>
      <w:r>
        <w:t>çeşitli</w:t>
      </w:r>
      <w:r>
        <w:rPr>
          <w:spacing w:val="-15"/>
        </w:rPr>
        <w:t xml:space="preserve"> </w:t>
      </w:r>
      <w:r>
        <w:t>iç</w:t>
      </w:r>
      <w:r>
        <w:rPr>
          <w:spacing w:val="-15"/>
        </w:rPr>
        <w:t xml:space="preserve"> </w:t>
      </w:r>
      <w:r>
        <w:t>ve</w:t>
      </w:r>
      <w:r>
        <w:rPr>
          <w:spacing w:val="-15"/>
        </w:rPr>
        <w:t xml:space="preserve"> </w:t>
      </w:r>
      <w:r>
        <w:t>dış</w:t>
      </w:r>
      <w:r>
        <w:rPr>
          <w:spacing w:val="-15"/>
        </w:rPr>
        <w:t xml:space="preserve"> </w:t>
      </w:r>
      <w:r>
        <w:t>mekân aktivitelerine katılabilirler. Sanal gerçeklik gözlükleri ve sanal gerçeklik kıyafetleri aracılığıyla elektronik oyunlar oynayabilir, sanal turlara katılabilir veya çeşitli elektronik etkinlikler yapabilirler (Esentaş vd., 2018: 71).</w:t>
      </w:r>
    </w:p>
    <w:p w14:paraId="6D1B75AE">
      <w:pPr>
        <w:pStyle w:val="9"/>
        <w:spacing w:before="120" w:after="120" w:line="360" w:lineRule="auto"/>
        <w:ind w:left="0" w:firstLine="567"/>
      </w:pPr>
      <w:r>
        <w:t>Bu faaliyetler arasında sanal turlar ve elektronik oyunların yanı sıra çevrimiçi eğitim, çevrimiçi</w:t>
      </w:r>
      <w:r>
        <w:rPr>
          <w:spacing w:val="-12"/>
        </w:rPr>
        <w:t xml:space="preserve"> </w:t>
      </w:r>
      <w:r>
        <w:t>alışveriş,</w:t>
      </w:r>
      <w:r>
        <w:rPr>
          <w:spacing w:val="-13"/>
        </w:rPr>
        <w:t xml:space="preserve"> </w:t>
      </w:r>
      <w:r>
        <w:t>çevrimiçi</w:t>
      </w:r>
      <w:r>
        <w:rPr>
          <w:spacing w:val="-12"/>
        </w:rPr>
        <w:t xml:space="preserve"> </w:t>
      </w:r>
      <w:r>
        <w:t>flört</w:t>
      </w:r>
      <w:r>
        <w:rPr>
          <w:spacing w:val="-12"/>
        </w:rPr>
        <w:t xml:space="preserve"> </w:t>
      </w:r>
      <w:r>
        <w:t>etkileşimleri,</w:t>
      </w:r>
      <w:r>
        <w:rPr>
          <w:spacing w:val="-13"/>
        </w:rPr>
        <w:t xml:space="preserve"> </w:t>
      </w:r>
      <w:r>
        <w:t>internet</w:t>
      </w:r>
      <w:r>
        <w:rPr>
          <w:spacing w:val="-12"/>
        </w:rPr>
        <w:t xml:space="preserve"> </w:t>
      </w:r>
      <w:r>
        <w:t>sayfalarında</w:t>
      </w:r>
      <w:r>
        <w:rPr>
          <w:spacing w:val="-13"/>
        </w:rPr>
        <w:t xml:space="preserve"> </w:t>
      </w:r>
      <w:r>
        <w:t>blog</w:t>
      </w:r>
      <w:r>
        <w:rPr>
          <w:spacing w:val="-10"/>
        </w:rPr>
        <w:t xml:space="preserve"> </w:t>
      </w:r>
      <w:r>
        <w:t>yazma,</w:t>
      </w:r>
      <w:r>
        <w:rPr>
          <w:spacing w:val="-13"/>
        </w:rPr>
        <w:t xml:space="preserve"> </w:t>
      </w:r>
      <w:r>
        <w:t>bilgisayar ve cep telefonlarından televizyon izleme, dizi, film ve video izleme, müzik dinleme, elektronik kitap</w:t>
      </w:r>
      <w:r>
        <w:rPr>
          <w:spacing w:val="-1"/>
        </w:rPr>
        <w:t xml:space="preserve"> </w:t>
      </w:r>
      <w:r>
        <w:t>okuma, e-posta, elektronik ortamda</w:t>
      </w:r>
      <w:r>
        <w:rPr>
          <w:spacing w:val="-1"/>
        </w:rPr>
        <w:t xml:space="preserve"> </w:t>
      </w:r>
      <w:r>
        <w:t>internet sitelerine yazı yazmak, yorum yapmak ve mesajlaşmak gibi pek çok faaliyet bulunmaktadır. Bu uygulamalarla geçirilen boş</w:t>
      </w:r>
      <w:r>
        <w:rPr>
          <w:spacing w:val="-1"/>
        </w:rPr>
        <w:t xml:space="preserve"> </w:t>
      </w:r>
      <w:r>
        <w:t>zaman</w:t>
      </w:r>
      <w:r>
        <w:rPr>
          <w:spacing w:val="-2"/>
        </w:rPr>
        <w:t xml:space="preserve"> </w:t>
      </w:r>
      <w:r>
        <w:t>literatüre</w:t>
      </w:r>
      <w:r>
        <w:rPr>
          <w:spacing w:val="-2"/>
        </w:rPr>
        <w:t xml:space="preserve"> </w:t>
      </w:r>
      <w:r>
        <w:t>“elektronik</w:t>
      </w:r>
      <w:r>
        <w:rPr>
          <w:spacing w:val="-1"/>
        </w:rPr>
        <w:t xml:space="preserve"> </w:t>
      </w:r>
      <w:r>
        <w:t>boş</w:t>
      </w:r>
      <w:r>
        <w:rPr>
          <w:spacing w:val="-1"/>
        </w:rPr>
        <w:t xml:space="preserve"> </w:t>
      </w:r>
      <w:r>
        <w:t>zaman”</w:t>
      </w:r>
      <w:r>
        <w:rPr>
          <w:spacing w:val="-3"/>
        </w:rPr>
        <w:t xml:space="preserve"> </w:t>
      </w:r>
      <w:r>
        <w:t>olarak</w:t>
      </w:r>
      <w:r>
        <w:rPr>
          <w:spacing w:val="-1"/>
        </w:rPr>
        <w:t xml:space="preserve"> </w:t>
      </w:r>
      <w:r>
        <w:t>da yansımakta</w:t>
      </w:r>
      <w:r>
        <w:rPr>
          <w:spacing w:val="-2"/>
        </w:rPr>
        <w:t xml:space="preserve"> </w:t>
      </w:r>
      <w:r>
        <w:t>ve</w:t>
      </w:r>
      <w:r>
        <w:rPr>
          <w:spacing w:val="-2"/>
        </w:rPr>
        <w:t xml:space="preserve"> </w:t>
      </w:r>
      <w:r>
        <w:t>çevrimiçi</w:t>
      </w:r>
      <w:r>
        <w:rPr>
          <w:spacing w:val="-1"/>
        </w:rPr>
        <w:t xml:space="preserve"> </w:t>
      </w:r>
      <w:r>
        <w:t>boş</w:t>
      </w:r>
      <w:r>
        <w:rPr>
          <w:spacing w:val="-4"/>
        </w:rPr>
        <w:t xml:space="preserve"> </w:t>
      </w:r>
      <w:r>
        <w:t>zaman, siber</w:t>
      </w:r>
      <w:r>
        <w:rPr>
          <w:spacing w:val="-8"/>
        </w:rPr>
        <w:t xml:space="preserve"> </w:t>
      </w:r>
      <w:r>
        <w:t>boş</w:t>
      </w:r>
      <w:r>
        <w:rPr>
          <w:spacing w:val="-8"/>
        </w:rPr>
        <w:t xml:space="preserve"> </w:t>
      </w:r>
      <w:r>
        <w:t>zaman</w:t>
      </w:r>
      <w:r>
        <w:rPr>
          <w:spacing w:val="-8"/>
        </w:rPr>
        <w:t xml:space="preserve"> </w:t>
      </w:r>
      <w:r>
        <w:t>ve</w:t>
      </w:r>
      <w:r>
        <w:rPr>
          <w:spacing w:val="-8"/>
        </w:rPr>
        <w:t xml:space="preserve"> </w:t>
      </w:r>
      <w:r>
        <w:t>sanal</w:t>
      </w:r>
      <w:r>
        <w:rPr>
          <w:spacing w:val="-8"/>
        </w:rPr>
        <w:t xml:space="preserve"> </w:t>
      </w:r>
      <w:r>
        <w:t>boş</w:t>
      </w:r>
      <w:r>
        <w:rPr>
          <w:spacing w:val="-8"/>
        </w:rPr>
        <w:t xml:space="preserve"> </w:t>
      </w:r>
      <w:r>
        <w:t>zaman</w:t>
      </w:r>
      <w:r>
        <w:rPr>
          <w:spacing w:val="-8"/>
        </w:rPr>
        <w:t xml:space="preserve"> </w:t>
      </w:r>
      <w:r>
        <w:t>gibi</w:t>
      </w:r>
      <w:r>
        <w:rPr>
          <w:spacing w:val="-8"/>
        </w:rPr>
        <w:t xml:space="preserve"> </w:t>
      </w:r>
      <w:r>
        <w:t>isimlerle</w:t>
      </w:r>
      <w:r>
        <w:rPr>
          <w:spacing w:val="-11"/>
        </w:rPr>
        <w:t xml:space="preserve"> </w:t>
      </w:r>
      <w:r>
        <w:t>de</w:t>
      </w:r>
      <w:r>
        <w:rPr>
          <w:spacing w:val="-8"/>
        </w:rPr>
        <w:t xml:space="preserve"> </w:t>
      </w:r>
      <w:r>
        <w:t>anılmaktadır</w:t>
      </w:r>
      <w:r>
        <w:rPr>
          <w:spacing w:val="-8"/>
        </w:rPr>
        <w:t xml:space="preserve"> </w:t>
      </w:r>
      <w:r>
        <w:t>(Nimrod</w:t>
      </w:r>
      <w:r>
        <w:rPr>
          <w:spacing w:val="-8"/>
        </w:rPr>
        <w:t xml:space="preserve"> </w:t>
      </w:r>
      <w:r>
        <w:t>ve</w:t>
      </w:r>
      <w:r>
        <w:rPr>
          <w:spacing w:val="-8"/>
        </w:rPr>
        <w:t xml:space="preserve"> </w:t>
      </w:r>
      <w:r>
        <w:t>Adoni,</w:t>
      </w:r>
      <w:r>
        <w:rPr>
          <w:spacing w:val="-8"/>
        </w:rPr>
        <w:t xml:space="preserve"> </w:t>
      </w:r>
      <w:r>
        <w:t xml:space="preserve">2012: </w:t>
      </w:r>
      <w:r>
        <w:rPr>
          <w:spacing w:val="-4"/>
        </w:rPr>
        <w:t>32).</w:t>
      </w:r>
    </w:p>
    <w:p w14:paraId="47403985">
      <w:pPr>
        <w:pStyle w:val="9"/>
        <w:spacing w:before="120" w:after="120" w:line="360" w:lineRule="auto"/>
        <w:ind w:left="0" w:firstLine="567"/>
      </w:pPr>
      <w:r>
        <w:t>Farklı isimlerle anılan elektronik boş zaman uygulamalarının, katılımcıların etkileşim düzeyine</w:t>
      </w:r>
      <w:r>
        <w:rPr>
          <w:spacing w:val="-15"/>
        </w:rPr>
        <w:t xml:space="preserve"> </w:t>
      </w:r>
      <w:r>
        <w:t>göre</w:t>
      </w:r>
      <w:r>
        <w:rPr>
          <w:spacing w:val="-15"/>
        </w:rPr>
        <w:t xml:space="preserve"> </w:t>
      </w:r>
      <w:r>
        <w:t>aktif</w:t>
      </w:r>
      <w:r>
        <w:rPr>
          <w:spacing w:val="-15"/>
        </w:rPr>
        <w:t xml:space="preserve"> </w:t>
      </w:r>
      <w:r>
        <w:t>ya</w:t>
      </w:r>
      <w:r>
        <w:rPr>
          <w:spacing w:val="-15"/>
        </w:rPr>
        <w:t xml:space="preserve"> </w:t>
      </w:r>
      <w:r>
        <w:t>da</w:t>
      </w:r>
      <w:r>
        <w:rPr>
          <w:spacing w:val="-15"/>
        </w:rPr>
        <w:t xml:space="preserve"> </w:t>
      </w:r>
      <w:r>
        <w:t>pasif</w:t>
      </w:r>
      <w:r>
        <w:rPr>
          <w:spacing w:val="-15"/>
        </w:rPr>
        <w:t xml:space="preserve"> </w:t>
      </w:r>
      <w:r>
        <w:t>özelliklere</w:t>
      </w:r>
      <w:r>
        <w:rPr>
          <w:spacing w:val="-15"/>
        </w:rPr>
        <w:t xml:space="preserve"> </w:t>
      </w:r>
      <w:r>
        <w:t>sahip</w:t>
      </w:r>
      <w:r>
        <w:rPr>
          <w:spacing w:val="-15"/>
        </w:rPr>
        <w:t xml:space="preserve"> </w:t>
      </w:r>
      <w:r>
        <w:t>olduğu</w:t>
      </w:r>
      <w:r>
        <w:rPr>
          <w:spacing w:val="-15"/>
        </w:rPr>
        <w:t xml:space="preserve"> </w:t>
      </w:r>
      <w:r>
        <w:t>görülmektedir.</w:t>
      </w:r>
      <w:r>
        <w:rPr>
          <w:spacing w:val="-15"/>
        </w:rPr>
        <w:t xml:space="preserve"> </w:t>
      </w:r>
      <w:r>
        <w:t>Buna</w:t>
      </w:r>
      <w:r>
        <w:rPr>
          <w:spacing w:val="-15"/>
        </w:rPr>
        <w:t xml:space="preserve"> </w:t>
      </w:r>
      <w:r>
        <w:t>göre</w:t>
      </w:r>
      <w:r>
        <w:rPr>
          <w:spacing w:val="-15"/>
        </w:rPr>
        <w:t xml:space="preserve"> </w:t>
      </w:r>
      <w:r>
        <w:t>internetten veya çeşitli elektronik cihazlardan müzik dinlemek, dizi, film ve video izlemek, kitap okumak, mesaj göndermek ve blog yazmak gibi faaliyetler pasif elektronik boş zaman aktiviteleri olarak değerlendirilmektedir. Öte yandan, zihinsel olarak oynanan simülasyon oyunları,</w:t>
      </w:r>
      <w:r>
        <w:rPr>
          <w:spacing w:val="-10"/>
        </w:rPr>
        <w:t xml:space="preserve"> </w:t>
      </w:r>
      <w:r>
        <w:t>koordinasyon</w:t>
      </w:r>
      <w:r>
        <w:rPr>
          <w:spacing w:val="-8"/>
        </w:rPr>
        <w:t xml:space="preserve"> </w:t>
      </w:r>
      <w:r>
        <w:t>gerektiren</w:t>
      </w:r>
      <w:r>
        <w:rPr>
          <w:spacing w:val="-10"/>
        </w:rPr>
        <w:t xml:space="preserve"> </w:t>
      </w:r>
      <w:r>
        <w:t>hedef</w:t>
      </w:r>
      <w:r>
        <w:rPr>
          <w:spacing w:val="-10"/>
        </w:rPr>
        <w:t xml:space="preserve"> </w:t>
      </w:r>
      <w:r>
        <w:t>vurma</w:t>
      </w:r>
      <w:r>
        <w:rPr>
          <w:spacing w:val="-10"/>
        </w:rPr>
        <w:t xml:space="preserve"> </w:t>
      </w:r>
      <w:r>
        <w:t>oyunları,</w:t>
      </w:r>
      <w:r>
        <w:rPr>
          <w:spacing w:val="-10"/>
        </w:rPr>
        <w:t xml:space="preserve"> </w:t>
      </w:r>
      <w:r>
        <w:t>bilgi</w:t>
      </w:r>
      <w:r>
        <w:rPr>
          <w:spacing w:val="-10"/>
        </w:rPr>
        <w:t xml:space="preserve"> </w:t>
      </w:r>
      <w:r>
        <w:t>ve</w:t>
      </w:r>
      <w:r>
        <w:rPr>
          <w:spacing w:val="-10"/>
        </w:rPr>
        <w:t xml:space="preserve"> </w:t>
      </w:r>
      <w:r>
        <w:t>pratik</w:t>
      </w:r>
      <w:r>
        <w:rPr>
          <w:spacing w:val="-10"/>
        </w:rPr>
        <w:t xml:space="preserve"> </w:t>
      </w:r>
      <w:r>
        <w:t>çözümler</w:t>
      </w:r>
      <w:r>
        <w:rPr>
          <w:spacing w:val="-10"/>
        </w:rPr>
        <w:t xml:space="preserve"> </w:t>
      </w:r>
      <w:r>
        <w:t>gerektiren atari oyunları veya strateji gerektiren oyunlar, hız ve el becerisi gerektiren bilgisayar oyunları ile PlayStation, Nintendo, Wii gibi oyunlar ve gruplar halinde fiziksel olarak oynanan Xbox Kinect türü konsollar aktif elektronik boş zaman etkinliklerini oluşturmaktadır (Akyıldız, 2015: 73).</w:t>
      </w:r>
    </w:p>
    <w:p w14:paraId="0F8003F0">
      <w:pPr>
        <w:pStyle w:val="4"/>
        <w:spacing w:before="240" w:after="240" w:line="360" w:lineRule="auto"/>
        <w:ind w:left="567" w:firstLine="0"/>
        <w:rPr>
          <w:i w:val="0"/>
        </w:rPr>
      </w:pPr>
      <w:bookmarkStart w:id="86" w:name="_Toc195875802"/>
      <w:bookmarkStart w:id="87" w:name="_Toc195877787"/>
      <w:bookmarkStart w:id="88" w:name="_Toc197351240"/>
      <w:r>
        <w:rPr>
          <w:i w:val="0"/>
        </w:rPr>
        <w:t>2.3.2. Rekreasyon ve Sanal Gerçeklik Teknolojisi</w:t>
      </w:r>
      <w:bookmarkEnd w:id="86"/>
      <w:bookmarkEnd w:id="87"/>
      <w:bookmarkEnd w:id="88"/>
    </w:p>
    <w:p w14:paraId="3BF92AF2">
      <w:pPr>
        <w:pStyle w:val="9"/>
        <w:spacing w:before="120" w:after="120" w:line="360" w:lineRule="auto"/>
        <w:ind w:left="0" w:firstLine="567"/>
      </w:pPr>
      <w:r>
        <w:t>Rekreasyon, bireylerin boş zamanlarında, araçlı ya da araçsız, açık ya da kapalı alanlarda, kent içinde ya da dışında, bir örgüt içinde ya da dışında, zorunlu olmadan seçilen her türlü eğlenceli etkinliklerdir. Bireylerin bu tür etkinliklere katılımlarından doğan boş zaman etkinliği olarak da tanımlanmaktadır (Karakuş, 2008:86). Dolayısıyla rekreasyonel bir aktiviteye</w:t>
      </w:r>
      <w:r>
        <w:rPr>
          <w:spacing w:val="-7"/>
        </w:rPr>
        <w:t xml:space="preserve"> </w:t>
      </w:r>
      <w:r>
        <w:t>katılım</w:t>
      </w:r>
      <w:r>
        <w:rPr>
          <w:spacing w:val="-6"/>
        </w:rPr>
        <w:t xml:space="preserve"> </w:t>
      </w:r>
      <w:r>
        <w:t>kişiden</w:t>
      </w:r>
      <w:r>
        <w:rPr>
          <w:spacing w:val="-8"/>
        </w:rPr>
        <w:t xml:space="preserve"> </w:t>
      </w:r>
      <w:r>
        <w:t>kişiye</w:t>
      </w:r>
      <w:r>
        <w:rPr>
          <w:spacing w:val="-7"/>
        </w:rPr>
        <w:t xml:space="preserve"> </w:t>
      </w:r>
      <w:r>
        <w:t>değişebileceği</w:t>
      </w:r>
      <w:r>
        <w:rPr>
          <w:spacing w:val="-4"/>
        </w:rPr>
        <w:t xml:space="preserve"> </w:t>
      </w:r>
      <w:r>
        <w:t>gibi</w:t>
      </w:r>
      <w:r>
        <w:rPr>
          <w:spacing w:val="-6"/>
        </w:rPr>
        <w:t xml:space="preserve"> </w:t>
      </w:r>
      <w:r>
        <w:t>özellikleri</w:t>
      </w:r>
      <w:r>
        <w:rPr>
          <w:spacing w:val="-6"/>
        </w:rPr>
        <w:t xml:space="preserve"> </w:t>
      </w:r>
      <w:r>
        <w:t>de</w:t>
      </w:r>
      <w:r>
        <w:rPr>
          <w:spacing w:val="-7"/>
        </w:rPr>
        <w:t xml:space="preserve"> </w:t>
      </w:r>
      <w:r>
        <w:t>zamana,</w:t>
      </w:r>
      <w:r>
        <w:rPr>
          <w:spacing w:val="-4"/>
        </w:rPr>
        <w:t xml:space="preserve"> </w:t>
      </w:r>
      <w:r>
        <w:t>yere</w:t>
      </w:r>
      <w:r>
        <w:rPr>
          <w:spacing w:val="-8"/>
        </w:rPr>
        <w:t xml:space="preserve"> </w:t>
      </w:r>
      <w:r>
        <w:t>veya</w:t>
      </w:r>
      <w:r>
        <w:rPr>
          <w:spacing w:val="-6"/>
        </w:rPr>
        <w:t xml:space="preserve"> </w:t>
      </w:r>
      <w:r>
        <w:t>içeriğe göre farklılık gösterebilmektedir. Özellikle son yıllarda teknolojinin bir oyun ve eğlence aracı olarak kullanılmasıyla birlikte rekreasyonel etkinliklerin kapsamı da dönüşmüştür.</w:t>
      </w:r>
    </w:p>
    <w:p w14:paraId="5867779C">
      <w:pPr>
        <w:pStyle w:val="9"/>
        <w:spacing w:before="120" w:after="120" w:line="360" w:lineRule="auto"/>
        <w:ind w:left="0" w:firstLine="567"/>
      </w:pPr>
      <w:r>
        <w:t>Bir</w:t>
      </w:r>
      <w:r>
        <w:rPr>
          <w:spacing w:val="-8"/>
        </w:rPr>
        <w:t xml:space="preserve"> </w:t>
      </w:r>
      <w:r>
        <w:t>diğer</w:t>
      </w:r>
      <w:r>
        <w:rPr>
          <w:spacing w:val="-9"/>
        </w:rPr>
        <w:t xml:space="preserve"> </w:t>
      </w:r>
      <w:r>
        <w:t>ifadeyle,</w:t>
      </w:r>
      <w:r>
        <w:rPr>
          <w:spacing w:val="-8"/>
        </w:rPr>
        <w:t xml:space="preserve"> </w:t>
      </w:r>
      <w:r>
        <w:t>sanal</w:t>
      </w:r>
      <w:r>
        <w:rPr>
          <w:spacing w:val="-5"/>
        </w:rPr>
        <w:t xml:space="preserve"> </w:t>
      </w:r>
      <w:r>
        <w:t>gerçeklik</w:t>
      </w:r>
      <w:r>
        <w:rPr>
          <w:spacing w:val="-8"/>
        </w:rPr>
        <w:t xml:space="preserve"> </w:t>
      </w:r>
      <w:r>
        <w:t>teknolojisi</w:t>
      </w:r>
      <w:r>
        <w:rPr>
          <w:spacing w:val="-7"/>
        </w:rPr>
        <w:t xml:space="preserve"> </w:t>
      </w:r>
      <w:r>
        <w:t>tabanlı</w:t>
      </w:r>
      <w:r>
        <w:rPr>
          <w:spacing w:val="-7"/>
        </w:rPr>
        <w:t xml:space="preserve"> </w:t>
      </w:r>
      <w:r>
        <w:t>uygulamalar,</w:t>
      </w:r>
      <w:r>
        <w:rPr>
          <w:spacing w:val="-5"/>
        </w:rPr>
        <w:t xml:space="preserve"> </w:t>
      </w:r>
      <w:r>
        <w:t>rekreasyonel</w:t>
      </w:r>
      <w:r>
        <w:rPr>
          <w:spacing w:val="-7"/>
        </w:rPr>
        <w:t xml:space="preserve"> </w:t>
      </w:r>
      <w:r>
        <w:t>etkinliklere katılıma ilişkin zaman ve mekân değişkenlerini göz ardı ederek, bireyin koşullar uygun olmadığında bile bir etkinliğe katılmasını mümkün kılabilmektedir. Böylece rekreasyonel faaliyetlere</w:t>
      </w:r>
      <w:r>
        <w:rPr>
          <w:spacing w:val="-13"/>
        </w:rPr>
        <w:t xml:space="preserve"> </w:t>
      </w:r>
      <w:r>
        <w:t>katılanların</w:t>
      </w:r>
      <w:r>
        <w:rPr>
          <w:spacing w:val="-8"/>
        </w:rPr>
        <w:t xml:space="preserve"> </w:t>
      </w:r>
      <w:r>
        <w:t>yaşı,</w:t>
      </w:r>
      <w:r>
        <w:rPr>
          <w:spacing w:val="-11"/>
        </w:rPr>
        <w:t xml:space="preserve"> </w:t>
      </w:r>
      <w:r>
        <w:t>mesleği,</w:t>
      </w:r>
      <w:r>
        <w:rPr>
          <w:spacing w:val="-11"/>
        </w:rPr>
        <w:t xml:space="preserve"> </w:t>
      </w:r>
      <w:r>
        <w:t>cinsiyeti,</w:t>
      </w:r>
      <w:r>
        <w:rPr>
          <w:spacing w:val="-12"/>
        </w:rPr>
        <w:t xml:space="preserve"> </w:t>
      </w:r>
      <w:r>
        <w:t>sosyal</w:t>
      </w:r>
      <w:r>
        <w:rPr>
          <w:spacing w:val="-11"/>
        </w:rPr>
        <w:t xml:space="preserve"> </w:t>
      </w:r>
      <w:r>
        <w:t>durumu</w:t>
      </w:r>
      <w:r>
        <w:rPr>
          <w:spacing w:val="-12"/>
        </w:rPr>
        <w:t xml:space="preserve"> </w:t>
      </w:r>
      <w:r>
        <w:t>veya</w:t>
      </w:r>
      <w:r>
        <w:rPr>
          <w:spacing w:val="-10"/>
        </w:rPr>
        <w:t xml:space="preserve"> </w:t>
      </w:r>
      <w:r>
        <w:t>fiziksel</w:t>
      </w:r>
      <w:r>
        <w:rPr>
          <w:spacing w:val="-11"/>
        </w:rPr>
        <w:t xml:space="preserve"> </w:t>
      </w:r>
      <w:r>
        <w:t>engeli</w:t>
      </w:r>
      <w:r>
        <w:rPr>
          <w:spacing w:val="-11"/>
        </w:rPr>
        <w:t xml:space="preserve"> </w:t>
      </w:r>
      <w:r>
        <w:t>ne</w:t>
      </w:r>
      <w:r>
        <w:rPr>
          <w:spacing w:val="-13"/>
        </w:rPr>
        <w:t xml:space="preserve"> </w:t>
      </w:r>
      <w:r>
        <w:t>olursa olsun, zorlu bir kayak veya dağ tırmanışı, vahşi doğada bir gezi, dünyanın diğer ucundaki tarihi bir müzeyi ziyaret etmek bile mümkün olup, bu bağlamda dünya ve hatta uzay araştırmaları da yapılabilmektedir(Demirezen,2019:23)</w:t>
      </w:r>
    </w:p>
    <w:p w14:paraId="4FEF49D6">
      <w:pPr>
        <w:pStyle w:val="9"/>
        <w:spacing w:before="120" w:after="120" w:line="360" w:lineRule="auto"/>
        <w:ind w:left="0" w:firstLine="567"/>
      </w:pPr>
      <w:r>
        <w:t>Diğer</w:t>
      </w:r>
      <w:r>
        <w:rPr>
          <w:spacing w:val="-5"/>
        </w:rPr>
        <w:t xml:space="preserve"> </w:t>
      </w:r>
      <w:r>
        <w:t>yandan,</w:t>
      </w:r>
      <w:r>
        <w:rPr>
          <w:spacing w:val="-6"/>
        </w:rPr>
        <w:t xml:space="preserve"> </w:t>
      </w:r>
      <w:r>
        <w:t>sanal</w:t>
      </w:r>
      <w:r>
        <w:rPr>
          <w:spacing w:val="-4"/>
        </w:rPr>
        <w:t xml:space="preserve"> </w:t>
      </w:r>
      <w:r>
        <w:t>gerçeklik</w:t>
      </w:r>
      <w:r>
        <w:rPr>
          <w:spacing w:val="-6"/>
        </w:rPr>
        <w:t xml:space="preserve"> </w:t>
      </w:r>
      <w:r>
        <w:t>teknolojisinin</w:t>
      </w:r>
      <w:r>
        <w:rPr>
          <w:spacing w:val="-9"/>
        </w:rPr>
        <w:t xml:space="preserve"> </w:t>
      </w:r>
      <w:r>
        <w:t>avantajlarından</w:t>
      </w:r>
      <w:r>
        <w:rPr>
          <w:spacing w:val="-6"/>
        </w:rPr>
        <w:t xml:space="preserve"> </w:t>
      </w:r>
      <w:r>
        <w:t>büyük</w:t>
      </w:r>
      <w:r>
        <w:rPr>
          <w:spacing w:val="-6"/>
        </w:rPr>
        <w:t xml:space="preserve"> </w:t>
      </w:r>
      <w:r>
        <w:t>ölçüde</w:t>
      </w:r>
      <w:r>
        <w:rPr>
          <w:spacing w:val="-7"/>
        </w:rPr>
        <w:t xml:space="preserve"> </w:t>
      </w:r>
      <w:r>
        <w:t xml:space="preserve">yararlanabilecek sektörlerin başında turizm sektörü gelmektedir. Bu ileri teknolojiyle gitmek istediğimiz turistik yerleri görmek, Mars'a seyahat etmek, Ay'da seyahat etmek, ışık hızında seyahat </w:t>
      </w:r>
      <w:r>
        <w:rPr>
          <w:spacing w:val="-2"/>
        </w:rPr>
        <w:t>etmek</w:t>
      </w:r>
      <w:r>
        <w:rPr>
          <w:spacing w:val="-4"/>
        </w:rPr>
        <w:t xml:space="preserve"> </w:t>
      </w:r>
      <w:r>
        <w:rPr>
          <w:spacing w:val="-2"/>
        </w:rPr>
        <w:t>mümkündür.</w:t>
      </w:r>
      <w:r>
        <w:rPr>
          <w:spacing w:val="-4"/>
        </w:rPr>
        <w:t xml:space="preserve"> </w:t>
      </w:r>
      <w:r>
        <w:rPr>
          <w:spacing w:val="-2"/>
        </w:rPr>
        <w:t>Bu</w:t>
      </w:r>
      <w:r>
        <w:rPr>
          <w:spacing w:val="-4"/>
        </w:rPr>
        <w:t xml:space="preserve"> </w:t>
      </w:r>
      <w:r>
        <w:rPr>
          <w:spacing w:val="-2"/>
        </w:rPr>
        <w:t>konuda</w:t>
      </w:r>
      <w:r>
        <w:rPr>
          <w:spacing w:val="-6"/>
        </w:rPr>
        <w:t xml:space="preserve"> </w:t>
      </w:r>
      <w:r>
        <w:rPr>
          <w:spacing w:val="-2"/>
        </w:rPr>
        <w:t>ABD'de</w:t>
      </w:r>
      <w:r>
        <w:rPr>
          <w:spacing w:val="-6"/>
        </w:rPr>
        <w:t xml:space="preserve"> </w:t>
      </w:r>
      <w:r>
        <w:rPr>
          <w:spacing w:val="-2"/>
        </w:rPr>
        <w:t>Carnegie Mellon</w:t>
      </w:r>
      <w:r>
        <w:rPr>
          <w:spacing w:val="-4"/>
        </w:rPr>
        <w:t xml:space="preserve"> </w:t>
      </w:r>
      <w:r>
        <w:rPr>
          <w:spacing w:val="-2"/>
        </w:rPr>
        <w:t>Üniversitesi'nde yapılmış</w:t>
      </w:r>
      <w:r>
        <w:rPr>
          <w:spacing w:val="-4"/>
        </w:rPr>
        <w:t xml:space="preserve"> </w:t>
      </w:r>
      <w:r>
        <w:rPr>
          <w:spacing w:val="-2"/>
        </w:rPr>
        <w:t>bir</w:t>
      </w:r>
      <w:r>
        <w:rPr>
          <w:spacing w:val="-4"/>
        </w:rPr>
        <w:t xml:space="preserve"> </w:t>
      </w:r>
      <w:r>
        <w:rPr>
          <w:spacing w:val="-2"/>
        </w:rPr>
        <w:t xml:space="preserve">örnek </w:t>
      </w:r>
      <w:r>
        <w:t>olarak</w:t>
      </w:r>
      <w:r>
        <w:rPr>
          <w:spacing w:val="-11"/>
        </w:rPr>
        <w:t xml:space="preserve"> </w:t>
      </w:r>
      <w:r>
        <w:t>ışık</w:t>
      </w:r>
      <w:r>
        <w:rPr>
          <w:spacing w:val="-11"/>
        </w:rPr>
        <w:t xml:space="preserve"> </w:t>
      </w:r>
      <w:r>
        <w:t>hızında</w:t>
      </w:r>
      <w:r>
        <w:rPr>
          <w:spacing w:val="-11"/>
        </w:rPr>
        <w:t xml:space="preserve"> </w:t>
      </w:r>
      <w:r>
        <w:t>seyahati</w:t>
      </w:r>
      <w:r>
        <w:rPr>
          <w:spacing w:val="-10"/>
        </w:rPr>
        <w:t xml:space="preserve"> </w:t>
      </w:r>
      <w:r>
        <w:t>gösteren</w:t>
      </w:r>
      <w:r>
        <w:rPr>
          <w:spacing w:val="-9"/>
        </w:rPr>
        <w:t xml:space="preserve"> </w:t>
      </w:r>
      <w:r>
        <w:t>bir</w:t>
      </w:r>
      <w:r>
        <w:rPr>
          <w:spacing w:val="-11"/>
        </w:rPr>
        <w:t xml:space="preserve"> </w:t>
      </w:r>
      <w:r>
        <w:t>sanal</w:t>
      </w:r>
      <w:r>
        <w:rPr>
          <w:spacing w:val="-8"/>
        </w:rPr>
        <w:t xml:space="preserve"> </w:t>
      </w:r>
      <w:r>
        <w:t>gerçeklik</w:t>
      </w:r>
      <w:r>
        <w:rPr>
          <w:spacing w:val="-11"/>
        </w:rPr>
        <w:t xml:space="preserve"> </w:t>
      </w:r>
      <w:r>
        <w:t>sistemi</w:t>
      </w:r>
      <w:r>
        <w:rPr>
          <w:spacing w:val="-10"/>
        </w:rPr>
        <w:t xml:space="preserve"> </w:t>
      </w:r>
      <w:r>
        <w:t>elde</w:t>
      </w:r>
      <w:r>
        <w:rPr>
          <w:spacing w:val="-11"/>
        </w:rPr>
        <w:t xml:space="preserve"> </w:t>
      </w:r>
      <w:r>
        <w:t>edilmiştir</w:t>
      </w:r>
      <w:r>
        <w:rPr>
          <w:spacing w:val="-11"/>
        </w:rPr>
        <w:t xml:space="preserve"> </w:t>
      </w:r>
      <w:r>
        <w:t>(Kurbanoğlu, 1996: 27). Sanal gerçekliğin turistik amaçlı kullanımını gösteren bir diğer örnek de “Canadian Rockies”in bilgisayarda sanal bir model oluşturarak yaptığı çalışmadır. İki kişinin aynı anda yer değiştirmeden bu deneyimi yaşaması sağlandı. Bir başka örnek de Fransız devriminden sonra Fransa'nın Burgundy bölgesinde yıkılan ve sanal gerçeklik sayesinde</w:t>
      </w:r>
      <w:r>
        <w:rPr>
          <w:spacing w:val="-3"/>
        </w:rPr>
        <w:t xml:space="preserve"> </w:t>
      </w:r>
      <w:r>
        <w:t>bilgisayarda</w:t>
      </w:r>
      <w:r>
        <w:rPr>
          <w:spacing w:val="-1"/>
        </w:rPr>
        <w:t xml:space="preserve"> </w:t>
      </w:r>
      <w:r>
        <w:t>yeniden yaratılan</w:t>
      </w:r>
      <w:r>
        <w:rPr>
          <w:spacing w:val="-3"/>
        </w:rPr>
        <w:t xml:space="preserve"> </w:t>
      </w:r>
      <w:r>
        <w:t>Cluny</w:t>
      </w:r>
      <w:r>
        <w:rPr>
          <w:spacing w:val="-6"/>
        </w:rPr>
        <w:t xml:space="preserve"> </w:t>
      </w:r>
      <w:r>
        <w:t>Manastırı</w:t>
      </w:r>
      <w:r>
        <w:rPr>
          <w:spacing w:val="-3"/>
        </w:rPr>
        <w:t xml:space="preserve"> </w:t>
      </w:r>
      <w:r>
        <w:t>ile</w:t>
      </w:r>
      <w:r>
        <w:rPr>
          <w:spacing w:val="-4"/>
        </w:rPr>
        <w:t xml:space="preserve"> </w:t>
      </w:r>
      <w:r>
        <w:t>dileyenler</w:t>
      </w:r>
      <w:r>
        <w:rPr>
          <w:spacing w:val="-3"/>
        </w:rPr>
        <w:t xml:space="preserve"> </w:t>
      </w:r>
      <w:r>
        <w:t>bu</w:t>
      </w:r>
      <w:r>
        <w:rPr>
          <w:spacing w:val="-1"/>
        </w:rPr>
        <w:t xml:space="preserve"> </w:t>
      </w:r>
      <w:r>
        <w:t>yapının</w:t>
      </w:r>
      <w:r>
        <w:rPr>
          <w:spacing w:val="-3"/>
        </w:rPr>
        <w:t xml:space="preserve"> </w:t>
      </w:r>
      <w:r>
        <w:t>katlarını sanal gerçeklikle rahatlıkla dolaşabilmekte ve duvarlarında en ince detayları dahi gözlemleyebilmektedir (Bayraktar ve Kaleli, 2007: 2).</w:t>
      </w:r>
    </w:p>
    <w:p w14:paraId="0041DA88">
      <w:pPr>
        <w:pStyle w:val="9"/>
        <w:spacing w:before="120" w:after="120" w:line="360" w:lineRule="auto"/>
        <w:ind w:left="0" w:firstLine="567"/>
      </w:pPr>
      <w:r>
        <w:t>Turizmde her türlü pazarlama ve rezervasyonun yapılması, internetin yaygın olarak kullanıldığı</w:t>
      </w:r>
      <w:r>
        <w:rPr>
          <w:spacing w:val="-11"/>
        </w:rPr>
        <w:t xml:space="preserve"> </w:t>
      </w:r>
      <w:r>
        <w:t>dünyamızda</w:t>
      </w:r>
      <w:r>
        <w:rPr>
          <w:spacing w:val="-12"/>
        </w:rPr>
        <w:t xml:space="preserve"> </w:t>
      </w:r>
      <w:r>
        <w:t>turizmin</w:t>
      </w:r>
      <w:r>
        <w:rPr>
          <w:spacing w:val="-12"/>
        </w:rPr>
        <w:t xml:space="preserve"> </w:t>
      </w:r>
      <w:r>
        <w:t>avantajlarından</w:t>
      </w:r>
      <w:r>
        <w:rPr>
          <w:spacing w:val="-9"/>
        </w:rPr>
        <w:t xml:space="preserve"> </w:t>
      </w:r>
      <w:r>
        <w:t>biridir</w:t>
      </w:r>
      <w:r>
        <w:rPr>
          <w:spacing w:val="-13"/>
        </w:rPr>
        <w:t xml:space="preserve"> </w:t>
      </w:r>
      <w:r>
        <w:t>(Bayer,</w:t>
      </w:r>
      <w:r>
        <w:rPr>
          <w:spacing w:val="-12"/>
        </w:rPr>
        <w:t xml:space="preserve"> </w:t>
      </w:r>
      <w:r>
        <w:t>1998:</w:t>
      </w:r>
      <w:r>
        <w:rPr>
          <w:spacing w:val="-9"/>
        </w:rPr>
        <w:t xml:space="preserve"> </w:t>
      </w:r>
      <w:r>
        <w:t>3).</w:t>
      </w:r>
      <w:r>
        <w:rPr>
          <w:spacing w:val="-9"/>
        </w:rPr>
        <w:t xml:space="preserve"> </w:t>
      </w:r>
      <w:r>
        <w:t>İnsanların</w:t>
      </w:r>
      <w:r>
        <w:rPr>
          <w:spacing w:val="-8"/>
        </w:rPr>
        <w:t xml:space="preserve"> </w:t>
      </w:r>
      <w:r>
        <w:rPr>
          <w:spacing w:val="-2"/>
        </w:rPr>
        <w:t>gitmek</w:t>
      </w:r>
      <w:r>
        <w:t xml:space="preserve"> istedikleri otelleri evlerinden çıkmadan sanal gerçeklik uygulaması sayesinde ziyaret etmeleri</w:t>
      </w:r>
      <w:r>
        <w:rPr>
          <w:spacing w:val="-15"/>
        </w:rPr>
        <w:t xml:space="preserve"> </w:t>
      </w:r>
      <w:r>
        <w:t>ve</w:t>
      </w:r>
      <w:r>
        <w:rPr>
          <w:spacing w:val="-14"/>
        </w:rPr>
        <w:t xml:space="preserve"> </w:t>
      </w:r>
      <w:r>
        <w:t>odalarını</w:t>
      </w:r>
      <w:r>
        <w:rPr>
          <w:spacing w:val="-15"/>
        </w:rPr>
        <w:t xml:space="preserve"> </w:t>
      </w:r>
      <w:r>
        <w:t>önceden</w:t>
      </w:r>
      <w:r>
        <w:rPr>
          <w:spacing w:val="-15"/>
        </w:rPr>
        <w:t xml:space="preserve"> </w:t>
      </w:r>
      <w:r>
        <w:t>üç</w:t>
      </w:r>
      <w:r>
        <w:rPr>
          <w:spacing w:val="-14"/>
        </w:rPr>
        <w:t xml:space="preserve"> </w:t>
      </w:r>
      <w:r>
        <w:t>boyutlu</w:t>
      </w:r>
      <w:r>
        <w:rPr>
          <w:spacing w:val="-13"/>
        </w:rPr>
        <w:t xml:space="preserve"> </w:t>
      </w:r>
      <w:r>
        <w:t>görerek</w:t>
      </w:r>
      <w:r>
        <w:rPr>
          <w:spacing w:val="-15"/>
        </w:rPr>
        <w:t xml:space="preserve"> </w:t>
      </w:r>
      <w:r>
        <w:t>seçmeleri,</w:t>
      </w:r>
      <w:r>
        <w:rPr>
          <w:spacing w:val="-15"/>
        </w:rPr>
        <w:t xml:space="preserve"> </w:t>
      </w:r>
      <w:r>
        <w:t>ilgili</w:t>
      </w:r>
      <w:r>
        <w:rPr>
          <w:spacing w:val="-15"/>
        </w:rPr>
        <w:t xml:space="preserve"> </w:t>
      </w:r>
      <w:r>
        <w:t>otel</w:t>
      </w:r>
      <w:r>
        <w:rPr>
          <w:spacing w:val="-15"/>
        </w:rPr>
        <w:t xml:space="preserve"> </w:t>
      </w:r>
      <w:r>
        <w:t>için</w:t>
      </w:r>
      <w:r>
        <w:rPr>
          <w:spacing w:val="-15"/>
        </w:rPr>
        <w:t xml:space="preserve"> </w:t>
      </w:r>
      <w:r>
        <w:t>diğer</w:t>
      </w:r>
      <w:r>
        <w:rPr>
          <w:spacing w:val="-15"/>
        </w:rPr>
        <w:t xml:space="preserve"> </w:t>
      </w:r>
      <w:r>
        <w:t>otellere</w:t>
      </w:r>
      <w:r>
        <w:rPr>
          <w:spacing w:val="-14"/>
        </w:rPr>
        <w:t xml:space="preserve"> </w:t>
      </w:r>
      <w:r>
        <w:t>göre insanların gözünde daha olumlu bir imaj oluşturacaktır. Ayrıca, söz konusu uygulama otel personelinde de motive edici olabilir. Çalışan personelin yanı sıra otelin her alanında misafirleri üç boyutlu görüntüleyen bir cihazın olması personelin işini kolaylaştıracaktır.</w:t>
      </w:r>
    </w:p>
    <w:p w14:paraId="5DE6AF1F">
      <w:pPr>
        <w:pStyle w:val="9"/>
        <w:spacing w:before="120" w:after="120" w:line="360" w:lineRule="auto"/>
        <w:ind w:left="0" w:firstLine="567"/>
      </w:pPr>
      <w:r>
        <w:t>Sanal kavramı, sanalın kökeninden gelen, var olmayan ancak algıyı yönlendirerek var olduğu yanılsamasının yaratılmasını ifade eden bir kavramdır (Kuruüzümcü, 2009: 94). Sanal tur ise son teknoloji yazılım ve görsel medya uygulamalarını fotoğraflara aktararak ziyaretçinin internet ortamında rahat bir şekilde gezinmesini sağlayan ve üç boyutlu bir görüntü izlenimi veren görsel bir uygulamadır. Bu imkanlarla birlikte, sanal müzecilik ve sanal tur uygulamaları da oldukça popüler olmaya başlamıştır. Günümüz modern müzeciliğini en iyi şekilde yansıtan sanal müzecilik sürekli gelişmektedir. Örneğin, dünyanın</w:t>
      </w:r>
      <w:r>
        <w:rPr>
          <w:spacing w:val="-10"/>
        </w:rPr>
        <w:t xml:space="preserve"> </w:t>
      </w:r>
      <w:r>
        <w:t>önde</w:t>
      </w:r>
      <w:r>
        <w:rPr>
          <w:spacing w:val="-9"/>
        </w:rPr>
        <w:t xml:space="preserve"> </w:t>
      </w:r>
      <w:r>
        <w:t>gelen</w:t>
      </w:r>
      <w:r>
        <w:rPr>
          <w:spacing w:val="-9"/>
        </w:rPr>
        <w:t xml:space="preserve"> </w:t>
      </w:r>
      <w:r>
        <w:t>müzeleri</w:t>
      </w:r>
      <w:r>
        <w:rPr>
          <w:spacing w:val="-10"/>
        </w:rPr>
        <w:t xml:space="preserve"> </w:t>
      </w:r>
      <w:r>
        <w:t>arasında</w:t>
      </w:r>
      <w:r>
        <w:rPr>
          <w:spacing w:val="-7"/>
        </w:rPr>
        <w:t xml:space="preserve"> </w:t>
      </w:r>
      <w:r>
        <w:t>yer</w:t>
      </w:r>
      <w:r>
        <w:rPr>
          <w:spacing w:val="-11"/>
        </w:rPr>
        <w:t xml:space="preserve"> </w:t>
      </w:r>
      <w:r>
        <w:t>alan</w:t>
      </w:r>
      <w:r>
        <w:rPr>
          <w:spacing w:val="-11"/>
        </w:rPr>
        <w:t xml:space="preserve"> </w:t>
      </w:r>
      <w:r>
        <w:t>British</w:t>
      </w:r>
      <w:r>
        <w:rPr>
          <w:spacing w:val="-11"/>
        </w:rPr>
        <w:t xml:space="preserve"> </w:t>
      </w:r>
      <w:r>
        <w:t>Museum</w:t>
      </w:r>
      <w:r>
        <w:rPr>
          <w:spacing w:val="-11"/>
        </w:rPr>
        <w:t xml:space="preserve"> </w:t>
      </w:r>
      <w:r>
        <w:t>ve</w:t>
      </w:r>
      <w:r>
        <w:rPr>
          <w:spacing w:val="-12"/>
        </w:rPr>
        <w:t xml:space="preserve"> </w:t>
      </w:r>
      <w:r>
        <w:t>New</w:t>
      </w:r>
      <w:r>
        <w:rPr>
          <w:spacing w:val="-9"/>
        </w:rPr>
        <w:t xml:space="preserve"> </w:t>
      </w:r>
      <w:r>
        <w:t>York</w:t>
      </w:r>
      <w:r>
        <w:rPr>
          <w:spacing w:val="-11"/>
        </w:rPr>
        <w:t xml:space="preserve"> </w:t>
      </w:r>
      <w:r>
        <w:t>Metropolitan Museum gibi müzeler, günümüzün modern teknolojilerini kullanarak sadece kendi ülkelerinden değil, dünyanın çeşitli milletlerinden de ziyaretçi çekmektedir. Müzeler bu sayede değerlerini geniş kitlelere kolaylıkla aktarmaktadır (Derman, 2012:43). Günümüz müzeciliği çağın modern iletişim araçlarını kullanmakta ve sahip olduğu değerleri çağdaş iletişim araçlarıyla ziyaretçilerine sunmaktadır.</w:t>
      </w:r>
    </w:p>
    <w:p w14:paraId="2C23041F">
      <w:pPr>
        <w:pStyle w:val="4"/>
        <w:spacing w:before="240" w:after="240" w:line="360" w:lineRule="auto"/>
        <w:ind w:left="567" w:firstLine="0"/>
        <w:rPr>
          <w:i w:val="0"/>
        </w:rPr>
      </w:pPr>
      <w:bookmarkStart w:id="89" w:name="_Toc195877788"/>
      <w:bookmarkStart w:id="90" w:name="_Toc197351241"/>
      <w:bookmarkStart w:id="91" w:name="_Toc195875803"/>
      <w:r>
        <w:rPr>
          <w:i w:val="0"/>
        </w:rPr>
        <w:t>2.3.3. Sanal Rekreasyon Kavramı</w:t>
      </w:r>
      <w:bookmarkEnd w:id="89"/>
      <w:bookmarkEnd w:id="90"/>
      <w:bookmarkEnd w:id="91"/>
    </w:p>
    <w:p w14:paraId="3868DBA1">
      <w:pPr>
        <w:pStyle w:val="9"/>
        <w:spacing w:before="120" w:after="120" w:line="360" w:lineRule="auto"/>
        <w:ind w:left="0" w:firstLine="567"/>
      </w:pPr>
      <w:r>
        <w:t>Sanal</w:t>
      </w:r>
      <w:r>
        <w:rPr>
          <w:spacing w:val="-9"/>
        </w:rPr>
        <w:t xml:space="preserve"> </w:t>
      </w:r>
      <w:r>
        <w:t>rekreasyon</w:t>
      </w:r>
      <w:r>
        <w:rPr>
          <w:spacing w:val="-9"/>
        </w:rPr>
        <w:t xml:space="preserve"> </w:t>
      </w:r>
      <w:r>
        <w:t>kavramı,</w:t>
      </w:r>
      <w:r>
        <w:rPr>
          <w:spacing w:val="-9"/>
        </w:rPr>
        <w:t xml:space="preserve"> </w:t>
      </w:r>
      <w:r>
        <w:t>bireylerin</w:t>
      </w:r>
      <w:r>
        <w:rPr>
          <w:spacing w:val="-10"/>
        </w:rPr>
        <w:t xml:space="preserve"> </w:t>
      </w:r>
      <w:r>
        <w:t>boş</w:t>
      </w:r>
      <w:r>
        <w:rPr>
          <w:spacing w:val="-9"/>
        </w:rPr>
        <w:t xml:space="preserve"> </w:t>
      </w:r>
      <w:r>
        <w:t>zamanlarını</w:t>
      </w:r>
      <w:r>
        <w:rPr>
          <w:spacing w:val="-9"/>
        </w:rPr>
        <w:t xml:space="preserve"> </w:t>
      </w:r>
      <w:r>
        <w:t>çeşitli</w:t>
      </w:r>
      <w:r>
        <w:rPr>
          <w:spacing w:val="-9"/>
        </w:rPr>
        <w:t xml:space="preserve"> </w:t>
      </w:r>
      <w:r>
        <w:t>elektronik</w:t>
      </w:r>
      <w:r>
        <w:rPr>
          <w:spacing w:val="-9"/>
        </w:rPr>
        <w:t xml:space="preserve"> </w:t>
      </w:r>
      <w:r>
        <w:t>platformlar</w:t>
      </w:r>
      <w:r>
        <w:rPr>
          <w:spacing w:val="-10"/>
        </w:rPr>
        <w:t xml:space="preserve"> </w:t>
      </w:r>
      <w:r>
        <w:t>üzerinde değerlendirmeleriyle ilgili geniş bir alanı kapsamaktadır. Bu kavram, teknolojinin günlük yaşamda</w:t>
      </w:r>
      <w:r>
        <w:rPr>
          <w:spacing w:val="-3"/>
        </w:rPr>
        <w:t xml:space="preserve"> </w:t>
      </w:r>
      <w:r>
        <w:t>giderek</w:t>
      </w:r>
      <w:r>
        <w:rPr>
          <w:spacing w:val="-4"/>
        </w:rPr>
        <w:t xml:space="preserve"> </w:t>
      </w:r>
      <w:r>
        <w:t>daha</w:t>
      </w:r>
      <w:r>
        <w:rPr>
          <w:spacing w:val="-5"/>
        </w:rPr>
        <w:t xml:space="preserve"> </w:t>
      </w:r>
      <w:r>
        <w:t>fazla</w:t>
      </w:r>
      <w:r>
        <w:rPr>
          <w:spacing w:val="-4"/>
        </w:rPr>
        <w:t xml:space="preserve"> </w:t>
      </w:r>
      <w:r>
        <w:t>entegre</w:t>
      </w:r>
      <w:r>
        <w:rPr>
          <w:spacing w:val="-5"/>
        </w:rPr>
        <w:t xml:space="preserve"> </w:t>
      </w:r>
      <w:r>
        <w:t>olmasıyla</w:t>
      </w:r>
      <w:r>
        <w:rPr>
          <w:spacing w:val="-4"/>
        </w:rPr>
        <w:t xml:space="preserve"> </w:t>
      </w:r>
      <w:r>
        <w:t>birlikte</w:t>
      </w:r>
      <w:r>
        <w:rPr>
          <w:spacing w:val="-5"/>
        </w:rPr>
        <w:t xml:space="preserve"> </w:t>
      </w:r>
      <w:r>
        <w:t>öne</w:t>
      </w:r>
      <w:r>
        <w:rPr>
          <w:spacing w:val="-5"/>
        </w:rPr>
        <w:t xml:space="preserve"> </w:t>
      </w:r>
      <w:r>
        <w:t>çıkmıştır</w:t>
      </w:r>
      <w:r>
        <w:rPr>
          <w:spacing w:val="-4"/>
        </w:rPr>
        <w:t xml:space="preserve"> </w:t>
      </w:r>
      <w:r>
        <w:t>ve</w:t>
      </w:r>
      <w:r>
        <w:rPr>
          <w:spacing w:val="-6"/>
        </w:rPr>
        <w:t xml:space="preserve"> </w:t>
      </w:r>
      <w:r>
        <w:t>çeşitli</w:t>
      </w:r>
      <w:r>
        <w:rPr>
          <w:spacing w:val="-4"/>
        </w:rPr>
        <w:t xml:space="preserve"> </w:t>
      </w:r>
      <w:r>
        <w:t>araştırmacılar tarafından farklı terimlerle ele alınmıştır. Whitty ve McLaughlin (2007: 1436) bu olguyu "çevrimiçi</w:t>
      </w:r>
      <w:r>
        <w:rPr>
          <w:spacing w:val="-15"/>
        </w:rPr>
        <w:t xml:space="preserve"> </w:t>
      </w:r>
      <w:r>
        <w:t>rekreasyon"</w:t>
      </w:r>
      <w:r>
        <w:rPr>
          <w:spacing w:val="-15"/>
        </w:rPr>
        <w:t xml:space="preserve"> </w:t>
      </w:r>
      <w:r>
        <w:t>olarak</w:t>
      </w:r>
      <w:r>
        <w:rPr>
          <w:spacing w:val="-15"/>
        </w:rPr>
        <w:t xml:space="preserve"> </w:t>
      </w:r>
      <w:r>
        <w:t>tanımlayarak,</w:t>
      </w:r>
      <w:r>
        <w:rPr>
          <w:spacing w:val="-14"/>
        </w:rPr>
        <w:t xml:space="preserve"> </w:t>
      </w:r>
      <w:r>
        <w:t>internetin</w:t>
      </w:r>
      <w:r>
        <w:rPr>
          <w:spacing w:val="-15"/>
        </w:rPr>
        <w:t xml:space="preserve"> </w:t>
      </w:r>
      <w:r>
        <w:t>sosyal</w:t>
      </w:r>
      <w:r>
        <w:rPr>
          <w:spacing w:val="-14"/>
        </w:rPr>
        <w:t xml:space="preserve"> </w:t>
      </w:r>
      <w:r>
        <w:t>ve</w:t>
      </w:r>
      <w:r>
        <w:rPr>
          <w:spacing w:val="-15"/>
        </w:rPr>
        <w:t xml:space="preserve"> </w:t>
      </w:r>
      <w:r>
        <w:t>eğlence</w:t>
      </w:r>
      <w:r>
        <w:rPr>
          <w:spacing w:val="-15"/>
        </w:rPr>
        <w:t xml:space="preserve"> </w:t>
      </w:r>
      <w:r>
        <w:t>amaçlı</w:t>
      </w:r>
      <w:r>
        <w:rPr>
          <w:spacing w:val="-14"/>
        </w:rPr>
        <w:t xml:space="preserve"> </w:t>
      </w:r>
      <w:r>
        <w:t>kullanımına odaklanmışlardır. Bu tanım, bireylerin çevrimiçi ortamlarda sosyalleşmelerini, oyun oynamalarını ve diğer interaktif medya tüketimlerini kapsamaktadır.</w:t>
      </w:r>
    </w:p>
    <w:p w14:paraId="111CD059">
      <w:pPr>
        <w:pStyle w:val="9"/>
        <w:spacing w:before="120" w:after="120" w:line="360" w:lineRule="auto"/>
        <w:ind w:left="0" w:firstLine="567"/>
      </w:pPr>
      <w:r>
        <w:t>Akoğlan Kozak ve Özkeroğlu (2018:402) ise "sanal rekreasyon" terimini kullanarak, bu kavramı</w:t>
      </w:r>
      <w:r>
        <w:rPr>
          <w:spacing w:val="-2"/>
        </w:rPr>
        <w:t xml:space="preserve"> </w:t>
      </w:r>
      <w:r>
        <w:t>daha</w:t>
      </w:r>
      <w:r>
        <w:rPr>
          <w:spacing w:val="-3"/>
        </w:rPr>
        <w:t xml:space="preserve"> </w:t>
      </w:r>
      <w:r>
        <w:t>teknoloji</w:t>
      </w:r>
      <w:r>
        <w:rPr>
          <w:spacing w:val="-2"/>
        </w:rPr>
        <w:t xml:space="preserve"> </w:t>
      </w:r>
      <w:r>
        <w:t>odaklı</w:t>
      </w:r>
      <w:r>
        <w:rPr>
          <w:spacing w:val="-2"/>
        </w:rPr>
        <w:t xml:space="preserve"> </w:t>
      </w:r>
      <w:r>
        <w:t>bir</w:t>
      </w:r>
      <w:r>
        <w:rPr>
          <w:spacing w:val="-3"/>
        </w:rPr>
        <w:t xml:space="preserve"> </w:t>
      </w:r>
      <w:r>
        <w:t>perspektiften</w:t>
      </w:r>
      <w:r>
        <w:rPr>
          <w:spacing w:val="-2"/>
        </w:rPr>
        <w:t xml:space="preserve"> </w:t>
      </w:r>
      <w:r>
        <w:t>ele</w:t>
      </w:r>
      <w:r>
        <w:rPr>
          <w:spacing w:val="-3"/>
        </w:rPr>
        <w:t xml:space="preserve"> </w:t>
      </w:r>
      <w:r>
        <w:t>almışlardır.</w:t>
      </w:r>
      <w:r>
        <w:rPr>
          <w:spacing w:val="-2"/>
        </w:rPr>
        <w:t xml:space="preserve"> </w:t>
      </w:r>
      <w:r>
        <w:t>Onlar</w:t>
      </w:r>
      <w:r>
        <w:rPr>
          <w:spacing w:val="-3"/>
        </w:rPr>
        <w:t xml:space="preserve"> </w:t>
      </w:r>
      <w:r>
        <w:t>için</w:t>
      </w:r>
      <w:r>
        <w:rPr>
          <w:spacing w:val="-2"/>
        </w:rPr>
        <w:t xml:space="preserve"> </w:t>
      </w:r>
      <w:r>
        <w:t>sanal</w:t>
      </w:r>
      <w:r>
        <w:rPr>
          <w:spacing w:val="-2"/>
        </w:rPr>
        <w:t xml:space="preserve"> </w:t>
      </w:r>
      <w:r>
        <w:t>rekreasyon, sanal</w:t>
      </w:r>
      <w:r>
        <w:rPr>
          <w:spacing w:val="67"/>
          <w:w w:val="150"/>
        </w:rPr>
        <w:t xml:space="preserve"> </w:t>
      </w:r>
      <w:r>
        <w:t>gerçeklik</w:t>
      </w:r>
      <w:r>
        <w:rPr>
          <w:spacing w:val="66"/>
          <w:w w:val="150"/>
        </w:rPr>
        <w:t xml:space="preserve"> </w:t>
      </w:r>
      <w:r>
        <w:t>uygulamaları,</w:t>
      </w:r>
      <w:r>
        <w:rPr>
          <w:spacing w:val="65"/>
          <w:w w:val="150"/>
        </w:rPr>
        <w:t xml:space="preserve"> </w:t>
      </w:r>
      <w:r>
        <w:t>simülasyonlar</w:t>
      </w:r>
      <w:r>
        <w:rPr>
          <w:spacing w:val="67"/>
          <w:w w:val="150"/>
        </w:rPr>
        <w:t xml:space="preserve"> </w:t>
      </w:r>
      <w:r>
        <w:t>ve</w:t>
      </w:r>
      <w:r>
        <w:rPr>
          <w:spacing w:val="66"/>
          <w:w w:val="150"/>
        </w:rPr>
        <w:t xml:space="preserve"> </w:t>
      </w:r>
      <w:r>
        <w:t>diğer</w:t>
      </w:r>
      <w:r>
        <w:rPr>
          <w:spacing w:val="64"/>
          <w:w w:val="150"/>
        </w:rPr>
        <w:t xml:space="preserve"> </w:t>
      </w:r>
      <w:r>
        <w:t>dijital</w:t>
      </w:r>
      <w:r>
        <w:rPr>
          <w:spacing w:val="66"/>
          <w:w w:val="150"/>
        </w:rPr>
        <w:t xml:space="preserve"> </w:t>
      </w:r>
      <w:r>
        <w:t>ortamlarda</w:t>
      </w:r>
      <w:r>
        <w:rPr>
          <w:spacing w:val="67"/>
          <w:w w:val="150"/>
        </w:rPr>
        <w:t xml:space="preserve"> </w:t>
      </w:r>
      <w:r>
        <w:rPr>
          <w:spacing w:val="-2"/>
        </w:rPr>
        <w:t>gerçekleşen</w:t>
      </w:r>
      <w:r>
        <w:t xml:space="preserve"> etkinliklerden</w:t>
      </w:r>
      <w:r>
        <w:rPr>
          <w:spacing w:val="-13"/>
        </w:rPr>
        <w:t xml:space="preserve"> </w:t>
      </w:r>
      <w:r>
        <w:t>oluşmaktadır.</w:t>
      </w:r>
      <w:r>
        <w:rPr>
          <w:spacing w:val="-13"/>
        </w:rPr>
        <w:t xml:space="preserve"> </w:t>
      </w:r>
      <w:r>
        <w:t>Bu</w:t>
      </w:r>
      <w:r>
        <w:rPr>
          <w:spacing w:val="-13"/>
        </w:rPr>
        <w:t xml:space="preserve"> </w:t>
      </w:r>
      <w:r>
        <w:t>tanım,</w:t>
      </w:r>
      <w:r>
        <w:rPr>
          <w:spacing w:val="-13"/>
        </w:rPr>
        <w:t xml:space="preserve"> </w:t>
      </w:r>
      <w:r>
        <w:t>rekreasyonun</w:t>
      </w:r>
      <w:r>
        <w:rPr>
          <w:spacing w:val="-13"/>
        </w:rPr>
        <w:t xml:space="preserve"> </w:t>
      </w:r>
      <w:r>
        <w:t>sadece</w:t>
      </w:r>
      <w:r>
        <w:rPr>
          <w:spacing w:val="-14"/>
        </w:rPr>
        <w:t xml:space="preserve"> </w:t>
      </w:r>
      <w:r>
        <w:t>bilgisayar</w:t>
      </w:r>
      <w:r>
        <w:rPr>
          <w:spacing w:val="-13"/>
        </w:rPr>
        <w:t xml:space="preserve"> </w:t>
      </w:r>
      <w:r>
        <w:t>ve</w:t>
      </w:r>
      <w:r>
        <w:rPr>
          <w:spacing w:val="-14"/>
        </w:rPr>
        <w:t xml:space="preserve"> </w:t>
      </w:r>
      <w:r>
        <w:t>internet</w:t>
      </w:r>
      <w:r>
        <w:rPr>
          <w:spacing w:val="-12"/>
        </w:rPr>
        <w:t xml:space="preserve"> </w:t>
      </w:r>
      <w:r>
        <w:t>üzerinden değil, aynı zamanda sanal gerçeklik cihazları gibi diğer dijital teknolojilerle de deneyimlenebileceğini vurgulamaktadır.</w:t>
      </w:r>
    </w:p>
    <w:p w14:paraId="33F1940A">
      <w:pPr>
        <w:pStyle w:val="9"/>
        <w:spacing w:before="120" w:after="120" w:line="360" w:lineRule="auto"/>
        <w:ind w:left="0" w:firstLine="567"/>
      </w:pPr>
      <w:r>
        <w:t>Aylan ve Aylan (2020:2747) ise bu kavramı "dijital rekreasyon" olarak adlandırarak, sanal rekreasyonun dijital teknolojilerin sağladığı imkanlar</w:t>
      </w:r>
      <w:r>
        <w:rPr>
          <w:spacing w:val="-1"/>
        </w:rPr>
        <w:t xml:space="preserve"> </w:t>
      </w:r>
      <w:r>
        <w:t>çerçevesinde, kullanıcıların interaktif ve dijital içeriklerle etkileşime girdiği tüm süreçleri kapsayacak şekilde genişletmişlerdir. Bu</w:t>
      </w:r>
      <w:r>
        <w:rPr>
          <w:spacing w:val="-1"/>
        </w:rPr>
        <w:t xml:space="preserve"> </w:t>
      </w:r>
      <w:r>
        <w:t>yaklaşım,</w:t>
      </w:r>
      <w:r>
        <w:rPr>
          <w:spacing w:val="-3"/>
        </w:rPr>
        <w:t xml:space="preserve"> </w:t>
      </w:r>
      <w:r>
        <w:t>dijital</w:t>
      </w:r>
      <w:r>
        <w:rPr>
          <w:spacing w:val="-3"/>
        </w:rPr>
        <w:t xml:space="preserve"> </w:t>
      </w:r>
      <w:r>
        <w:t>rekreasyonun</w:t>
      </w:r>
      <w:r>
        <w:rPr>
          <w:spacing w:val="-3"/>
        </w:rPr>
        <w:t xml:space="preserve"> </w:t>
      </w:r>
      <w:r>
        <w:t>sadece</w:t>
      </w:r>
      <w:r>
        <w:rPr>
          <w:spacing w:val="-2"/>
        </w:rPr>
        <w:t xml:space="preserve"> </w:t>
      </w:r>
      <w:r>
        <w:t>eğlence</w:t>
      </w:r>
      <w:r>
        <w:rPr>
          <w:spacing w:val="-3"/>
        </w:rPr>
        <w:t xml:space="preserve"> </w:t>
      </w:r>
      <w:r>
        <w:t>ve oyun</w:t>
      </w:r>
      <w:r>
        <w:rPr>
          <w:spacing w:val="-3"/>
        </w:rPr>
        <w:t xml:space="preserve"> </w:t>
      </w:r>
      <w:r>
        <w:t>odaklı</w:t>
      </w:r>
      <w:r>
        <w:rPr>
          <w:spacing w:val="-3"/>
        </w:rPr>
        <w:t xml:space="preserve"> </w:t>
      </w:r>
      <w:r>
        <w:t>olmadığını,</w:t>
      </w:r>
      <w:r>
        <w:rPr>
          <w:spacing w:val="-3"/>
        </w:rPr>
        <w:t xml:space="preserve"> </w:t>
      </w:r>
      <w:r>
        <w:t>aynı</w:t>
      </w:r>
      <w:r>
        <w:rPr>
          <w:spacing w:val="-3"/>
        </w:rPr>
        <w:t xml:space="preserve"> </w:t>
      </w:r>
      <w:r>
        <w:t>zamanda eğitici ve bilgilendirici dijital deneyimleri de içerebileceğini göstermektedir.</w:t>
      </w:r>
    </w:p>
    <w:p w14:paraId="28F84F44">
      <w:pPr>
        <w:pStyle w:val="9"/>
        <w:spacing w:before="120" w:after="120" w:line="360" w:lineRule="auto"/>
        <w:ind w:left="0" w:firstLine="567"/>
      </w:pPr>
      <w:r>
        <w:t>Görüldüğü</w:t>
      </w:r>
      <w:r>
        <w:rPr>
          <w:spacing w:val="-2"/>
        </w:rPr>
        <w:t xml:space="preserve"> </w:t>
      </w:r>
      <w:r>
        <w:t>üzere,</w:t>
      </w:r>
      <w:r>
        <w:rPr>
          <w:spacing w:val="-2"/>
        </w:rPr>
        <w:t xml:space="preserve"> </w:t>
      </w:r>
      <w:r>
        <w:t>"çevrimiçi,"</w:t>
      </w:r>
      <w:r>
        <w:rPr>
          <w:spacing w:val="-4"/>
        </w:rPr>
        <w:t xml:space="preserve"> </w:t>
      </w:r>
      <w:r>
        <w:t>"sanal,"</w:t>
      </w:r>
      <w:r>
        <w:rPr>
          <w:spacing w:val="-6"/>
        </w:rPr>
        <w:t xml:space="preserve"> </w:t>
      </w:r>
      <w:r>
        <w:t>ve</w:t>
      </w:r>
      <w:r>
        <w:rPr>
          <w:spacing w:val="-3"/>
        </w:rPr>
        <w:t xml:space="preserve"> </w:t>
      </w:r>
      <w:r>
        <w:t>"dijital"</w:t>
      </w:r>
      <w:r>
        <w:rPr>
          <w:spacing w:val="-6"/>
        </w:rPr>
        <w:t xml:space="preserve"> </w:t>
      </w:r>
      <w:r>
        <w:t>rekreasyon</w:t>
      </w:r>
      <w:r>
        <w:rPr>
          <w:spacing w:val="-4"/>
        </w:rPr>
        <w:t xml:space="preserve"> </w:t>
      </w:r>
      <w:r>
        <w:t>terimleri,</w:t>
      </w:r>
      <w:r>
        <w:rPr>
          <w:spacing w:val="-4"/>
        </w:rPr>
        <w:t xml:space="preserve"> </w:t>
      </w:r>
      <w:r>
        <w:t>bireylerin</w:t>
      </w:r>
      <w:r>
        <w:rPr>
          <w:spacing w:val="-4"/>
        </w:rPr>
        <w:t xml:space="preserve"> </w:t>
      </w:r>
      <w:r>
        <w:t>teknoloji aracılığıyla</w:t>
      </w:r>
      <w:r>
        <w:rPr>
          <w:spacing w:val="-11"/>
        </w:rPr>
        <w:t xml:space="preserve"> </w:t>
      </w:r>
      <w:r>
        <w:t>nasıl</w:t>
      </w:r>
      <w:r>
        <w:rPr>
          <w:spacing w:val="-9"/>
        </w:rPr>
        <w:t xml:space="preserve"> </w:t>
      </w:r>
      <w:r>
        <w:t>boş</w:t>
      </w:r>
      <w:r>
        <w:rPr>
          <w:spacing w:val="-10"/>
        </w:rPr>
        <w:t xml:space="preserve"> </w:t>
      </w:r>
      <w:r>
        <w:t>zamanlarını</w:t>
      </w:r>
      <w:r>
        <w:rPr>
          <w:spacing w:val="-10"/>
        </w:rPr>
        <w:t xml:space="preserve"> </w:t>
      </w:r>
      <w:r>
        <w:t>değerlendirdiklerine</w:t>
      </w:r>
      <w:r>
        <w:rPr>
          <w:spacing w:val="-11"/>
        </w:rPr>
        <w:t xml:space="preserve"> </w:t>
      </w:r>
      <w:r>
        <w:t>dair</w:t>
      </w:r>
      <w:r>
        <w:rPr>
          <w:spacing w:val="-11"/>
        </w:rPr>
        <w:t xml:space="preserve"> </w:t>
      </w:r>
      <w:r>
        <w:t>geniş</w:t>
      </w:r>
      <w:r>
        <w:rPr>
          <w:spacing w:val="-10"/>
        </w:rPr>
        <w:t xml:space="preserve"> </w:t>
      </w:r>
      <w:r>
        <w:t>bir</w:t>
      </w:r>
      <w:r>
        <w:rPr>
          <w:spacing w:val="-8"/>
        </w:rPr>
        <w:t xml:space="preserve"> </w:t>
      </w:r>
      <w:r>
        <w:t>yelpazedeki</w:t>
      </w:r>
      <w:r>
        <w:rPr>
          <w:spacing w:val="-10"/>
        </w:rPr>
        <w:t xml:space="preserve"> </w:t>
      </w:r>
      <w:r>
        <w:t>etkinlikleri tanımlamak için kullanılmaktadır. Bu kavramlar, her ne kadar birbiriyle yakından ilişkili olsa da her bir terimin altında yatan anlamlar ve vurgulanan yönler farklılık gösterebilir. Çevrimiçi rekreasyon genellikle internet üzerinden erişilen sosyal ağlar ve oyunlar gibi aktiviteleri ifade ederken, sanal rekreasyon daha çok sanal gerçeklik ve simülasyon teknolojilerini içerir. Dijital rekreasyon ise bu iki kavramı daha geniş bir çerçevede birleştirerek,</w:t>
      </w:r>
      <w:r>
        <w:rPr>
          <w:spacing w:val="-8"/>
        </w:rPr>
        <w:t xml:space="preserve"> </w:t>
      </w:r>
      <w:r>
        <w:t>dijital</w:t>
      </w:r>
      <w:r>
        <w:rPr>
          <w:spacing w:val="-7"/>
        </w:rPr>
        <w:t xml:space="preserve"> </w:t>
      </w:r>
      <w:r>
        <w:t>teknolojilerin</w:t>
      </w:r>
      <w:r>
        <w:rPr>
          <w:spacing w:val="-7"/>
        </w:rPr>
        <w:t xml:space="preserve"> </w:t>
      </w:r>
      <w:r>
        <w:t>sunduğu</w:t>
      </w:r>
      <w:r>
        <w:rPr>
          <w:spacing w:val="-8"/>
        </w:rPr>
        <w:t xml:space="preserve"> </w:t>
      </w:r>
      <w:r>
        <w:t>tüm</w:t>
      </w:r>
      <w:r>
        <w:rPr>
          <w:spacing w:val="-7"/>
        </w:rPr>
        <w:t xml:space="preserve"> </w:t>
      </w:r>
      <w:r>
        <w:t>rekreasyon</w:t>
      </w:r>
      <w:r>
        <w:rPr>
          <w:spacing w:val="-8"/>
        </w:rPr>
        <w:t xml:space="preserve"> </w:t>
      </w:r>
      <w:r>
        <w:t>imkanlarını</w:t>
      </w:r>
      <w:r>
        <w:rPr>
          <w:spacing w:val="-7"/>
        </w:rPr>
        <w:t xml:space="preserve"> </w:t>
      </w:r>
      <w:r>
        <w:t>kapsar.</w:t>
      </w:r>
      <w:r>
        <w:rPr>
          <w:spacing w:val="-9"/>
        </w:rPr>
        <w:t xml:space="preserve"> </w:t>
      </w:r>
      <w:r>
        <w:t>Bu</w:t>
      </w:r>
      <w:r>
        <w:rPr>
          <w:spacing w:val="-8"/>
        </w:rPr>
        <w:t xml:space="preserve"> </w:t>
      </w:r>
      <w:r>
        <w:t>çeşitlilik, sanal rekreasyonun dinamik bir alan olduğunu ve teknolojinin ilerlemesiyle birlikte sürekli olarak evrildiğini göstermektedir (Topaçoğlu ve Kılavuz, 2022:21).</w:t>
      </w:r>
    </w:p>
    <w:p w14:paraId="3156A0B6">
      <w:pPr>
        <w:pStyle w:val="9"/>
        <w:spacing w:before="120" w:after="120" w:line="360" w:lineRule="auto"/>
        <w:ind w:left="0" w:firstLine="567"/>
      </w:pPr>
      <w:r>
        <w:t>Güncan'ın</w:t>
      </w:r>
      <w:r>
        <w:rPr>
          <w:spacing w:val="-12"/>
        </w:rPr>
        <w:t xml:space="preserve"> </w:t>
      </w:r>
      <w:r>
        <w:t>(2021:163)</w:t>
      </w:r>
      <w:r>
        <w:rPr>
          <w:spacing w:val="-13"/>
        </w:rPr>
        <w:t xml:space="preserve"> </w:t>
      </w:r>
      <w:r>
        <w:t>çalışması,</w:t>
      </w:r>
      <w:r>
        <w:rPr>
          <w:spacing w:val="-12"/>
        </w:rPr>
        <w:t xml:space="preserve"> </w:t>
      </w:r>
      <w:r>
        <w:t>sanal</w:t>
      </w:r>
      <w:r>
        <w:rPr>
          <w:spacing w:val="-12"/>
        </w:rPr>
        <w:t xml:space="preserve"> </w:t>
      </w:r>
      <w:r>
        <w:t>ve</w:t>
      </w:r>
      <w:r>
        <w:rPr>
          <w:spacing w:val="-13"/>
        </w:rPr>
        <w:t xml:space="preserve"> </w:t>
      </w:r>
      <w:r>
        <w:t>dijital</w:t>
      </w:r>
      <w:r>
        <w:rPr>
          <w:spacing w:val="-10"/>
        </w:rPr>
        <w:t xml:space="preserve"> </w:t>
      </w:r>
      <w:r>
        <w:t>rekreasyon</w:t>
      </w:r>
      <w:r>
        <w:rPr>
          <w:spacing w:val="-13"/>
        </w:rPr>
        <w:t xml:space="preserve"> </w:t>
      </w:r>
      <w:r>
        <w:t>terimlerinin</w:t>
      </w:r>
      <w:r>
        <w:rPr>
          <w:spacing w:val="-13"/>
        </w:rPr>
        <w:t xml:space="preserve"> </w:t>
      </w:r>
      <w:r>
        <w:t>kullanımı</w:t>
      </w:r>
      <w:r>
        <w:rPr>
          <w:spacing w:val="-12"/>
        </w:rPr>
        <w:t xml:space="preserve"> </w:t>
      </w:r>
      <w:r>
        <w:t>ve</w:t>
      </w:r>
      <w:r>
        <w:rPr>
          <w:spacing w:val="-13"/>
        </w:rPr>
        <w:t xml:space="preserve"> </w:t>
      </w:r>
      <w:r>
        <w:t>anlamı üzerine yoğun bir inceleme sunmaktadır. Çalışmasında bu iki kavramın farklı yönlerini detaylıca</w:t>
      </w:r>
      <w:r>
        <w:rPr>
          <w:spacing w:val="-1"/>
        </w:rPr>
        <w:t xml:space="preserve"> </w:t>
      </w:r>
      <w:r>
        <w:t>ele alarak, rekreasyon alanında</w:t>
      </w:r>
      <w:r>
        <w:rPr>
          <w:spacing w:val="-1"/>
        </w:rPr>
        <w:t xml:space="preserve"> </w:t>
      </w:r>
      <w:r>
        <w:t>hangi terimin daha</w:t>
      </w:r>
      <w:r>
        <w:rPr>
          <w:spacing w:val="-1"/>
        </w:rPr>
        <w:t xml:space="preserve"> </w:t>
      </w:r>
      <w:r>
        <w:t xml:space="preserve">uygun olacağını sorgulamıştır. Güncan, sanal ve dijital rekreasyon arasındaki farkları belirlemek için, her iki kavramın kökenine, teknoloji ile olan ilişkilerine ve kullanım alanlarına dair derinlemesine bir analiz </w:t>
      </w:r>
      <w:r>
        <w:rPr>
          <w:spacing w:val="-2"/>
        </w:rPr>
        <w:t>yapmıştır.</w:t>
      </w:r>
    </w:p>
    <w:p w14:paraId="777DC24A">
      <w:pPr>
        <w:pStyle w:val="9"/>
        <w:spacing w:before="120" w:after="120" w:line="360" w:lineRule="auto"/>
        <w:ind w:left="0" w:firstLine="567"/>
      </w:pPr>
      <w:r>
        <w:t>Sanal</w:t>
      </w:r>
      <w:r>
        <w:rPr>
          <w:spacing w:val="-4"/>
        </w:rPr>
        <w:t xml:space="preserve"> </w:t>
      </w:r>
      <w:r>
        <w:t>rekreasyon</w:t>
      </w:r>
      <w:r>
        <w:rPr>
          <w:spacing w:val="-4"/>
        </w:rPr>
        <w:t xml:space="preserve"> </w:t>
      </w:r>
      <w:r>
        <w:t>terimi,</w:t>
      </w:r>
      <w:r>
        <w:rPr>
          <w:spacing w:val="-4"/>
        </w:rPr>
        <w:t xml:space="preserve"> </w:t>
      </w:r>
      <w:r>
        <w:t>genellikle</w:t>
      </w:r>
      <w:r>
        <w:rPr>
          <w:spacing w:val="-5"/>
        </w:rPr>
        <w:t xml:space="preserve"> </w:t>
      </w:r>
      <w:r>
        <w:t>sanal</w:t>
      </w:r>
      <w:r>
        <w:rPr>
          <w:spacing w:val="-2"/>
        </w:rPr>
        <w:t xml:space="preserve"> </w:t>
      </w:r>
      <w:r>
        <w:t>gerçeklik</w:t>
      </w:r>
      <w:r>
        <w:rPr>
          <w:spacing w:val="-4"/>
        </w:rPr>
        <w:t xml:space="preserve"> </w:t>
      </w:r>
      <w:r>
        <w:t>ortamlarını</w:t>
      </w:r>
      <w:r>
        <w:rPr>
          <w:spacing w:val="-4"/>
        </w:rPr>
        <w:t xml:space="preserve"> </w:t>
      </w:r>
      <w:r>
        <w:t>ve</w:t>
      </w:r>
      <w:r>
        <w:rPr>
          <w:spacing w:val="-5"/>
        </w:rPr>
        <w:t xml:space="preserve"> </w:t>
      </w:r>
      <w:r>
        <w:t>kullanıcıların</w:t>
      </w:r>
      <w:r>
        <w:rPr>
          <w:spacing w:val="-4"/>
        </w:rPr>
        <w:t xml:space="preserve"> </w:t>
      </w:r>
      <w:r>
        <w:t>bu</w:t>
      </w:r>
      <w:r>
        <w:rPr>
          <w:spacing w:val="-4"/>
        </w:rPr>
        <w:t xml:space="preserve"> </w:t>
      </w:r>
      <w:r>
        <w:t>ortamlar içindeki etkileşimlerini ifade etmektedir. Bu terim, kullanıcıların gerçek dünya dışında, tamamen</w:t>
      </w:r>
      <w:r>
        <w:rPr>
          <w:spacing w:val="24"/>
        </w:rPr>
        <w:t xml:space="preserve"> </w:t>
      </w:r>
      <w:r>
        <w:t>dijital</w:t>
      </w:r>
      <w:r>
        <w:rPr>
          <w:spacing w:val="28"/>
        </w:rPr>
        <w:t xml:space="preserve"> </w:t>
      </w:r>
      <w:r>
        <w:t>bir</w:t>
      </w:r>
      <w:r>
        <w:rPr>
          <w:spacing w:val="27"/>
        </w:rPr>
        <w:t xml:space="preserve"> </w:t>
      </w:r>
      <w:r>
        <w:t>ortamda</w:t>
      </w:r>
      <w:r>
        <w:rPr>
          <w:spacing w:val="26"/>
        </w:rPr>
        <w:t xml:space="preserve"> </w:t>
      </w:r>
      <w:r>
        <w:t>etkileşime</w:t>
      </w:r>
      <w:r>
        <w:rPr>
          <w:spacing w:val="27"/>
        </w:rPr>
        <w:t xml:space="preserve"> </w:t>
      </w:r>
      <w:r>
        <w:t>girdiği</w:t>
      </w:r>
      <w:r>
        <w:rPr>
          <w:spacing w:val="28"/>
        </w:rPr>
        <w:t xml:space="preserve"> </w:t>
      </w:r>
      <w:r>
        <w:t>ve</w:t>
      </w:r>
      <w:r>
        <w:rPr>
          <w:spacing w:val="25"/>
        </w:rPr>
        <w:t xml:space="preserve"> </w:t>
      </w:r>
      <w:r>
        <w:t>çeşitli</w:t>
      </w:r>
      <w:r>
        <w:rPr>
          <w:spacing w:val="28"/>
        </w:rPr>
        <w:t xml:space="preserve"> </w:t>
      </w:r>
      <w:r>
        <w:t>aktiviteler</w:t>
      </w:r>
      <w:r>
        <w:rPr>
          <w:spacing w:val="31"/>
        </w:rPr>
        <w:t xml:space="preserve"> </w:t>
      </w:r>
      <w:r>
        <w:t>yürüttüğü</w:t>
      </w:r>
      <w:r>
        <w:rPr>
          <w:spacing w:val="27"/>
        </w:rPr>
        <w:t xml:space="preserve"> </w:t>
      </w:r>
      <w:r>
        <w:rPr>
          <w:spacing w:val="-2"/>
        </w:rPr>
        <w:t>senaryoları</w:t>
      </w:r>
      <w:r>
        <w:t xml:space="preserve"> kapsar.</w:t>
      </w:r>
      <w:r>
        <w:rPr>
          <w:spacing w:val="-5"/>
        </w:rPr>
        <w:t xml:space="preserve"> </w:t>
      </w:r>
      <w:r>
        <w:t>Örneğin,</w:t>
      </w:r>
      <w:r>
        <w:rPr>
          <w:spacing w:val="-5"/>
        </w:rPr>
        <w:t xml:space="preserve"> </w:t>
      </w:r>
      <w:r>
        <w:t>VR</w:t>
      </w:r>
      <w:r>
        <w:rPr>
          <w:spacing w:val="-5"/>
        </w:rPr>
        <w:t xml:space="preserve"> </w:t>
      </w:r>
      <w:r>
        <w:t>gözlükleri</w:t>
      </w:r>
      <w:r>
        <w:rPr>
          <w:spacing w:val="-5"/>
        </w:rPr>
        <w:t xml:space="preserve"> </w:t>
      </w:r>
      <w:r>
        <w:t>kullanarak</w:t>
      </w:r>
      <w:r>
        <w:rPr>
          <w:spacing w:val="-3"/>
        </w:rPr>
        <w:t xml:space="preserve"> </w:t>
      </w:r>
      <w:r>
        <w:t>yapılan</w:t>
      </w:r>
      <w:r>
        <w:rPr>
          <w:spacing w:val="-5"/>
        </w:rPr>
        <w:t xml:space="preserve"> </w:t>
      </w:r>
      <w:r>
        <w:t>sanal</w:t>
      </w:r>
      <w:r>
        <w:rPr>
          <w:spacing w:val="-5"/>
        </w:rPr>
        <w:t xml:space="preserve"> </w:t>
      </w:r>
      <w:r>
        <w:t>turlar</w:t>
      </w:r>
      <w:r>
        <w:rPr>
          <w:spacing w:val="-5"/>
        </w:rPr>
        <w:t xml:space="preserve"> </w:t>
      </w:r>
      <w:r>
        <w:t>veya</w:t>
      </w:r>
      <w:r>
        <w:rPr>
          <w:spacing w:val="-6"/>
        </w:rPr>
        <w:t xml:space="preserve"> </w:t>
      </w:r>
      <w:r>
        <w:t>interaktif</w:t>
      </w:r>
      <w:r>
        <w:rPr>
          <w:spacing w:val="-5"/>
        </w:rPr>
        <w:t xml:space="preserve"> </w:t>
      </w:r>
      <w:r>
        <w:t>sanal</w:t>
      </w:r>
      <w:r>
        <w:rPr>
          <w:spacing w:val="-5"/>
        </w:rPr>
        <w:t xml:space="preserve"> </w:t>
      </w:r>
      <w:r>
        <w:t>oyunlar bu kategoriye girmektedir (Aydoğan vd., 2022:53).</w:t>
      </w:r>
    </w:p>
    <w:p w14:paraId="2A7048E5">
      <w:pPr>
        <w:pStyle w:val="9"/>
        <w:spacing w:before="120" w:after="120" w:line="360" w:lineRule="auto"/>
        <w:ind w:left="0" w:firstLine="567"/>
      </w:pPr>
      <w:r>
        <w:t>Diğer yandan, dijital rekreasyon terimi daha geniş bir yelpazeyi kapsamakta olup dijital teknolojiler</w:t>
      </w:r>
      <w:r>
        <w:rPr>
          <w:spacing w:val="-15"/>
        </w:rPr>
        <w:t xml:space="preserve"> </w:t>
      </w:r>
      <w:r>
        <w:t>aracılığıyla</w:t>
      </w:r>
      <w:r>
        <w:rPr>
          <w:spacing w:val="-15"/>
        </w:rPr>
        <w:t xml:space="preserve"> </w:t>
      </w:r>
      <w:r>
        <w:t>gerçekleştirilen</w:t>
      </w:r>
      <w:r>
        <w:rPr>
          <w:spacing w:val="-15"/>
        </w:rPr>
        <w:t xml:space="preserve"> </w:t>
      </w:r>
      <w:r>
        <w:t>her</w:t>
      </w:r>
      <w:r>
        <w:rPr>
          <w:spacing w:val="-15"/>
        </w:rPr>
        <w:t xml:space="preserve"> </w:t>
      </w:r>
      <w:r>
        <w:t>türlü</w:t>
      </w:r>
      <w:r>
        <w:rPr>
          <w:spacing w:val="-15"/>
        </w:rPr>
        <w:t xml:space="preserve"> </w:t>
      </w:r>
      <w:r>
        <w:t>rekreasyonel</w:t>
      </w:r>
      <w:r>
        <w:rPr>
          <w:spacing w:val="-15"/>
        </w:rPr>
        <w:t xml:space="preserve"> </w:t>
      </w:r>
      <w:r>
        <w:t>faaliyeti</w:t>
      </w:r>
      <w:r>
        <w:rPr>
          <w:spacing w:val="-15"/>
        </w:rPr>
        <w:t xml:space="preserve"> </w:t>
      </w:r>
      <w:r>
        <w:t>ifade</w:t>
      </w:r>
      <w:r>
        <w:rPr>
          <w:spacing w:val="-15"/>
        </w:rPr>
        <w:t xml:space="preserve"> </w:t>
      </w:r>
      <w:r>
        <w:t>edebilir</w:t>
      </w:r>
      <w:r>
        <w:rPr>
          <w:spacing w:val="-15"/>
        </w:rPr>
        <w:t xml:space="preserve"> </w:t>
      </w:r>
      <w:r>
        <w:t>(Erdem ve Bozkurt, 2023:3491). Bu, çevrimiçi video oyunlarından sosyal medya platformlarında yapılan</w:t>
      </w:r>
      <w:r>
        <w:rPr>
          <w:spacing w:val="-2"/>
        </w:rPr>
        <w:t xml:space="preserve"> </w:t>
      </w:r>
      <w:r>
        <w:t>etkileşimlere</w:t>
      </w:r>
      <w:r>
        <w:rPr>
          <w:spacing w:val="-6"/>
        </w:rPr>
        <w:t xml:space="preserve"> </w:t>
      </w:r>
      <w:r>
        <w:t>kadar</w:t>
      </w:r>
      <w:r>
        <w:rPr>
          <w:spacing w:val="-3"/>
        </w:rPr>
        <w:t xml:space="preserve"> </w:t>
      </w:r>
      <w:r>
        <w:t>geniş</w:t>
      </w:r>
      <w:r>
        <w:rPr>
          <w:spacing w:val="-5"/>
        </w:rPr>
        <w:t xml:space="preserve"> </w:t>
      </w:r>
      <w:r>
        <w:t>bir</w:t>
      </w:r>
      <w:r>
        <w:rPr>
          <w:spacing w:val="-4"/>
        </w:rPr>
        <w:t xml:space="preserve"> </w:t>
      </w:r>
      <w:r>
        <w:t>alanı</w:t>
      </w:r>
      <w:r>
        <w:rPr>
          <w:spacing w:val="-4"/>
        </w:rPr>
        <w:t xml:space="preserve"> </w:t>
      </w:r>
      <w:r>
        <w:t>içerebilir.</w:t>
      </w:r>
      <w:r>
        <w:rPr>
          <w:spacing w:val="-4"/>
        </w:rPr>
        <w:t xml:space="preserve"> </w:t>
      </w:r>
      <w:r>
        <w:t>Dijital</w:t>
      </w:r>
      <w:r>
        <w:rPr>
          <w:spacing w:val="-4"/>
        </w:rPr>
        <w:t xml:space="preserve"> </w:t>
      </w:r>
      <w:r>
        <w:t>rekreasyon,</w:t>
      </w:r>
      <w:r>
        <w:rPr>
          <w:spacing w:val="-4"/>
        </w:rPr>
        <w:t xml:space="preserve"> </w:t>
      </w:r>
      <w:r>
        <w:t>teknolojik</w:t>
      </w:r>
      <w:r>
        <w:rPr>
          <w:spacing w:val="-4"/>
        </w:rPr>
        <w:t xml:space="preserve"> </w:t>
      </w:r>
      <w:r>
        <w:t>araçların kullanımını gerektirir ve genellikle internet bağlantısı olan herhangi bir cihaz üzerinden erişilebilir etkinliklerdir.</w:t>
      </w:r>
    </w:p>
    <w:p w14:paraId="2BDE744B">
      <w:pPr>
        <w:pStyle w:val="9"/>
        <w:spacing w:before="120" w:after="120" w:line="360" w:lineRule="auto"/>
        <w:ind w:left="0" w:firstLine="567"/>
      </w:pPr>
      <w:r>
        <w:t>Güncan'ın analizine göre, "sanal" terimi, dijital rekreasyonun bir alt kümesi olarak düşünülebilir.</w:t>
      </w:r>
      <w:r>
        <w:rPr>
          <w:spacing w:val="-13"/>
        </w:rPr>
        <w:t xml:space="preserve"> </w:t>
      </w:r>
      <w:r>
        <w:t>Sanal</w:t>
      </w:r>
      <w:r>
        <w:rPr>
          <w:spacing w:val="-12"/>
        </w:rPr>
        <w:t xml:space="preserve"> </w:t>
      </w:r>
      <w:r>
        <w:t>rekreasyon,</w:t>
      </w:r>
      <w:r>
        <w:rPr>
          <w:spacing w:val="-13"/>
        </w:rPr>
        <w:t xml:space="preserve"> </w:t>
      </w:r>
      <w:r>
        <w:t>kullanıcıların</w:t>
      </w:r>
      <w:r>
        <w:rPr>
          <w:spacing w:val="-12"/>
        </w:rPr>
        <w:t xml:space="preserve"> </w:t>
      </w:r>
      <w:r>
        <w:t>fiziksel</w:t>
      </w:r>
      <w:r>
        <w:rPr>
          <w:spacing w:val="-12"/>
        </w:rPr>
        <w:t xml:space="preserve"> </w:t>
      </w:r>
      <w:r>
        <w:t>varlıklarını</w:t>
      </w:r>
      <w:r>
        <w:rPr>
          <w:spacing w:val="-12"/>
        </w:rPr>
        <w:t xml:space="preserve"> </w:t>
      </w:r>
      <w:r>
        <w:t>dijital</w:t>
      </w:r>
      <w:r>
        <w:rPr>
          <w:spacing w:val="-12"/>
        </w:rPr>
        <w:t xml:space="preserve"> </w:t>
      </w:r>
      <w:r>
        <w:t>dünyaya</w:t>
      </w:r>
      <w:r>
        <w:rPr>
          <w:spacing w:val="-11"/>
        </w:rPr>
        <w:t xml:space="preserve"> </w:t>
      </w:r>
      <w:r>
        <w:t>taşıdıkları ve bu sanal dünyalarda aktif olarak etkileşime girdikleri spesifik durumlar için daha uygun bir</w:t>
      </w:r>
      <w:r>
        <w:rPr>
          <w:spacing w:val="-14"/>
        </w:rPr>
        <w:t xml:space="preserve"> </w:t>
      </w:r>
      <w:r>
        <w:t>ifadedir.</w:t>
      </w:r>
      <w:r>
        <w:rPr>
          <w:spacing w:val="-12"/>
        </w:rPr>
        <w:t xml:space="preserve"> </w:t>
      </w:r>
      <w:r>
        <w:t>Güncan,</w:t>
      </w:r>
      <w:r>
        <w:rPr>
          <w:spacing w:val="-14"/>
        </w:rPr>
        <w:t xml:space="preserve"> </w:t>
      </w:r>
      <w:r>
        <w:t>sanal</w:t>
      </w:r>
      <w:r>
        <w:rPr>
          <w:spacing w:val="-14"/>
        </w:rPr>
        <w:t xml:space="preserve"> </w:t>
      </w:r>
      <w:r>
        <w:t>rekreasyon</w:t>
      </w:r>
      <w:r>
        <w:rPr>
          <w:spacing w:val="-12"/>
        </w:rPr>
        <w:t xml:space="preserve"> </w:t>
      </w:r>
      <w:r>
        <w:t>kavramının,</w:t>
      </w:r>
      <w:r>
        <w:rPr>
          <w:spacing w:val="-14"/>
        </w:rPr>
        <w:t xml:space="preserve"> </w:t>
      </w:r>
      <w:r>
        <w:t>dijital</w:t>
      </w:r>
      <w:r>
        <w:rPr>
          <w:spacing w:val="-14"/>
        </w:rPr>
        <w:t xml:space="preserve"> </w:t>
      </w:r>
      <w:r>
        <w:t>rekreasyonun</w:t>
      </w:r>
      <w:r>
        <w:rPr>
          <w:spacing w:val="-14"/>
        </w:rPr>
        <w:t xml:space="preserve"> </w:t>
      </w:r>
      <w:r>
        <w:t>sağladığı</w:t>
      </w:r>
      <w:r>
        <w:rPr>
          <w:spacing w:val="-11"/>
        </w:rPr>
        <w:t xml:space="preserve"> </w:t>
      </w:r>
      <w:r>
        <w:t>geniş</w:t>
      </w:r>
      <w:r>
        <w:rPr>
          <w:spacing w:val="-13"/>
        </w:rPr>
        <w:t xml:space="preserve"> </w:t>
      </w:r>
      <w:r>
        <w:t>çaplı imkanlardan daha özgül bir deneyim sunduğunu belirtmiş ve bu nedenle sanal rekreasyon ifadesinin, özellikle sanal gerçeklik teknolojilerini içeren aktiviteleri tanımlamak için daha doğru olduğu sonucuna varmıştır. Bu bulgular, rekreasyon sektöründe kullanılan terminolojinin anlaşılmasına katkıda bulunmakla kalmaz, aynı zamanda bu terimlerin akademik ve uygulamalı bağlamda nasıl kullanılacağına dair rehberlik etmektedir. Güncan'ın çalışması, sanal ve dijital rekreasyon kavramlarının hem teorik hem de pratik kullanımlarını netleştiren önemli bir kaynak olarak kabul edilebilir.</w:t>
      </w:r>
    </w:p>
    <w:p w14:paraId="3FE41EC2">
      <w:pPr>
        <w:pStyle w:val="9"/>
        <w:spacing w:before="120" w:after="120" w:line="360" w:lineRule="auto"/>
        <w:ind w:left="0" w:firstLine="567"/>
      </w:pPr>
      <w:r>
        <w:t>Sanal rekreasyon, teknolojinin sunduğu olanaklar sayesinde bireylerin zaman ve mekan sınırlamalarından bağımsız olarak etkileşimde bulunmalarına imkan tanıyan geniş bir yelpazede</w:t>
      </w:r>
      <w:r>
        <w:rPr>
          <w:spacing w:val="-4"/>
        </w:rPr>
        <w:t xml:space="preserve"> </w:t>
      </w:r>
      <w:r>
        <w:t>deneyimleri</w:t>
      </w:r>
      <w:r>
        <w:rPr>
          <w:spacing w:val="-3"/>
        </w:rPr>
        <w:t xml:space="preserve"> </w:t>
      </w:r>
      <w:r>
        <w:t>kapsar.</w:t>
      </w:r>
      <w:r>
        <w:rPr>
          <w:spacing w:val="-4"/>
        </w:rPr>
        <w:t xml:space="preserve"> </w:t>
      </w:r>
      <w:r>
        <w:t>Akoğlan</w:t>
      </w:r>
      <w:r>
        <w:rPr>
          <w:spacing w:val="-3"/>
        </w:rPr>
        <w:t xml:space="preserve"> </w:t>
      </w:r>
      <w:r>
        <w:t>Kozak</w:t>
      </w:r>
      <w:r>
        <w:rPr>
          <w:spacing w:val="-3"/>
        </w:rPr>
        <w:t xml:space="preserve"> </w:t>
      </w:r>
      <w:r>
        <w:t>ve</w:t>
      </w:r>
      <w:r>
        <w:rPr>
          <w:spacing w:val="-4"/>
        </w:rPr>
        <w:t xml:space="preserve"> </w:t>
      </w:r>
      <w:r>
        <w:t>Özkeroğlu</w:t>
      </w:r>
      <w:r>
        <w:rPr>
          <w:spacing w:val="-3"/>
        </w:rPr>
        <w:t xml:space="preserve"> </w:t>
      </w:r>
      <w:r>
        <w:t>(2018:399)</w:t>
      </w:r>
      <w:r>
        <w:rPr>
          <w:spacing w:val="-4"/>
        </w:rPr>
        <w:t xml:space="preserve"> </w:t>
      </w:r>
      <w:r>
        <w:t>tarafından</w:t>
      </w:r>
      <w:r>
        <w:rPr>
          <w:spacing w:val="-1"/>
        </w:rPr>
        <w:t xml:space="preserve"> </w:t>
      </w:r>
      <w:r>
        <w:t>yapılan tanımlamada, bu tür rekreasyonun, kişilere gerçeklik duygusu yaratarak olağanüstü deneyimler</w:t>
      </w:r>
      <w:r>
        <w:rPr>
          <w:spacing w:val="-9"/>
        </w:rPr>
        <w:t xml:space="preserve"> </w:t>
      </w:r>
      <w:r>
        <w:t>sunma</w:t>
      </w:r>
      <w:r>
        <w:rPr>
          <w:spacing w:val="-9"/>
        </w:rPr>
        <w:t xml:space="preserve"> </w:t>
      </w:r>
      <w:r>
        <w:t>potansiyeline</w:t>
      </w:r>
      <w:r>
        <w:rPr>
          <w:spacing w:val="-9"/>
        </w:rPr>
        <w:t xml:space="preserve"> </w:t>
      </w:r>
      <w:r>
        <w:t>vurgu</w:t>
      </w:r>
      <w:r>
        <w:rPr>
          <w:spacing w:val="-3"/>
        </w:rPr>
        <w:t xml:space="preserve"> </w:t>
      </w:r>
      <w:r>
        <w:t>yapılmıştır.</w:t>
      </w:r>
      <w:r>
        <w:rPr>
          <w:spacing w:val="-9"/>
        </w:rPr>
        <w:t xml:space="preserve"> </w:t>
      </w:r>
      <w:r>
        <w:t>Bu</w:t>
      </w:r>
      <w:r>
        <w:rPr>
          <w:spacing w:val="-8"/>
        </w:rPr>
        <w:t xml:space="preserve"> </w:t>
      </w:r>
      <w:r>
        <w:t>etkinlikler,</w:t>
      </w:r>
      <w:r>
        <w:rPr>
          <w:spacing w:val="-5"/>
        </w:rPr>
        <w:t xml:space="preserve"> </w:t>
      </w:r>
      <w:r>
        <w:t>genellikle</w:t>
      </w:r>
      <w:r>
        <w:rPr>
          <w:spacing w:val="-7"/>
        </w:rPr>
        <w:t xml:space="preserve"> </w:t>
      </w:r>
      <w:r>
        <w:t>ücretsiz</w:t>
      </w:r>
      <w:r>
        <w:rPr>
          <w:spacing w:val="-7"/>
        </w:rPr>
        <w:t xml:space="preserve"> </w:t>
      </w:r>
      <w:r>
        <w:t>olarak sunulur ve gönüllülük esasına dayanır, böylece katılımcılar için maliyet ve zorunluluk olmadan erişilebilir hale gelmektedir.</w:t>
      </w:r>
    </w:p>
    <w:p w14:paraId="453470F0">
      <w:pPr>
        <w:pStyle w:val="9"/>
        <w:spacing w:before="120" w:after="120" w:line="360" w:lineRule="auto"/>
        <w:ind w:left="0" w:firstLine="567"/>
      </w:pPr>
      <w:r>
        <w:t>Aylan ve Aylan (2020:2746) ise sanal rekreasyonu daha geniş bir perspektiften ele alarak, bu</w:t>
      </w:r>
      <w:r>
        <w:rPr>
          <w:spacing w:val="63"/>
        </w:rPr>
        <w:t xml:space="preserve"> </w:t>
      </w:r>
      <w:r>
        <w:t>tür</w:t>
      </w:r>
      <w:r>
        <w:rPr>
          <w:spacing w:val="63"/>
        </w:rPr>
        <w:t xml:space="preserve"> </w:t>
      </w:r>
      <w:r>
        <w:t>aktivitelerin</w:t>
      </w:r>
      <w:r>
        <w:rPr>
          <w:spacing w:val="64"/>
        </w:rPr>
        <w:t xml:space="preserve"> </w:t>
      </w:r>
      <w:r>
        <w:t>insanların</w:t>
      </w:r>
      <w:r>
        <w:rPr>
          <w:spacing w:val="64"/>
        </w:rPr>
        <w:t xml:space="preserve"> </w:t>
      </w:r>
      <w:r>
        <w:t>boş</w:t>
      </w:r>
      <w:r>
        <w:rPr>
          <w:spacing w:val="63"/>
        </w:rPr>
        <w:t xml:space="preserve"> </w:t>
      </w:r>
      <w:r>
        <w:t>zamanlarını</w:t>
      </w:r>
      <w:r>
        <w:rPr>
          <w:spacing w:val="65"/>
        </w:rPr>
        <w:t xml:space="preserve"> </w:t>
      </w:r>
      <w:r>
        <w:t>değerlendirmek,</w:t>
      </w:r>
      <w:r>
        <w:rPr>
          <w:spacing w:val="64"/>
        </w:rPr>
        <w:t xml:space="preserve"> </w:t>
      </w:r>
      <w:r>
        <w:t>dinlenmek,</w:t>
      </w:r>
      <w:r>
        <w:rPr>
          <w:spacing w:val="63"/>
        </w:rPr>
        <w:t xml:space="preserve"> </w:t>
      </w:r>
      <w:r>
        <w:t>fiziksel</w:t>
      </w:r>
      <w:r>
        <w:rPr>
          <w:spacing w:val="63"/>
        </w:rPr>
        <w:t xml:space="preserve"> </w:t>
      </w:r>
      <w:r>
        <w:rPr>
          <w:spacing w:val="-5"/>
        </w:rPr>
        <w:t>ve</w:t>
      </w:r>
      <w:r>
        <w:t xml:space="preserve"> zihinsel olarak yenilenmek gibi ihtiyaçları karşıladığını belirtir. Bu aktiviteler arasında teknolojik</w:t>
      </w:r>
      <w:r>
        <w:rPr>
          <w:spacing w:val="-15"/>
        </w:rPr>
        <w:t xml:space="preserve"> </w:t>
      </w:r>
      <w:r>
        <w:t>aletlerle</w:t>
      </w:r>
      <w:r>
        <w:rPr>
          <w:spacing w:val="-15"/>
        </w:rPr>
        <w:t xml:space="preserve"> </w:t>
      </w:r>
      <w:r>
        <w:t>spor</w:t>
      </w:r>
      <w:r>
        <w:rPr>
          <w:spacing w:val="-15"/>
        </w:rPr>
        <w:t xml:space="preserve"> </w:t>
      </w:r>
      <w:r>
        <w:t>yapma,</w:t>
      </w:r>
      <w:r>
        <w:rPr>
          <w:spacing w:val="-14"/>
        </w:rPr>
        <w:t xml:space="preserve"> </w:t>
      </w:r>
      <w:r>
        <w:t>yarışma,</w:t>
      </w:r>
      <w:r>
        <w:rPr>
          <w:spacing w:val="-15"/>
        </w:rPr>
        <w:t xml:space="preserve"> </w:t>
      </w:r>
      <w:r>
        <w:t>sanal</w:t>
      </w:r>
      <w:r>
        <w:rPr>
          <w:spacing w:val="-15"/>
        </w:rPr>
        <w:t xml:space="preserve"> </w:t>
      </w:r>
      <w:r>
        <w:t>seyahatler</w:t>
      </w:r>
      <w:r>
        <w:rPr>
          <w:spacing w:val="-13"/>
        </w:rPr>
        <w:t xml:space="preserve"> </w:t>
      </w:r>
      <w:r>
        <w:t>gerçekleştirme,</w:t>
      </w:r>
      <w:r>
        <w:rPr>
          <w:spacing w:val="-15"/>
        </w:rPr>
        <w:t xml:space="preserve"> </w:t>
      </w:r>
      <w:r>
        <w:t>kitap</w:t>
      </w:r>
      <w:r>
        <w:rPr>
          <w:spacing w:val="-15"/>
        </w:rPr>
        <w:t xml:space="preserve"> </w:t>
      </w:r>
      <w:r>
        <w:t>okuma,</w:t>
      </w:r>
      <w:r>
        <w:rPr>
          <w:spacing w:val="-15"/>
        </w:rPr>
        <w:t xml:space="preserve"> </w:t>
      </w:r>
      <w:r>
        <w:t xml:space="preserve">oyun oynama ve sanatsal faaliyetler bulunur. Sanal rekreasyon, böylece bireylerin günlük yaşantılarının stres ve yoğunluğundan uzaklaşarak kaliteli zaman geçirmelerine olanak </w:t>
      </w:r>
      <w:r>
        <w:rPr>
          <w:spacing w:val="-2"/>
        </w:rPr>
        <w:t>tanımaktadır.</w:t>
      </w:r>
    </w:p>
    <w:p w14:paraId="6D1E9610">
      <w:pPr>
        <w:pStyle w:val="9"/>
        <w:spacing w:before="120" w:after="120" w:line="360" w:lineRule="auto"/>
        <w:ind w:left="0" w:firstLine="567"/>
      </w:pPr>
      <w:r>
        <w:t xml:space="preserve">Özkeroğlu ve Akyıldız Munusturlar (2020:1) tarafından yapılan vurgularda, sanal rekreasyonun bireyin deneyimini yaşarken zaman ve mekan sınırlamalarından bağımsız olduğu belirtilir. Bu durum, özellikle sanal gerçeklik ortamlarında veya çevrimiçi </w:t>
      </w:r>
      <w:r>
        <w:rPr>
          <w:spacing w:val="-2"/>
        </w:rPr>
        <w:t>platformlarda geçirilen zamanın, fiziksel dünya</w:t>
      </w:r>
      <w:r>
        <w:rPr>
          <w:spacing w:val="-4"/>
        </w:rPr>
        <w:t xml:space="preserve"> </w:t>
      </w:r>
      <w:r>
        <w:rPr>
          <w:spacing w:val="-2"/>
        </w:rPr>
        <w:t>ile bağların koparılmasına ve</w:t>
      </w:r>
      <w:r>
        <w:rPr>
          <w:spacing w:val="-4"/>
        </w:rPr>
        <w:t xml:space="preserve"> </w:t>
      </w:r>
      <w:r>
        <w:rPr>
          <w:spacing w:val="-2"/>
        </w:rPr>
        <w:t xml:space="preserve">tamamen farklı </w:t>
      </w:r>
      <w:r>
        <w:t>bir</w:t>
      </w:r>
      <w:r>
        <w:rPr>
          <w:spacing w:val="-15"/>
        </w:rPr>
        <w:t xml:space="preserve"> </w:t>
      </w:r>
      <w:r>
        <w:t>gerçeklikte</w:t>
      </w:r>
      <w:r>
        <w:rPr>
          <w:spacing w:val="-15"/>
        </w:rPr>
        <w:t xml:space="preserve"> </w:t>
      </w:r>
      <w:r>
        <w:t>var</w:t>
      </w:r>
      <w:r>
        <w:rPr>
          <w:spacing w:val="-15"/>
        </w:rPr>
        <w:t xml:space="preserve"> </w:t>
      </w:r>
      <w:r>
        <w:t>olunmasına</w:t>
      </w:r>
      <w:r>
        <w:rPr>
          <w:spacing w:val="-15"/>
        </w:rPr>
        <w:t xml:space="preserve"> </w:t>
      </w:r>
      <w:r>
        <w:t>olanak</w:t>
      </w:r>
      <w:r>
        <w:rPr>
          <w:spacing w:val="-15"/>
        </w:rPr>
        <w:t xml:space="preserve"> </w:t>
      </w:r>
      <w:r>
        <w:t>tanımaktadır.</w:t>
      </w:r>
      <w:r>
        <w:rPr>
          <w:spacing w:val="-15"/>
        </w:rPr>
        <w:t xml:space="preserve"> </w:t>
      </w:r>
      <w:r>
        <w:t>Güncan</w:t>
      </w:r>
      <w:r>
        <w:rPr>
          <w:spacing w:val="-15"/>
        </w:rPr>
        <w:t xml:space="preserve"> </w:t>
      </w:r>
      <w:r>
        <w:t>(2021:163)</w:t>
      </w:r>
      <w:r>
        <w:rPr>
          <w:spacing w:val="-15"/>
        </w:rPr>
        <w:t xml:space="preserve"> </w:t>
      </w:r>
      <w:r>
        <w:t>ise</w:t>
      </w:r>
      <w:r>
        <w:rPr>
          <w:spacing w:val="-15"/>
        </w:rPr>
        <w:t xml:space="preserve"> </w:t>
      </w:r>
      <w:r>
        <w:t>bu</w:t>
      </w:r>
      <w:r>
        <w:rPr>
          <w:spacing w:val="-15"/>
        </w:rPr>
        <w:t xml:space="preserve"> </w:t>
      </w:r>
      <w:r>
        <w:t>deneyimlerin, teknolojik</w:t>
      </w:r>
      <w:r>
        <w:rPr>
          <w:spacing w:val="-9"/>
        </w:rPr>
        <w:t xml:space="preserve"> </w:t>
      </w:r>
      <w:r>
        <w:t>cihazlar</w:t>
      </w:r>
      <w:r>
        <w:rPr>
          <w:spacing w:val="-10"/>
        </w:rPr>
        <w:t xml:space="preserve"> </w:t>
      </w:r>
      <w:r>
        <w:t>üzerinde</w:t>
      </w:r>
      <w:r>
        <w:rPr>
          <w:spacing w:val="-10"/>
        </w:rPr>
        <w:t xml:space="preserve"> </w:t>
      </w:r>
      <w:r>
        <w:t>nasıl</w:t>
      </w:r>
      <w:r>
        <w:rPr>
          <w:spacing w:val="-8"/>
        </w:rPr>
        <w:t xml:space="preserve"> </w:t>
      </w:r>
      <w:r>
        <w:t>oluşturulduğunu</w:t>
      </w:r>
      <w:r>
        <w:rPr>
          <w:spacing w:val="-7"/>
        </w:rPr>
        <w:t xml:space="preserve"> </w:t>
      </w:r>
      <w:r>
        <w:t>ve</w:t>
      </w:r>
      <w:r>
        <w:rPr>
          <w:spacing w:val="-10"/>
        </w:rPr>
        <w:t xml:space="preserve"> </w:t>
      </w:r>
      <w:r>
        <w:t>katılımcıların</w:t>
      </w:r>
      <w:r>
        <w:rPr>
          <w:spacing w:val="-9"/>
        </w:rPr>
        <w:t xml:space="preserve"> </w:t>
      </w:r>
      <w:r>
        <w:t>bu</w:t>
      </w:r>
      <w:r>
        <w:rPr>
          <w:spacing w:val="-9"/>
        </w:rPr>
        <w:t xml:space="preserve"> </w:t>
      </w:r>
      <w:r>
        <w:t>deneyimler</w:t>
      </w:r>
      <w:r>
        <w:rPr>
          <w:spacing w:val="-10"/>
        </w:rPr>
        <w:t xml:space="preserve"> </w:t>
      </w:r>
      <w:r>
        <w:t>sırasında nasıl bir zihinsel yolculuk yaşadıklarını detaylandırır.</w:t>
      </w:r>
    </w:p>
    <w:p w14:paraId="40878698">
      <w:pPr>
        <w:pStyle w:val="9"/>
        <w:spacing w:before="120" w:after="120" w:line="360" w:lineRule="auto"/>
        <w:ind w:left="0" w:firstLine="567"/>
      </w:pPr>
      <w:r>
        <w:t>Sanal rekreasyon, dolayısıyla, bireylerin zihinsel, duygusal ve bazen fiziksel ihtiyaçlarını karşılayan, kendilerini farklı bir dünyaya taşıyarak yeni deneyimler edinmelerine imkan veren bir etkinlikler bütünüdür (Williams, 2024:10). Bu özellikler, sanal rekreasyonu, modern dünyada bireyler için vazgeçilmez bir alternatif haline getirirken, aynı zamanda çeşitli yaş ve ilgi gruplarına uygun olarak çeşitlenmesini sağlamaktadır. Böylece, sanal rekreasyon, geleneksel rekreasyon faaliyetlerine teknolojik bir alternatif olarak önemli bir yer tutar ve teknolojinin ilerlemesiyle birlikte bu etkinliklerin çeşitliliği ve erişilebilirliği artmaya devam eder.</w:t>
      </w:r>
    </w:p>
    <w:p w14:paraId="7AF9F2DA">
      <w:pPr>
        <w:pStyle w:val="9"/>
        <w:spacing w:before="120" w:after="120" w:line="360" w:lineRule="auto"/>
        <w:ind w:left="0" w:firstLine="567"/>
      </w:pPr>
      <w:r>
        <w:t>Sanal rekreasyon deneyimi, sanal gerçeklik teknolojisinin gelişimiyle derinleşmektedir. Bu teknoloji, katılımcıların multimedya araçları bilgisayarlar, video cihazları, ses ve dokunmatik sensörler kullanarak, üç boyutlu bir sanal dünya içinde görsel, işitsel ve dokunsal deneyimler yaşamalarını sağlamaktadır. Greenleaf (1996:23) bu teknolojiyi, kullanıcıların bilgisayar tarafından oluşturulan ortamlarda serbestçe gezinebilmesi, sanal nesnelerle etkileşime girebilmesi ve bu ortamları değiştirebilmesi olarak tanımlar. Bu, özellikle interaktif öğrenme, eğlence ve rekreasyonel aktivitelerde kullanıcı deneyimini zenginleştirir ve gerçek dünyanın ötesinde deneyimler sunmaktadır.</w:t>
      </w:r>
    </w:p>
    <w:p w14:paraId="5356E411">
      <w:pPr>
        <w:pStyle w:val="9"/>
        <w:spacing w:before="120" w:after="120" w:line="360" w:lineRule="auto"/>
        <w:ind w:left="0" w:firstLine="567"/>
      </w:pPr>
      <w:r>
        <w:t>Sanal gerçeklik (VR) ve artırılmış gerçeklik (AR) teknolojilerinin ilerlemesi, turizm ve rekreasyon gibi alanlarda da etkisini göstermekte, bu teknolojiler kullanıcıların gerçek dünyayı dijital bilgilerle zenginleştirilmiş bir şekilde tecrübe etmelerine olanak tanımaktadır.</w:t>
      </w:r>
      <w:r>
        <w:rPr>
          <w:spacing w:val="-14"/>
        </w:rPr>
        <w:t xml:space="preserve"> </w:t>
      </w:r>
      <w:r>
        <w:t>Hjalager</w:t>
      </w:r>
      <w:r>
        <w:rPr>
          <w:spacing w:val="-12"/>
        </w:rPr>
        <w:t xml:space="preserve"> </w:t>
      </w:r>
      <w:r>
        <w:t>(2015:3)</w:t>
      </w:r>
      <w:r>
        <w:rPr>
          <w:spacing w:val="-14"/>
        </w:rPr>
        <w:t xml:space="preserve"> </w:t>
      </w:r>
      <w:r>
        <w:t>artırılmış</w:t>
      </w:r>
      <w:r>
        <w:rPr>
          <w:spacing w:val="-13"/>
        </w:rPr>
        <w:t xml:space="preserve"> </w:t>
      </w:r>
      <w:r>
        <w:t>gerçekliğin</w:t>
      </w:r>
      <w:r>
        <w:rPr>
          <w:spacing w:val="-13"/>
        </w:rPr>
        <w:t xml:space="preserve"> </w:t>
      </w:r>
      <w:r>
        <w:t>turizmi</w:t>
      </w:r>
      <w:r>
        <w:rPr>
          <w:spacing w:val="-10"/>
        </w:rPr>
        <w:t xml:space="preserve"> </w:t>
      </w:r>
      <w:r>
        <w:t>dönüştüren</w:t>
      </w:r>
      <w:r>
        <w:rPr>
          <w:spacing w:val="-11"/>
        </w:rPr>
        <w:t xml:space="preserve"> </w:t>
      </w:r>
      <w:r>
        <w:t>yenilikler</w:t>
      </w:r>
      <w:r>
        <w:rPr>
          <w:spacing w:val="-14"/>
        </w:rPr>
        <w:t xml:space="preserve"> </w:t>
      </w:r>
      <w:r>
        <w:t>arasında yer</w:t>
      </w:r>
      <w:r>
        <w:rPr>
          <w:spacing w:val="-9"/>
        </w:rPr>
        <w:t xml:space="preserve"> </w:t>
      </w:r>
      <w:r>
        <w:t>aldığını</w:t>
      </w:r>
      <w:r>
        <w:rPr>
          <w:spacing w:val="-10"/>
        </w:rPr>
        <w:t xml:space="preserve"> </w:t>
      </w:r>
      <w:r>
        <w:t>ve</w:t>
      </w:r>
      <w:r>
        <w:rPr>
          <w:spacing w:val="-12"/>
        </w:rPr>
        <w:t xml:space="preserve"> </w:t>
      </w:r>
      <w:r>
        <w:t>özellikle</w:t>
      </w:r>
      <w:r>
        <w:rPr>
          <w:spacing w:val="-12"/>
        </w:rPr>
        <w:t xml:space="preserve"> </w:t>
      </w:r>
      <w:r>
        <w:t>turistik</w:t>
      </w:r>
      <w:r>
        <w:rPr>
          <w:spacing w:val="-11"/>
        </w:rPr>
        <w:t xml:space="preserve"> </w:t>
      </w:r>
      <w:r>
        <w:t>geziler,</w:t>
      </w:r>
      <w:r>
        <w:rPr>
          <w:spacing w:val="-11"/>
        </w:rPr>
        <w:t xml:space="preserve"> </w:t>
      </w:r>
      <w:r>
        <w:t>müzeler</w:t>
      </w:r>
      <w:r>
        <w:rPr>
          <w:spacing w:val="-12"/>
        </w:rPr>
        <w:t xml:space="preserve"> </w:t>
      </w:r>
      <w:r>
        <w:t>ve</w:t>
      </w:r>
      <w:r>
        <w:rPr>
          <w:spacing w:val="-12"/>
        </w:rPr>
        <w:t xml:space="preserve"> </w:t>
      </w:r>
      <w:r>
        <w:t>diğer</w:t>
      </w:r>
      <w:r>
        <w:rPr>
          <w:spacing w:val="-11"/>
        </w:rPr>
        <w:t xml:space="preserve"> </w:t>
      </w:r>
      <w:r>
        <w:t>etkinliklerde</w:t>
      </w:r>
      <w:r>
        <w:rPr>
          <w:spacing w:val="-12"/>
        </w:rPr>
        <w:t xml:space="preserve"> </w:t>
      </w:r>
      <w:r>
        <w:t>önemli</w:t>
      </w:r>
      <w:r>
        <w:rPr>
          <w:spacing w:val="-10"/>
        </w:rPr>
        <w:t xml:space="preserve"> </w:t>
      </w:r>
      <w:r>
        <w:t>bir</w:t>
      </w:r>
      <w:r>
        <w:rPr>
          <w:spacing w:val="-11"/>
        </w:rPr>
        <w:t xml:space="preserve"> </w:t>
      </w:r>
      <w:r>
        <w:t>araç</w:t>
      </w:r>
      <w:r>
        <w:rPr>
          <w:spacing w:val="-12"/>
        </w:rPr>
        <w:t xml:space="preserve"> </w:t>
      </w:r>
      <w:r>
        <w:t>haline geldiğini belirtmektedir. Artırılmış gerçeklik kullanılarak zenginleştirilmiş müze turları, tarihi alanların yeniden canlandırılması gibi uygulamalar, ziyaretçilere daha etkileşimli ve bilgi dolu deneyimler sunmaktadır.</w:t>
      </w:r>
    </w:p>
    <w:p w14:paraId="26C47149">
      <w:pPr>
        <w:pStyle w:val="9"/>
        <w:spacing w:before="120" w:after="120" w:line="360" w:lineRule="auto"/>
        <w:ind w:left="0" w:firstLine="567"/>
      </w:pPr>
      <w:r>
        <w:t>Sanal rekreasyon, geleneksel turizm faaliyetlerinin aksine, seyahat, konaklama ve diğer maliyetli unsurları gerektirmez. Bu, insanların kendi evlerinden veya yerel alanlarından dünyanın</w:t>
      </w:r>
      <w:r>
        <w:rPr>
          <w:spacing w:val="-15"/>
        </w:rPr>
        <w:t xml:space="preserve"> </w:t>
      </w:r>
      <w:r>
        <w:t>dört</w:t>
      </w:r>
      <w:r>
        <w:rPr>
          <w:spacing w:val="-15"/>
        </w:rPr>
        <w:t xml:space="preserve"> </w:t>
      </w:r>
      <w:r>
        <w:t>bir</w:t>
      </w:r>
      <w:r>
        <w:rPr>
          <w:spacing w:val="-11"/>
        </w:rPr>
        <w:t xml:space="preserve"> </w:t>
      </w:r>
      <w:r>
        <w:t>yanındaki</w:t>
      </w:r>
      <w:r>
        <w:rPr>
          <w:spacing w:val="-15"/>
        </w:rPr>
        <w:t xml:space="preserve"> </w:t>
      </w:r>
      <w:r>
        <w:t>destinasyonları</w:t>
      </w:r>
      <w:r>
        <w:rPr>
          <w:spacing w:val="-15"/>
        </w:rPr>
        <w:t xml:space="preserve"> </w:t>
      </w:r>
      <w:r>
        <w:t>ziyaret</w:t>
      </w:r>
      <w:r>
        <w:rPr>
          <w:spacing w:val="-15"/>
        </w:rPr>
        <w:t xml:space="preserve"> </w:t>
      </w:r>
      <w:r>
        <w:t>etmelerine</w:t>
      </w:r>
      <w:r>
        <w:rPr>
          <w:spacing w:val="-15"/>
        </w:rPr>
        <w:t xml:space="preserve"> </w:t>
      </w:r>
      <w:r>
        <w:t>imkan</w:t>
      </w:r>
      <w:r>
        <w:rPr>
          <w:spacing w:val="-15"/>
        </w:rPr>
        <w:t xml:space="preserve"> </w:t>
      </w:r>
      <w:r>
        <w:t>tanımaktadır.</w:t>
      </w:r>
      <w:r>
        <w:rPr>
          <w:spacing w:val="-15"/>
        </w:rPr>
        <w:t xml:space="preserve"> </w:t>
      </w:r>
      <w:r>
        <w:t>Örneğin, kullanıcılar evlerindeki bilgisayarlar, sanal gerçeklik gözlükleri veya akıllı telefonlar aracılığıyla sanal turlara katılabilir veya artırılmış gerçeklik destekli gezintiler yapabilir. Kozak ve Özkeroğlu (2018:400) bu durumu, sanal turizm ve sanal rekreasyon arasındaki ayrımı vurgulayarak açıklamaktadır: Sanal turizmde bazı ekonomik harcamalar yapılabilirken, sanal rekreasyon genellikle ücretsizdir ve herhangi bir maliyet gerektirmez.</w:t>
      </w:r>
    </w:p>
    <w:p w14:paraId="381F44F8">
      <w:pPr>
        <w:pStyle w:val="9"/>
        <w:spacing w:before="120" w:after="120" w:line="360" w:lineRule="auto"/>
        <w:ind w:left="0" w:firstLine="567"/>
      </w:pPr>
      <w:r>
        <w:t>Bu gelişmeler, sanal rekreasyonun sadece teknolojik bir yenilik olmadığını, aynı zamanda sosyal ve ekonomik erişilebilirlik açısından da önemli faydalar sağladığını göstermektedir. Sanal ve artırılmış gerçeklik teknolojileri, herkesin evlerinden dünya çapında çeşitli yerleri ve deneyimleri keşfetmelerine olanak tanıyarak, fiziksel veya ekonomik sınırlamaları aşan bir kapı açmaktadır(Weiss vd.,2003:336).</w:t>
      </w:r>
    </w:p>
    <w:p w14:paraId="1997CE59">
      <w:pPr>
        <w:pStyle w:val="9"/>
        <w:spacing w:before="120" w:after="120" w:line="360" w:lineRule="auto"/>
        <w:ind w:left="0" w:firstLine="567"/>
      </w:pPr>
      <w:r>
        <w:t>Dijital rekreasyon, günümüzde bireylerin boş zamanlarını daha etkili ve keyifli bir şekilde değerlendirmelerini sağlayan bir dizi teknolojik araç ve etkinlikten oluşur. Bu süreçte kullanılan araçlar; bilgisayarlar, akıllı cep telefonları, VR-BOX 3D gözlükler, oyun konsolları ve joystickler gibi cihazları içermektedir (Aylan ve Aylan, 2020: 2751). Bu cihazlar sayesinde kullanıcılar, gerek yalnız başlarına gerekse diğer insanlarla etkileşim içinde olabilecekleri bir dizi sanatsal ve eğlenceli aktiviteye katılabilirler. Bu etkinlikler, kişilerin dinlenmesine, fiziksel ve zihinsel olarak gençleşmelerine ve kaliteli zaman geçirmelerine olanak tanımaktadır.</w:t>
      </w:r>
    </w:p>
    <w:p w14:paraId="49DC1EAF">
      <w:pPr>
        <w:pStyle w:val="9"/>
        <w:spacing w:before="120" w:after="120" w:line="360" w:lineRule="auto"/>
        <w:ind w:left="0" w:firstLine="567"/>
      </w:pPr>
      <w:r>
        <w:t xml:space="preserve">Dijital rekreasyonun en yaygın örnekleri arasında sanal müze gezileri ve sanal turlar yer almaktadır (Aylan ve Aylan, 2020: 2751). Bu tür etkinlikler, özellikle sanat ve kültür meraklıları için büyük fırsatlar sunar. Sanal müze gezileri, dünyanın dört bir yanındaki müzeleri ziyaret etme imkanı sağlayarak, coğrafi sınırlamaları ortadan kaldırır ve kültürel erişimi demokratikleştirir. Örneğin, Londra'daki British Museum veya Paris'teki Louvre Müzesi gibi dünyaca ünlü müzelerin koleksiyonlarına internet üzerinden erişilebilir. Bu geziler, kullanıcılara eserleri detaylı bir şekilde inceleme ve hakkında bilgi edinme şansı </w:t>
      </w:r>
      <w:r>
        <w:rPr>
          <w:spacing w:val="-2"/>
        </w:rPr>
        <w:t>verir.</w:t>
      </w:r>
    </w:p>
    <w:p w14:paraId="6C046970">
      <w:pPr>
        <w:pStyle w:val="9"/>
        <w:spacing w:before="120" w:after="120" w:line="360" w:lineRule="auto"/>
        <w:ind w:left="0" w:firstLine="567"/>
      </w:pPr>
      <w:r>
        <w:t>Doğal</w:t>
      </w:r>
      <w:r>
        <w:rPr>
          <w:spacing w:val="-2"/>
        </w:rPr>
        <w:t xml:space="preserve"> </w:t>
      </w:r>
      <w:r>
        <w:t>güzelliklere</w:t>
      </w:r>
      <w:r>
        <w:rPr>
          <w:spacing w:val="-2"/>
        </w:rPr>
        <w:t xml:space="preserve"> </w:t>
      </w:r>
      <w:r>
        <w:t>yönelik</w:t>
      </w:r>
      <w:r>
        <w:rPr>
          <w:spacing w:val="-4"/>
        </w:rPr>
        <w:t xml:space="preserve"> </w:t>
      </w:r>
      <w:r>
        <w:t>sanal</w:t>
      </w:r>
      <w:r>
        <w:rPr>
          <w:spacing w:val="-4"/>
        </w:rPr>
        <w:t xml:space="preserve"> </w:t>
      </w:r>
      <w:r>
        <w:t>turlar</w:t>
      </w:r>
      <w:r>
        <w:rPr>
          <w:spacing w:val="-3"/>
        </w:rPr>
        <w:t xml:space="preserve"> </w:t>
      </w:r>
      <w:r>
        <w:t>ise</w:t>
      </w:r>
      <w:r>
        <w:rPr>
          <w:spacing w:val="-4"/>
        </w:rPr>
        <w:t xml:space="preserve"> </w:t>
      </w:r>
      <w:r>
        <w:t>mağara,</w:t>
      </w:r>
      <w:r>
        <w:rPr>
          <w:spacing w:val="-2"/>
        </w:rPr>
        <w:t xml:space="preserve"> </w:t>
      </w:r>
      <w:r>
        <w:t>şelale,</w:t>
      </w:r>
      <w:r>
        <w:rPr>
          <w:spacing w:val="-4"/>
        </w:rPr>
        <w:t xml:space="preserve"> </w:t>
      </w:r>
      <w:r>
        <w:t>kanyon</w:t>
      </w:r>
      <w:r>
        <w:rPr>
          <w:spacing w:val="-2"/>
        </w:rPr>
        <w:t xml:space="preserve"> </w:t>
      </w:r>
      <w:r>
        <w:t>ve</w:t>
      </w:r>
      <w:r>
        <w:rPr>
          <w:spacing w:val="-5"/>
        </w:rPr>
        <w:t xml:space="preserve"> </w:t>
      </w:r>
      <w:r>
        <w:t>dağ</w:t>
      </w:r>
      <w:r>
        <w:rPr>
          <w:spacing w:val="-5"/>
        </w:rPr>
        <w:t xml:space="preserve"> </w:t>
      </w:r>
      <w:r>
        <w:t>gibi doğal</w:t>
      </w:r>
      <w:r>
        <w:rPr>
          <w:spacing w:val="-2"/>
        </w:rPr>
        <w:t xml:space="preserve"> </w:t>
      </w:r>
      <w:r>
        <w:t>alanları keşfetmeyi mümkün kılmaktadır. Aynı şekilde, antik kentler, kaleler, kuleler, kiliseler ve camiler gibi kültürel mekanların sanal turları da</w:t>
      </w:r>
      <w:r>
        <w:rPr>
          <w:spacing w:val="-1"/>
        </w:rPr>
        <w:t xml:space="preserve"> </w:t>
      </w:r>
      <w:r>
        <w:t>kullanıcılara</w:t>
      </w:r>
      <w:r>
        <w:rPr>
          <w:spacing w:val="-1"/>
        </w:rPr>
        <w:t xml:space="preserve"> </w:t>
      </w:r>
      <w:r>
        <w:t>tarihî ve</w:t>
      </w:r>
      <w:r>
        <w:rPr>
          <w:spacing w:val="-1"/>
        </w:rPr>
        <w:t xml:space="preserve"> </w:t>
      </w:r>
      <w:r>
        <w:t>kültürel bir yolculuk sunar. Bu sanal turlar, özellikle fiziksel olarak ulaşılması güç veya uzak yerlerdeki siteleri ziyaret etmek isteyenler için mükemmel alternatifler sağlamaktadır(Schafrik vd.,2004:40)</w:t>
      </w:r>
    </w:p>
    <w:p w14:paraId="463999D0">
      <w:pPr>
        <w:pStyle w:val="9"/>
        <w:spacing w:before="120" w:after="120" w:line="360" w:lineRule="auto"/>
        <w:ind w:left="0" w:firstLine="567"/>
      </w:pPr>
      <w:r>
        <w:t xml:space="preserve">Sanal rekreasyon, ayrıca fiziksel aktiviteleri de kapsar. Bisiklete binme, yürüyüş, kuş gözlemciliği, boks ve fitness gibi aktiviteler, artık VR teknolojisi sayesinde evlerde gerçeklik hissiyle yapılabilmektedir. Örneğin, VR cihazları kullanarak, kullanıcılar kendilerini farklı bir coğrafyada bisiklet sürüyor veya egzotik bir lokasyonda yürüyüş yapıyor gibi hissedebilirler. Bu tür deneyimler, fiziksel aktiviteleri sadece daha eğlenceli hale getirmekle kalmaz, aynı zamanda daha ulaşılabilir ve çeşitlendirilmiş bir biçimde </w:t>
      </w:r>
      <w:r>
        <w:rPr>
          <w:spacing w:val="-2"/>
        </w:rPr>
        <w:t>sunmaktadır(Yüce vd.,2021:17).</w:t>
      </w:r>
    </w:p>
    <w:p w14:paraId="5BA8E061">
      <w:pPr>
        <w:pStyle w:val="9"/>
        <w:spacing w:before="120" w:after="120" w:line="360" w:lineRule="auto"/>
        <w:ind w:left="0" w:firstLine="567"/>
      </w:pPr>
      <w:r>
        <w:t>Bu bağlamda, dijital rekreasyon, modern yaşamın bir parçası olarak kabul edilmeli ve teknolojinin sunduğu olanaklardan maksimum düzeyde yararlanılmalıdır. Bu aktiviteler, kullanıcılara</w:t>
      </w:r>
      <w:r>
        <w:rPr>
          <w:spacing w:val="-2"/>
        </w:rPr>
        <w:t xml:space="preserve"> </w:t>
      </w:r>
      <w:r>
        <w:t>sadece</w:t>
      </w:r>
      <w:r>
        <w:rPr>
          <w:spacing w:val="-2"/>
        </w:rPr>
        <w:t xml:space="preserve"> </w:t>
      </w:r>
      <w:r>
        <w:t>bir</w:t>
      </w:r>
      <w:r>
        <w:rPr>
          <w:spacing w:val="-2"/>
        </w:rPr>
        <w:t xml:space="preserve"> </w:t>
      </w:r>
      <w:r>
        <w:t>kaçış yolu</w:t>
      </w:r>
      <w:r>
        <w:rPr>
          <w:spacing w:val="-1"/>
        </w:rPr>
        <w:t xml:space="preserve"> </w:t>
      </w:r>
      <w:r>
        <w:t>sunmakla</w:t>
      </w:r>
      <w:r>
        <w:rPr>
          <w:spacing w:val="-2"/>
        </w:rPr>
        <w:t xml:space="preserve"> </w:t>
      </w:r>
      <w:r>
        <w:t>kalmaz,</w:t>
      </w:r>
      <w:r>
        <w:rPr>
          <w:spacing w:val="-1"/>
        </w:rPr>
        <w:t xml:space="preserve"> </w:t>
      </w:r>
      <w:r>
        <w:t>aynı</w:t>
      </w:r>
      <w:r>
        <w:rPr>
          <w:spacing w:val="-1"/>
        </w:rPr>
        <w:t xml:space="preserve"> </w:t>
      </w:r>
      <w:r>
        <w:t>zamanda</w:t>
      </w:r>
      <w:r>
        <w:rPr>
          <w:spacing w:val="-3"/>
        </w:rPr>
        <w:t xml:space="preserve"> </w:t>
      </w:r>
      <w:r>
        <w:t>eğitim,</w:t>
      </w:r>
      <w:r>
        <w:rPr>
          <w:spacing w:val="-1"/>
        </w:rPr>
        <w:t xml:space="preserve"> </w:t>
      </w:r>
      <w:r>
        <w:t>sağlık</w:t>
      </w:r>
      <w:r>
        <w:rPr>
          <w:spacing w:val="-1"/>
        </w:rPr>
        <w:t xml:space="preserve"> </w:t>
      </w:r>
      <w:r>
        <w:t>ve</w:t>
      </w:r>
      <w:r>
        <w:rPr>
          <w:spacing w:val="-2"/>
        </w:rPr>
        <w:t xml:space="preserve"> </w:t>
      </w:r>
      <w:r>
        <w:t>sosyal etkileşim gibi birçok fayda sağlar, böylece bireylerin yaşam kalitesini artırmaktadır(Wang vd.,2021:300)</w:t>
      </w:r>
    </w:p>
    <w:p w14:paraId="4A5FC7E7">
      <w:pPr>
        <w:pStyle w:val="9"/>
        <w:spacing w:before="120" w:after="120" w:line="360" w:lineRule="auto"/>
        <w:ind w:left="0" w:firstLine="567"/>
      </w:pPr>
      <w:r>
        <w:t>Gelişen teknoloji, iş ve özel yaşamın her alanında etkili olmakla kalmamış, aynı zamanda turizm ve rekreasyon sektöründe de önemli değişimler getirmiştir. Bu değişiklikler, insanların</w:t>
      </w:r>
      <w:r>
        <w:rPr>
          <w:spacing w:val="54"/>
          <w:w w:val="150"/>
        </w:rPr>
        <w:t xml:space="preserve"> </w:t>
      </w:r>
      <w:r>
        <w:t>tatil</w:t>
      </w:r>
      <w:r>
        <w:rPr>
          <w:spacing w:val="58"/>
          <w:w w:val="150"/>
        </w:rPr>
        <w:t xml:space="preserve"> </w:t>
      </w:r>
      <w:r>
        <w:t>süreçlerini</w:t>
      </w:r>
      <w:r>
        <w:rPr>
          <w:spacing w:val="58"/>
          <w:w w:val="150"/>
        </w:rPr>
        <w:t xml:space="preserve"> </w:t>
      </w:r>
      <w:r>
        <w:t>nasıl</w:t>
      </w:r>
      <w:r>
        <w:rPr>
          <w:spacing w:val="58"/>
          <w:w w:val="150"/>
        </w:rPr>
        <w:t xml:space="preserve"> </w:t>
      </w:r>
      <w:r>
        <w:t>deneyimlediklerini</w:t>
      </w:r>
      <w:r>
        <w:rPr>
          <w:spacing w:val="56"/>
          <w:w w:val="150"/>
        </w:rPr>
        <w:t xml:space="preserve"> </w:t>
      </w:r>
      <w:r>
        <w:t>ve</w:t>
      </w:r>
      <w:r>
        <w:rPr>
          <w:spacing w:val="56"/>
          <w:w w:val="150"/>
        </w:rPr>
        <w:t xml:space="preserve"> </w:t>
      </w:r>
      <w:r>
        <w:t>rekreasyonel</w:t>
      </w:r>
      <w:r>
        <w:rPr>
          <w:spacing w:val="60"/>
          <w:w w:val="150"/>
        </w:rPr>
        <w:t xml:space="preserve"> </w:t>
      </w:r>
      <w:r>
        <w:t>aktivitelere</w:t>
      </w:r>
      <w:r>
        <w:rPr>
          <w:spacing w:val="56"/>
          <w:w w:val="150"/>
        </w:rPr>
        <w:t xml:space="preserve"> </w:t>
      </w:r>
      <w:r>
        <w:rPr>
          <w:spacing w:val="-2"/>
        </w:rPr>
        <w:t>nasıl</w:t>
      </w:r>
      <w:r>
        <w:t xml:space="preserve"> katıldıklarını temelden değiştirmektedir. Özellikle tatil planlama ve karar verme süreçleri, dijital teknolojilerin sunduğu yenilikçi araçlar sayesinde dönüşmüştür(Caneday,1992:485)</w:t>
      </w:r>
    </w:p>
    <w:p w14:paraId="638E80B6">
      <w:pPr>
        <w:pStyle w:val="4"/>
        <w:spacing w:before="240" w:after="240" w:line="360" w:lineRule="auto"/>
        <w:ind w:left="567" w:firstLine="0"/>
        <w:rPr>
          <w:i w:val="0"/>
        </w:rPr>
      </w:pPr>
      <w:bookmarkStart w:id="92" w:name="_Toc195875804"/>
      <w:bookmarkStart w:id="93" w:name="_Toc197351242"/>
      <w:bookmarkStart w:id="94" w:name="_Toc195877789"/>
      <w:r>
        <w:rPr>
          <w:i w:val="0"/>
        </w:rPr>
        <w:t>2.3.4. Sanal Rekreasyonun Özellikleri</w:t>
      </w:r>
      <w:bookmarkEnd w:id="92"/>
      <w:bookmarkEnd w:id="93"/>
      <w:bookmarkEnd w:id="94"/>
    </w:p>
    <w:p w14:paraId="4DE72C85">
      <w:pPr>
        <w:pStyle w:val="9"/>
        <w:spacing w:before="120" w:after="120" w:line="360" w:lineRule="auto"/>
        <w:ind w:left="0" w:firstLine="567"/>
      </w:pPr>
      <w:r>
        <w:t>Sanal rekreasyonun kendine has özellikleri ve kavramı şekillendiren temel unsurları, bu alandaki etkinliklerin yapısını ve kullanıcı deneyimini belirleyici faktörler olarak ön plana çıkmaktadır. Rekreasyon, bireylerin serbest zamanlarında gerçekleştirdiği, çeşitli etkinlikleri içeren ve bu etkinliklerin katılımcı tarafından bağımsız bir şekilde deneyimlendiği</w:t>
      </w:r>
      <w:r>
        <w:rPr>
          <w:spacing w:val="-7"/>
        </w:rPr>
        <w:t xml:space="preserve"> </w:t>
      </w:r>
      <w:r>
        <w:t>bir</w:t>
      </w:r>
      <w:r>
        <w:rPr>
          <w:spacing w:val="-6"/>
        </w:rPr>
        <w:t xml:space="preserve"> </w:t>
      </w:r>
      <w:r>
        <w:t>süreç</w:t>
      </w:r>
      <w:r>
        <w:rPr>
          <w:spacing w:val="-6"/>
        </w:rPr>
        <w:t xml:space="preserve"> </w:t>
      </w:r>
      <w:r>
        <w:t>olarak</w:t>
      </w:r>
      <w:r>
        <w:rPr>
          <w:spacing w:val="-8"/>
        </w:rPr>
        <w:t xml:space="preserve"> </w:t>
      </w:r>
      <w:r>
        <w:t>tanımlanabilir.</w:t>
      </w:r>
      <w:r>
        <w:rPr>
          <w:spacing w:val="-5"/>
        </w:rPr>
        <w:t xml:space="preserve"> </w:t>
      </w:r>
      <w:r>
        <w:t>Bu</w:t>
      </w:r>
      <w:r>
        <w:rPr>
          <w:spacing w:val="-6"/>
        </w:rPr>
        <w:t xml:space="preserve"> </w:t>
      </w:r>
      <w:r>
        <w:t>etkinliklere</w:t>
      </w:r>
      <w:r>
        <w:rPr>
          <w:spacing w:val="-8"/>
        </w:rPr>
        <w:t xml:space="preserve"> </w:t>
      </w:r>
      <w:r>
        <w:t>katılım</w:t>
      </w:r>
      <w:r>
        <w:rPr>
          <w:spacing w:val="-7"/>
        </w:rPr>
        <w:t xml:space="preserve"> </w:t>
      </w:r>
      <w:r>
        <w:t>tamamen</w:t>
      </w:r>
      <w:r>
        <w:rPr>
          <w:spacing w:val="-8"/>
        </w:rPr>
        <w:t xml:space="preserve"> </w:t>
      </w:r>
      <w:r>
        <w:t>gönüllüdür ve katılımcılara zevk, mutluluk sunarak psikolojik ve sosyal faydalar sağlamaktadır(Güler vd.,2022:135)</w:t>
      </w:r>
    </w:p>
    <w:p w14:paraId="1E552BDF">
      <w:pPr>
        <w:pStyle w:val="9"/>
        <w:spacing w:before="120" w:after="120" w:line="360" w:lineRule="auto"/>
        <w:ind w:left="0" w:firstLine="567"/>
      </w:pPr>
      <w:r>
        <w:t>Sanal rekreasyon, zaman ve mekan kısıtlamalarını aşarak kullanıcılara özgürlük sunar; bu sayede dünyanın herhangi bir yerinden erişilebilir bir aktivite haline gelmiştir. Bu özellik, sanal</w:t>
      </w:r>
      <w:r>
        <w:rPr>
          <w:spacing w:val="-10"/>
        </w:rPr>
        <w:t xml:space="preserve"> </w:t>
      </w:r>
      <w:r>
        <w:t>rekreasyonun</w:t>
      </w:r>
      <w:r>
        <w:rPr>
          <w:spacing w:val="-9"/>
        </w:rPr>
        <w:t xml:space="preserve"> </w:t>
      </w:r>
      <w:r>
        <w:t>evrensel</w:t>
      </w:r>
      <w:r>
        <w:rPr>
          <w:spacing w:val="-10"/>
        </w:rPr>
        <w:t xml:space="preserve"> </w:t>
      </w:r>
      <w:r>
        <w:t>bir</w:t>
      </w:r>
      <w:r>
        <w:rPr>
          <w:spacing w:val="-11"/>
        </w:rPr>
        <w:t xml:space="preserve"> </w:t>
      </w:r>
      <w:r>
        <w:t>nitelik</w:t>
      </w:r>
      <w:r>
        <w:rPr>
          <w:spacing w:val="-11"/>
        </w:rPr>
        <w:t xml:space="preserve"> </w:t>
      </w:r>
      <w:r>
        <w:t>kazanmasına</w:t>
      </w:r>
      <w:r>
        <w:rPr>
          <w:spacing w:val="-11"/>
        </w:rPr>
        <w:t xml:space="preserve"> </w:t>
      </w:r>
      <w:r>
        <w:t>ve</w:t>
      </w:r>
      <w:r>
        <w:rPr>
          <w:spacing w:val="-9"/>
        </w:rPr>
        <w:t xml:space="preserve"> </w:t>
      </w:r>
      <w:r>
        <w:t>geniş</w:t>
      </w:r>
      <w:r>
        <w:rPr>
          <w:spacing w:val="-10"/>
        </w:rPr>
        <w:t xml:space="preserve"> </w:t>
      </w:r>
      <w:r>
        <w:t>kitlelere</w:t>
      </w:r>
      <w:r>
        <w:rPr>
          <w:spacing w:val="-12"/>
        </w:rPr>
        <w:t xml:space="preserve"> </w:t>
      </w:r>
      <w:r>
        <w:t>hitap</w:t>
      </w:r>
      <w:r>
        <w:rPr>
          <w:spacing w:val="-8"/>
        </w:rPr>
        <w:t xml:space="preserve"> </w:t>
      </w:r>
      <w:r>
        <w:t>etmesine</w:t>
      </w:r>
      <w:r>
        <w:rPr>
          <w:spacing w:val="-11"/>
        </w:rPr>
        <w:t xml:space="preserve"> </w:t>
      </w:r>
      <w:r>
        <w:t>olanak tanır. Katılımcılar, sanal ortamlarda gerçekleştirdikleri aktivitelerle sadece eğlenmekle kalmaz, aynı zamanda çeşitli kültürel deneyimler yaşayarak bilgi ve becerilerini artırma fırsatı bulurlar. Bu süreç, toplumun gelenek ve göreneklerine uygunluk arz eder ve rekreasyon yoluyla kültürel aktarımlar sağlar, böylece farklı kültürler arasında köprüler kurulmasına yardımcı olur (Jaung,2022:185).</w:t>
      </w:r>
    </w:p>
    <w:p w14:paraId="5185AC77">
      <w:pPr>
        <w:pStyle w:val="9"/>
        <w:spacing w:before="120" w:after="120" w:line="360" w:lineRule="auto"/>
        <w:ind w:left="0" w:firstLine="567"/>
      </w:pPr>
      <w:r>
        <w:t>Sanal rekreasyonun sağladığı bu zengin ve çeşitli deneyim, bireylerin kendi ilgi ve ihtiyaçlarına</w:t>
      </w:r>
      <w:r>
        <w:rPr>
          <w:spacing w:val="-10"/>
        </w:rPr>
        <w:t xml:space="preserve"> </w:t>
      </w:r>
      <w:r>
        <w:t>göre</w:t>
      </w:r>
      <w:r>
        <w:rPr>
          <w:spacing w:val="-10"/>
        </w:rPr>
        <w:t xml:space="preserve"> </w:t>
      </w:r>
      <w:r>
        <w:t>özelleştirilebilir.</w:t>
      </w:r>
      <w:r>
        <w:rPr>
          <w:spacing w:val="-9"/>
        </w:rPr>
        <w:t xml:space="preserve"> </w:t>
      </w:r>
      <w:r>
        <w:t>Etkinlikler,</w:t>
      </w:r>
      <w:r>
        <w:rPr>
          <w:spacing w:val="-9"/>
        </w:rPr>
        <w:t xml:space="preserve"> </w:t>
      </w:r>
      <w:r>
        <w:t>sanal</w:t>
      </w:r>
      <w:r>
        <w:rPr>
          <w:spacing w:val="-8"/>
        </w:rPr>
        <w:t xml:space="preserve"> </w:t>
      </w:r>
      <w:r>
        <w:t>gerçeklik</w:t>
      </w:r>
      <w:r>
        <w:rPr>
          <w:spacing w:val="-9"/>
        </w:rPr>
        <w:t xml:space="preserve"> </w:t>
      </w:r>
      <w:r>
        <w:t>(VR)</w:t>
      </w:r>
      <w:r>
        <w:rPr>
          <w:spacing w:val="-10"/>
        </w:rPr>
        <w:t xml:space="preserve"> </w:t>
      </w:r>
      <w:r>
        <w:t>teknolojisi</w:t>
      </w:r>
      <w:r>
        <w:rPr>
          <w:spacing w:val="-8"/>
        </w:rPr>
        <w:t xml:space="preserve"> </w:t>
      </w:r>
      <w:r>
        <w:t>kullanılarak daha</w:t>
      </w:r>
      <w:r>
        <w:rPr>
          <w:spacing w:val="-11"/>
        </w:rPr>
        <w:t xml:space="preserve"> </w:t>
      </w:r>
      <w:r>
        <w:t>da</w:t>
      </w:r>
      <w:r>
        <w:rPr>
          <w:spacing w:val="-11"/>
        </w:rPr>
        <w:t xml:space="preserve"> </w:t>
      </w:r>
      <w:r>
        <w:t>sürükleyici</w:t>
      </w:r>
      <w:r>
        <w:rPr>
          <w:spacing w:val="-9"/>
        </w:rPr>
        <w:t xml:space="preserve"> </w:t>
      </w:r>
      <w:r>
        <w:t>bir</w:t>
      </w:r>
      <w:r>
        <w:rPr>
          <w:spacing w:val="-10"/>
        </w:rPr>
        <w:t xml:space="preserve"> </w:t>
      </w:r>
      <w:r>
        <w:t>hale</w:t>
      </w:r>
      <w:r>
        <w:rPr>
          <w:spacing w:val="-8"/>
        </w:rPr>
        <w:t xml:space="preserve"> </w:t>
      </w:r>
      <w:r>
        <w:t>getirilebilir,</w:t>
      </w:r>
      <w:r>
        <w:rPr>
          <w:spacing w:val="-10"/>
        </w:rPr>
        <w:t xml:space="preserve"> </w:t>
      </w:r>
      <w:r>
        <w:t>bu</w:t>
      </w:r>
      <w:r>
        <w:rPr>
          <w:spacing w:val="-10"/>
        </w:rPr>
        <w:t xml:space="preserve"> </w:t>
      </w:r>
      <w:r>
        <w:t>da</w:t>
      </w:r>
      <w:r>
        <w:rPr>
          <w:spacing w:val="-11"/>
        </w:rPr>
        <w:t xml:space="preserve"> </w:t>
      </w:r>
      <w:r>
        <w:t>katılımcıların</w:t>
      </w:r>
      <w:r>
        <w:rPr>
          <w:spacing w:val="-9"/>
        </w:rPr>
        <w:t xml:space="preserve"> </w:t>
      </w:r>
      <w:r>
        <w:t>deneyimlerini</w:t>
      </w:r>
      <w:r>
        <w:rPr>
          <w:spacing w:val="-9"/>
        </w:rPr>
        <w:t xml:space="preserve"> </w:t>
      </w:r>
      <w:r>
        <w:t>daha</w:t>
      </w:r>
      <w:r>
        <w:rPr>
          <w:spacing w:val="-8"/>
        </w:rPr>
        <w:t xml:space="preserve"> </w:t>
      </w:r>
      <w:r>
        <w:t>gerçekçi</w:t>
      </w:r>
      <w:r>
        <w:rPr>
          <w:spacing w:val="-9"/>
        </w:rPr>
        <w:t xml:space="preserve"> </w:t>
      </w:r>
      <w:r>
        <w:t>ve etkileşimli kılar. Böylece, sanal rekreasyon, kullanıcıların hem zihinsel hem de duygusal düzeyde tatmin olmalarını sağlayan bir platform olarak öne çıkar(Metin vd.,2013:5024).</w:t>
      </w:r>
    </w:p>
    <w:p w14:paraId="4C3C9D91">
      <w:pPr>
        <w:pStyle w:val="9"/>
        <w:spacing w:before="120" w:after="120" w:line="360" w:lineRule="auto"/>
        <w:ind w:left="0" w:firstLine="567"/>
      </w:pPr>
      <w:r>
        <w:t>Literatürden</w:t>
      </w:r>
      <w:r>
        <w:rPr>
          <w:spacing w:val="-5"/>
        </w:rPr>
        <w:t xml:space="preserve"> </w:t>
      </w:r>
      <w:r>
        <w:t>elde</w:t>
      </w:r>
      <w:r>
        <w:rPr>
          <w:spacing w:val="-5"/>
        </w:rPr>
        <w:t xml:space="preserve"> </w:t>
      </w:r>
      <w:r>
        <w:t>edilen</w:t>
      </w:r>
      <w:r>
        <w:rPr>
          <w:spacing w:val="-4"/>
        </w:rPr>
        <w:t xml:space="preserve"> </w:t>
      </w:r>
      <w:r>
        <w:t>veriler</w:t>
      </w:r>
      <w:r>
        <w:rPr>
          <w:spacing w:val="-8"/>
        </w:rPr>
        <w:t xml:space="preserve"> </w:t>
      </w:r>
      <w:r>
        <w:t>ışığında,</w:t>
      </w:r>
      <w:r>
        <w:rPr>
          <w:spacing w:val="-7"/>
        </w:rPr>
        <w:t xml:space="preserve"> </w:t>
      </w:r>
      <w:r>
        <w:t>sanal</w:t>
      </w:r>
      <w:r>
        <w:rPr>
          <w:spacing w:val="-2"/>
        </w:rPr>
        <w:t xml:space="preserve"> </w:t>
      </w:r>
      <w:r>
        <w:t>rekreasyonun</w:t>
      </w:r>
      <w:r>
        <w:rPr>
          <w:spacing w:val="-7"/>
        </w:rPr>
        <w:t xml:space="preserve"> </w:t>
      </w:r>
      <w:r>
        <w:t>temel</w:t>
      </w:r>
      <w:r>
        <w:rPr>
          <w:spacing w:val="-7"/>
        </w:rPr>
        <w:t xml:space="preserve"> </w:t>
      </w:r>
      <w:r>
        <w:t>özellikleri</w:t>
      </w:r>
      <w:r>
        <w:rPr>
          <w:spacing w:val="-7"/>
        </w:rPr>
        <w:t xml:space="preserve"> </w:t>
      </w:r>
      <w:r>
        <w:t>ve</w:t>
      </w:r>
      <w:r>
        <w:rPr>
          <w:spacing w:val="-6"/>
        </w:rPr>
        <w:t xml:space="preserve"> </w:t>
      </w:r>
      <w:r>
        <w:t>bileşenleri, bu</w:t>
      </w:r>
      <w:r>
        <w:rPr>
          <w:spacing w:val="-9"/>
        </w:rPr>
        <w:t xml:space="preserve"> </w:t>
      </w:r>
      <w:r>
        <w:t>alandaki</w:t>
      </w:r>
      <w:r>
        <w:rPr>
          <w:spacing w:val="-9"/>
        </w:rPr>
        <w:t xml:space="preserve"> </w:t>
      </w:r>
      <w:r>
        <w:t>faaliyetlerin</w:t>
      </w:r>
      <w:r>
        <w:rPr>
          <w:spacing w:val="-8"/>
        </w:rPr>
        <w:t xml:space="preserve"> </w:t>
      </w:r>
      <w:r>
        <w:t>geniş</w:t>
      </w:r>
      <w:r>
        <w:rPr>
          <w:spacing w:val="-9"/>
        </w:rPr>
        <w:t xml:space="preserve"> </w:t>
      </w:r>
      <w:r>
        <w:t>çapta</w:t>
      </w:r>
      <w:r>
        <w:rPr>
          <w:spacing w:val="-10"/>
        </w:rPr>
        <w:t xml:space="preserve"> </w:t>
      </w:r>
      <w:r>
        <w:t>nasıl</w:t>
      </w:r>
      <w:r>
        <w:rPr>
          <w:spacing w:val="-8"/>
        </w:rPr>
        <w:t xml:space="preserve"> </w:t>
      </w:r>
      <w:r>
        <w:t>gerçekleştiğini</w:t>
      </w:r>
      <w:r>
        <w:rPr>
          <w:spacing w:val="-9"/>
        </w:rPr>
        <w:t xml:space="preserve"> </w:t>
      </w:r>
      <w:r>
        <w:t>ve</w:t>
      </w:r>
      <w:r>
        <w:rPr>
          <w:spacing w:val="-10"/>
        </w:rPr>
        <w:t xml:space="preserve"> </w:t>
      </w:r>
      <w:r>
        <w:t>katılımcıların</w:t>
      </w:r>
      <w:r>
        <w:rPr>
          <w:spacing w:val="-9"/>
        </w:rPr>
        <w:t xml:space="preserve"> </w:t>
      </w:r>
      <w:r>
        <w:t>ne</w:t>
      </w:r>
      <w:r>
        <w:rPr>
          <w:spacing w:val="-10"/>
        </w:rPr>
        <w:t xml:space="preserve"> </w:t>
      </w:r>
      <w:r>
        <w:t>tür</w:t>
      </w:r>
      <w:r>
        <w:rPr>
          <w:spacing w:val="-10"/>
        </w:rPr>
        <w:t xml:space="preserve"> </w:t>
      </w:r>
      <w:r>
        <w:t>deneyimler yaşadığını</w:t>
      </w:r>
      <w:r>
        <w:rPr>
          <w:spacing w:val="-15"/>
        </w:rPr>
        <w:t xml:space="preserve"> </w:t>
      </w:r>
      <w:r>
        <w:t>daha</w:t>
      </w:r>
      <w:r>
        <w:rPr>
          <w:spacing w:val="-15"/>
        </w:rPr>
        <w:t xml:space="preserve"> </w:t>
      </w:r>
      <w:r>
        <w:t>iyi</w:t>
      </w:r>
      <w:r>
        <w:rPr>
          <w:spacing w:val="-15"/>
        </w:rPr>
        <w:t xml:space="preserve"> </w:t>
      </w:r>
      <w:r>
        <w:t>anlamak</w:t>
      </w:r>
      <w:r>
        <w:rPr>
          <w:spacing w:val="-15"/>
        </w:rPr>
        <w:t xml:space="preserve"> </w:t>
      </w:r>
      <w:r>
        <w:t>için</w:t>
      </w:r>
      <w:r>
        <w:rPr>
          <w:spacing w:val="-15"/>
        </w:rPr>
        <w:t xml:space="preserve"> </w:t>
      </w:r>
      <w:r>
        <w:t>derinlemesine</w:t>
      </w:r>
      <w:r>
        <w:rPr>
          <w:spacing w:val="-15"/>
        </w:rPr>
        <w:t xml:space="preserve"> </w:t>
      </w:r>
      <w:r>
        <w:t>incelenmiştir.</w:t>
      </w:r>
      <w:r>
        <w:rPr>
          <w:spacing w:val="-15"/>
        </w:rPr>
        <w:t xml:space="preserve"> </w:t>
      </w:r>
      <w:r>
        <w:t>(Akoğlan</w:t>
      </w:r>
      <w:r>
        <w:rPr>
          <w:spacing w:val="-15"/>
        </w:rPr>
        <w:t xml:space="preserve"> </w:t>
      </w:r>
      <w:r>
        <w:t>Kozak</w:t>
      </w:r>
      <w:r>
        <w:rPr>
          <w:spacing w:val="-15"/>
        </w:rPr>
        <w:t xml:space="preserve"> </w:t>
      </w:r>
      <w:r>
        <w:t>ve</w:t>
      </w:r>
      <w:r>
        <w:rPr>
          <w:spacing w:val="-15"/>
        </w:rPr>
        <w:t xml:space="preserve"> </w:t>
      </w:r>
      <w:r>
        <w:t>Özkeroğlu (2018:19)’dan elde edilen veriler ışığında sanal rekreasyon, boş zamanları değerlendirmek için</w:t>
      </w:r>
      <w:r>
        <w:rPr>
          <w:spacing w:val="-12"/>
        </w:rPr>
        <w:t xml:space="preserve"> </w:t>
      </w:r>
      <w:r>
        <w:t>bireylerin</w:t>
      </w:r>
      <w:r>
        <w:rPr>
          <w:spacing w:val="-12"/>
        </w:rPr>
        <w:t xml:space="preserve"> </w:t>
      </w:r>
      <w:r>
        <w:t>tercih</w:t>
      </w:r>
      <w:r>
        <w:rPr>
          <w:spacing w:val="-11"/>
        </w:rPr>
        <w:t xml:space="preserve"> </w:t>
      </w:r>
      <w:r>
        <w:t>ettiği</w:t>
      </w:r>
      <w:r>
        <w:rPr>
          <w:spacing w:val="-11"/>
        </w:rPr>
        <w:t xml:space="preserve"> </w:t>
      </w:r>
      <w:r>
        <w:t>bir</w:t>
      </w:r>
      <w:r>
        <w:rPr>
          <w:spacing w:val="-12"/>
        </w:rPr>
        <w:t xml:space="preserve"> </w:t>
      </w:r>
      <w:r>
        <w:t>etkinlikler</w:t>
      </w:r>
      <w:r>
        <w:rPr>
          <w:spacing w:val="-13"/>
        </w:rPr>
        <w:t xml:space="preserve"> </w:t>
      </w:r>
      <w:r>
        <w:t>bütünü</w:t>
      </w:r>
      <w:r>
        <w:rPr>
          <w:spacing w:val="-11"/>
        </w:rPr>
        <w:t xml:space="preserve"> </w:t>
      </w:r>
      <w:r>
        <w:t>olarak</w:t>
      </w:r>
      <w:r>
        <w:rPr>
          <w:spacing w:val="-12"/>
        </w:rPr>
        <w:t xml:space="preserve"> </w:t>
      </w:r>
      <w:r>
        <w:t>tanımlanabilir.</w:t>
      </w:r>
      <w:r>
        <w:rPr>
          <w:spacing w:val="-12"/>
        </w:rPr>
        <w:t xml:space="preserve"> </w:t>
      </w:r>
      <w:r>
        <w:t>Bu</w:t>
      </w:r>
      <w:r>
        <w:rPr>
          <w:spacing w:val="-12"/>
        </w:rPr>
        <w:t xml:space="preserve"> </w:t>
      </w:r>
      <w:r>
        <w:t>etkinlikler,</w:t>
      </w:r>
      <w:r>
        <w:rPr>
          <w:spacing w:val="-12"/>
        </w:rPr>
        <w:t xml:space="preserve"> </w:t>
      </w:r>
      <w:r>
        <w:t>zaman ve mekan sınırlamalarından bağımsız olarak, eşzamanlı (senkron) veya eş zamansız (asenkron) katılım imkanı sunar, bu da katılımcılara global bir erişim sağlayarak farklı coğrafyalardan kullanıcıların aynı etkinlikte buluşmasına olanak tanır.</w:t>
      </w:r>
    </w:p>
    <w:p w14:paraId="613502F0">
      <w:pPr>
        <w:pStyle w:val="9"/>
        <w:spacing w:before="120" w:after="120" w:line="360" w:lineRule="auto"/>
        <w:ind w:left="0" w:firstLine="567"/>
      </w:pPr>
      <w:r>
        <w:t>Sanal rekreasyonun temelini oluşturan unsurlar arasında, katılımcının deneyimlediği sanal gerçeklik deneyimi önemli bir yer tutar. Bu deneyim, kullanıcının gerçeklik algısını zenginleştirerek daha önce erişilemez olan deneyimlere erişim sağlar. Böylece, bireysellik ve özgür irade ile seçilen aktiviteler, katılımcılara özgün ve kişisel bir deneyim sunar. İnternet</w:t>
      </w:r>
      <w:r>
        <w:rPr>
          <w:spacing w:val="-11"/>
        </w:rPr>
        <w:t xml:space="preserve"> </w:t>
      </w:r>
      <w:r>
        <w:t>etkileşimi,</w:t>
      </w:r>
      <w:r>
        <w:rPr>
          <w:spacing w:val="-12"/>
        </w:rPr>
        <w:t xml:space="preserve"> </w:t>
      </w:r>
      <w:r>
        <w:t>bu</w:t>
      </w:r>
      <w:r>
        <w:rPr>
          <w:spacing w:val="-12"/>
        </w:rPr>
        <w:t xml:space="preserve"> </w:t>
      </w:r>
      <w:r>
        <w:t>tür</w:t>
      </w:r>
      <w:r>
        <w:rPr>
          <w:spacing w:val="-12"/>
        </w:rPr>
        <w:t xml:space="preserve"> </w:t>
      </w:r>
      <w:r>
        <w:t>etkinliklerin</w:t>
      </w:r>
      <w:r>
        <w:rPr>
          <w:spacing w:val="-11"/>
        </w:rPr>
        <w:t xml:space="preserve"> </w:t>
      </w:r>
      <w:r>
        <w:t>temel</w:t>
      </w:r>
      <w:r>
        <w:rPr>
          <w:spacing w:val="-11"/>
        </w:rPr>
        <w:t xml:space="preserve"> </w:t>
      </w:r>
      <w:r>
        <w:t>bir</w:t>
      </w:r>
      <w:r>
        <w:rPr>
          <w:spacing w:val="-12"/>
        </w:rPr>
        <w:t xml:space="preserve"> </w:t>
      </w:r>
      <w:r>
        <w:t>parçasıdır</w:t>
      </w:r>
      <w:r>
        <w:rPr>
          <w:spacing w:val="-12"/>
        </w:rPr>
        <w:t xml:space="preserve"> </w:t>
      </w:r>
      <w:r>
        <w:t>ve</w:t>
      </w:r>
      <w:r>
        <w:rPr>
          <w:spacing w:val="-13"/>
        </w:rPr>
        <w:t xml:space="preserve"> </w:t>
      </w:r>
      <w:r>
        <w:t>dünya</w:t>
      </w:r>
      <w:r>
        <w:rPr>
          <w:spacing w:val="-10"/>
        </w:rPr>
        <w:t xml:space="preserve"> </w:t>
      </w:r>
      <w:r>
        <w:t>genelindeki</w:t>
      </w:r>
      <w:r>
        <w:rPr>
          <w:spacing w:val="-11"/>
        </w:rPr>
        <w:t xml:space="preserve"> </w:t>
      </w:r>
      <w:r>
        <w:t xml:space="preserve">kullanıcılar </w:t>
      </w:r>
      <w:r>
        <w:rPr>
          <w:spacing w:val="-2"/>
        </w:rPr>
        <w:t>arasında</w:t>
      </w:r>
      <w:r>
        <w:rPr>
          <w:spacing w:val="-5"/>
        </w:rPr>
        <w:t xml:space="preserve"> </w:t>
      </w:r>
      <w:r>
        <w:rPr>
          <w:spacing w:val="-2"/>
        </w:rPr>
        <w:t>interaktif</w:t>
      </w:r>
      <w:r>
        <w:rPr>
          <w:spacing w:val="-6"/>
        </w:rPr>
        <w:t xml:space="preserve"> </w:t>
      </w:r>
      <w:r>
        <w:rPr>
          <w:spacing w:val="-2"/>
        </w:rPr>
        <w:t>bir</w:t>
      </w:r>
      <w:r>
        <w:rPr>
          <w:spacing w:val="-5"/>
        </w:rPr>
        <w:t xml:space="preserve"> </w:t>
      </w:r>
      <w:r>
        <w:rPr>
          <w:spacing w:val="-2"/>
        </w:rPr>
        <w:t>bağlantı</w:t>
      </w:r>
      <w:r>
        <w:rPr>
          <w:spacing w:val="-3"/>
        </w:rPr>
        <w:t xml:space="preserve"> </w:t>
      </w:r>
      <w:r>
        <w:rPr>
          <w:spacing w:val="-2"/>
        </w:rPr>
        <w:t>kurar.</w:t>
      </w:r>
      <w:r>
        <w:rPr>
          <w:spacing w:val="-6"/>
        </w:rPr>
        <w:t xml:space="preserve"> </w:t>
      </w:r>
      <w:r>
        <w:rPr>
          <w:spacing w:val="-2"/>
        </w:rPr>
        <w:t>Bu etkileşim,</w:t>
      </w:r>
      <w:r>
        <w:rPr>
          <w:spacing w:val="-3"/>
        </w:rPr>
        <w:t xml:space="preserve"> </w:t>
      </w:r>
      <w:r>
        <w:rPr>
          <w:spacing w:val="-2"/>
        </w:rPr>
        <w:t>sosyal</w:t>
      </w:r>
      <w:r>
        <w:rPr>
          <w:spacing w:val="-3"/>
        </w:rPr>
        <w:t xml:space="preserve"> </w:t>
      </w:r>
      <w:r>
        <w:rPr>
          <w:spacing w:val="-2"/>
        </w:rPr>
        <w:t>ve</w:t>
      </w:r>
      <w:r>
        <w:rPr>
          <w:spacing w:val="-6"/>
        </w:rPr>
        <w:t xml:space="preserve"> </w:t>
      </w:r>
      <w:r>
        <w:rPr>
          <w:spacing w:val="-2"/>
        </w:rPr>
        <w:t>kültürel</w:t>
      </w:r>
      <w:r>
        <w:rPr>
          <w:spacing w:val="-3"/>
        </w:rPr>
        <w:t xml:space="preserve"> </w:t>
      </w:r>
      <w:r>
        <w:rPr>
          <w:spacing w:val="-2"/>
        </w:rPr>
        <w:t>sınırları</w:t>
      </w:r>
      <w:r>
        <w:rPr>
          <w:spacing w:val="-5"/>
        </w:rPr>
        <w:t xml:space="preserve"> </w:t>
      </w:r>
      <w:r>
        <w:rPr>
          <w:spacing w:val="-2"/>
        </w:rPr>
        <w:t xml:space="preserve">aşarak evrensel </w:t>
      </w:r>
      <w:r>
        <w:t>bir deneyim yaratır(Çoruh,2016:13)</w:t>
      </w:r>
    </w:p>
    <w:p w14:paraId="3459062E">
      <w:pPr>
        <w:pStyle w:val="9"/>
        <w:spacing w:before="120" w:after="120" w:line="360" w:lineRule="auto"/>
        <w:ind w:left="0" w:firstLine="567"/>
      </w:pPr>
      <w:r>
        <w:t xml:space="preserve">Sanal rekreasyon, aynı zamanda internet tabanlı kısıtlamalara tabidir. Bu kısıtlamalar, teknolojik altyapı, bant genişliği gereksinimleri ve kullanıcıların teknolojiye erişim seviyeleri gibi faktörlerle belirlenir. Ancak bu teknolojik sınırlamalar, sanal ortamda gerçekleştirilen aktivitelerin kalitesini ve erişilebilirliğini artırma yönünde sürekli olarak </w:t>
      </w:r>
      <w:r>
        <w:rPr>
          <w:spacing w:val="-2"/>
        </w:rPr>
        <w:t>geliştirilmektedir(Erdem ve Bozkurt,2023:3514)</w:t>
      </w:r>
    </w:p>
    <w:p w14:paraId="6DA994A4">
      <w:pPr>
        <w:pStyle w:val="9"/>
        <w:spacing w:before="120" w:after="120" w:line="360" w:lineRule="auto"/>
        <w:ind w:left="0" w:firstLine="567"/>
      </w:pPr>
      <w:r>
        <w:t>Sanal</w:t>
      </w:r>
      <w:r>
        <w:rPr>
          <w:spacing w:val="-5"/>
        </w:rPr>
        <w:t xml:space="preserve"> </w:t>
      </w:r>
      <w:r>
        <w:t>rekreasyon</w:t>
      </w:r>
      <w:r>
        <w:rPr>
          <w:spacing w:val="-5"/>
        </w:rPr>
        <w:t xml:space="preserve"> </w:t>
      </w:r>
      <w:r>
        <w:t>ayrıca,</w:t>
      </w:r>
      <w:r>
        <w:rPr>
          <w:spacing w:val="-3"/>
        </w:rPr>
        <w:t xml:space="preserve"> </w:t>
      </w:r>
      <w:r>
        <w:t>katılımcılara</w:t>
      </w:r>
      <w:r>
        <w:rPr>
          <w:spacing w:val="-6"/>
        </w:rPr>
        <w:t xml:space="preserve"> </w:t>
      </w:r>
      <w:r>
        <w:t>bir</w:t>
      </w:r>
      <w:r>
        <w:rPr>
          <w:spacing w:val="-5"/>
        </w:rPr>
        <w:t xml:space="preserve"> </w:t>
      </w:r>
      <w:r>
        <w:t>tür</w:t>
      </w:r>
      <w:r>
        <w:rPr>
          <w:spacing w:val="-5"/>
        </w:rPr>
        <w:t xml:space="preserve"> </w:t>
      </w:r>
      <w:r>
        <w:t>"görünmezlik"</w:t>
      </w:r>
      <w:r>
        <w:rPr>
          <w:spacing w:val="-7"/>
        </w:rPr>
        <w:t xml:space="preserve"> </w:t>
      </w:r>
      <w:r>
        <w:t>sunar;</w:t>
      </w:r>
      <w:r>
        <w:rPr>
          <w:spacing w:val="-5"/>
        </w:rPr>
        <w:t xml:space="preserve"> </w:t>
      </w:r>
      <w:r>
        <w:t>bu,</w:t>
      </w:r>
      <w:r>
        <w:rPr>
          <w:spacing w:val="-5"/>
        </w:rPr>
        <w:t xml:space="preserve"> </w:t>
      </w:r>
      <w:r>
        <w:t>kullanıcıların</w:t>
      </w:r>
      <w:r>
        <w:rPr>
          <w:spacing w:val="-5"/>
        </w:rPr>
        <w:t xml:space="preserve"> </w:t>
      </w:r>
      <w:r>
        <w:t>gerçek kimliklerini gizleyerek daha özgür bir şekilde ifade etmelerine olanak tanır. Bu özellik, sosyal baskılardan uzak, daha rahat bir etkileşim ortamı yaratır. Etkinlikler sırasında elde edilen zevk ve mutluluk, bireylerin ruh hali üzerinde olumlu etkiler yaratırken, bu tür etkinlikler aynı zamanda önemli sosyal ve psikolojik faydalar sağlar. Bu faydalar arasında stres azaltma, sosyal becerilerin geliştirilmesi ve yalnızlık hissinin azaltılması yer alır(Sandıkçı,2022:70)</w:t>
      </w:r>
    </w:p>
    <w:p w14:paraId="77A4D47A">
      <w:pPr>
        <w:pStyle w:val="9"/>
        <w:spacing w:before="120" w:after="120" w:line="360" w:lineRule="auto"/>
        <w:ind w:left="0" w:firstLine="567"/>
      </w:pPr>
      <w:r>
        <w:t>Sonuç</w:t>
      </w:r>
      <w:r>
        <w:rPr>
          <w:spacing w:val="-1"/>
        </w:rPr>
        <w:t xml:space="preserve"> </w:t>
      </w:r>
      <w:r>
        <w:t>olarak, sanal rekreasyon, modern</w:t>
      </w:r>
      <w:r>
        <w:rPr>
          <w:spacing w:val="-1"/>
        </w:rPr>
        <w:t xml:space="preserve"> </w:t>
      </w:r>
      <w:r>
        <w:t>teknolojinin sunduğu imkanlarla bireylerin serbest zamanlarını zenginleştiren, katılımcıların küresel bir topluluk içinde etkileşimde bulunmalarını sağlayan dinamik ve çeşitlendirilmiş bir aktiviteler yelpazesi sunar. Bu unsurlar, sanal rekreasyonun kapsamlı bir şekilde anlaşılmasını ve değerlendirilmesini sağlayarak, bu alanda yeni araştırmalar ve uygulamalar için zemin hazırlar(Sandıkçı,2022:71)</w:t>
      </w:r>
    </w:p>
    <w:p w14:paraId="6BB39CD3">
      <w:pPr>
        <w:pStyle w:val="9"/>
        <w:spacing w:before="120" w:after="120" w:line="360" w:lineRule="auto"/>
        <w:ind w:left="0" w:firstLine="567"/>
      </w:pPr>
      <w:r>
        <w:t>Sanal rekreasyon, teknolojinin sağladığı imkanlar sayesinde bireylerin boş zamanlarını değerlendirmelerine olanak tanıyan etkileşimli ve dinamik bir aktivite alanıdır. Güncan (2021:163)</w:t>
      </w:r>
      <w:r>
        <w:rPr>
          <w:spacing w:val="-4"/>
        </w:rPr>
        <w:t xml:space="preserve"> </w:t>
      </w:r>
      <w:r>
        <w:t>tarafından</w:t>
      </w:r>
      <w:r>
        <w:rPr>
          <w:spacing w:val="-3"/>
        </w:rPr>
        <w:t xml:space="preserve"> </w:t>
      </w:r>
      <w:r>
        <w:t>belirlenen</w:t>
      </w:r>
      <w:r>
        <w:rPr>
          <w:spacing w:val="-3"/>
        </w:rPr>
        <w:t xml:space="preserve"> </w:t>
      </w:r>
      <w:r>
        <w:t>özellikler,</w:t>
      </w:r>
      <w:r>
        <w:rPr>
          <w:spacing w:val="-4"/>
        </w:rPr>
        <w:t xml:space="preserve"> </w:t>
      </w:r>
      <w:r>
        <w:t>sanal</w:t>
      </w:r>
      <w:r>
        <w:rPr>
          <w:spacing w:val="-3"/>
        </w:rPr>
        <w:t xml:space="preserve"> </w:t>
      </w:r>
      <w:r>
        <w:t>rekreasyonun</w:t>
      </w:r>
      <w:r>
        <w:rPr>
          <w:spacing w:val="-3"/>
        </w:rPr>
        <w:t xml:space="preserve"> </w:t>
      </w:r>
      <w:r>
        <w:t>katılımcılara</w:t>
      </w:r>
      <w:r>
        <w:rPr>
          <w:spacing w:val="-4"/>
        </w:rPr>
        <w:t xml:space="preserve"> </w:t>
      </w:r>
      <w:r>
        <w:t>sunduğu</w:t>
      </w:r>
      <w:r>
        <w:rPr>
          <w:spacing w:val="-1"/>
        </w:rPr>
        <w:t xml:space="preserve"> </w:t>
      </w:r>
      <w:r>
        <w:t>geniş çaplı deneyimleri ayrıntılı olarak açıklar:</w:t>
      </w:r>
    </w:p>
    <w:p w14:paraId="1A1CD1F9">
      <w:pPr>
        <w:pStyle w:val="28"/>
        <w:numPr>
          <w:ilvl w:val="0"/>
          <w:numId w:val="7"/>
        </w:numPr>
        <w:tabs>
          <w:tab w:val="left" w:pos="880"/>
        </w:tabs>
        <w:spacing w:before="120" w:after="120" w:line="360" w:lineRule="auto"/>
        <w:ind w:left="0" w:firstLine="567"/>
        <w:jc w:val="both"/>
        <w:rPr>
          <w:sz w:val="24"/>
        </w:rPr>
      </w:pPr>
      <w:r>
        <w:rPr>
          <w:b/>
          <w:sz w:val="24"/>
        </w:rPr>
        <w:t>Boş Zamanlarında Sanal Rekreasyon Gerçekleştirilir</w:t>
      </w:r>
      <w:r>
        <w:rPr>
          <w:sz w:val="24"/>
        </w:rPr>
        <w:t>: Sanal rekreasyon, bireylerin serbest zamanlarını değerlendirme yollarından biridir. İş veya okul gibi zorunlu aktivitelerden kalan zamanda, bireyler kendilerini sanal dünyalarda çeşitli etkinliklerle ifade edebilirler.</w:t>
      </w:r>
    </w:p>
    <w:p w14:paraId="7B353664">
      <w:pPr>
        <w:pStyle w:val="28"/>
        <w:numPr>
          <w:ilvl w:val="0"/>
          <w:numId w:val="7"/>
        </w:numPr>
        <w:tabs>
          <w:tab w:val="left" w:pos="880"/>
        </w:tabs>
        <w:spacing w:before="120" w:after="120" w:line="360" w:lineRule="auto"/>
        <w:ind w:left="0" w:firstLine="567"/>
        <w:jc w:val="both"/>
        <w:rPr>
          <w:sz w:val="24"/>
        </w:rPr>
      </w:pPr>
      <w:r>
        <w:rPr>
          <w:b/>
          <w:sz w:val="24"/>
        </w:rPr>
        <w:t>Eş</w:t>
      </w:r>
      <w:r>
        <w:rPr>
          <w:b/>
          <w:spacing w:val="-15"/>
          <w:sz w:val="24"/>
        </w:rPr>
        <w:t xml:space="preserve"> </w:t>
      </w:r>
      <w:r>
        <w:rPr>
          <w:b/>
          <w:sz w:val="24"/>
        </w:rPr>
        <w:t>Zamanlı</w:t>
      </w:r>
      <w:r>
        <w:rPr>
          <w:b/>
          <w:spacing w:val="-13"/>
          <w:sz w:val="24"/>
        </w:rPr>
        <w:t xml:space="preserve"> </w:t>
      </w:r>
      <w:r>
        <w:rPr>
          <w:b/>
          <w:sz w:val="24"/>
        </w:rPr>
        <w:t>ve</w:t>
      </w:r>
      <w:r>
        <w:rPr>
          <w:b/>
          <w:spacing w:val="-15"/>
          <w:sz w:val="24"/>
        </w:rPr>
        <w:t xml:space="preserve"> </w:t>
      </w:r>
      <w:r>
        <w:rPr>
          <w:b/>
          <w:sz w:val="24"/>
        </w:rPr>
        <w:t>Eş</w:t>
      </w:r>
      <w:r>
        <w:rPr>
          <w:b/>
          <w:spacing w:val="-14"/>
          <w:sz w:val="24"/>
        </w:rPr>
        <w:t xml:space="preserve"> </w:t>
      </w:r>
      <w:r>
        <w:rPr>
          <w:b/>
          <w:sz w:val="24"/>
        </w:rPr>
        <w:t>Zamansız</w:t>
      </w:r>
      <w:r>
        <w:rPr>
          <w:b/>
          <w:spacing w:val="-14"/>
          <w:sz w:val="24"/>
        </w:rPr>
        <w:t xml:space="preserve"> </w:t>
      </w:r>
      <w:r>
        <w:rPr>
          <w:b/>
          <w:sz w:val="24"/>
        </w:rPr>
        <w:t>Katılım</w:t>
      </w:r>
      <w:r>
        <w:rPr>
          <w:b/>
          <w:spacing w:val="-15"/>
          <w:sz w:val="24"/>
        </w:rPr>
        <w:t xml:space="preserve"> </w:t>
      </w:r>
      <w:r>
        <w:rPr>
          <w:b/>
          <w:sz w:val="24"/>
        </w:rPr>
        <w:t>İmkanı</w:t>
      </w:r>
      <w:r>
        <w:rPr>
          <w:b/>
          <w:spacing w:val="-14"/>
          <w:sz w:val="24"/>
        </w:rPr>
        <w:t xml:space="preserve"> </w:t>
      </w:r>
      <w:r>
        <w:rPr>
          <w:b/>
          <w:sz w:val="24"/>
        </w:rPr>
        <w:t>Sunar</w:t>
      </w:r>
      <w:r>
        <w:rPr>
          <w:sz w:val="24"/>
        </w:rPr>
        <w:t>:</w:t>
      </w:r>
      <w:r>
        <w:rPr>
          <w:spacing w:val="-14"/>
          <w:sz w:val="24"/>
        </w:rPr>
        <w:t xml:space="preserve"> </w:t>
      </w:r>
      <w:r>
        <w:rPr>
          <w:sz w:val="24"/>
        </w:rPr>
        <w:t>Katılımcılar,</w:t>
      </w:r>
      <w:r>
        <w:rPr>
          <w:spacing w:val="-14"/>
          <w:sz w:val="24"/>
        </w:rPr>
        <w:t xml:space="preserve"> </w:t>
      </w:r>
      <w:r>
        <w:rPr>
          <w:sz w:val="24"/>
        </w:rPr>
        <w:t>dünya</w:t>
      </w:r>
      <w:r>
        <w:rPr>
          <w:spacing w:val="-15"/>
          <w:sz w:val="24"/>
        </w:rPr>
        <w:t xml:space="preserve"> </w:t>
      </w:r>
      <w:r>
        <w:rPr>
          <w:sz w:val="24"/>
        </w:rPr>
        <w:t>genelinde farklı zaman dilimlerinden bağımsız olarak etkinliklere katılabilirler. Bu, kullanıcıların kendi programlarına göre etkinliklere katılma esnekliği sağlar.</w:t>
      </w:r>
    </w:p>
    <w:p w14:paraId="1F4076B9">
      <w:pPr>
        <w:pStyle w:val="28"/>
        <w:numPr>
          <w:ilvl w:val="0"/>
          <w:numId w:val="7"/>
        </w:numPr>
        <w:tabs>
          <w:tab w:val="left" w:pos="880"/>
        </w:tabs>
        <w:spacing w:before="120" w:after="120" w:line="360" w:lineRule="auto"/>
        <w:ind w:left="0" w:firstLine="567"/>
        <w:jc w:val="both"/>
        <w:rPr>
          <w:sz w:val="24"/>
        </w:rPr>
      </w:pPr>
      <w:r>
        <w:rPr>
          <w:b/>
          <w:sz w:val="24"/>
        </w:rPr>
        <w:t>Bir veya Daha Fazla Faaliyet İçerir</w:t>
      </w:r>
      <w:r>
        <w:rPr>
          <w:sz w:val="24"/>
        </w:rPr>
        <w:t>: Sanal rekreasyon platformları, genellikle çeşitli faaliyetler sunar; bu, oyunlar, sanat atölyeleri, eğitim seminerleri gibi çok yönlü etkinlikleri içerebilir.</w:t>
      </w:r>
    </w:p>
    <w:p w14:paraId="3F4FF6C0">
      <w:pPr>
        <w:pStyle w:val="28"/>
        <w:numPr>
          <w:ilvl w:val="0"/>
          <w:numId w:val="7"/>
        </w:numPr>
        <w:tabs>
          <w:tab w:val="left" w:pos="880"/>
        </w:tabs>
        <w:spacing w:before="120" w:after="120" w:line="360" w:lineRule="auto"/>
        <w:ind w:left="0" w:firstLine="567"/>
        <w:jc w:val="both"/>
        <w:rPr>
          <w:sz w:val="24"/>
        </w:rPr>
      </w:pPr>
      <w:r>
        <w:rPr>
          <w:b/>
          <w:sz w:val="24"/>
        </w:rPr>
        <w:t>Aktivite Deneyimi Gerektirir</w:t>
      </w:r>
      <w:r>
        <w:rPr>
          <w:sz w:val="24"/>
        </w:rPr>
        <w:t>: Her sanal rekreasyon etkinliği, katılımcıların aktif olarak deneyimlemesi gereken bir süreçtir. Bu, sanal ortamda gerçekleştirilen etkinliklerin, katılımcıların etkileşim ve katılımını temel alması anlamına gelir.</w:t>
      </w:r>
    </w:p>
    <w:p w14:paraId="2BDB9230">
      <w:pPr>
        <w:pStyle w:val="28"/>
        <w:numPr>
          <w:ilvl w:val="0"/>
          <w:numId w:val="7"/>
        </w:numPr>
        <w:tabs>
          <w:tab w:val="left" w:pos="880"/>
        </w:tabs>
        <w:spacing w:before="120" w:after="120" w:line="360" w:lineRule="auto"/>
        <w:ind w:left="0" w:firstLine="567"/>
        <w:jc w:val="both"/>
        <w:rPr>
          <w:sz w:val="24"/>
        </w:rPr>
      </w:pPr>
      <w:r>
        <w:rPr>
          <w:b/>
          <w:sz w:val="24"/>
        </w:rPr>
        <w:t>Katılımcının Kendisi Tarafından Yapılır</w:t>
      </w:r>
      <w:r>
        <w:rPr>
          <w:sz w:val="24"/>
        </w:rPr>
        <w:t xml:space="preserve">: Sanal rekreasyon, kullanıcıların kendi başlarına veya diğer katılımcılarla birlikte etkinliklere aktif olarak katıldıkları bir </w:t>
      </w:r>
      <w:r>
        <w:rPr>
          <w:spacing w:val="-2"/>
          <w:sz w:val="24"/>
        </w:rPr>
        <w:t>süreçtir.</w:t>
      </w:r>
    </w:p>
    <w:p w14:paraId="1BDCEDF2">
      <w:pPr>
        <w:pStyle w:val="28"/>
        <w:numPr>
          <w:ilvl w:val="0"/>
          <w:numId w:val="7"/>
        </w:numPr>
        <w:tabs>
          <w:tab w:val="left" w:pos="880"/>
        </w:tabs>
        <w:spacing w:before="120" w:after="120" w:line="360" w:lineRule="auto"/>
        <w:ind w:left="0" w:firstLine="567"/>
        <w:jc w:val="both"/>
        <w:rPr>
          <w:sz w:val="24"/>
        </w:rPr>
      </w:pPr>
      <w:r>
        <w:rPr>
          <w:b/>
          <w:sz w:val="24"/>
        </w:rPr>
        <w:t>Sanal Gerçeklik Deneyimi Sunar</w:t>
      </w:r>
      <w:r>
        <w:rPr>
          <w:sz w:val="24"/>
        </w:rPr>
        <w:t>: Çoğu sanal rekreasyon</w:t>
      </w:r>
      <w:r>
        <w:rPr>
          <w:spacing w:val="-1"/>
          <w:sz w:val="24"/>
        </w:rPr>
        <w:t xml:space="preserve"> </w:t>
      </w:r>
      <w:r>
        <w:rPr>
          <w:sz w:val="24"/>
        </w:rPr>
        <w:t>platformu, katılımcılara sanal</w:t>
      </w:r>
      <w:r>
        <w:rPr>
          <w:spacing w:val="-5"/>
          <w:sz w:val="24"/>
        </w:rPr>
        <w:t xml:space="preserve"> </w:t>
      </w:r>
      <w:r>
        <w:rPr>
          <w:sz w:val="24"/>
        </w:rPr>
        <w:t>gerçeklik</w:t>
      </w:r>
      <w:r>
        <w:rPr>
          <w:spacing w:val="-5"/>
          <w:sz w:val="24"/>
        </w:rPr>
        <w:t xml:space="preserve"> </w:t>
      </w:r>
      <w:r>
        <w:rPr>
          <w:sz w:val="24"/>
        </w:rPr>
        <w:t>gözlükleri</w:t>
      </w:r>
      <w:r>
        <w:rPr>
          <w:spacing w:val="-5"/>
          <w:sz w:val="24"/>
        </w:rPr>
        <w:t xml:space="preserve"> </w:t>
      </w:r>
      <w:r>
        <w:rPr>
          <w:sz w:val="24"/>
        </w:rPr>
        <w:t>gibi</w:t>
      </w:r>
      <w:r>
        <w:rPr>
          <w:spacing w:val="-5"/>
          <w:sz w:val="24"/>
        </w:rPr>
        <w:t xml:space="preserve"> </w:t>
      </w:r>
      <w:r>
        <w:rPr>
          <w:sz w:val="24"/>
        </w:rPr>
        <w:t>teknolojiler</w:t>
      </w:r>
      <w:r>
        <w:rPr>
          <w:spacing w:val="-7"/>
          <w:sz w:val="24"/>
        </w:rPr>
        <w:t xml:space="preserve"> </w:t>
      </w:r>
      <w:r>
        <w:rPr>
          <w:sz w:val="24"/>
        </w:rPr>
        <w:t>aracılığıyla</w:t>
      </w:r>
      <w:r>
        <w:rPr>
          <w:spacing w:val="-5"/>
          <w:sz w:val="24"/>
        </w:rPr>
        <w:t xml:space="preserve"> </w:t>
      </w:r>
      <w:r>
        <w:rPr>
          <w:sz w:val="24"/>
        </w:rPr>
        <w:t>daha</w:t>
      </w:r>
      <w:r>
        <w:rPr>
          <w:spacing w:val="-6"/>
          <w:sz w:val="24"/>
        </w:rPr>
        <w:t xml:space="preserve"> </w:t>
      </w:r>
      <w:r>
        <w:rPr>
          <w:sz w:val="24"/>
        </w:rPr>
        <w:t>sürükleyici</w:t>
      </w:r>
      <w:r>
        <w:rPr>
          <w:spacing w:val="-5"/>
          <w:sz w:val="24"/>
        </w:rPr>
        <w:t xml:space="preserve"> </w:t>
      </w:r>
      <w:r>
        <w:rPr>
          <w:sz w:val="24"/>
        </w:rPr>
        <w:t>bir</w:t>
      </w:r>
      <w:r>
        <w:rPr>
          <w:spacing w:val="-5"/>
          <w:sz w:val="24"/>
        </w:rPr>
        <w:t xml:space="preserve"> </w:t>
      </w:r>
      <w:r>
        <w:rPr>
          <w:sz w:val="24"/>
        </w:rPr>
        <w:t xml:space="preserve">deneyim </w:t>
      </w:r>
      <w:r>
        <w:rPr>
          <w:spacing w:val="-2"/>
          <w:sz w:val="24"/>
        </w:rPr>
        <w:t>sunar.</w:t>
      </w:r>
    </w:p>
    <w:p w14:paraId="136BAC87">
      <w:pPr>
        <w:pStyle w:val="28"/>
        <w:numPr>
          <w:ilvl w:val="0"/>
          <w:numId w:val="7"/>
        </w:numPr>
        <w:tabs>
          <w:tab w:val="left" w:pos="880"/>
        </w:tabs>
        <w:spacing w:before="120" w:after="120" w:line="360" w:lineRule="auto"/>
        <w:ind w:left="0" w:firstLine="567"/>
        <w:jc w:val="both"/>
        <w:rPr>
          <w:sz w:val="24"/>
        </w:rPr>
      </w:pPr>
      <w:r>
        <w:rPr>
          <w:b/>
          <w:sz w:val="24"/>
        </w:rPr>
        <w:t>Zaman ve Mekândan Bağımsızdır</w:t>
      </w:r>
      <w:r>
        <w:rPr>
          <w:sz w:val="24"/>
        </w:rPr>
        <w:t>: Sanal rekreasyon etkinlikleri, fiziksel mekan veya</w:t>
      </w:r>
      <w:r>
        <w:rPr>
          <w:spacing w:val="-11"/>
          <w:sz w:val="24"/>
        </w:rPr>
        <w:t xml:space="preserve"> </w:t>
      </w:r>
      <w:r>
        <w:rPr>
          <w:sz w:val="24"/>
        </w:rPr>
        <w:t>zaman</w:t>
      </w:r>
      <w:r>
        <w:rPr>
          <w:spacing w:val="-11"/>
          <w:sz w:val="24"/>
        </w:rPr>
        <w:t xml:space="preserve"> </w:t>
      </w:r>
      <w:r>
        <w:rPr>
          <w:sz w:val="24"/>
        </w:rPr>
        <w:t>sınırlamalarından</w:t>
      </w:r>
      <w:r>
        <w:rPr>
          <w:spacing w:val="-12"/>
          <w:sz w:val="24"/>
        </w:rPr>
        <w:t xml:space="preserve"> </w:t>
      </w:r>
      <w:r>
        <w:rPr>
          <w:sz w:val="24"/>
        </w:rPr>
        <w:t>bağımsız</w:t>
      </w:r>
      <w:r>
        <w:rPr>
          <w:spacing w:val="-11"/>
          <w:sz w:val="24"/>
        </w:rPr>
        <w:t xml:space="preserve"> </w:t>
      </w:r>
      <w:r>
        <w:rPr>
          <w:sz w:val="24"/>
        </w:rPr>
        <w:t>olarak</w:t>
      </w:r>
      <w:r>
        <w:rPr>
          <w:spacing w:val="-8"/>
          <w:sz w:val="24"/>
        </w:rPr>
        <w:t xml:space="preserve"> </w:t>
      </w:r>
      <w:r>
        <w:rPr>
          <w:sz w:val="24"/>
        </w:rPr>
        <w:t>gerçekleşir,</w:t>
      </w:r>
      <w:r>
        <w:rPr>
          <w:spacing w:val="-12"/>
          <w:sz w:val="24"/>
        </w:rPr>
        <w:t xml:space="preserve"> </w:t>
      </w:r>
      <w:r>
        <w:rPr>
          <w:sz w:val="24"/>
        </w:rPr>
        <w:t>bu</w:t>
      </w:r>
      <w:r>
        <w:rPr>
          <w:spacing w:val="-11"/>
          <w:sz w:val="24"/>
        </w:rPr>
        <w:t xml:space="preserve"> </w:t>
      </w:r>
      <w:r>
        <w:rPr>
          <w:sz w:val="24"/>
        </w:rPr>
        <w:t>da</w:t>
      </w:r>
      <w:r>
        <w:rPr>
          <w:spacing w:val="-9"/>
          <w:sz w:val="24"/>
        </w:rPr>
        <w:t xml:space="preserve"> </w:t>
      </w:r>
      <w:r>
        <w:rPr>
          <w:sz w:val="24"/>
        </w:rPr>
        <w:t>global</w:t>
      </w:r>
      <w:r>
        <w:rPr>
          <w:spacing w:val="-12"/>
          <w:sz w:val="24"/>
        </w:rPr>
        <w:t xml:space="preserve"> </w:t>
      </w:r>
      <w:r>
        <w:rPr>
          <w:sz w:val="24"/>
        </w:rPr>
        <w:t>bir</w:t>
      </w:r>
      <w:r>
        <w:rPr>
          <w:spacing w:val="-4"/>
          <w:sz w:val="24"/>
        </w:rPr>
        <w:t xml:space="preserve"> </w:t>
      </w:r>
      <w:r>
        <w:rPr>
          <w:sz w:val="24"/>
        </w:rPr>
        <w:t>katılımcı kitlesine ulaşmayı mümkün kılar.</w:t>
      </w:r>
    </w:p>
    <w:p w14:paraId="0297725F">
      <w:pPr>
        <w:pStyle w:val="28"/>
        <w:numPr>
          <w:ilvl w:val="0"/>
          <w:numId w:val="7"/>
        </w:numPr>
        <w:tabs>
          <w:tab w:val="left" w:pos="880"/>
        </w:tabs>
        <w:spacing w:before="120" w:after="120" w:line="360" w:lineRule="auto"/>
        <w:ind w:left="0" w:firstLine="567"/>
        <w:jc w:val="both"/>
        <w:rPr>
          <w:sz w:val="24"/>
        </w:rPr>
      </w:pPr>
      <w:r>
        <w:rPr>
          <w:b/>
          <w:sz w:val="24"/>
        </w:rPr>
        <w:t>Belirli</w:t>
      </w:r>
      <w:r>
        <w:rPr>
          <w:b/>
          <w:spacing w:val="-4"/>
          <w:sz w:val="24"/>
        </w:rPr>
        <w:t xml:space="preserve"> </w:t>
      </w:r>
      <w:r>
        <w:rPr>
          <w:b/>
          <w:sz w:val="24"/>
        </w:rPr>
        <w:t>Bir</w:t>
      </w:r>
      <w:r>
        <w:rPr>
          <w:b/>
          <w:spacing w:val="-4"/>
          <w:sz w:val="24"/>
        </w:rPr>
        <w:t xml:space="preserve"> </w:t>
      </w:r>
      <w:r>
        <w:rPr>
          <w:b/>
          <w:sz w:val="24"/>
        </w:rPr>
        <w:t>Katılım</w:t>
      </w:r>
      <w:r>
        <w:rPr>
          <w:b/>
          <w:spacing w:val="-8"/>
          <w:sz w:val="24"/>
        </w:rPr>
        <w:t xml:space="preserve"> </w:t>
      </w:r>
      <w:r>
        <w:rPr>
          <w:b/>
          <w:sz w:val="24"/>
        </w:rPr>
        <w:t>Amacı</w:t>
      </w:r>
      <w:r>
        <w:rPr>
          <w:b/>
          <w:spacing w:val="-4"/>
          <w:sz w:val="24"/>
        </w:rPr>
        <w:t xml:space="preserve"> </w:t>
      </w:r>
      <w:r>
        <w:rPr>
          <w:b/>
          <w:sz w:val="24"/>
        </w:rPr>
        <w:t>Bulunmaktadır</w:t>
      </w:r>
      <w:r>
        <w:rPr>
          <w:sz w:val="24"/>
        </w:rPr>
        <w:t>:</w:t>
      </w:r>
      <w:r>
        <w:rPr>
          <w:spacing w:val="-4"/>
          <w:sz w:val="24"/>
        </w:rPr>
        <w:t xml:space="preserve"> </w:t>
      </w:r>
      <w:r>
        <w:rPr>
          <w:sz w:val="24"/>
        </w:rPr>
        <w:t>Her</w:t>
      </w:r>
      <w:r>
        <w:rPr>
          <w:spacing w:val="-3"/>
          <w:sz w:val="24"/>
        </w:rPr>
        <w:t xml:space="preserve"> </w:t>
      </w:r>
      <w:r>
        <w:rPr>
          <w:sz w:val="24"/>
        </w:rPr>
        <w:t>sanal</w:t>
      </w:r>
      <w:r>
        <w:rPr>
          <w:spacing w:val="-4"/>
          <w:sz w:val="24"/>
        </w:rPr>
        <w:t xml:space="preserve"> </w:t>
      </w:r>
      <w:r>
        <w:rPr>
          <w:sz w:val="24"/>
        </w:rPr>
        <w:t>rekreasyon</w:t>
      </w:r>
      <w:r>
        <w:rPr>
          <w:spacing w:val="-2"/>
          <w:sz w:val="24"/>
        </w:rPr>
        <w:t xml:space="preserve"> </w:t>
      </w:r>
      <w:r>
        <w:rPr>
          <w:sz w:val="24"/>
        </w:rPr>
        <w:t>etkinliği,</w:t>
      </w:r>
      <w:r>
        <w:rPr>
          <w:spacing w:val="-4"/>
          <w:sz w:val="24"/>
        </w:rPr>
        <w:t xml:space="preserve"> </w:t>
      </w:r>
      <w:r>
        <w:rPr>
          <w:sz w:val="24"/>
        </w:rPr>
        <w:t>eğitim, eğlence, sosyalleşme veya kişisel gelişim gibi belirli bir amaca hizmet eder.</w:t>
      </w:r>
    </w:p>
    <w:p w14:paraId="28C51B5A">
      <w:pPr>
        <w:pStyle w:val="28"/>
        <w:numPr>
          <w:ilvl w:val="0"/>
          <w:numId w:val="7"/>
        </w:numPr>
        <w:tabs>
          <w:tab w:val="left" w:pos="880"/>
        </w:tabs>
        <w:spacing w:before="120" w:after="120" w:line="360" w:lineRule="auto"/>
        <w:ind w:left="0" w:firstLine="567"/>
        <w:jc w:val="both"/>
        <w:rPr>
          <w:sz w:val="24"/>
        </w:rPr>
      </w:pPr>
      <w:r>
        <w:rPr>
          <w:b/>
          <w:sz w:val="24"/>
        </w:rPr>
        <w:t>Ücretsiz ve Gönüllü Katılım Gerektirir</w:t>
      </w:r>
      <w:r>
        <w:rPr>
          <w:sz w:val="24"/>
        </w:rPr>
        <w:t>: Çoğu sanal rekreasyon etkinliği, katılımcılardan</w:t>
      </w:r>
      <w:r>
        <w:rPr>
          <w:spacing w:val="-15"/>
          <w:sz w:val="24"/>
        </w:rPr>
        <w:t xml:space="preserve"> </w:t>
      </w:r>
      <w:r>
        <w:rPr>
          <w:sz w:val="24"/>
        </w:rPr>
        <w:t>herhangi</w:t>
      </w:r>
      <w:r>
        <w:rPr>
          <w:spacing w:val="-15"/>
          <w:sz w:val="24"/>
        </w:rPr>
        <w:t xml:space="preserve"> </w:t>
      </w:r>
      <w:r>
        <w:rPr>
          <w:sz w:val="24"/>
        </w:rPr>
        <w:t>bir</w:t>
      </w:r>
      <w:r>
        <w:rPr>
          <w:spacing w:val="-15"/>
          <w:sz w:val="24"/>
        </w:rPr>
        <w:t xml:space="preserve"> </w:t>
      </w:r>
      <w:r>
        <w:rPr>
          <w:sz w:val="24"/>
        </w:rPr>
        <w:t>ücret</w:t>
      </w:r>
      <w:r>
        <w:rPr>
          <w:spacing w:val="-15"/>
          <w:sz w:val="24"/>
        </w:rPr>
        <w:t xml:space="preserve"> </w:t>
      </w:r>
      <w:r>
        <w:rPr>
          <w:sz w:val="24"/>
        </w:rPr>
        <w:t>talep</w:t>
      </w:r>
      <w:r>
        <w:rPr>
          <w:spacing w:val="-15"/>
          <w:sz w:val="24"/>
        </w:rPr>
        <w:t xml:space="preserve"> </w:t>
      </w:r>
      <w:r>
        <w:rPr>
          <w:sz w:val="24"/>
        </w:rPr>
        <w:t>etmez</w:t>
      </w:r>
      <w:r>
        <w:rPr>
          <w:spacing w:val="-15"/>
          <w:sz w:val="24"/>
        </w:rPr>
        <w:t xml:space="preserve"> </w:t>
      </w:r>
      <w:r>
        <w:rPr>
          <w:sz w:val="24"/>
        </w:rPr>
        <w:t>ve</w:t>
      </w:r>
      <w:r>
        <w:rPr>
          <w:spacing w:val="-15"/>
          <w:sz w:val="24"/>
        </w:rPr>
        <w:t xml:space="preserve"> </w:t>
      </w:r>
      <w:r>
        <w:rPr>
          <w:sz w:val="24"/>
        </w:rPr>
        <w:t>katılım</w:t>
      </w:r>
      <w:r>
        <w:rPr>
          <w:spacing w:val="-15"/>
          <w:sz w:val="24"/>
        </w:rPr>
        <w:t xml:space="preserve"> </w:t>
      </w:r>
      <w:r>
        <w:rPr>
          <w:sz w:val="24"/>
        </w:rPr>
        <w:t>tamamen</w:t>
      </w:r>
      <w:r>
        <w:rPr>
          <w:spacing w:val="-15"/>
          <w:sz w:val="24"/>
        </w:rPr>
        <w:t xml:space="preserve"> </w:t>
      </w:r>
      <w:r>
        <w:rPr>
          <w:sz w:val="24"/>
        </w:rPr>
        <w:t>gönüllülük</w:t>
      </w:r>
      <w:r>
        <w:rPr>
          <w:spacing w:val="-15"/>
          <w:sz w:val="24"/>
        </w:rPr>
        <w:t xml:space="preserve"> </w:t>
      </w:r>
      <w:r>
        <w:rPr>
          <w:sz w:val="24"/>
        </w:rPr>
        <w:t xml:space="preserve">esasına </w:t>
      </w:r>
      <w:r>
        <w:rPr>
          <w:spacing w:val="-2"/>
          <w:sz w:val="24"/>
        </w:rPr>
        <w:t>dayanır.</w:t>
      </w:r>
    </w:p>
    <w:p w14:paraId="75209EFF">
      <w:pPr>
        <w:pStyle w:val="28"/>
        <w:numPr>
          <w:ilvl w:val="0"/>
          <w:numId w:val="7"/>
        </w:numPr>
        <w:tabs>
          <w:tab w:val="left" w:pos="880"/>
        </w:tabs>
        <w:spacing w:before="120" w:after="120" w:line="360" w:lineRule="auto"/>
        <w:ind w:left="0" w:firstLine="567"/>
        <w:jc w:val="both"/>
        <w:rPr>
          <w:sz w:val="24"/>
        </w:rPr>
      </w:pPr>
      <w:r>
        <w:rPr>
          <w:b/>
          <w:sz w:val="24"/>
        </w:rPr>
        <w:t>Evrenseldir</w:t>
      </w:r>
      <w:r>
        <w:rPr>
          <w:sz w:val="24"/>
        </w:rPr>
        <w:t>: Sanal rekreasyon, küresel bir kitleye hitap eder ve farklı kültürlerden insanları bir araya getirir.</w:t>
      </w:r>
    </w:p>
    <w:p w14:paraId="4579E0CE">
      <w:pPr>
        <w:pStyle w:val="28"/>
        <w:numPr>
          <w:ilvl w:val="0"/>
          <w:numId w:val="7"/>
        </w:numPr>
        <w:tabs>
          <w:tab w:val="left" w:pos="880"/>
        </w:tabs>
        <w:spacing w:before="120" w:after="120" w:line="360" w:lineRule="auto"/>
        <w:ind w:left="0" w:firstLine="567"/>
        <w:jc w:val="both"/>
        <w:rPr>
          <w:sz w:val="24"/>
        </w:rPr>
      </w:pPr>
      <w:r>
        <w:rPr>
          <w:b/>
          <w:sz w:val="24"/>
        </w:rPr>
        <w:t>Katılımcıya Görünmezlik Sağlar</w:t>
      </w:r>
      <w:r>
        <w:rPr>
          <w:sz w:val="24"/>
        </w:rPr>
        <w:t>: Kullanıcılar, anonim kalarak veya farklı kimlikler altında etkinliklere katılabilirler, bu da özgürce ifade olanağı sunar.</w:t>
      </w:r>
    </w:p>
    <w:p w14:paraId="5603BC1E">
      <w:pPr>
        <w:pStyle w:val="28"/>
        <w:numPr>
          <w:ilvl w:val="0"/>
          <w:numId w:val="7"/>
        </w:numPr>
        <w:tabs>
          <w:tab w:val="left" w:pos="880"/>
        </w:tabs>
        <w:spacing w:before="120" w:after="120" w:line="360" w:lineRule="auto"/>
        <w:ind w:left="0" w:firstLine="567"/>
        <w:jc w:val="both"/>
        <w:rPr>
          <w:sz w:val="24"/>
        </w:rPr>
      </w:pPr>
      <w:r>
        <w:rPr>
          <w:b/>
          <w:sz w:val="24"/>
        </w:rPr>
        <w:t>Elektronik Platformlar Üzerinden Etkileşimde Bulunulmasını Sağlar</w:t>
      </w:r>
      <w:r>
        <w:rPr>
          <w:sz w:val="24"/>
        </w:rPr>
        <w:t>: Sanal rekreasyon, katılımcıların çeşitli dijital platformlar üzerinden birbirleriyle etkileşimde bulunmalarına olanak tanır.</w:t>
      </w:r>
    </w:p>
    <w:p w14:paraId="4691263B">
      <w:pPr>
        <w:pStyle w:val="28"/>
        <w:numPr>
          <w:ilvl w:val="0"/>
          <w:numId w:val="7"/>
        </w:numPr>
        <w:tabs>
          <w:tab w:val="left" w:pos="880"/>
        </w:tabs>
        <w:spacing w:before="120" w:after="120" w:line="360" w:lineRule="auto"/>
        <w:ind w:left="0" w:firstLine="567"/>
        <w:jc w:val="both"/>
        <w:rPr>
          <w:sz w:val="24"/>
        </w:rPr>
      </w:pPr>
      <w:r>
        <w:rPr>
          <w:b/>
          <w:sz w:val="24"/>
        </w:rPr>
        <w:t>Elektronik Ortama Özgü Bazı Sınırlamalar İçerir</w:t>
      </w:r>
      <w:r>
        <w:rPr>
          <w:sz w:val="24"/>
        </w:rPr>
        <w:t>: İnternet bağlantı hızı, cihaz uyumluluğu gibi teknik gereklilikler bu etkinliklerin kalitesini etkileyebilir.</w:t>
      </w:r>
    </w:p>
    <w:p w14:paraId="2BAA36FC">
      <w:pPr>
        <w:pStyle w:val="28"/>
        <w:numPr>
          <w:ilvl w:val="0"/>
          <w:numId w:val="7"/>
        </w:numPr>
        <w:tabs>
          <w:tab w:val="left" w:pos="880"/>
        </w:tabs>
        <w:spacing w:before="120" w:after="120" w:line="360" w:lineRule="auto"/>
        <w:ind w:left="0" w:firstLine="567"/>
        <w:jc w:val="both"/>
        <w:rPr>
          <w:sz w:val="24"/>
        </w:rPr>
      </w:pPr>
      <w:r>
        <w:rPr>
          <w:b/>
          <w:sz w:val="24"/>
        </w:rPr>
        <w:t>Katılımcıya Zevk, Heyecan ve Mutluluk Verir</w:t>
      </w:r>
      <w:r>
        <w:rPr>
          <w:sz w:val="24"/>
        </w:rPr>
        <w:t>: Sanal rekreasyon etkinlikleri, katılımcılara keyifli ve eğlenceli deneyimler sunar.</w:t>
      </w:r>
    </w:p>
    <w:p w14:paraId="5B647336">
      <w:pPr>
        <w:pStyle w:val="28"/>
        <w:numPr>
          <w:ilvl w:val="0"/>
          <w:numId w:val="7"/>
        </w:numPr>
        <w:tabs>
          <w:tab w:val="left" w:pos="880"/>
        </w:tabs>
        <w:spacing w:before="120" w:after="120" w:line="360" w:lineRule="auto"/>
        <w:ind w:left="0" w:firstLine="567"/>
        <w:jc w:val="both"/>
        <w:rPr>
          <w:sz w:val="24"/>
        </w:rPr>
      </w:pPr>
      <w:r>
        <w:rPr>
          <w:b/>
          <w:sz w:val="24"/>
        </w:rPr>
        <w:t>Sosyal</w:t>
      </w:r>
      <w:r>
        <w:rPr>
          <w:b/>
          <w:spacing w:val="-12"/>
          <w:sz w:val="24"/>
        </w:rPr>
        <w:t xml:space="preserve"> </w:t>
      </w:r>
      <w:r>
        <w:rPr>
          <w:b/>
          <w:sz w:val="24"/>
        </w:rPr>
        <w:t>ve</w:t>
      </w:r>
      <w:r>
        <w:rPr>
          <w:b/>
          <w:spacing w:val="-14"/>
          <w:sz w:val="24"/>
        </w:rPr>
        <w:t xml:space="preserve"> </w:t>
      </w:r>
      <w:r>
        <w:rPr>
          <w:b/>
          <w:sz w:val="24"/>
        </w:rPr>
        <w:t>Psikolojik</w:t>
      </w:r>
      <w:r>
        <w:rPr>
          <w:b/>
          <w:spacing w:val="-12"/>
          <w:sz w:val="24"/>
        </w:rPr>
        <w:t xml:space="preserve"> </w:t>
      </w:r>
      <w:r>
        <w:rPr>
          <w:b/>
          <w:sz w:val="24"/>
        </w:rPr>
        <w:t>Fayda</w:t>
      </w:r>
      <w:r>
        <w:rPr>
          <w:b/>
          <w:spacing w:val="-13"/>
          <w:sz w:val="24"/>
        </w:rPr>
        <w:t xml:space="preserve"> </w:t>
      </w:r>
      <w:r>
        <w:rPr>
          <w:b/>
          <w:sz w:val="24"/>
        </w:rPr>
        <w:t>Sağlar</w:t>
      </w:r>
      <w:r>
        <w:rPr>
          <w:sz w:val="24"/>
        </w:rPr>
        <w:t>:</w:t>
      </w:r>
      <w:r>
        <w:rPr>
          <w:spacing w:val="-12"/>
          <w:sz w:val="24"/>
        </w:rPr>
        <w:t xml:space="preserve"> </w:t>
      </w:r>
      <w:r>
        <w:rPr>
          <w:sz w:val="24"/>
        </w:rPr>
        <w:t>Bu</w:t>
      </w:r>
      <w:r>
        <w:rPr>
          <w:spacing w:val="-13"/>
          <w:sz w:val="24"/>
        </w:rPr>
        <w:t xml:space="preserve"> </w:t>
      </w:r>
      <w:r>
        <w:rPr>
          <w:sz w:val="24"/>
        </w:rPr>
        <w:t>etkinlikler,</w:t>
      </w:r>
      <w:r>
        <w:rPr>
          <w:spacing w:val="-13"/>
          <w:sz w:val="24"/>
        </w:rPr>
        <w:t xml:space="preserve"> </w:t>
      </w:r>
      <w:r>
        <w:rPr>
          <w:sz w:val="24"/>
        </w:rPr>
        <w:t>katılımcıların</w:t>
      </w:r>
      <w:r>
        <w:rPr>
          <w:spacing w:val="-12"/>
          <w:sz w:val="24"/>
        </w:rPr>
        <w:t xml:space="preserve"> </w:t>
      </w:r>
      <w:r>
        <w:rPr>
          <w:sz w:val="24"/>
        </w:rPr>
        <w:t>sosyal</w:t>
      </w:r>
      <w:r>
        <w:rPr>
          <w:spacing w:val="-12"/>
          <w:sz w:val="24"/>
        </w:rPr>
        <w:t xml:space="preserve"> </w:t>
      </w:r>
      <w:r>
        <w:rPr>
          <w:sz w:val="24"/>
        </w:rPr>
        <w:t>becerilerini geliştirme, yalnızlık hissini azaltma ve stresle başa çıkmalarına yardımcı olma gibi çeşitli sosyal ve psikolojik avantajlar sunar.</w:t>
      </w:r>
    </w:p>
    <w:p w14:paraId="34FE8389">
      <w:pPr>
        <w:pStyle w:val="4"/>
        <w:spacing w:before="240" w:after="240" w:line="360" w:lineRule="auto"/>
        <w:ind w:left="567" w:firstLine="0"/>
        <w:rPr>
          <w:i w:val="0"/>
        </w:rPr>
      </w:pPr>
      <w:bookmarkStart w:id="95" w:name="_Toc197351243"/>
      <w:bookmarkStart w:id="96" w:name="_Toc195877790"/>
      <w:bookmarkStart w:id="97" w:name="_Toc195875805"/>
      <w:r>
        <w:rPr>
          <w:i w:val="0"/>
        </w:rPr>
        <w:t>2.3.5. Sanal Rekreasyonun Sınıflandırılması</w:t>
      </w:r>
      <w:bookmarkEnd w:id="95"/>
      <w:bookmarkEnd w:id="96"/>
      <w:bookmarkEnd w:id="97"/>
    </w:p>
    <w:p w14:paraId="18244FEC">
      <w:pPr>
        <w:pStyle w:val="9"/>
        <w:spacing w:before="120" w:after="120" w:line="360" w:lineRule="auto"/>
        <w:ind w:left="0" w:firstLine="567"/>
      </w:pPr>
      <w:r>
        <w:t>Sanal Rekreasyonun Sınıflandırılması, Robinson (1972:561) ve Mclean, Hurd ve Rogers (2005:15)</w:t>
      </w:r>
      <w:r>
        <w:rPr>
          <w:spacing w:val="-11"/>
        </w:rPr>
        <w:t xml:space="preserve"> </w:t>
      </w:r>
      <w:r>
        <w:t>tarafından</w:t>
      </w:r>
      <w:r>
        <w:rPr>
          <w:spacing w:val="-8"/>
        </w:rPr>
        <w:t xml:space="preserve"> </w:t>
      </w:r>
      <w:r>
        <w:t>yapılan</w:t>
      </w:r>
      <w:r>
        <w:rPr>
          <w:spacing w:val="-11"/>
        </w:rPr>
        <w:t xml:space="preserve"> </w:t>
      </w:r>
      <w:r>
        <w:t>çalışmalarla</w:t>
      </w:r>
      <w:r>
        <w:rPr>
          <w:spacing w:val="-11"/>
        </w:rPr>
        <w:t xml:space="preserve"> </w:t>
      </w:r>
      <w:r>
        <w:t>derinlemesine</w:t>
      </w:r>
      <w:r>
        <w:rPr>
          <w:spacing w:val="-11"/>
        </w:rPr>
        <w:t xml:space="preserve"> </w:t>
      </w:r>
      <w:r>
        <w:t>incelenmiş</w:t>
      </w:r>
      <w:r>
        <w:rPr>
          <w:spacing w:val="-8"/>
        </w:rPr>
        <w:t xml:space="preserve"> </w:t>
      </w:r>
      <w:r>
        <w:t>ve</w:t>
      </w:r>
      <w:r>
        <w:rPr>
          <w:spacing w:val="-11"/>
        </w:rPr>
        <w:t xml:space="preserve"> </w:t>
      </w:r>
      <w:r>
        <w:t>rekreasyon</w:t>
      </w:r>
      <w:r>
        <w:rPr>
          <w:spacing w:val="-10"/>
        </w:rPr>
        <w:t xml:space="preserve"> </w:t>
      </w:r>
      <w:r>
        <w:t>türlerinin teknoloji ve doğa temelli olmak üzere iki ana kategoride ele alındığını göstermiştir. Robinson (1972:561), teknoloji tabanlı rekreasyonun, sanal gerçeklik, bilgisayar oyunları gibi</w:t>
      </w:r>
      <w:r>
        <w:rPr>
          <w:spacing w:val="-10"/>
        </w:rPr>
        <w:t xml:space="preserve"> </w:t>
      </w:r>
      <w:r>
        <w:t>modern</w:t>
      </w:r>
      <w:r>
        <w:rPr>
          <w:spacing w:val="-9"/>
        </w:rPr>
        <w:t xml:space="preserve"> </w:t>
      </w:r>
      <w:r>
        <w:t>teknoloji</w:t>
      </w:r>
      <w:r>
        <w:rPr>
          <w:spacing w:val="-10"/>
        </w:rPr>
        <w:t xml:space="preserve"> </w:t>
      </w:r>
      <w:r>
        <w:t>ürünlerini</w:t>
      </w:r>
      <w:r>
        <w:rPr>
          <w:spacing w:val="-10"/>
        </w:rPr>
        <w:t xml:space="preserve"> </w:t>
      </w:r>
      <w:r>
        <w:t>içerdiğini</w:t>
      </w:r>
      <w:r>
        <w:rPr>
          <w:spacing w:val="-10"/>
        </w:rPr>
        <w:t xml:space="preserve"> </w:t>
      </w:r>
      <w:r>
        <w:t>belirtirken,</w:t>
      </w:r>
      <w:r>
        <w:rPr>
          <w:spacing w:val="-11"/>
        </w:rPr>
        <w:t xml:space="preserve"> </w:t>
      </w:r>
      <w:r>
        <w:t>doğa</w:t>
      </w:r>
      <w:r>
        <w:rPr>
          <w:spacing w:val="-9"/>
        </w:rPr>
        <w:t xml:space="preserve"> </w:t>
      </w:r>
      <w:r>
        <w:t>temelli</w:t>
      </w:r>
      <w:r>
        <w:rPr>
          <w:spacing w:val="-10"/>
        </w:rPr>
        <w:t xml:space="preserve"> </w:t>
      </w:r>
      <w:r>
        <w:t>rekreasyonun</w:t>
      </w:r>
      <w:r>
        <w:rPr>
          <w:spacing w:val="-11"/>
        </w:rPr>
        <w:t xml:space="preserve"> </w:t>
      </w:r>
      <w:r>
        <w:t>doğayla</w:t>
      </w:r>
      <w:r>
        <w:rPr>
          <w:spacing w:val="-11"/>
        </w:rPr>
        <w:t xml:space="preserve"> </w:t>
      </w:r>
      <w:r>
        <w:t>iç içe geçmiş geleneksel faaliyetleri kapsadığını vurgulamıştır. Teknoloji tabanlı rekreasyon, özellikle</w:t>
      </w:r>
      <w:r>
        <w:rPr>
          <w:spacing w:val="-10"/>
        </w:rPr>
        <w:t xml:space="preserve"> </w:t>
      </w:r>
      <w:r>
        <w:t>şehirleşme</w:t>
      </w:r>
      <w:r>
        <w:rPr>
          <w:spacing w:val="-9"/>
        </w:rPr>
        <w:t xml:space="preserve"> </w:t>
      </w:r>
      <w:r>
        <w:t>ve</w:t>
      </w:r>
      <w:r>
        <w:rPr>
          <w:spacing w:val="-10"/>
        </w:rPr>
        <w:t xml:space="preserve"> </w:t>
      </w:r>
      <w:r>
        <w:t>teknolojik</w:t>
      </w:r>
      <w:r>
        <w:rPr>
          <w:spacing w:val="-9"/>
        </w:rPr>
        <w:t xml:space="preserve"> </w:t>
      </w:r>
      <w:r>
        <w:t>gelişmelerin</w:t>
      </w:r>
      <w:r>
        <w:rPr>
          <w:spacing w:val="-10"/>
        </w:rPr>
        <w:t xml:space="preserve"> </w:t>
      </w:r>
      <w:r>
        <w:t>etkisiyle</w:t>
      </w:r>
      <w:r>
        <w:rPr>
          <w:spacing w:val="-10"/>
        </w:rPr>
        <w:t xml:space="preserve"> </w:t>
      </w:r>
      <w:r>
        <w:t>popülerlik</w:t>
      </w:r>
      <w:r>
        <w:rPr>
          <w:spacing w:val="-9"/>
        </w:rPr>
        <w:t xml:space="preserve"> </w:t>
      </w:r>
      <w:r>
        <w:t>kazanırken,</w:t>
      </w:r>
      <w:r>
        <w:rPr>
          <w:spacing w:val="-9"/>
        </w:rPr>
        <w:t xml:space="preserve"> </w:t>
      </w:r>
      <w:r>
        <w:t>doğa</w:t>
      </w:r>
      <w:r>
        <w:rPr>
          <w:spacing w:val="-10"/>
        </w:rPr>
        <w:t xml:space="preserve"> </w:t>
      </w:r>
      <w:r>
        <w:t xml:space="preserve">temelli rekreasyon, bireylerin doğal çevreyle bağlantı kurmasına olanak tanıyan etkinlikler </w:t>
      </w:r>
      <w:r>
        <w:rPr>
          <w:spacing w:val="-2"/>
        </w:rPr>
        <w:t>sumaktadır.</w:t>
      </w:r>
    </w:p>
    <w:p w14:paraId="7687172E">
      <w:pPr>
        <w:pStyle w:val="9"/>
        <w:spacing w:before="120" w:after="120" w:line="360" w:lineRule="auto"/>
        <w:ind w:left="0" w:firstLine="567"/>
      </w:pPr>
      <w:r>
        <w:t>Öte yandan, Mclean, Hurd ve Rogers (2005:15) ekonomik faktörleri temel alarak rekreasyonu kar amacı güden (ticari) ve kar amacı gütmeyen faaliyetler olarak iki farklı kategoriye ayırmışlardır. Ticari rekreasyon, genellikle</w:t>
      </w:r>
      <w:r>
        <w:rPr>
          <w:spacing w:val="-1"/>
        </w:rPr>
        <w:t xml:space="preserve"> </w:t>
      </w:r>
      <w:r>
        <w:t>kâr</w:t>
      </w:r>
      <w:r>
        <w:rPr>
          <w:spacing w:val="-1"/>
        </w:rPr>
        <w:t xml:space="preserve"> </w:t>
      </w:r>
      <w:r>
        <w:t>elde etmek amacıyla düzenlenen ve katılımcılardan bir ücret alınarak sunulan etkinliklerdir. Bu tür rekreasyon faaliyetleri, turizm sektöründe yoğun olarak görülür ve temalı parklar, turistik turlar gibi çeşitli hizmetlerle bireylere eğlence sunar. Kar amacı gütmeyen rekreasyon ise daha çok toplum yararına hizmet eden, genellikle devlet veya sivil toplum kuruluşları tarafından organize edilen etkinlikleri içerir. Bu kategori, bireylerin ücretsiz veya</w:t>
      </w:r>
      <w:r>
        <w:rPr>
          <w:spacing w:val="-1"/>
        </w:rPr>
        <w:t xml:space="preserve"> </w:t>
      </w:r>
      <w:r>
        <w:t>düşük maliyetle</w:t>
      </w:r>
      <w:r>
        <w:rPr>
          <w:spacing w:val="-1"/>
        </w:rPr>
        <w:t xml:space="preserve"> </w:t>
      </w:r>
      <w:r>
        <w:t>erişebileceği parklar, müze günleri, kültürel festivaller gibi sosyal ve kültürel faaliyetleri kapsar.</w:t>
      </w:r>
    </w:p>
    <w:p w14:paraId="550BBED9">
      <w:pPr>
        <w:pStyle w:val="9"/>
        <w:spacing w:before="120" w:after="120" w:line="360" w:lineRule="auto"/>
        <w:ind w:left="0" w:firstLine="567"/>
      </w:pPr>
      <w:r>
        <w:t>Her</w:t>
      </w:r>
      <w:r>
        <w:rPr>
          <w:spacing w:val="-10"/>
        </w:rPr>
        <w:t xml:space="preserve"> </w:t>
      </w:r>
      <w:r>
        <w:t>iki</w:t>
      </w:r>
      <w:r>
        <w:rPr>
          <w:spacing w:val="-9"/>
        </w:rPr>
        <w:t xml:space="preserve"> </w:t>
      </w:r>
      <w:r>
        <w:t>sınıflandırma</w:t>
      </w:r>
      <w:r>
        <w:rPr>
          <w:spacing w:val="-10"/>
        </w:rPr>
        <w:t xml:space="preserve"> </w:t>
      </w:r>
      <w:r>
        <w:t>da</w:t>
      </w:r>
      <w:r>
        <w:rPr>
          <w:spacing w:val="-10"/>
        </w:rPr>
        <w:t xml:space="preserve"> </w:t>
      </w:r>
      <w:r>
        <w:t>sanal</w:t>
      </w:r>
      <w:r>
        <w:rPr>
          <w:spacing w:val="-9"/>
        </w:rPr>
        <w:t xml:space="preserve"> </w:t>
      </w:r>
      <w:r>
        <w:t>rekreasyonun</w:t>
      </w:r>
      <w:r>
        <w:rPr>
          <w:spacing w:val="-9"/>
        </w:rPr>
        <w:t xml:space="preserve"> </w:t>
      </w:r>
      <w:r>
        <w:t>çeşitliliğini</w:t>
      </w:r>
      <w:r>
        <w:rPr>
          <w:spacing w:val="-9"/>
        </w:rPr>
        <w:t xml:space="preserve"> </w:t>
      </w:r>
      <w:r>
        <w:t>ve</w:t>
      </w:r>
      <w:r>
        <w:rPr>
          <w:spacing w:val="-10"/>
        </w:rPr>
        <w:t xml:space="preserve"> </w:t>
      </w:r>
      <w:r>
        <w:t>toplumsal</w:t>
      </w:r>
      <w:r>
        <w:rPr>
          <w:spacing w:val="-7"/>
        </w:rPr>
        <w:t xml:space="preserve"> </w:t>
      </w:r>
      <w:r>
        <w:t>yapı</w:t>
      </w:r>
      <w:r>
        <w:rPr>
          <w:spacing w:val="-9"/>
        </w:rPr>
        <w:t xml:space="preserve"> </w:t>
      </w:r>
      <w:r>
        <w:t>içinde</w:t>
      </w:r>
      <w:r>
        <w:rPr>
          <w:spacing w:val="-10"/>
        </w:rPr>
        <w:t xml:space="preserve"> </w:t>
      </w:r>
      <w:r>
        <w:t>nasıl</w:t>
      </w:r>
      <w:r>
        <w:rPr>
          <w:spacing w:val="-8"/>
        </w:rPr>
        <w:t xml:space="preserve"> </w:t>
      </w:r>
      <w:r>
        <w:t>farklı ihtiyaç ve amaçlarla şekillendiğini göstermektedir. Teknoloji tabanlı rekreasyon, günümüzde</w:t>
      </w:r>
      <w:r>
        <w:rPr>
          <w:spacing w:val="-15"/>
        </w:rPr>
        <w:t xml:space="preserve"> </w:t>
      </w:r>
      <w:r>
        <w:t>özellikle</w:t>
      </w:r>
      <w:r>
        <w:rPr>
          <w:spacing w:val="-15"/>
        </w:rPr>
        <w:t xml:space="preserve"> </w:t>
      </w:r>
      <w:r>
        <w:t>genç</w:t>
      </w:r>
      <w:r>
        <w:rPr>
          <w:spacing w:val="-15"/>
        </w:rPr>
        <w:t xml:space="preserve"> </w:t>
      </w:r>
      <w:r>
        <w:t>nesiller</w:t>
      </w:r>
      <w:r>
        <w:rPr>
          <w:spacing w:val="-15"/>
        </w:rPr>
        <w:t xml:space="preserve"> </w:t>
      </w:r>
      <w:r>
        <w:t>arasında</w:t>
      </w:r>
      <w:r>
        <w:rPr>
          <w:spacing w:val="-15"/>
        </w:rPr>
        <w:t xml:space="preserve"> </w:t>
      </w:r>
      <w:r>
        <w:t>artan</w:t>
      </w:r>
      <w:r>
        <w:rPr>
          <w:spacing w:val="-15"/>
        </w:rPr>
        <w:t xml:space="preserve"> </w:t>
      </w:r>
      <w:r>
        <w:t>bir</w:t>
      </w:r>
      <w:r>
        <w:rPr>
          <w:spacing w:val="-15"/>
        </w:rPr>
        <w:t xml:space="preserve"> </w:t>
      </w:r>
      <w:r>
        <w:t>ilgi</w:t>
      </w:r>
      <w:r>
        <w:rPr>
          <w:spacing w:val="-15"/>
        </w:rPr>
        <w:t xml:space="preserve"> </w:t>
      </w:r>
      <w:r>
        <w:t>görmekte</w:t>
      </w:r>
      <w:r>
        <w:rPr>
          <w:spacing w:val="-14"/>
        </w:rPr>
        <w:t xml:space="preserve"> </w:t>
      </w:r>
      <w:r>
        <w:t>ve</w:t>
      </w:r>
      <w:r>
        <w:rPr>
          <w:spacing w:val="-15"/>
        </w:rPr>
        <w:t xml:space="preserve"> </w:t>
      </w:r>
      <w:r>
        <w:t>teknolojik</w:t>
      </w:r>
      <w:r>
        <w:rPr>
          <w:spacing w:val="-15"/>
        </w:rPr>
        <w:t xml:space="preserve"> </w:t>
      </w:r>
      <w:r>
        <w:t xml:space="preserve">gelişmelerle paralel olarak evrim geçirmektedir. Diğer yandan, doğa temelli ve kar amacı gütmeyen rekreasyon türleri, toplumun daha geniş kesimlerine hitap eden, erişilebilir ve kapsayıcı seçenekler sunmaktadır. Bu çeşitlilik, bireylerin yaşam tarzlarına ve sosyo-ekonomik koşullarına göre farklılık gösteren rekreasyon tercihlerinin anlaşılmasına yardımcı </w:t>
      </w:r>
      <w:r>
        <w:rPr>
          <w:spacing w:val="-2"/>
        </w:rPr>
        <w:t>olmaktadır(Karavelioğlu, 2024:64)</w:t>
      </w:r>
    </w:p>
    <w:p w14:paraId="53C6F841">
      <w:pPr>
        <w:pStyle w:val="9"/>
        <w:spacing w:before="120" w:after="120" w:line="360" w:lineRule="auto"/>
        <w:ind w:left="0" w:firstLine="567"/>
      </w:pPr>
      <w:r>
        <w:t>Sanal rekreasyon, farklı ilgi ve ihtiyaçlara yanıt vermek amacıyla geniş bir yelpazede düzenlenen etkinlikleri kapsamaktadır. Hazar (2003:89) tarafından yapılan sınıflandırma, sanal rekreasyonun çeşitli boyutlarını ve bu aktivitelerin insanların yaşamlarındaki rolünü daha iyi anlamamıza yardımcı olur:</w:t>
      </w:r>
    </w:p>
    <w:p w14:paraId="6B2456A4">
      <w:pPr>
        <w:pStyle w:val="9"/>
        <w:spacing w:before="120" w:after="120" w:line="360" w:lineRule="auto"/>
        <w:ind w:left="0" w:firstLine="567"/>
      </w:pPr>
      <w:r>
        <w:rPr>
          <w:b/>
        </w:rPr>
        <w:t>Sanal Ticari Rekreasyon</w:t>
      </w:r>
      <w:r>
        <w:t>: Bu kategori, katılımcıların belirli bir ücret ödeyerek erişebildikleri sanal rekreasyon faaliyetlerini içerir. Bu tür rekreasyon, genellikle ticari platformlar tarafından sunulan ve kâr amacı güden organizasyonlar tarafından işletilen etkinliklerden oluşur. Örneğin, sanal dünyalarda düzenlenen konserler ve festivaller, kullanıcıların bilet satın alarak katıldığı popüler etkinliklerdendir.</w:t>
      </w:r>
    </w:p>
    <w:p w14:paraId="28E23ED6">
      <w:pPr>
        <w:pStyle w:val="9"/>
        <w:spacing w:before="120" w:after="120" w:line="360" w:lineRule="auto"/>
        <w:ind w:left="0" w:firstLine="567"/>
      </w:pPr>
      <w:r>
        <w:rPr>
          <w:b/>
        </w:rPr>
        <w:t>Sanal</w:t>
      </w:r>
      <w:r>
        <w:rPr>
          <w:b/>
          <w:spacing w:val="-5"/>
        </w:rPr>
        <w:t xml:space="preserve"> </w:t>
      </w:r>
      <w:r>
        <w:rPr>
          <w:b/>
        </w:rPr>
        <w:t>Estetik</w:t>
      </w:r>
      <w:r>
        <w:rPr>
          <w:b/>
          <w:spacing w:val="-3"/>
        </w:rPr>
        <w:t xml:space="preserve"> </w:t>
      </w:r>
      <w:r>
        <w:rPr>
          <w:b/>
        </w:rPr>
        <w:t>Rekreasyon</w:t>
      </w:r>
      <w:r>
        <w:t>:</w:t>
      </w:r>
      <w:r>
        <w:rPr>
          <w:spacing w:val="-3"/>
        </w:rPr>
        <w:t xml:space="preserve"> </w:t>
      </w:r>
      <w:r>
        <w:t>Bu</w:t>
      </w:r>
      <w:r>
        <w:rPr>
          <w:spacing w:val="-3"/>
        </w:rPr>
        <w:t xml:space="preserve"> </w:t>
      </w:r>
      <w:r>
        <w:t>kategori,</w:t>
      </w:r>
      <w:r>
        <w:rPr>
          <w:spacing w:val="-1"/>
        </w:rPr>
        <w:t xml:space="preserve"> </w:t>
      </w:r>
      <w:r>
        <w:t>genellikle</w:t>
      </w:r>
      <w:r>
        <w:rPr>
          <w:spacing w:val="-1"/>
        </w:rPr>
        <w:t xml:space="preserve"> </w:t>
      </w:r>
      <w:r>
        <w:t>yüksek</w:t>
      </w:r>
      <w:r>
        <w:rPr>
          <w:spacing w:val="-1"/>
        </w:rPr>
        <w:t xml:space="preserve"> </w:t>
      </w:r>
      <w:r>
        <w:t>gelir,</w:t>
      </w:r>
      <w:r>
        <w:rPr>
          <w:spacing w:val="-4"/>
        </w:rPr>
        <w:t xml:space="preserve"> </w:t>
      </w:r>
      <w:r>
        <w:t>eğitim</w:t>
      </w:r>
      <w:r>
        <w:rPr>
          <w:spacing w:val="-3"/>
        </w:rPr>
        <w:t xml:space="preserve"> </w:t>
      </w:r>
      <w:r>
        <w:t>ve</w:t>
      </w:r>
      <w:r>
        <w:rPr>
          <w:spacing w:val="-4"/>
        </w:rPr>
        <w:t xml:space="preserve"> </w:t>
      </w:r>
      <w:r>
        <w:t>kültür</w:t>
      </w:r>
      <w:r>
        <w:rPr>
          <w:spacing w:val="-4"/>
        </w:rPr>
        <w:t xml:space="preserve"> </w:t>
      </w:r>
      <w:r>
        <w:t>düzeyine sahip</w:t>
      </w:r>
      <w:r>
        <w:rPr>
          <w:spacing w:val="1"/>
        </w:rPr>
        <w:t xml:space="preserve"> </w:t>
      </w:r>
      <w:r>
        <w:t>bireyler</w:t>
      </w:r>
      <w:r>
        <w:rPr>
          <w:spacing w:val="3"/>
        </w:rPr>
        <w:t xml:space="preserve"> </w:t>
      </w:r>
      <w:r>
        <w:t>tarafından</w:t>
      </w:r>
      <w:r>
        <w:rPr>
          <w:spacing w:val="3"/>
        </w:rPr>
        <w:t xml:space="preserve"> </w:t>
      </w:r>
      <w:r>
        <w:t>tercih</w:t>
      </w:r>
      <w:r>
        <w:rPr>
          <w:spacing w:val="3"/>
        </w:rPr>
        <w:t xml:space="preserve"> </w:t>
      </w:r>
      <w:r>
        <w:t>edilen</w:t>
      </w:r>
      <w:r>
        <w:rPr>
          <w:spacing w:val="4"/>
        </w:rPr>
        <w:t xml:space="preserve"> </w:t>
      </w:r>
      <w:r>
        <w:t>etkinlikleri</w:t>
      </w:r>
      <w:r>
        <w:rPr>
          <w:spacing w:val="3"/>
        </w:rPr>
        <w:t xml:space="preserve"> </w:t>
      </w:r>
      <w:r>
        <w:t>içerir.</w:t>
      </w:r>
      <w:r>
        <w:rPr>
          <w:spacing w:val="2"/>
        </w:rPr>
        <w:t xml:space="preserve"> </w:t>
      </w:r>
      <w:r>
        <w:t>Sanal</w:t>
      </w:r>
      <w:r>
        <w:rPr>
          <w:spacing w:val="3"/>
        </w:rPr>
        <w:t xml:space="preserve"> </w:t>
      </w:r>
      <w:r>
        <w:t>sanat</w:t>
      </w:r>
      <w:r>
        <w:rPr>
          <w:spacing w:val="5"/>
        </w:rPr>
        <w:t xml:space="preserve"> </w:t>
      </w:r>
      <w:r>
        <w:t>galerileri,</w:t>
      </w:r>
      <w:r>
        <w:rPr>
          <w:spacing w:val="2"/>
        </w:rPr>
        <w:t xml:space="preserve"> </w:t>
      </w:r>
      <w:r>
        <w:t>online</w:t>
      </w:r>
      <w:r>
        <w:rPr>
          <w:spacing w:val="2"/>
        </w:rPr>
        <w:t xml:space="preserve"> </w:t>
      </w:r>
      <w:r>
        <w:rPr>
          <w:spacing w:val="-2"/>
        </w:rPr>
        <w:t>opera</w:t>
      </w:r>
      <w:r>
        <w:t xml:space="preserve"> gösterimleri ve dijital müze turları gibi etkinlikler, estetik zevkleri yüksek kullanıcılar için </w:t>
      </w:r>
      <w:r>
        <w:rPr>
          <w:spacing w:val="-2"/>
        </w:rPr>
        <w:t>idealdir.</w:t>
      </w:r>
    </w:p>
    <w:p w14:paraId="0C9990D3">
      <w:pPr>
        <w:pStyle w:val="9"/>
        <w:spacing w:before="120" w:after="120" w:line="360" w:lineRule="auto"/>
        <w:ind w:left="0" w:firstLine="567"/>
      </w:pPr>
      <w:r>
        <w:rPr>
          <w:b/>
        </w:rPr>
        <w:t>Sanal Sosyal Rekreasyon</w:t>
      </w:r>
      <w:r>
        <w:t>: İnsan ilişkilerini geliştirmeye yönelik olarak tasarlanmış bu kategori, kullanıcıların sanal platformlar üzerinde sosyal etkileşimde bulunmalarını sağlar. Sanal dünya partileri, çevrimiçi oyunlar ve sosyal medya platformları üzerinde düzenlenen etkinlikler, bu kategoride değerlendirilebilir.</w:t>
      </w:r>
    </w:p>
    <w:p w14:paraId="717ACE52">
      <w:pPr>
        <w:pStyle w:val="9"/>
        <w:spacing w:before="120" w:after="120" w:line="360" w:lineRule="auto"/>
        <w:ind w:left="0" w:firstLine="567"/>
      </w:pPr>
      <w:r>
        <w:rPr>
          <w:b/>
        </w:rPr>
        <w:t>Sanal Sağlık Rekreasyonu</w:t>
      </w:r>
      <w:r>
        <w:t>: Sağlığı koruma ve terapötik amaçlarla yürütülen sanal rekreasyon faaliyetleridir. Bu kategori, sanal gerçeklik teknolojisini kullanarak yürütülen meditasyon</w:t>
      </w:r>
      <w:r>
        <w:rPr>
          <w:spacing w:val="-1"/>
        </w:rPr>
        <w:t xml:space="preserve"> </w:t>
      </w:r>
      <w:r>
        <w:t>seansları, rehberli</w:t>
      </w:r>
      <w:r>
        <w:rPr>
          <w:spacing w:val="-1"/>
        </w:rPr>
        <w:t xml:space="preserve"> </w:t>
      </w:r>
      <w:r>
        <w:t>rahatlama egzersizleri</w:t>
      </w:r>
      <w:r>
        <w:rPr>
          <w:spacing w:val="-1"/>
        </w:rPr>
        <w:t xml:space="preserve"> </w:t>
      </w:r>
      <w:r>
        <w:t>ve</w:t>
      </w:r>
      <w:r>
        <w:rPr>
          <w:spacing w:val="-2"/>
        </w:rPr>
        <w:t xml:space="preserve"> </w:t>
      </w:r>
      <w:r>
        <w:t>terapötik</w:t>
      </w:r>
      <w:r>
        <w:rPr>
          <w:spacing w:val="-1"/>
        </w:rPr>
        <w:t xml:space="preserve"> </w:t>
      </w:r>
      <w:r>
        <w:t>amaçlı interaktif</w:t>
      </w:r>
      <w:r>
        <w:rPr>
          <w:spacing w:val="-2"/>
        </w:rPr>
        <w:t xml:space="preserve"> </w:t>
      </w:r>
      <w:r>
        <w:t xml:space="preserve">oyunları </w:t>
      </w:r>
      <w:r>
        <w:rPr>
          <w:spacing w:val="-2"/>
        </w:rPr>
        <w:t>içerir.</w:t>
      </w:r>
    </w:p>
    <w:p w14:paraId="35D49A73">
      <w:pPr>
        <w:pStyle w:val="9"/>
        <w:spacing w:before="120" w:after="120" w:line="360" w:lineRule="auto"/>
        <w:ind w:left="0" w:firstLine="567"/>
      </w:pPr>
      <w:r>
        <w:rPr>
          <w:b/>
        </w:rPr>
        <w:t>Sanal Fiziksel Rekreasyon</w:t>
      </w:r>
      <w:r>
        <w:t>: Fiziksel aktivite gerektiren spor ve egzersizlerin sanal ortamlarda</w:t>
      </w:r>
      <w:r>
        <w:rPr>
          <w:spacing w:val="-9"/>
        </w:rPr>
        <w:t xml:space="preserve"> </w:t>
      </w:r>
      <w:r>
        <w:t>gerçekleştirilmesi</w:t>
      </w:r>
      <w:r>
        <w:rPr>
          <w:spacing w:val="-11"/>
        </w:rPr>
        <w:t xml:space="preserve"> </w:t>
      </w:r>
      <w:r>
        <w:t>bu</w:t>
      </w:r>
      <w:r>
        <w:rPr>
          <w:spacing w:val="-12"/>
        </w:rPr>
        <w:t xml:space="preserve"> </w:t>
      </w:r>
      <w:r>
        <w:t>kategoride</w:t>
      </w:r>
      <w:r>
        <w:rPr>
          <w:spacing w:val="-8"/>
        </w:rPr>
        <w:t xml:space="preserve"> </w:t>
      </w:r>
      <w:r>
        <w:t>yer</w:t>
      </w:r>
      <w:r>
        <w:rPr>
          <w:spacing w:val="-10"/>
        </w:rPr>
        <w:t xml:space="preserve"> </w:t>
      </w:r>
      <w:r>
        <w:t>alır.</w:t>
      </w:r>
      <w:r>
        <w:rPr>
          <w:spacing w:val="-12"/>
        </w:rPr>
        <w:t xml:space="preserve"> </w:t>
      </w:r>
      <w:r>
        <w:t>Özellikle</w:t>
      </w:r>
      <w:r>
        <w:rPr>
          <w:spacing w:val="-13"/>
        </w:rPr>
        <w:t xml:space="preserve"> </w:t>
      </w:r>
      <w:r>
        <w:t>pandemi</w:t>
      </w:r>
      <w:r>
        <w:rPr>
          <w:spacing w:val="-11"/>
        </w:rPr>
        <w:t xml:space="preserve"> </w:t>
      </w:r>
      <w:r>
        <w:t>sürecinde</w:t>
      </w:r>
      <w:r>
        <w:rPr>
          <w:spacing w:val="-12"/>
        </w:rPr>
        <w:t xml:space="preserve"> </w:t>
      </w:r>
      <w:r>
        <w:t>popülerlik kazanan sanal fitness dersleri, yoga seansları ve interaktif spor yarışmaları, kullanıcılara kapalı veya açık alan kısıtlaması olmaksızın egzersiz yapma imkanı sunar.</w:t>
      </w:r>
    </w:p>
    <w:p w14:paraId="42C349E4">
      <w:pPr>
        <w:pStyle w:val="9"/>
        <w:spacing w:before="120" w:after="120" w:line="360" w:lineRule="auto"/>
        <w:ind w:left="0" w:firstLine="567"/>
      </w:pPr>
      <w:r>
        <w:rPr>
          <w:b/>
        </w:rPr>
        <w:t>Sanal Sanatsal Rekreasyon</w:t>
      </w:r>
      <w:r>
        <w:t>: Kullanıcıların sanatsal becerilerini geliştirmelerine olanak tanıyan etkinliklerdir. Çevrimiçi resim dersleri, dijital müzik atölyeleri ve sanal tiyatro çalışmaları bu kategoride değerlendirilebilir.</w:t>
      </w:r>
    </w:p>
    <w:p w14:paraId="5458293D">
      <w:pPr>
        <w:pStyle w:val="9"/>
        <w:spacing w:before="120" w:after="120" w:line="360" w:lineRule="auto"/>
        <w:ind w:left="0" w:firstLine="567"/>
      </w:pPr>
      <w:r>
        <w:rPr>
          <w:b/>
        </w:rPr>
        <w:t>Sanal Kültürel Rekreasyon</w:t>
      </w:r>
      <w:r>
        <w:t>: Katılımcıların bilgi ve becerilerini artırmayı amaçlayan, genellikle eğitim odaklı etkinlikleri içerir. Sanal dil kursları, tarih seminerleri ve kültürel bilgilendirme seansları, bu kategorinin örneklerindendir.</w:t>
      </w:r>
    </w:p>
    <w:p w14:paraId="64C1E3AA">
      <w:pPr>
        <w:pStyle w:val="9"/>
        <w:spacing w:before="120" w:after="120" w:line="360" w:lineRule="auto"/>
        <w:ind w:left="0" w:firstLine="567"/>
      </w:pPr>
      <w:r>
        <w:rPr>
          <w:b/>
        </w:rPr>
        <w:t>Sanal Turistik Rekreasyon</w:t>
      </w:r>
      <w:r>
        <w:t>: Turizmle ilişkili sanal rekreasyon faaliyetleri, gerçek dünyadaki turistik deneyimlerin sanal versiyonlarını sunar. Sanal şehir turları ve dünya üzerindeki önemli noktaların 360 derece video gezileri gibi etkinlikler, kullanıcılara evlerinden dünyayı keşfetme fırsatı verir.</w:t>
      </w:r>
    </w:p>
    <w:p w14:paraId="1529B00A">
      <w:pPr>
        <w:pStyle w:val="9"/>
        <w:spacing w:before="120" w:after="120" w:line="360" w:lineRule="auto"/>
        <w:ind w:left="0" w:firstLine="567"/>
      </w:pPr>
      <w:r>
        <w:t>Bu sınıflandırmalar, sanal rekreasyonun ne kadar çeşitli ve kapsayıcı olduğunu göstermektedir.</w:t>
      </w:r>
      <w:r>
        <w:rPr>
          <w:spacing w:val="-12"/>
        </w:rPr>
        <w:t xml:space="preserve"> </w:t>
      </w:r>
      <w:r>
        <w:t>Farklı</w:t>
      </w:r>
      <w:r>
        <w:rPr>
          <w:spacing w:val="-12"/>
        </w:rPr>
        <w:t xml:space="preserve"> </w:t>
      </w:r>
      <w:r>
        <w:t>ilgi</w:t>
      </w:r>
      <w:r>
        <w:rPr>
          <w:spacing w:val="-12"/>
        </w:rPr>
        <w:t xml:space="preserve"> </w:t>
      </w:r>
      <w:r>
        <w:t>alanlarına</w:t>
      </w:r>
      <w:r>
        <w:rPr>
          <w:spacing w:val="-13"/>
        </w:rPr>
        <w:t xml:space="preserve"> </w:t>
      </w:r>
      <w:r>
        <w:t>ve</w:t>
      </w:r>
      <w:r>
        <w:rPr>
          <w:spacing w:val="-11"/>
        </w:rPr>
        <w:t xml:space="preserve"> </w:t>
      </w:r>
      <w:r>
        <w:t>ihtiyaçlara</w:t>
      </w:r>
      <w:r>
        <w:rPr>
          <w:spacing w:val="-10"/>
        </w:rPr>
        <w:t xml:space="preserve"> </w:t>
      </w:r>
      <w:r>
        <w:t>yönelik</w:t>
      </w:r>
      <w:r>
        <w:rPr>
          <w:spacing w:val="-12"/>
        </w:rPr>
        <w:t xml:space="preserve"> </w:t>
      </w:r>
      <w:r>
        <w:t>olarak</w:t>
      </w:r>
      <w:r>
        <w:rPr>
          <w:spacing w:val="-12"/>
        </w:rPr>
        <w:t xml:space="preserve"> </w:t>
      </w:r>
      <w:r>
        <w:t>tasarlanmış</w:t>
      </w:r>
      <w:r>
        <w:rPr>
          <w:spacing w:val="-12"/>
        </w:rPr>
        <w:t xml:space="preserve"> </w:t>
      </w:r>
      <w:r>
        <w:t>bu</w:t>
      </w:r>
      <w:r>
        <w:rPr>
          <w:spacing w:val="-11"/>
        </w:rPr>
        <w:t xml:space="preserve"> </w:t>
      </w:r>
      <w:r>
        <w:rPr>
          <w:spacing w:val="-2"/>
        </w:rPr>
        <w:t>etkinlikler,</w:t>
      </w:r>
      <w:r>
        <w:t xml:space="preserve"> kullanıcılara geniş bir yelpazede deneyim sunarak, sanal rekreasyonun giderek artan popülaritesine katkıda bulunur.</w:t>
      </w:r>
    </w:p>
    <w:p w14:paraId="6A367E52">
      <w:pPr>
        <w:pStyle w:val="4"/>
        <w:spacing w:before="240" w:after="240" w:line="360" w:lineRule="auto"/>
        <w:ind w:left="567" w:firstLine="0"/>
        <w:rPr>
          <w:i w:val="0"/>
        </w:rPr>
      </w:pPr>
      <w:bookmarkStart w:id="98" w:name="_Toc195877791"/>
      <w:bookmarkStart w:id="99" w:name="_Toc197351244"/>
      <w:bookmarkStart w:id="100" w:name="_Toc195875806"/>
      <w:r>
        <w:rPr>
          <w:i w:val="0"/>
        </w:rPr>
        <w:t>2.3.6. Sanal Deneyime İlişkin Teoriler</w:t>
      </w:r>
      <w:bookmarkEnd w:id="98"/>
      <w:bookmarkEnd w:id="99"/>
      <w:bookmarkEnd w:id="100"/>
    </w:p>
    <w:p w14:paraId="432737AE">
      <w:pPr>
        <w:pStyle w:val="9"/>
        <w:spacing w:before="120" w:after="120" w:line="360" w:lineRule="auto"/>
        <w:ind w:left="0" w:firstLine="567"/>
      </w:pPr>
      <w:r>
        <w:t>Sanal rekreasyon deneyiminin açıklanmasında bazı kuramlardan faydalanılmıştır. Literatürde</w:t>
      </w:r>
      <w:r>
        <w:rPr>
          <w:spacing w:val="-8"/>
        </w:rPr>
        <w:t xml:space="preserve"> </w:t>
      </w:r>
      <w:r>
        <w:t>Güncan</w:t>
      </w:r>
      <w:r>
        <w:rPr>
          <w:spacing w:val="-7"/>
        </w:rPr>
        <w:t xml:space="preserve"> </w:t>
      </w:r>
      <w:r>
        <w:t>(2021:1)</w:t>
      </w:r>
      <w:r>
        <w:rPr>
          <w:spacing w:val="-5"/>
        </w:rPr>
        <w:t xml:space="preserve"> </w:t>
      </w:r>
      <w:r>
        <w:t>ın</w:t>
      </w:r>
      <w:r>
        <w:rPr>
          <w:spacing w:val="-6"/>
        </w:rPr>
        <w:t xml:space="preserve"> </w:t>
      </w:r>
      <w:r>
        <w:t>“Sanal</w:t>
      </w:r>
      <w:r>
        <w:rPr>
          <w:spacing w:val="-6"/>
        </w:rPr>
        <w:t xml:space="preserve"> </w:t>
      </w:r>
      <w:r>
        <w:t>Gerçeklik</w:t>
      </w:r>
      <w:r>
        <w:rPr>
          <w:spacing w:val="-7"/>
        </w:rPr>
        <w:t xml:space="preserve"> </w:t>
      </w:r>
      <w:r>
        <w:t>Deneyimi</w:t>
      </w:r>
      <w:r>
        <w:rPr>
          <w:spacing w:val="-4"/>
        </w:rPr>
        <w:t xml:space="preserve"> </w:t>
      </w:r>
      <w:r>
        <w:t>İçin</w:t>
      </w:r>
      <w:r>
        <w:rPr>
          <w:spacing w:val="-6"/>
        </w:rPr>
        <w:t xml:space="preserve"> </w:t>
      </w:r>
      <w:r>
        <w:t>Teorik</w:t>
      </w:r>
      <w:r>
        <w:rPr>
          <w:spacing w:val="-5"/>
        </w:rPr>
        <w:t xml:space="preserve"> </w:t>
      </w:r>
      <w:r>
        <w:t>Bir Model Önerisi” adlı çalışmasımevcuttur.Güncan (2021:4) bu çalışmada teknoloji kabul modeli, simülasyon teorisi, gerçeklik-sanallık sürekliliği, daldırma, bulunma algısı ve akış teorisi ele alınmıştır.Bu çalışmada da sanal deneyime ilişkin teoriler Güncan’(2021) bu çalışması dikkate alınarak açıklanmaya çalışılmıştır.</w:t>
      </w:r>
    </w:p>
    <w:p w14:paraId="3C14D871">
      <w:pPr>
        <w:pStyle w:val="5"/>
        <w:spacing w:before="240" w:after="240" w:line="360" w:lineRule="auto"/>
        <w:ind w:left="567"/>
        <w:rPr>
          <w:rFonts w:ascii="Times New Roman" w:hAnsi="Times New Roman" w:cs="Times New Roman"/>
          <w:b/>
          <w:i w:val="0"/>
          <w:color w:val="auto"/>
          <w:sz w:val="24"/>
        </w:rPr>
      </w:pPr>
      <w:bookmarkStart w:id="101" w:name="_Toc195877792"/>
      <w:bookmarkStart w:id="102" w:name="_Toc197351245"/>
      <w:bookmarkStart w:id="103" w:name="_Toc195875807"/>
      <w:r>
        <w:rPr>
          <w:rFonts w:ascii="Times New Roman" w:hAnsi="Times New Roman" w:cs="Times New Roman"/>
          <w:b/>
          <w:i w:val="0"/>
          <w:color w:val="auto"/>
          <w:sz w:val="24"/>
        </w:rPr>
        <w:t>2.3.6.1. Teknoloji Kabul Modeli</w:t>
      </w:r>
      <w:bookmarkEnd w:id="101"/>
      <w:bookmarkEnd w:id="102"/>
      <w:bookmarkEnd w:id="103"/>
    </w:p>
    <w:p w14:paraId="58C35F41">
      <w:pPr>
        <w:pStyle w:val="9"/>
        <w:spacing w:before="120" w:after="120" w:line="360" w:lineRule="auto"/>
        <w:ind w:left="0" w:firstLine="567"/>
      </w:pPr>
      <w:r>
        <w:t xml:space="preserve">Davis (1989:319) tarafından önerilen Teknoloji Kabul Modeli, Bilişim Teknolojilerinin kullanıcı kabulünü modellemek amacıyla özel olarak geliştirilmiş, Mantıklı Eylem Teorisi'ne (Fishbein ve Ajzen, 1975:1-10) dayanan bir uyarlamadır (Davis, 1993:475). </w:t>
      </w:r>
      <w:r>
        <w:rPr>
          <w:spacing w:val="-2"/>
        </w:rPr>
        <w:t>Geçtiğimiz yirmi yıl</w:t>
      </w:r>
      <w:r>
        <w:rPr>
          <w:spacing w:val="-3"/>
        </w:rPr>
        <w:t xml:space="preserve"> </w:t>
      </w:r>
      <w:r>
        <w:rPr>
          <w:spacing w:val="-2"/>
        </w:rPr>
        <w:t>içinde</w:t>
      </w:r>
      <w:r>
        <w:rPr>
          <w:spacing w:val="-6"/>
        </w:rPr>
        <w:t xml:space="preserve"> </w:t>
      </w:r>
      <w:r>
        <w:rPr>
          <w:spacing w:val="-2"/>
        </w:rPr>
        <w:t>Teknoloji</w:t>
      </w:r>
      <w:r>
        <w:rPr>
          <w:spacing w:val="-3"/>
        </w:rPr>
        <w:t xml:space="preserve"> </w:t>
      </w:r>
      <w:r>
        <w:rPr>
          <w:spacing w:val="-2"/>
        </w:rPr>
        <w:t>Kabul</w:t>
      </w:r>
      <w:r>
        <w:rPr>
          <w:spacing w:val="-3"/>
        </w:rPr>
        <w:t xml:space="preserve"> </w:t>
      </w:r>
      <w:r>
        <w:rPr>
          <w:spacing w:val="-2"/>
        </w:rPr>
        <w:t>Modeli,</w:t>
      </w:r>
      <w:r>
        <w:rPr>
          <w:spacing w:val="-4"/>
        </w:rPr>
        <w:t xml:space="preserve"> </w:t>
      </w:r>
      <w:r>
        <w:rPr>
          <w:spacing w:val="-2"/>
        </w:rPr>
        <w:t>çeşitli</w:t>
      </w:r>
      <w:r>
        <w:rPr>
          <w:spacing w:val="-3"/>
        </w:rPr>
        <w:t xml:space="preserve"> </w:t>
      </w:r>
      <w:r>
        <w:rPr>
          <w:spacing w:val="-2"/>
        </w:rPr>
        <w:t>araştırma</w:t>
      </w:r>
      <w:r>
        <w:rPr>
          <w:spacing w:val="-6"/>
        </w:rPr>
        <w:t xml:space="preserve"> </w:t>
      </w:r>
      <w:r>
        <w:rPr>
          <w:spacing w:val="-2"/>
        </w:rPr>
        <w:t>tasarımlarında</w:t>
      </w:r>
      <w:r>
        <w:rPr>
          <w:spacing w:val="-6"/>
        </w:rPr>
        <w:t xml:space="preserve"> </w:t>
      </w:r>
      <w:r>
        <w:rPr>
          <w:spacing w:val="-2"/>
        </w:rPr>
        <w:t>ve</w:t>
      </w:r>
      <w:r>
        <w:rPr>
          <w:spacing w:val="-6"/>
        </w:rPr>
        <w:t xml:space="preserve"> </w:t>
      </w:r>
      <w:r>
        <w:rPr>
          <w:spacing w:val="-2"/>
        </w:rPr>
        <w:t xml:space="preserve">farklı </w:t>
      </w:r>
      <w:r>
        <w:t>örneklemler kullanılarak geniş çapta test edilmiş, önemli ölçüde ilgi ve destek toplamıştır. Ayrıca, e-posta, kelime işlemciler, ofis otomasyon yazılımları, internet, mobil teknolojiler, uzaktan eğitim, akıllı teknolojiler, e-ticaret, video konferans yazılımları ve yapay zeka araçları</w:t>
      </w:r>
      <w:r>
        <w:rPr>
          <w:spacing w:val="-2"/>
        </w:rPr>
        <w:t xml:space="preserve"> </w:t>
      </w:r>
      <w:r>
        <w:t>gibi</w:t>
      </w:r>
      <w:r>
        <w:rPr>
          <w:spacing w:val="-3"/>
        </w:rPr>
        <w:t xml:space="preserve"> </w:t>
      </w:r>
      <w:r>
        <w:t>birçok</w:t>
      </w:r>
      <w:r>
        <w:rPr>
          <w:spacing w:val="-3"/>
        </w:rPr>
        <w:t xml:space="preserve"> </w:t>
      </w:r>
      <w:r>
        <w:t>farklı</w:t>
      </w:r>
      <w:r>
        <w:rPr>
          <w:spacing w:val="-1"/>
        </w:rPr>
        <w:t xml:space="preserve"> </w:t>
      </w:r>
      <w:r>
        <w:t>teknolojiye</w:t>
      </w:r>
      <w:r>
        <w:rPr>
          <w:spacing w:val="-2"/>
        </w:rPr>
        <w:t xml:space="preserve"> </w:t>
      </w:r>
      <w:r>
        <w:t>uygulanmıştır</w:t>
      </w:r>
      <w:r>
        <w:rPr>
          <w:spacing w:val="-3"/>
        </w:rPr>
        <w:t xml:space="preserve"> </w:t>
      </w:r>
      <w:r>
        <w:t>(Legris</w:t>
      </w:r>
      <w:r>
        <w:rPr>
          <w:spacing w:val="-4"/>
        </w:rPr>
        <w:t xml:space="preserve"> </w:t>
      </w:r>
      <w:r>
        <w:t>v</w:t>
      </w:r>
      <w:r>
        <w:rPr>
          <w:rFonts w:hint="default"/>
          <w:lang w:val="tr-TR"/>
        </w:rPr>
        <w:t>d.</w:t>
      </w:r>
      <w:r>
        <w:t>,</w:t>
      </w:r>
      <w:r>
        <w:rPr>
          <w:spacing w:val="-3"/>
        </w:rPr>
        <w:t xml:space="preserve"> </w:t>
      </w:r>
      <w:r>
        <w:t>2003:191).</w:t>
      </w:r>
    </w:p>
    <w:p w14:paraId="664642D5">
      <w:pPr>
        <w:pStyle w:val="9"/>
        <w:spacing w:before="120" w:after="120" w:line="360" w:lineRule="auto"/>
        <w:ind w:left="0" w:firstLine="567"/>
      </w:pPr>
      <w:r>
        <w:t>Teknoloji Kabul Modeli'nin amacı, “genel olarak bilgisayar kabulünün belirleyicileri hakkında, çok çeşitli son kullanıcı bilişim teknolojileri ve kullanıcı grupları üzerinden kullanıcı davranışlarını açıklayabilen ve aynı zamanda hem basit hem de teorik olarak doğrulanabilir” bir açıklama sağlamaktır (Davis, 1989:319).</w:t>
      </w:r>
    </w:p>
    <w:p w14:paraId="4DE3C5F8">
      <w:pPr>
        <w:pStyle w:val="9"/>
        <w:spacing w:before="120" w:after="120" w:line="360" w:lineRule="auto"/>
        <w:ind w:left="0" w:firstLine="567"/>
      </w:pPr>
      <w:r>
        <w:t>Ajzen ve Fishbein tarafından geliştirilen Mantıklı Eylem Teorisi (Ajzen, 2011: 1113), davranışların tutumsal temellerini tahmin etmek için birçok alanda kullanılmasına rağmen, bilişim sistemleri alanında</w:t>
      </w:r>
      <w:r>
        <w:rPr>
          <w:spacing w:val="-2"/>
        </w:rPr>
        <w:t xml:space="preserve"> </w:t>
      </w:r>
      <w:r>
        <w:t>uygulanmasının</w:t>
      </w:r>
      <w:r>
        <w:rPr>
          <w:spacing w:val="-1"/>
        </w:rPr>
        <w:t xml:space="preserve"> </w:t>
      </w:r>
      <w:r>
        <w:t>teorik sınırlamaları</w:t>
      </w:r>
      <w:r>
        <w:rPr>
          <w:spacing w:val="-1"/>
        </w:rPr>
        <w:t xml:space="preserve"> </w:t>
      </w:r>
      <w:r>
        <w:t>ciddi tartışmalar yaratmıştır (Davis</w:t>
      </w:r>
      <w:r>
        <w:rPr>
          <w:spacing w:val="-5"/>
        </w:rPr>
        <w:t xml:space="preserve"> </w:t>
      </w:r>
      <w:r>
        <w:t>v</w:t>
      </w:r>
      <w:r>
        <w:rPr>
          <w:rFonts w:hint="default"/>
          <w:lang w:val="tr-TR"/>
        </w:rPr>
        <w:t>d.</w:t>
      </w:r>
      <w:r>
        <w:t>,</w:t>
      </w:r>
      <w:r>
        <w:rPr>
          <w:spacing w:val="-4"/>
        </w:rPr>
        <w:t xml:space="preserve"> </w:t>
      </w:r>
      <w:r>
        <w:t>1989).</w:t>
      </w:r>
      <w:r>
        <w:rPr>
          <w:spacing w:val="-4"/>
        </w:rPr>
        <w:t xml:space="preserve"> </w:t>
      </w:r>
      <w:r>
        <w:t>Mantıklı</w:t>
      </w:r>
      <w:r>
        <w:rPr>
          <w:spacing w:val="-4"/>
        </w:rPr>
        <w:t xml:space="preserve"> </w:t>
      </w:r>
      <w:r>
        <w:t>Eylem</w:t>
      </w:r>
      <w:r>
        <w:rPr>
          <w:spacing w:val="-4"/>
        </w:rPr>
        <w:t xml:space="preserve"> </w:t>
      </w:r>
      <w:r>
        <w:t>Teorisi,</w:t>
      </w:r>
      <w:r>
        <w:rPr>
          <w:spacing w:val="-4"/>
        </w:rPr>
        <w:t xml:space="preserve"> </w:t>
      </w:r>
      <w:r>
        <w:t>teknoloji</w:t>
      </w:r>
      <w:r>
        <w:rPr>
          <w:spacing w:val="-4"/>
        </w:rPr>
        <w:t xml:space="preserve"> </w:t>
      </w:r>
      <w:r>
        <w:t>kullanımına</w:t>
      </w:r>
      <w:r>
        <w:rPr>
          <w:spacing w:val="-5"/>
        </w:rPr>
        <w:t xml:space="preserve"> </w:t>
      </w:r>
      <w:r>
        <w:t>özgü</w:t>
      </w:r>
      <w:r>
        <w:rPr>
          <w:spacing w:val="-4"/>
        </w:rPr>
        <w:t xml:space="preserve"> </w:t>
      </w:r>
      <w:r>
        <w:t>değişkenleri ölçmediği</w:t>
      </w:r>
      <w:r>
        <w:rPr>
          <w:spacing w:val="70"/>
        </w:rPr>
        <w:t xml:space="preserve"> </w:t>
      </w:r>
      <w:r>
        <w:t>için,</w:t>
      </w:r>
      <w:r>
        <w:rPr>
          <w:spacing w:val="73"/>
        </w:rPr>
        <w:t xml:space="preserve"> </w:t>
      </w:r>
      <w:r>
        <w:t>araştırmacılar</w:t>
      </w:r>
      <w:r>
        <w:rPr>
          <w:spacing w:val="72"/>
        </w:rPr>
        <w:t xml:space="preserve"> </w:t>
      </w:r>
      <w:r>
        <w:t>teknoloji</w:t>
      </w:r>
      <w:r>
        <w:rPr>
          <w:spacing w:val="73"/>
        </w:rPr>
        <w:t xml:space="preserve"> </w:t>
      </w:r>
      <w:r>
        <w:t>ve</w:t>
      </w:r>
      <w:r>
        <w:rPr>
          <w:spacing w:val="71"/>
        </w:rPr>
        <w:t xml:space="preserve"> </w:t>
      </w:r>
      <w:r>
        <w:t>bilişim</w:t>
      </w:r>
      <w:r>
        <w:rPr>
          <w:spacing w:val="73"/>
        </w:rPr>
        <w:t xml:space="preserve"> </w:t>
      </w:r>
      <w:r>
        <w:t>sistemlerinin</w:t>
      </w:r>
      <w:r>
        <w:rPr>
          <w:spacing w:val="73"/>
        </w:rPr>
        <w:t xml:space="preserve"> </w:t>
      </w:r>
      <w:r>
        <w:t>kullanımında</w:t>
      </w:r>
      <w:r>
        <w:rPr>
          <w:spacing w:val="72"/>
        </w:rPr>
        <w:t xml:space="preserve"> </w:t>
      </w:r>
      <w:r>
        <w:rPr>
          <w:spacing w:val="-2"/>
        </w:rPr>
        <w:t>belirgin</w:t>
      </w:r>
      <w:r>
        <w:t xml:space="preserve"> faktörleri tanımlamak zorunda kalmışlardır. Bu bağlamda Davis (1989:319), teorik bir modelin ve teknoloji kabul ölçeklerinin eksikliklerini gidermek amacıyla Mantıklı Eylem Teorisi’ne</w:t>
      </w:r>
      <w:r>
        <w:rPr>
          <w:spacing w:val="-5"/>
        </w:rPr>
        <w:t xml:space="preserve"> </w:t>
      </w:r>
      <w:r>
        <w:t>dayalı</w:t>
      </w:r>
      <w:r>
        <w:rPr>
          <w:spacing w:val="-3"/>
        </w:rPr>
        <w:t xml:space="preserve"> </w:t>
      </w:r>
      <w:r>
        <w:t>bir</w:t>
      </w:r>
      <w:r>
        <w:rPr>
          <w:spacing w:val="-2"/>
        </w:rPr>
        <w:t xml:space="preserve"> </w:t>
      </w:r>
      <w:r>
        <w:t>teknoloji</w:t>
      </w:r>
      <w:r>
        <w:rPr>
          <w:spacing w:val="-3"/>
        </w:rPr>
        <w:t xml:space="preserve"> </w:t>
      </w:r>
      <w:r>
        <w:t>kabul</w:t>
      </w:r>
      <w:r>
        <w:rPr>
          <w:spacing w:val="-3"/>
        </w:rPr>
        <w:t xml:space="preserve"> </w:t>
      </w:r>
      <w:r>
        <w:t>modeli</w:t>
      </w:r>
      <w:r>
        <w:rPr>
          <w:spacing w:val="-1"/>
        </w:rPr>
        <w:t xml:space="preserve"> </w:t>
      </w:r>
      <w:r>
        <w:t>geliştirmiştir.</w:t>
      </w:r>
      <w:r>
        <w:rPr>
          <w:spacing w:val="-3"/>
        </w:rPr>
        <w:t xml:space="preserve"> </w:t>
      </w:r>
      <w:r>
        <w:t>Modelin</w:t>
      </w:r>
      <w:r>
        <w:rPr>
          <w:spacing w:val="-3"/>
        </w:rPr>
        <w:t xml:space="preserve"> </w:t>
      </w:r>
      <w:r>
        <w:t>temel</w:t>
      </w:r>
      <w:r>
        <w:rPr>
          <w:spacing w:val="-3"/>
        </w:rPr>
        <w:t xml:space="preserve"> </w:t>
      </w:r>
      <w:r>
        <w:t>mantığı,</w:t>
      </w:r>
      <w:r>
        <w:rPr>
          <w:spacing w:val="-3"/>
        </w:rPr>
        <w:t xml:space="preserve"> </w:t>
      </w:r>
      <w:r>
        <w:t>teknoloji kullanımı</w:t>
      </w:r>
      <w:r>
        <w:rPr>
          <w:spacing w:val="-15"/>
        </w:rPr>
        <w:t xml:space="preserve"> </w:t>
      </w:r>
      <w:r>
        <w:t>bağlamında,</w:t>
      </w:r>
      <w:r>
        <w:rPr>
          <w:spacing w:val="-15"/>
        </w:rPr>
        <w:t xml:space="preserve"> </w:t>
      </w:r>
      <w:r>
        <w:t>davranışsal</w:t>
      </w:r>
      <w:r>
        <w:rPr>
          <w:spacing w:val="-15"/>
        </w:rPr>
        <w:t xml:space="preserve"> </w:t>
      </w:r>
      <w:r>
        <w:t>niyetin</w:t>
      </w:r>
      <w:r>
        <w:rPr>
          <w:spacing w:val="-15"/>
        </w:rPr>
        <w:t xml:space="preserve"> </w:t>
      </w:r>
      <w:r>
        <w:t>genel</w:t>
      </w:r>
      <w:r>
        <w:rPr>
          <w:spacing w:val="-15"/>
        </w:rPr>
        <w:t xml:space="preserve"> </w:t>
      </w:r>
      <w:r>
        <w:t>bir</w:t>
      </w:r>
      <w:r>
        <w:rPr>
          <w:spacing w:val="-15"/>
        </w:rPr>
        <w:t xml:space="preserve"> </w:t>
      </w:r>
      <w:r>
        <w:t>tutum</w:t>
      </w:r>
      <w:r>
        <w:rPr>
          <w:spacing w:val="-15"/>
        </w:rPr>
        <w:t xml:space="preserve"> </w:t>
      </w:r>
      <w:r>
        <w:t>yerine</w:t>
      </w:r>
      <w:r>
        <w:rPr>
          <w:spacing w:val="-15"/>
        </w:rPr>
        <w:t xml:space="preserve"> </w:t>
      </w:r>
      <w:r>
        <w:t>teknoloji</w:t>
      </w:r>
      <w:r>
        <w:rPr>
          <w:spacing w:val="-15"/>
        </w:rPr>
        <w:t xml:space="preserve"> </w:t>
      </w:r>
      <w:r>
        <w:t>kullanımıyla</w:t>
      </w:r>
      <w:r>
        <w:rPr>
          <w:spacing w:val="-15"/>
        </w:rPr>
        <w:t xml:space="preserve"> </w:t>
      </w:r>
      <w:r>
        <w:t>ilgili belirli inançlar tarafından şekillendirilmesidir (Davis, 1993: 475).</w:t>
      </w:r>
    </w:p>
    <w:p w14:paraId="4B997A47">
      <w:pPr>
        <w:pStyle w:val="9"/>
        <w:spacing w:before="120" w:after="120" w:line="360" w:lineRule="auto"/>
        <w:ind w:left="0" w:firstLine="567"/>
      </w:pPr>
      <w:r>
        <w:t>Teknoloji Kabul Modeli, Mantıklı Eylem Teorisi'ne benzer bir varsayımla, teknoloji kullanımının davranışsal niyet tarafından belirlendiğini öne sürer; ancak Teknoloji Kabul Modeli, davranışsal niyetin kişinin sistemi kullanmaya yönelik tutumu ve algılanan fayda tarafından ortaklaşa belirlendiğini savunarak Mantıklı Eylem Teorisi'ten ayrılmaktadır. Davranışsal</w:t>
      </w:r>
      <w:r>
        <w:rPr>
          <w:spacing w:val="-12"/>
        </w:rPr>
        <w:t xml:space="preserve"> </w:t>
      </w:r>
      <w:r>
        <w:t>niyet,</w:t>
      </w:r>
      <w:r>
        <w:rPr>
          <w:spacing w:val="-12"/>
        </w:rPr>
        <w:t xml:space="preserve"> </w:t>
      </w:r>
      <w:r>
        <w:t>doğrudan</w:t>
      </w:r>
      <w:r>
        <w:rPr>
          <w:spacing w:val="-12"/>
        </w:rPr>
        <w:t xml:space="preserve"> </w:t>
      </w:r>
      <w:r>
        <w:t>kişinin</w:t>
      </w:r>
      <w:r>
        <w:rPr>
          <w:spacing w:val="-12"/>
        </w:rPr>
        <w:t xml:space="preserve"> </w:t>
      </w:r>
      <w:r>
        <w:t>teknolojik</w:t>
      </w:r>
      <w:r>
        <w:rPr>
          <w:spacing w:val="-10"/>
        </w:rPr>
        <w:t xml:space="preserve"> </w:t>
      </w:r>
      <w:r>
        <w:t>yeniliği</w:t>
      </w:r>
      <w:r>
        <w:rPr>
          <w:spacing w:val="-12"/>
        </w:rPr>
        <w:t xml:space="preserve"> </w:t>
      </w:r>
      <w:r>
        <w:t>kullanmaya</w:t>
      </w:r>
      <w:r>
        <w:rPr>
          <w:spacing w:val="-9"/>
        </w:rPr>
        <w:t xml:space="preserve"> </w:t>
      </w:r>
      <w:r>
        <w:t>yönelik</w:t>
      </w:r>
      <w:r>
        <w:rPr>
          <w:spacing w:val="-12"/>
        </w:rPr>
        <w:t xml:space="preserve"> </w:t>
      </w:r>
      <w:r>
        <w:t>tutumu</w:t>
      </w:r>
      <w:r>
        <w:rPr>
          <w:spacing w:val="-12"/>
        </w:rPr>
        <w:t xml:space="preserve"> </w:t>
      </w:r>
      <w:r>
        <w:t>ve</w:t>
      </w:r>
      <w:r>
        <w:rPr>
          <w:spacing w:val="-13"/>
        </w:rPr>
        <w:t xml:space="preserve"> </w:t>
      </w:r>
      <w:r>
        <w:t>belirli bir uygulamayı kullanmanın iş performansını artıracağına dair öznel olasılığı ile belirlenmektedir. Teknoloji Kabul Modelinde temsil edilen bu davranışsal niyet ve tutum ilişkisi, diğer faktörler sabitken, bireylerin olumlu etkiye sahip olduğunu düşündükleri davranışları gerçekleştirmeye yönelik niyetler geliştirdiklerini ima etmektedir (Özdemir ve Aykaç,2021:32).</w:t>
      </w:r>
    </w:p>
    <w:p w14:paraId="27C83E89">
      <w:pPr>
        <w:pStyle w:val="9"/>
        <w:spacing w:before="120" w:after="120" w:line="360" w:lineRule="auto"/>
        <w:ind w:left="0" w:firstLine="567"/>
      </w:pPr>
      <w:r>
        <w:t>Teknoloji Kabul Modeli, teknolojik yeniliklere yönelik kullanıcı kabulünün iki temel belirleyicisi</w:t>
      </w:r>
      <w:r>
        <w:rPr>
          <w:spacing w:val="-4"/>
        </w:rPr>
        <w:t xml:space="preserve"> </w:t>
      </w:r>
      <w:r>
        <w:t>olarak</w:t>
      </w:r>
      <w:r>
        <w:rPr>
          <w:spacing w:val="-5"/>
        </w:rPr>
        <w:t xml:space="preserve"> </w:t>
      </w:r>
      <w:r>
        <w:t>algılanan</w:t>
      </w:r>
      <w:r>
        <w:rPr>
          <w:spacing w:val="-5"/>
        </w:rPr>
        <w:t xml:space="preserve"> </w:t>
      </w:r>
      <w:r>
        <w:t>faydayı</w:t>
      </w:r>
      <w:r>
        <w:rPr>
          <w:spacing w:val="-5"/>
        </w:rPr>
        <w:t xml:space="preserve"> </w:t>
      </w:r>
      <w:r>
        <w:t>ve</w:t>
      </w:r>
      <w:r>
        <w:rPr>
          <w:spacing w:val="-4"/>
        </w:rPr>
        <w:t xml:space="preserve"> </w:t>
      </w:r>
      <w:r>
        <w:t>algılanan</w:t>
      </w:r>
      <w:r>
        <w:rPr>
          <w:spacing w:val="-3"/>
        </w:rPr>
        <w:t xml:space="preserve"> </w:t>
      </w:r>
      <w:r>
        <w:t>kullanım</w:t>
      </w:r>
      <w:r>
        <w:rPr>
          <w:spacing w:val="-5"/>
        </w:rPr>
        <w:t xml:space="preserve"> </w:t>
      </w:r>
      <w:r>
        <w:t>kolaylığını</w:t>
      </w:r>
      <w:r>
        <w:rPr>
          <w:spacing w:val="-5"/>
        </w:rPr>
        <w:t xml:space="preserve"> </w:t>
      </w:r>
      <w:r>
        <w:t>tanımlamaktadır.</w:t>
      </w:r>
      <w:r>
        <w:rPr>
          <w:spacing w:val="-5"/>
        </w:rPr>
        <w:t xml:space="preserve"> </w:t>
      </w:r>
      <w:r>
        <w:t>Bu iki faktör, bireylerin bilgi teknolojilerini kullanma niyetinin ana belirleyicileri olarak kabul edilmektedir (Davis, 1989:319). Algılanan fayda, potansiyel bir kullanıcının belirli bir uygulamayı veya sistemi kullanmanın iş performansını kurumsal bir ortamda nasıl artıracağına dair öznel bir değerlendirmesi olarak tanımlanmaktadır (Davis, 1993:475). Teknoloji Kabul Modeli, Mantıklı Eylem Teorisi'ne benzer bir varsayımla, teknoloji kullanımının davranışsal niyet tarafından belirlendiğini öne sürmekte; ancak Teknoloji Kabul Modeli, davranışsal niyetin kişinin sistemi kullanmaya yönelik tutumu ve algılanan fayda tarafından ortaklaşa belirlendiğini savunarak Mantıklı Eylem Teorisinden ayrılmaktadır.</w:t>
      </w:r>
      <w:r>
        <w:rPr>
          <w:spacing w:val="-4"/>
        </w:rPr>
        <w:t xml:space="preserve"> </w:t>
      </w:r>
      <w:r>
        <w:t>Şekil</w:t>
      </w:r>
      <w:r>
        <w:rPr>
          <w:spacing w:val="-4"/>
        </w:rPr>
        <w:t xml:space="preserve"> </w:t>
      </w:r>
      <w:r>
        <w:t>2.2'de</w:t>
      </w:r>
      <w:r>
        <w:rPr>
          <w:spacing w:val="-5"/>
        </w:rPr>
        <w:t xml:space="preserve"> </w:t>
      </w:r>
      <w:r>
        <w:t>gösterildiği</w:t>
      </w:r>
      <w:r>
        <w:rPr>
          <w:spacing w:val="-4"/>
        </w:rPr>
        <w:t xml:space="preserve"> </w:t>
      </w:r>
      <w:r>
        <w:t>üzere,</w:t>
      </w:r>
      <w:r>
        <w:rPr>
          <w:spacing w:val="-2"/>
        </w:rPr>
        <w:t xml:space="preserve"> </w:t>
      </w:r>
      <w:r>
        <w:t>davranışsal</w:t>
      </w:r>
      <w:r>
        <w:rPr>
          <w:spacing w:val="-4"/>
        </w:rPr>
        <w:t xml:space="preserve"> </w:t>
      </w:r>
      <w:r>
        <w:t>niyet,</w:t>
      </w:r>
      <w:r>
        <w:rPr>
          <w:spacing w:val="-4"/>
        </w:rPr>
        <w:t xml:space="preserve"> </w:t>
      </w:r>
      <w:r>
        <w:t>doğrudan</w:t>
      </w:r>
      <w:r>
        <w:rPr>
          <w:spacing w:val="-4"/>
        </w:rPr>
        <w:t xml:space="preserve"> </w:t>
      </w:r>
      <w:r>
        <w:t>kişinin</w:t>
      </w:r>
      <w:r>
        <w:rPr>
          <w:spacing w:val="-4"/>
        </w:rPr>
        <w:t xml:space="preserve"> </w:t>
      </w:r>
      <w:r>
        <w:t>teknolojik yeniliği</w:t>
      </w:r>
      <w:r>
        <w:rPr>
          <w:spacing w:val="-2"/>
        </w:rPr>
        <w:t xml:space="preserve"> </w:t>
      </w:r>
      <w:r>
        <w:t>kullanmaya yönelik</w:t>
      </w:r>
      <w:r>
        <w:rPr>
          <w:spacing w:val="-2"/>
        </w:rPr>
        <w:t xml:space="preserve"> </w:t>
      </w:r>
      <w:r>
        <w:t>tutumu</w:t>
      </w:r>
      <w:r>
        <w:rPr>
          <w:spacing w:val="-2"/>
        </w:rPr>
        <w:t xml:space="preserve"> </w:t>
      </w:r>
      <w:r>
        <w:t>ve</w:t>
      </w:r>
      <w:r>
        <w:rPr>
          <w:spacing w:val="-3"/>
        </w:rPr>
        <w:t xml:space="preserve"> </w:t>
      </w:r>
      <w:r>
        <w:t>belirli</w:t>
      </w:r>
      <w:r>
        <w:rPr>
          <w:spacing w:val="-2"/>
        </w:rPr>
        <w:t xml:space="preserve"> </w:t>
      </w:r>
      <w:r>
        <w:t>bir</w:t>
      </w:r>
      <w:r>
        <w:rPr>
          <w:spacing w:val="-3"/>
        </w:rPr>
        <w:t xml:space="preserve"> </w:t>
      </w:r>
      <w:r>
        <w:t>uygulamayı</w:t>
      </w:r>
      <w:r>
        <w:rPr>
          <w:spacing w:val="-2"/>
        </w:rPr>
        <w:t xml:space="preserve"> </w:t>
      </w:r>
      <w:r>
        <w:t>kullanmanın</w:t>
      </w:r>
      <w:r>
        <w:rPr>
          <w:spacing w:val="-2"/>
        </w:rPr>
        <w:t xml:space="preserve"> </w:t>
      </w:r>
      <w:r>
        <w:t>iş</w:t>
      </w:r>
      <w:r>
        <w:rPr>
          <w:spacing w:val="-2"/>
        </w:rPr>
        <w:t xml:space="preserve"> </w:t>
      </w:r>
      <w:r>
        <w:t>performansını artıracağına dair öznel olasılığı ile belirlenmektedir. Teknoloji Kabul Modelinde temsil edilen</w:t>
      </w:r>
      <w:r>
        <w:rPr>
          <w:spacing w:val="38"/>
        </w:rPr>
        <w:t xml:space="preserve"> </w:t>
      </w:r>
      <w:r>
        <w:t>bu</w:t>
      </w:r>
      <w:r>
        <w:rPr>
          <w:spacing w:val="39"/>
        </w:rPr>
        <w:t xml:space="preserve"> </w:t>
      </w:r>
      <w:r>
        <w:t>davranışsal</w:t>
      </w:r>
      <w:r>
        <w:rPr>
          <w:spacing w:val="40"/>
        </w:rPr>
        <w:t xml:space="preserve"> </w:t>
      </w:r>
      <w:r>
        <w:t>niyet</w:t>
      </w:r>
      <w:r>
        <w:rPr>
          <w:spacing w:val="42"/>
        </w:rPr>
        <w:t xml:space="preserve"> </w:t>
      </w:r>
      <w:r>
        <w:t>ve</w:t>
      </w:r>
      <w:r>
        <w:rPr>
          <w:spacing w:val="38"/>
        </w:rPr>
        <w:t xml:space="preserve"> </w:t>
      </w:r>
      <w:r>
        <w:t>tutum</w:t>
      </w:r>
      <w:r>
        <w:rPr>
          <w:spacing w:val="39"/>
        </w:rPr>
        <w:t xml:space="preserve"> </w:t>
      </w:r>
      <w:r>
        <w:t>ilişkisi,</w:t>
      </w:r>
      <w:r>
        <w:rPr>
          <w:spacing w:val="40"/>
        </w:rPr>
        <w:t xml:space="preserve"> </w:t>
      </w:r>
      <w:r>
        <w:t>diğer</w:t>
      </w:r>
      <w:r>
        <w:rPr>
          <w:spacing w:val="38"/>
        </w:rPr>
        <w:t xml:space="preserve"> </w:t>
      </w:r>
      <w:r>
        <w:t>faktörler</w:t>
      </w:r>
      <w:r>
        <w:rPr>
          <w:spacing w:val="41"/>
        </w:rPr>
        <w:t xml:space="preserve"> </w:t>
      </w:r>
      <w:r>
        <w:t>sabitken,</w:t>
      </w:r>
      <w:r>
        <w:rPr>
          <w:spacing w:val="39"/>
        </w:rPr>
        <w:t xml:space="preserve"> </w:t>
      </w:r>
      <w:r>
        <w:t>bireylerin</w:t>
      </w:r>
      <w:r>
        <w:rPr>
          <w:spacing w:val="39"/>
        </w:rPr>
        <w:t xml:space="preserve"> </w:t>
      </w:r>
      <w:r>
        <w:rPr>
          <w:spacing w:val="-2"/>
        </w:rPr>
        <w:t>olumlu</w:t>
      </w:r>
      <w:r>
        <w:t xml:space="preserve"> etkiye sahip olduğunu düşündükleri davranışları gerçekleştirmeye yönelik niyetler geliştirdiklerini ima etmektedir.</w:t>
      </w:r>
    </w:p>
    <w:p w14:paraId="5F10AE8E">
      <w:pPr>
        <w:pStyle w:val="9"/>
        <w:spacing w:before="120" w:after="120" w:line="360" w:lineRule="auto"/>
        <w:ind w:left="0" w:firstLine="567"/>
        <w:jc w:val="left"/>
        <w:rPr>
          <w:sz w:val="15"/>
        </w:rPr>
      </w:pPr>
      <w:r>
        <w:rPr>
          <w:lang w:eastAsia="tr-TR"/>
        </w:rPr>
        <w:drawing>
          <wp:anchor distT="0" distB="0" distL="0" distR="0" simplePos="0" relativeHeight="251666432" behindDoc="1" locked="0" layoutInCell="1" allowOverlap="1">
            <wp:simplePos x="0" y="0"/>
            <wp:positionH relativeFrom="page">
              <wp:posOffset>990600</wp:posOffset>
            </wp:positionH>
            <wp:positionV relativeFrom="paragraph">
              <wp:posOffset>130810</wp:posOffset>
            </wp:positionV>
            <wp:extent cx="5541010" cy="2651760"/>
            <wp:effectExtent l="0" t="0" r="2540" b="0"/>
            <wp:wrapTopAndBottom/>
            <wp:docPr id="15" name="Image 15" descr="teknoloji kabul modeli"/>
            <wp:cNvGraphicFramePr/>
            <a:graphic xmlns:a="http://schemas.openxmlformats.org/drawingml/2006/main">
              <a:graphicData uri="http://schemas.openxmlformats.org/drawingml/2006/picture">
                <pic:pic xmlns:pic="http://schemas.openxmlformats.org/drawingml/2006/picture">
                  <pic:nvPicPr>
                    <pic:cNvPr id="15" name="Image 15" descr="teknoloji kabul modeli"/>
                    <pic:cNvPicPr/>
                  </pic:nvPicPr>
                  <pic:blipFill>
                    <a:blip r:embed="rId19" cstate="print"/>
                    <a:stretch>
                      <a:fillRect/>
                    </a:stretch>
                  </pic:blipFill>
                  <pic:spPr>
                    <a:xfrm>
                      <a:off x="0" y="0"/>
                      <a:ext cx="5541010" cy="2651760"/>
                    </a:xfrm>
                    <a:prstGeom prst="rect">
                      <a:avLst/>
                    </a:prstGeom>
                  </pic:spPr>
                </pic:pic>
              </a:graphicData>
            </a:graphic>
          </wp:anchor>
        </w:drawing>
      </w:r>
    </w:p>
    <w:p w14:paraId="12277646">
      <w:pPr>
        <w:pStyle w:val="9"/>
        <w:spacing w:line="360" w:lineRule="auto"/>
        <w:ind w:left="0" w:firstLine="567"/>
        <w:jc w:val="left"/>
        <w:rPr>
          <w:b/>
        </w:rPr>
      </w:pPr>
      <w:r>
        <w:rPr>
          <w:b/>
        </w:rPr>
        <w:t>Şekil</w:t>
      </w:r>
      <w:r>
        <w:rPr>
          <w:b/>
          <w:spacing w:val="-1"/>
        </w:rPr>
        <w:t xml:space="preserve"> </w:t>
      </w:r>
      <w:r>
        <w:rPr>
          <w:b/>
        </w:rPr>
        <w:t>2.2.</w:t>
      </w:r>
      <w:r>
        <w:rPr>
          <w:b/>
          <w:spacing w:val="-1"/>
        </w:rPr>
        <w:t xml:space="preserve"> </w:t>
      </w:r>
      <w:r>
        <w:t>Teknoloji</w:t>
      </w:r>
      <w:r>
        <w:rPr>
          <w:spacing w:val="-1"/>
        </w:rPr>
        <w:t xml:space="preserve"> </w:t>
      </w:r>
      <w:r>
        <w:t>Kabul</w:t>
      </w:r>
      <w:r>
        <w:rPr>
          <w:spacing w:val="-1"/>
        </w:rPr>
        <w:t xml:space="preserve"> </w:t>
      </w:r>
      <w:r>
        <w:t xml:space="preserve">Modelinin </w:t>
      </w:r>
      <w:r>
        <w:rPr>
          <w:spacing w:val="-2"/>
        </w:rPr>
        <w:t>Gösterimi</w:t>
      </w:r>
    </w:p>
    <w:p w14:paraId="53D5E276">
      <w:pPr>
        <w:pStyle w:val="9"/>
        <w:spacing w:before="120" w:after="120" w:line="360" w:lineRule="auto"/>
        <w:ind w:left="0" w:firstLine="567"/>
      </w:pPr>
      <w:r>
        <w:t>Öğrenme ve duyuşsal-bilişsel tutarlılık mekanizması (Bagozzi, 1982: 562) üzerine yapılan çalışmalar, pozitif sonuçlar elde edilmesinin genellikle bireylerin bu sonuçlara yönelik araçlara karşı duygusal tepkilerini güçlendirdiğini göstermektedir. Bu çerçevede, algılanan faydanın bireylerin tutumlarına pozitif etkilerde bulunacağı öngörülmektedir.</w:t>
      </w:r>
    </w:p>
    <w:p w14:paraId="5996E027">
      <w:pPr>
        <w:pStyle w:val="9"/>
        <w:spacing w:before="120" w:after="120" w:line="360" w:lineRule="auto"/>
        <w:ind w:left="0" w:firstLine="567"/>
      </w:pPr>
      <w:r>
        <w:t>Algılanan fayda ve davranışsal niyet ilişkisi, örgütsel ortamlarda bireylerin iş performanslarını artıracağına inandıkları davranışlara yönelik niyetlerinin, bu davranışlara ilişkin olumlu ya da olumsuz duyguların üzerine ve ötesine kurulduğu fikrine dayanmaktadır. Artan performans, ücret artışı ve terfi gibi işin içeriğine ek çeşitli ödüller elde etme imkanı sağlamaktadır (Davis ve diğerleri, 1989: 982-985). Bu tür araç-amaç davranışlara</w:t>
      </w:r>
      <w:r>
        <w:rPr>
          <w:spacing w:val="-2"/>
        </w:rPr>
        <w:t xml:space="preserve"> </w:t>
      </w:r>
      <w:r>
        <w:t>yönelik</w:t>
      </w:r>
      <w:r>
        <w:rPr>
          <w:spacing w:val="-3"/>
        </w:rPr>
        <w:t xml:space="preserve"> </w:t>
      </w:r>
      <w:r>
        <w:t>niyetler,</w:t>
      </w:r>
      <w:r>
        <w:rPr>
          <w:spacing w:val="-4"/>
        </w:rPr>
        <w:t xml:space="preserve"> </w:t>
      </w:r>
      <w:r>
        <w:t>büyük</w:t>
      </w:r>
      <w:r>
        <w:rPr>
          <w:spacing w:val="-3"/>
        </w:rPr>
        <w:t xml:space="preserve"> </w:t>
      </w:r>
      <w:r>
        <w:t>ölçüde</w:t>
      </w:r>
      <w:r>
        <w:rPr>
          <w:spacing w:val="-5"/>
        </w:rPr>
        <w:t xml:space="preserve"> </w:t>
      </w:r>
      <w:r>
        <w:t>performansı</w:t>
      </w:r>
      <w:r>
        <w:rPr>
          <w:spacing w:val="-3"/>
        </w:rPr>
        <w:t xml:space="preserve"> </w:t>
      </w:r>
      <w:r>
        <w:t>iyileştirmeye yönelik</w:t>
      </w:r>
      <w:r>
        <w:rPr>
          <w:spacing w:val="-3"/>
        </w:rPr>
        <w:t xml:space="preserve"> </w:t>
      </w:r>
      <w:r>
        <w:t>bilişsel</w:t>
      </w:r>
      <w:r>
        <w:rPr>
          <w:spacing w:val="-3"/>
        </w:rPr>
        <w:t xml:space="preserve"> </w:t>
      </w:r>
      <w:r>
        <w:t>karar kurallarına dayanmaktadır. Bireylerin her seferinde iyileştirilmiş performansın, hedef hiyerarşilerinde daha yüksek amaç ve hedeflere nasıl katkıda bulunduğunu yeniden değerlendirmeleri gerekmez ve performansa bağlı ödüllerle ilişkili olumlu duyguları harekete geçirmez (Davis ve diğerleri, 1989: 982). Bu nedenle, Teknoloji Kabul Modeli, bireylerin</w:t>
      </w:r>
      <w:r>
        <w:rPr>
          <w:spacing w:val="47"/>
        </w:rPr>
        <w:t xml:space="preserve"> </w:t>
      </w:r>
      <w:r>
        <w:t>bilgisayar</w:t>
      </w:r>
      <w:r>
        <w:rPr>
          <w:spacing w:val="48"/>
        </w:rPr>
        <w:t xml:space="preserve"> </w:t>
      </w:r>
      <w:r>
        <w:t>sistemlerini</w:t>
      </w:r>
      <w:r>
        <w:rPr>
          <w:spacing w:val="48"/>
        </w:rPr>
        <w:t xml:space="preserve"> </w:t>
      </w:r>
      <w:r>
        <w:t>kullanmaya</w:t>
      </w:r>
      <w:r>
        <w:rPr>
          <w:spacing w:val="50"/>
        </w:rPr>
        <w:t xml:space="preserve"> </w:t>
      </w:r>
      <w:r>
        <w:t>yönelik</w:t>
      </w:r>
      <w:r>
        <w:rPr>
          <w:spacing w:val="48"/>
        </w:rPr>
        <w:t xml:space="preserve"> </w:t>
      </w:r>
      <w:r>
        <w:t>niyetlerinin,</w:t>
      </w:r>
      <w:r>
        <w:rPr>
          <w:spacing w:val="49"/>
        </w:rPr>
        <w:t xml:space="preserve"> </w:t>
      </w:r>
      <w:r>
        <w:t>büyük</w:t>
      </w:r>
      <w:r>
        <w:rPr>
          <w:spacing w:val="48"/>
        </w:rPr>
        <w:t xml:space="preserve"> </w:t>
      </w:r>
      <w:r>
        <w:rPr>
          <w:spacing w:val="-2"/>
        </w:rPr>
        <w:t>ölçüde</w:t>
      </w:r>
      <w:r>
        <w:t xml:space="preserve"> performanslarını nasıl artıracağına dair bilişsel bir değerlendirmeye dayalı olarak oluşturulduğunu öne sürmektedir.</w:t>
      </w:r>
    </w:p>
    <w:p w14:paraId="1CF0C8DD">
      <w:pPr>
        <w:pStyle w:val="9"/>
        <w:spacing w:before="120" w:after="120" w:line="360" w:lineRule="auto"/>
        <w:ind w:left="0" w:firstLine="567"/>
      </w:pPr>
      <w:r>
        <w:t>Algılanan fayda, sonuçların pekiştirici katkısı nedeniyle kullanıcıların teknolojiyi kabul etmesini etkileyen önemli bir faktördür (Igbaria v</w:t>
      </w:r>
      <w:r>
        <w:rPr>
          <w:rFonts w:hint="default"/>
          <w:lang w:val="tr-TR"/>
        </w:rPr>
        <w:t>d.</w:t>
      </w:r>
      <w:r>
        <w:t>, 1995:87). Empirik çalışmalar, algılanan faydanın davranışın önemli bir belirleyicisi olduğunu göstermiştir (Hussain ve diğerleri, 2023:1146; Prasetyo</w:t>
      </w:r>
      <w:r>
        <w:rPr>
          <w:rFonts w:hint="default"/>
          <w:lang w:val="tr-TR"/>
        </w:rPr>
        <w:t xml:space="preserve"> vd.</w:t>
      </w:r>
      <w:r>
        <w:t>, 2021:8365; Camilleri ve Camilleri, 2022101881; Alturki ve Aldraiweesh,</w:t>
      </w:r>
      <w:r>
        <w:rPr>
          <w:spacing w:val="-1"/>
        </w:rPr>
        <w:t xml:space="preserve"> </w:t>
      </w:r>
      <w:r>
        <w:t>2022:15765; Purwanto ve</w:t>
      </w:r>
      <w:r>
        <w:rPr>
          <w:spacing w:val="-1"/>
        </w:rPr>
        <w:t xml:space="preserve"> </w:t>
      </w:r>
      <w:r>
        <w:t>Tannady,</w:t>
      </w:r>
      <w:r>
        <w:rPr>
          <w:spacing w:val="-1"/>
        </w:rPr>
        <w:t xml:space="preserve"> </w:t>
      </w:r>
      <w:r>
        <w:t>2020:2829).</w:t>
      </w:r>
      <w:r>
        <w:rPr>
          <w:spacing w:val="-1"/>
        </w:rPr>
        <w:t xml:space="preserve"> </w:t>
      </w:r>
      <w:r>
        <w:t>Davis (1989:475),</w:t>
      </w:r>
      <w:r>
        <w:rPr>
          <w:spacing w:val="-1"/>
        </w:rPr>
        <w:t xml:space="preserve"> </w:t>
      </w:r>
      <w:r>
        <w:t>algılanan</w:t>
      </w:r>
      <w:r>
        <w:rPr>
          <w:spacing w:val="-1"/>
        </w:rPr>
        <w:t xml:space="preserve"> </w:t>
      </w:r>
      <w:r>
        <w:t>faydanın, tutum, memnuniyet ve algı ölçümleri gibi diğer değişkenlerle karşılaştırıldığında, kullanımla daha güçlü ve tutarlı bir ilişki sergilediğini belirtmiştir. Ayrıca, diğer araştırmalar algılanan faydanın sistem kullanımı ile pozitif olarak ilişkili olduğunu bildirmiştir (Wu ve Yu, 2023:3388; Garrido-Gutiérrez vd., 2023:77).</w:t>
      </w:r>
    </w:p>
    <w:p w14:paraId="0545C83E">
      <w:pPr>
        <w:pStyle w:val="9"/>
        <w:spacing w:before="120" w:after="120" w:line="360" w:lineRule="auto"/>
        <w:ind w:left="0" w:firstLine="567"/>
      </w:pPr>
      <w:r>
        <w:t>Algılanan kullanım kolaylığı, Davis (1989: 321) tarafından bir kişinin belirli bir sistemi kullanmanın çaba gerektirmeyeceğine inanma derecesi olarak tanımlanmıştır. Bu kavram, Sosyal Bilişsel Teori'de (Bandura, 1977: 191) yer alan öz-yeterlilik ile benzerlik gösterir. Öz-yeterlilik, kişinin olası bir durumla başa çıkmak için gereken eylemleri ne kadar iyi yapabileceğine dair yargılarını ifade etmektedir. Algılanan kullanım kolaylığı, hem niyet üzerinde</w:t>
      </w:r>
      <w:r>
        <w:rPr>
          <w:spacing w:val="-5"/>
        </w:rPr>
        <w:t xml:space="preserve"> </w:t>
      </w:r>
      <w:r>
        <w:t>doğrudan</w:t>
      </w:r>
      <w:r>
        <w:rPr>
          <w:spacing w:val="-2"/>
        </w:rPr>
        <w:t xml:space="preserve"> </w:t>
      </w:r>
      <w:r>
        <w:t>hem</w:t>
      </w:r>
      <w:r>
        <w:rPr>
          <w:spacing w:val="-2"/>
        </w:rPr>
        <w:t xml:space="preserve"> </w:t>
      </w:r>
      <w:r>
        <w:t>de</w:t>
      </w:r>
      <w:r>
        <w:rPr>
          <w:spacing w:val="-5"/>
        </w:rPr>
        <w:t xml:space="preserve"> </w:t>
      </w:r>
      <w:r>
        <w:t>algılanan</w:t>
      </w:r>
      <w:r>
        <w:rPr>
          <w:spacing w:val="-2"/>
        </w:rPr>
        <w:t xml:space="preserve"> </w:t>
      </w:r>
      <w:r>
        <w:t>fayda</w:t>
      </w:r>
      <w:r>
        <w:rPr>
          <w:spacing w:val="-3"/>
        </w:rPr>
        <w:t xml:space="preserve"> </w:t>
      </w:r>
      <w:r>
        <w:t>aracılığıyla</w:t>
      </w:r>
      <w:r>
        <w:rPr>
          <w:spacing w:val="-4"/>
        </w:rPr>
        <w:t xml:space="preserve"> </w:t>
      </w:r>
      <w:r>
        <w:t>dolaylı</w:t>
      </w:r>
      <w:r>
        <w:rPr>
          <w:spacing w:val="-1"/>
        </w:rPr>
        <w:t xml:space="preserve"> </w:t>
      </w:r>
      <w:r>
        <w:t>bir</w:t>
      </w:r>
      <w:r>
        <w:rPr>
          <w:spacing w:val="-3"/>
        </w:rPr>
        <w:t xml:space="preserve"> </w:t>
      </w:r>
      <w:r>
        <w:t>etkiye</w:t>
      </w:r>
      <w:r>
        <w:rPr>
          <w:spacing w:val="-3"/>
        </w:rPr>
        <w:t xml:space="preserve"> </w:t>
      </w:r>
      <w:r>
        <w:t>sahiptir.</w:t>
      </w:r>
      <w:r>
        <w:rPr>
          <w:spacing w:val="-4"/>
        </w:rPr>
        <w:t xml:space="preserve"> </w:t>
      </w:r>
      <w:r>
        <w:t>Algılanan kullanım kolaylığının algılanan fayda üzerindeki doğrudan etkisi, kavramsal olarak önemlidir. Diğer şartlar sabit kaldığında, bir sistemin kullanımı ne kadar kolay olursa ve çalıştırmak</w:t>
      </w:r>
      <w:r>
        <w:rPr>
          <w:spacing w:val="-4"/>
        </w:rPr>
        <w:t xml:space="preserve"> </w:t>
      </w:r>
      <w:r>
        <w:t>için</w:t>
      </w:r>
      <w:r>
        <w:rPr>
          <w:spacing w:val="-4"/>
        </w:rPr>
        <w:t xml:space="preserve"> </w:t>
      </w:r>
      <w:r>
        <w:t>ne</w:t>
      </w:r>
      <w:r>
        <w:rPr>
          <w:spacing w:val="-5"/>
        </w:rPr>
        <w:t xml:space="preserve"> </w:t>
      </w:r>
      <w:r>
        <w:t>kadar</w:t>
      </w:r>
      <w:r>
        <w:rPr>
          <w:spacing w:val="-4"/>
        </w:rPr>
        <w:t xml:space="preserve"> </w:t>
      </w:r>
      <w:r>
        <w:t>az</w:t>
      </w:r>
      <w:r>
        <w:rPr>
          <w:spacing w:val="-3"/>
        </w:rPr>
        <w:t xml:space="preserve"> </w:t>
      </w:r>
      <w:r>
        <w:t>çaba</w:t>
      </w:r>
      <w:r>
        <w:rPr>
          <w:spacing w:val="-5"/>
        </w:rPr>
        <w:t xml:space="preserve"> </w:t>
      </w:r>
      <w:r>
        <w:t>gerektirirse,</w:t>
      </w:r>
      <w:r>
        <w:rPr>
          <w:spacing w:val="-4"/>
        </w:rPr>
        <w:t xml:space="preserve"> </w:t>
      </w:r>
      <w:r>
        <w:t>bir</w:t>
      </w:r>
      <w:r>
        <w:rPr>
          <w:spacing w:val="-4"/>
        </w:rPr>
        <w:t xml:space="preserve"> </w:t>
      </w:r>
      <w:r>
        <w:t>kişi</w:t>
      </w:r>
      <w:r>
        <w:rPr>
          <w:spacing w:val="-4"/>
        </w:rPr>
        <w:t xml:space="preserve"> </w:t>
      </w:r>
      <w:r>
        <w:t>görevi</w:t>
      </w:r>
      <w:r>
        <w:rPr>
          <w:spacing w:val="-2"/>
        </w:rPr>
        <w:t xml:space="preserve"> </w:t>
      </w:r>
      <w:r>
        <w:t>yerine</w:t>
      </w:r>
      <w:r>
        <w:rPr>
          <w:spacing w:val="-3"/>
        </w:rPr>
        <w:t xml:space="preserve"> </w:t>
      </w:r>
      <w:r>
        <w:t>getirmek</w:t>
      </w:r>
      <w:r>
        <w:rPr>
          <w:spacing w:val="-4"/>
        </w:rPr>
        <w:t xml:space="preserve"> </w:t>
      </w:r>
      <w:r>
        <w:t>için</w:t>
      </w:r>
      <w:r>
        <w:rPr>
          <w:spacing w:val="-4"/>
        </w:rPr>
        <w:t xml:space="preserve"> </w:t>
      </w:r>
      <w:r>
        <w:t>o</w:t>
      </w:r>
      <w:r>
        <w:rPr>
          <w:spacing w:val="-4"/>
        </w:rPr>
        <w:t xml:space="preserve"> </w:t>
      </w:r>
      <w:r>
        <w:t>kadar</w:t>
      </w:r>
      <w:r>
        <w:rPr>
          <w:spacing w:val="-4"/>
        </w:rPr>
        <w:t xml:space="preserve"> </w:t>
      </w:r>
      <w:r>
        <w:t>az zaman harcar ve diğer faaliyetlere daha fazla çaba ayırabilir.</w:t>
      </w:r>
    </w:p>
    <w:p w14:paraId="166B678C">
      <w:pPr>
        <w:pStyle w:val="9"/>
        <w:spacing w:before="120" w:after="120" w:line="360" w:lineRule="auto"/>
        <w:ind w:left="0" w:firstLine="567"/>
      </w:pPr>
      <w:r>
        <w:t>Algılanan kullanım kolaylığı ve bir sistemi kullanma niyeti arasındaki ilişki üzerine farklı görüşler mevcuttur. Atkinson ve Kydd (1997:53) tarafından yapılan çalışmada, algılanan kullanım kolaylığının internetin eğlence amaçlı kullanımı üzerinde önemli etkileri olduğu belirlenmiştir. Teo ve diğerleri (1999: 25) ise algılanan kullanım kolaylığının genel olarak internet kullanım sıklığı üzerinde önemli etkileri olduğunu rapor etmiştir. Moon ve Kim (2001:125) tarafından yapılan bir başka çalışmada, algılanan kullanım kolaylığının internet kullanımına</w:t>
      </w:r>
      <w:r>
        <w:rPr>
          <w:spacing w:val="-13"/>
        </w:rPr>
        <w:t xml:space="preserve"> </w:t>
      </w:r>
      <w:r>
        <w:t>yönelik</w:t>
      </w:r>
      <w:r>
        <w:rPr>
          <w:spacing w:val="-14"/>
        </w:rPr>
        <w:t xml:space="preserve"> </w:t>
      </w:r>
      <w:r>
        <w:t>tutumun</w:t>
      </w:r>
      <w:r>
        <w:rPr>
          <w:spacing w:val="-14"/>
        </w:rPr>
        <w:t xml:space="preserve"> </w:t>
      </w:r>
      <w:r>
        <w:t>en</w:t>
      </w:r>
      <w:r>
        <w:rPr>
          <w:spacing w:val="-11"/>
        </w:rPr>
        <w:t xml:space="preserve"> </w:t>
      </w:r>
      <w:r>
        <w:t>güçlü</w:t>
      </w:r>
      <w:r>
        <w:rPr>
          <w:spacing w:val="-12"/>
        </w:rPr>
        <w:t xml:space="preserve"> </w:t>
      </w:r>
      <w:r>
        <w:t>belirleyicisi</w:t>
      </w:r>
      <w:r>
        <w:rPr>
          <w:spacing w:val="-14"/>
        </w:rPr>
        <w:t xml:space="preserve"> </w:t>
      </w:r>
      <w:r>
        <w:t>olduğu</w:t>
      </w:r>
      <w:r>
        <w:rPr>
          <w:spacing w:val="-13"/>
        </w:rPr>
        <w:t xml:space="preserve"> </w:t>
      </w:r>
      <w:r>
        <w:t>tespit</w:t>
      </w:r>
      <w:r>
        <w:rPr>
          <w:spacing w:val="-10"/>
        </w:rPr>
        <w:t xml:space="preserve"> </w:t>
      </w:r>
      <w:r>
        <w:t>edilmiştir.</w:t>
      </w:r>
      <w:r>
        <w:rPr>
          <w:spacing w:val="-15"/>
        </w:rPr>
        <w:t xml:space="preserve"> </w:t>
      </w:r>
      <w:r>
        <w:t>Bununla</w:t>
      </w:r>
      <w:r>
        <w:rPr>
          <w:spacing w:val="-14"/>
        </w:rPr>
        <w:t xml:space="preserve"> </w:t>
      </w:r>
      <w:r>
        <w:rPr>
          <w:spacing w:val="-2"/>
        </w:rPr>
        <w:t>birlikte,</w:t>
      </w:r>
      <w:r>
        <w:t xml:space="preserve"> van der Heijden (2004: 695), zevk amaçlı bilişim sistemi kullanımında, algılanan faydanın kullanım kolaylığı lehine tahmin değerini kaybettiğini belirtmiştir.</w:t>
      </w:r>
    </w:p>
    <w:p w14:paraId="0157A80A">
      <w:pPr>
        <w:pStyle w:val="9"/>
        <w:spacing w:before="120" w:after="120" w:line="360" w:lineRule="auto"/>
        <w:ind w:left="0" w:firstLine="567"/>
      </w:pPr>
      <w:r>
        <w:t>Algılanan kullanım kolaylığının rolü ve etkileri, teknolojinin uygulamaya konulmasından önce ve uygulamanın ilk aşamalarında özellikle kritik bulunmuştur. Çeşitli çalışmalar, teknolojinin benimsenmesinden önce veya ilk aşamasında algılanan kullanım kolaylığının önemli etkilerini rapor etmiştir (Davis v</w:t>
      </w:r>
      <w:r>
        <w:rPr>
          <w:rFonts w:hint="default"/>
          <w:lang w:val="tr-TR"/>
        </w:rPr>
        <w:t>d.</w:t>
      </w:r>
      <w:r>
        <w:t>, 1989:480).</w:t>
      </w:r>
      <w:r>
        <w:rPr>
          <w:spacing w:val="-14"/>
        </w:rPr>
        <w:t xml:space="preserve"> </w:t>
      </w:r>
      <w:r>
        <w:t>Bu</w:t>
      </w:r>
      <w:r>
        <w:rPr>
          <w:spacing w:val="-12"/>
        </w:rPr>
        <w:t xml:space="preserve"> </w:t>
      </w:r>
      <w:r>
        <w:t>çalışmalar,</w:t>
      </w:r>
      <w:r>
        <w:rPr>
          <w:spacing w:val="-15"/>
        </w:rPr>
        <w:t xml:space="preserve"> </w:t>
      </w:r>
      <w:r>
        <w:t>aynı</w:t>
      </w:r>
      <w:r>
        <w:rPr>
          <w:spacing w:val="-14"/>
        </w:rPr>
        <w:t xml:space="preserve"> </w:t>
      </w:r>
      <w:r>
        <w:t>zamanda,</w:t>
      </w:r>
      <w:r>
        <w:rPr>
          <w:spacing w:val="-14"/>
        </w:rPr>
        <w:t xml:space="preserve"> </w:t>
      </w:r>
      <w:r>
        <w:t>fiili</w:t>
      </w:r>
      <w:r>
        <w:rPr>
          <w:spacing w:val="-13"/>
        </w:rPr>
        <w:t xml:space="preserve"> </w:t>
      </w:r>
      <w:r>
        <w:t>kullanımın üzerinden bir süre geçtikten sonra algılanan kullanım kolaylığının etkilerinin azaldığını da bildirmiştir. Kullanıcıların, teknolojiyi kullanmaya başladıktan sonra kullanım kolaylığını daha</w:t>
      </w:r>
      <w:r>
        <w:rPr>
          <w:spacing w:val="-1"/>
        </w:rPr>
        <w:t xml:space="preserve"> </w:t>
      </w:r>
      <w:r>
        <w:t>az önemsedikleri gözlemlenmiştir.</w:t>
      </w:r>
      <w:r>
        <w:rPr>
          <w:spacing w:val="-1"/>
        </w:rPr>
        <w:t xml:space="preserve"> </w:t>
      </w:r>
      <w:r>
        <w:t xml:space="preserve">Bu durum, bireylerin teknolojiyi kullanmaya karar verdiklerinde kullanım kolaylığına ilişkin başlangıç endişelerinin zaten aşılmış olmasıyla açıklanabilir. Uygulamayı benimseme kararı, kullanım sırasında karşılaşılacak zorluklarla başa çıkma istekliliğinin bir göstergesi olarak değerlendirilebilir. Dolayısıyla, algılanan kullanım kolaylığının kullanım niyeti ve fiili kullanım üzerinde farklı etkileri olduğu </w:t>
      </w:r>
      <w:r>
        <w:rPr>
          <w:spacing w:val="-2"/>
        </w:rPr>
        <w:t>söylenebilir.</w:t>
      </w:r>
    </w:p>
    <w:p w14:paraId="139654F2">
      <w:pPr>
        <w:pStyle w:val="9"/>
        <w:spacing w:before="120" w:after="120" w:line="360" w:lineRule="auto"/>
        <w:ind w:left="0" w:firstLine="567"/>
      </w:pPr>
      <w:r>
        <w:t>Teknoloji</w:t>
      </w:r>
      <w:r>
        <w:rPr>
          <w:spacing w:val="-2"/>
        </w:rPr>
        <w:t xml:space="preserve"> </w:t>
      </w:r>
      <w:r>
        <w:t>Kabul</w:t>
      </w:r>
      <w:r>
        <w:rPr>
          <w:spacing w:val="-2"/>
        </w:rPr>
        <w:t xml:space="preserve"> </w:t>
      </w:r>
      <w:r>
        <w:t>Modeli,</w:t>
      </w:r>
      <w:r>
        <w:rPr>
          <w:spacing w:val="-2"/>
        </w:rPr>
        <w:t xml:space="preserve"> </w:t>
      </w:r>
      <w:r>
        <w:t>algılanan</w:t>
      </w:r>
      <w:r>
        <w:rPr>
          <w:spacing w:val="-2"/>
        </w:rPr>
        <w:t xml:space="preserve"> </w:t>
      </w:r>
      <w:r>
        <w:t>kullanım</w:t>
      </w:r>
      <w:r>
        <w:rPr>
          <w:spacing w:val="-2"/>
        </w:rPr>
        <w:t xml:space="preserve"> </w:t>
      </w:r>
      <w:r>
        <w:t>kolaylığının</w:t>
      </w:r>
      <w:r>
        <w:rPr>
          <w:spacing w:val="-2"/>
        </w:rPr>
        <w:t xml:space="preserve"> </w:t>
      </w:r>
      <w:r>
        <w:t>niyet</w:t>
      </w:r>
      <w:r>
        <w:rPr>
          <w:spacing w:val="-2"/>
        </w:rPr>
        <w:t xml:space="preserve"> </w:t>
      </w:r>
      <w:r>
        <w:t>üzerinde</w:t>
      </w:r>
      <w:r>
        <w:rPr>
          <w:spacing w:val="-3"/>
        </w:rPr>
        <w:t xml:space="preserve"> </w:t>
      </w:r>
      <w:r>
        <w:t>doğrudan</w:t>
      </w:r>
      <w:r>
        <w:rPr>
          <w:spacing w:val="-2"/>
        </w:rPr>
        <w:t xml:space="preserve"> </w:t>
      </w:r>
      <w:r>
        <w:t>bir</w:t>
      </w:r>
      <w:r>
        <w:rPr>
          <w:spacing w:val="-3"/>
        </w:rPr>
        <w:t xml:space="preserve"> </w:t>
      </w:r>
      <w:r>
        <w:t>etkisi olmadığını öne sürmektedir. Bu modele göre, insanlar bir uygulamayı öncelikle sunduğu işlevler nedeniyle ve ikincil olarak bu işlevleri yerine getirme kolaylığı veya zorluğu nedeniyle</w:t>
      </w:r>
      <w:r>
        <w:rPr>
          <w:spacing w:val="-15"/>
        </w:rPr>
        <w:t xml:space="preserve"> </w:t>
      </w:r>
      <w:r>
        <w:t>kullanırlar</w:t>
      </w:r>
      <w:r>
        <w:rPr>
          <w:spacing w:val="-14"/>
        </w:rPr>
        <w:t xml:space="preserve"> </w:t>
      </w:r>
      <w:r>
        <w:t>(Davis,</w:t>
      </w:r>
      <w:r>
        <w:rPr>
          <w:spacing w:val="-13"/>
        </w:rPr>
        <w:t xml:space="preserve"> </w:t>
      </w:r>
      <w:r>
        <w:t>1989:</w:t>
      </w:r>
      <w:r>
        <w:rPr>
          <w:spacing w:val="-12"/>
        </w:rPr>
        <w:t xml:space="preserve"> </w:t>
      </w:r>
      <w:r>
        <w:t>319).</w:t>
      </w:r>
      <w:r>
        <w:rPr>
          <w:spacing w:val="-15"/>
        </w:rPr>
        <w:t xml:space="preserve"> </w:t>
      </w:r>
      <w:r>
        <w:t>Başka</w:t>
      </w:r>
      <w:r>
        <w:rPr>
          <w:spacing w:val="-14"/>
        </w:rPr>
        <w:t xml:space="preserve"> </w:t>
      </w:r>
      <w:r>
        <w:t>bir</w:t>
      </w:r>
      <w:r>
        <w:rPr>
          <w:spacing w:val="-13"/>
        </w:rPr>
        <w:t xml:space="preserve"> </w:t>
      </w:r>
      <w:r>
        <w:t>deyişle,</w:t>
      </w:r>
      <w:r>
        <w:rPr>
          <w:spacing w:val="-13"/>
        </w:rPr>
        <w:t xml:space="preserve"> </w:t>
      </w:r>
      <w:r>
        <w:t>belirgin</w:t>
      </w:r>
      <w:r>
        <w:rPr>
          <w:spacing w:val="-13"/>
        </w:rPr>
        <w:t xml:space="preserve"> </w:t>
      </w:r>
      <w:r>
        <w:t>bir</w:t>
      </w:r>
      <w:r>
        <w:rPr>
          <w:spacing w:val="-13"/>
        </w:rPr>
        <w:t xml:space="preserve"> </w:t>
      </w:r>
      <w:r>
        <w:t>fayda</w:t>
      </w:r>
      <w:r>
        <w:rPr>
          <w:spacing w:val="-14"/>
        </w:rPr>
        <w:t xml:space="preserve"> </w:t>
      </w:r>
      <w:r>
        <w:t>ve</w:t>
      </w:r>
      <w:r>
        <w:rPr>
          <w:spacing w:val="-14"/>
        </w:rPr>
        <w:t xml:space="preserve"> </w:t>
      </w:r>
      <w:r>
        <w:t>kullanışlılık olduğunda, insanlar bir sistemi kullanmanın zorluklarıyla başa çıkmak için motive olmaktadırlar. Bu nedenle, bir sistem herhangi bir fayda sağlamıyorsa, anlaşılır ve kolay olmasına rağmen kullanılması beklenmemektedir.</w:t>
      </w:r>
    </w:p>
    <w:p w14:paraId="71ECFAA4">
      <w:pPr>
        <w:pStyle w:val="9"/>
        <w:spacing w:before="120" w:after="120" w:line="360" w:lineRule="auto"/>
        <w:ind w:left="0" w:firstLine="567"/>
      </w:pPr>
      <w:r>
        <w:t>Veri</w:t>
      </w:r>
      <w:r>
        <w:rPr>
          <w:spacing w:val="-11"/>
        </w:rPr>
        <w:t xml:space="preserve"> </w:t>
      </w:r>
      <w:r>
        <w:t>analizi</w:t>
      </w:r>
      <w:r>
        <w:rPr>
          <w:spacing w:val="-10"/>
        </w:rPr>
        <w:t xml:space="preserve"> </w:t>
      </w:r>
      <w:r>
        <w:t>sonrasında</w:t>
      </w:r>
      <w:r>
        <w:rPr>
          <w:spacing w:val="-11"/>
        </w:rPr>
        <w:t xml:space="preserve"> </w:t>
      </w:r>
      <w:r>
        <w:t>Davis</w:t>
      </w:r>
      <w:r>
        <w:rPr>
          <w:spacing w:val="-10"/>
        </w:rPr>
        <w:t xml:space="preserve"> </w:t>
      </w:r>
      <w:r>
        <w:t>ve</w:t>
      </w:r>
      <w:r>
        <w:rPr>
          <w:spacing w:val="-12"/>
        </w:rPr>
        <w:t xml:space="preserve"> </w:t>
      </w:r>
      <w:r>
        <w:t>diğerleri</w:t>
      </w:r>
      <w:r>
        <w:rPr>
          <w:spacing w:val="-8"/>
        </w:rPr>
        <w:t xml:space="preserve"> </w:t>
      </w:r>
      <w:r>
        <w:t>(1989:982),</w:t>
      </w:r>
      <w:r>
        <w:rPr>
          <w:spacing w:val="-11"/>
        </w:rPr>
        <w:t xml:space="preserve"> </w:t>
      </w:r>
      <w:r>
        <w:t>tutumun</w:t>
      </w:r>
      <w:r>
        <w:rPr>
          <w:spacing w:val="-10"/>
        </w:rPr>
        <w:t xml:space="preserve"> </w:t>
      </w:r>
      <w:r>
        <w:t>algılanan</w:t>
      </w:r>
      <w:r>
        <w:rPr>
          <w:spacing w:val="-8"/>
        </w:rPr>
        <w:t xml:space="preserve"> </w:t>
      </w:r>
      <w:r>
        <w:t>fayda</w:t>
      </w:r>
      <w:r>
        <w:rPr>
          <w:spacing w:val="-9"/>
        </w:rPr>
        <w:t xml:space="preserve"> </w:t>
      </w:r>
      <w:r>
        <w:t>ve</w:t>
      </w:r>
      <w:r>
        <w:rPr>
          <w:spacing w:val="-9"/>
        </w:rPr>
        <w:t xml:space="preserve"> </w:t>
      </w:r>
      <w:r>
        <w:t>algılanan kullanım kolaylığı ile niyetler arasında, Teknoloji Kabul Modeli'nin öngördüğünden çok daha az etkileşim kurduğunu tespit etmiştir. Ayrıca, tutum yapısının, inançlar ve niyetler arasındaki</w:t>
      </w:r>
      <w:r>
        <w:rPr>
          <w:spacing w:val="-6"/>
        </w:rPr>
        <w:t xml:space="preserve"> </w:t>
      </w:r>
      <w:r>
        <w:t>nedensel</w:t>
      </w:r>
      <w:r>
        <w:rPr>
          <w:spacing w:val="-6"/>
        </w:rPr>
        <w:t xml:space="preserve"> </w:t>
      </w:r>
      <w:r>
        <w:t>bağlantıları</w:t>
      </w:r>
      <w:r>
        <w:rPr>
          <w:spacing w:val="-6"/>
        </w:rPr>
        <w:t xml:space="preserve"> </w:t>
      </w:r>
      <w:r>
        <w:t>aydınlatmada</w:t>
      </w:r>
      <w:r>
        <w:rPr>
          <w:spacing w:val="-7"/>
        </w:rPr>
        <w:t xml:space="preserve"> </w:t>
      </w:r>
      <w:r>
        <w:t>çok</w:t>
      </w:r>
      <w:r>
        <w:rPr>
          <w:spacing w:val="-5"/>
        </w:rPr>
        <w:t xml:space="preserve"> </w:t>
      </w:r>
      <w:r>
        <w:t>az</w:t>
      </w:r>
      <w:r>
        <w:rPr>
          <w:spacing w:val="-3"/>
        </w:rPr>
        <w:t xml:space="preserve"> </w:t>
      </w:r>
      <w:r>
        <w:t>yardımcı</w:t>
      </w:r>
      <w:r>
        <w:rPr>
          <w:spacing w:val="-6"/>
        </w:rPr>
        <w:t xml:space="preserve"> </w:t>
      </w:r>
      <w:r>
        <w:t>olduğu</w:t>
      </w:r>
      <w:r>
        <w:rPr>
          <w:spacing w:val="-6"/>
        </w:rPr>
        <w:t xml:space="preserve"> </w:t>
      </w:r>
      <w:r>
        <w:t>ve</w:t>
      </w:r>
      <w:r>
        <w:rPr>
          <w:spacing w:val="-6"/>
        </w:rPr>
        <w:t xml:space="preserve"> </w:t>
      </w:r>
      <w:r>
        <w:t>en</w:t>
      </w:r>
      <w:r>
        <w:rPr>
          <w:spacing w:val="-6"/>
        </w:rPr>
        <w:t xml:space="preserve"> </w:t>
      </w:r>
      <w:r>
        <w:t>iyi</w:t>
      </w:r>
      <w:r>
        <w:rPr>
          <w:spacing w:val="-6"/>
        </w:rPr>
        <w:t xml:space="preserve"> </w:t>
      </w:r>
      <w:r>
        <w:t>ihtimalle</w:t>
      </w:r>
      <w:r>
        <w:rPr>
          <w:spacing w:val="-7"/>
        </w:rPr>
        <w:t xml:space="preserve"> </w:t>
      </w:r>
      <w:r>
        <w:t>bu ilişkilere yalnızca kısmen aracılık ettiği bildirilmiştir. Bu bulgulara dayanarak, bir teknolojiyi kullanmaya yönelik tutum, nihai modelde yer almamıştır. İnsanlar, olumlu bir duygu</w:t>
      </w:r>
      <w:r>
        <w:rPr>
          <w:spacing w:val="14"/>
        </w:rPr>
        <w:t xml:space="preserve"> </w:t>
      </w:r>
      <w:r>
        <w:t>hissetmeksizin,</w:t>
      </w:r>
      <w:r>
        <w:rPr>
          <w:spacing w:val="16"/>
        </w:rPr>
        <w:t xml:space="preserve"> </w:t>
      </w:r>
      <w:r>
        <w:t>bir</w:t>
      </w:r>
      <w:r>
        <w:rPr>
          <w:spacing w:val="14"/>
        </w:rPr>
        <w:t xml:space="preserve"> </w:t>
      </w:r>
      <w:r>
        <w:t>teknolojinin</w:t>
      </w:r>
      <w:r>
        <w:rPr>
          <w:spacing w:val="18"/>
        </w:rPr>
        <w:t xml:space="preserve"> </w:t>
      </w:r>
      <w:r>
        <w:t>yararlı</w:t>
      </w:r>
      <w:r>
        <w:rPr>
          <w:spacing w:val="14"/>
        </w:rPr>
        <w:t xml:space="preserve"> </w:t>
      </w:r>
      <w:r>
        <w:t>olduğunu</w:t>
      </w:r>
      <w:r>
        <w:rPr>
          <w:spacing w:val="15"/>
        </w:rPr>
        <w:t xml:space="preserve"> </w:t>
      </w:r>
      <w:r>
        <w:t>düşündükleri</w:t>
      </w:r>
      <w:r>
        <w:rPr>
          <w:spacing w:val="14"/>
        </w:rPr>
        <w:t xml:space="preserve"> </w:t>
      </w:r>
      <w:r>
        <w:t>için</w:t>
      </w:r>
      <w:r>
        <w:rPr>
          <w:spacing w:val="17"/>
        </w:rPr>
        <w:t xml:space="preserve"> </w:t>
      </w:r>
      <w:r>
        <w:t>kullanma</w:t>
      </w:r>
      <w:r>
        <w:rPr>
          <w:spacing w:val="15"/>
        </w:rPr>
        <w:t xml:space="preserve"> </w:t>
      </w:r>
      <w:r>
        <w:rPr>
          <w:spacing w:val="-2"/>
        </w:rPr>
        <w:t>niyeti</w:t>
      </w:r>
      <w:r>
        <w:t xml:space="preserve"> oluşturabilmektedirler. Tutumun çıkarılması, algılanan kullanım kolaylığı ve algılanan yararlılığın niyet üzerindeki etkilerinin daha iyi anlaşılmasına katkıda bulunmuştur (Venkatesh, 2000: 342).</w:t>
      </w:r>
    </w:p>
    <w:p w14:paraId="134D4E17">
      <w:pPr>
        <w:pStyle w:val="5"/>
        <w:spacing w:before="240" w:after="240" w:line="360" w:lineRule="auto"/>
        <w:ind w:left="567"/>
        <w:rPr>
          <w:rFonts w:ascii="Times New Roman" w:hAnsi="Times New Roman" w:cs="Times New Roman"/>
          <w:b/>
          <w:i w:val="0"/>
          <w:color w:val="auto"/>
          <w:sz w:val="24"/>
        </w:rPr>
      </w:pPr>
      <w:bookmarkStart w:id="104" w:name="_Toc195875808"/>
      <w:bookmarkStart w:id="105" w:name="_Toc197351246"/>
      <w:bookmarkStart w:id="106" w:name="_Toc195877793"/>
      <w:r>
        <w:rPr>
          <w:rFonts w:ascii="Times New Roman" w:hAnsi="Times New Roman" w:cs="Times New Roman"/>
          <w:b/>
          <w:i w:val="0"/>
          <w:color w:val="auto"/>
          <w:sz w:val="24"/>
        </w:rPr>
        <w:t>2.3.6.2. Simülasyon Teorisi</w:t>
      </w:r>
      <w:bookmarkEnd w:id="104"/>
      <w:bookmarkEnd w:id="105"/>
      <w:bookmarkEnd w:id="106"/>
    </w:p>
    <w:p w14:paraId="4269CFE7">
      <w:pPr>
        <w:pStyle w:val="9"/>
        <w:spacing w:before="120" w:after="120" w:line="360" w:lineRule="auto"/>
        <w:ind w:left="0" w:firstLine="567"/>
      </w:pPr>
      <w:r>
        <w:t>Simülasyon teorisi, kendi zihinlerimiz hakkında bilmemiz gereken her şeyin onların nasıl çalıştığını anlamak olduğunu ve bu bilgiye dayanarak başkalarının eylemlerini analiz edebileceğimizi öne sürmektedir (Doherty, 2009:1-5). Bu, kendimizi simüle edilen bireyin yerine koymak suretiyle gerçekleşir. Gordon, başkalarının davranışlarını tahmin etmeye çalıştığımızda,</w:t>
      </w:r>
      <w:r>
        <w:rPr>
          <w:spacing w:val="-8"/>
        </w:rPr>
        <w:t xml:space="preserve"> </w:t>
      </w:r>
      <w:r>
        <w:t>bir</w:t>
      </w:r>
      <w:r>
        <w:rPr>
          <w:spacing w:val="-9"/>
        </w:rPr>
        <w:t xml:space="preserve"> </w:t>
      </w:r>
      <w:r>
        <w:t>tür</w:t>
      </w:r>
      <w:r>
        <w:rPr>
          <w:spacing w:val="-9"/>
        </w:rPr>
        <w:t xml:space="preserve"> </w:t>
      </w:r>
      <w:r>
        <w:t>taklit</w:t>
      </w:r>
      <w:r>
        <w:rPr>
          <w:spacing w:val="-8"/>
        </w:rPr>
        <w:t xml:space="preserve"> </w:t>
      </w:r>
      <w:r>
        <w:t>oyunu</w:t>
      </w:r>
      <w:r>
        <w:rPr>
          <w:spacing w:val="-8"/>
        </w:rPr>
        <w:t xml:space="preserve"> </w:t>
      </w:r>
      <w:r>
        <w:t>içinde</w:t>
      </w:r>
      <w:r>
        <w:rPr>
          <w:spacing w:val="-9"/>
        </w:rPr>
        <w:t xml:space="preserve"> </w:t>
      </w:r>
      <w:r>
        <w:t>olduğumuzu</w:t>
      </w:r>
      <w:r>
        <w:rPr>
          <w:spacing w:val="-8"/>
        </w:rPr>
        <w:t xml:space="preserve"> </w:t>
      </w:r>
      <w:r>
        <w:t>belirterek</w:t>
      </w:r>
      <w:r>
        <w:rPr>
          <w:spacing w:val="-8"/>
        </w:rPr>
        <w:t xml:space="preserve"> </w:t>
      </w:r>
      <w:r>
        <w:t>bunu</w:t>
      </w:r>
      <w:r>
        <w:rPr>
          <w:spacing w:val="-6"/>
        </w:rPr>
        <w:t xml:space="preserve"> </w:t>
      </w:r>
      <w:r>
        <w:t>açıklamıştır</w:t>
      </w:r>
      <w:r>
        <w:rPr>
          <w:spacing w:val="-9"/>
        </w:rPr>
        <w:t xml:space="preserve"> </w:t>
      </w:r>
      <w:r>
        <w:t xml:space="preserve">(Gordon, 1986:158). Burada, teori teorisinden esaslı bir fark görülebilir. Bir yandan teori teorisi, başkalarını anlama yetimizin büyük ölçüde deneme yanılma üzerine kurulu olduğunu, teorilerimizin başkalarının düşüncelerini ve eylemlerini öngörmede hatalar yaparken geliştiğini iddia eder. Öte yandan simülasyon teorisi, yalnızca kendimiz hakkında sahip olduğumuz bilgilere dayanarak güvenebileceğimiz bir zihin teorisi varsayımında </w:t>
      </w:r>
      <w:r>
        <w:rPr>
          <w:spacing w:val="-2"/>
        </w:rPr>
        <w:t>bulunmaktadır.</w:t>
      </w:r>
    </w:p>
    <w:p w14:paraId="7FFD843E">
      <w:pPr>
        <w:pStyle w:val="9"/>
        <w:spacing w:before="120" w:after="120" w:line="360" w:lineRule="auto"/>
        <w:ind w:left="0" w:firstLine="567"/>
      </w:pPr>
      <w:r>
        <w:rPr>
          <w:spacing w:val="-2"/>
        </w:rPr>
        <w:t>Simülasyonist</w:t>
      </w:r>
      <w:r>
        <w:rPr>
          <w:spacing w:val="-3"/>
        </w:rPr>
        <w:t xml:space="preserve"> </w:t>
      </w:r>
      <w:r>
        <w:rPr>
          <w:spacing w:val="-2"/>
        </w:rPr>
        <w:t>zihin-okuma</w:t>
      </w:r>
      <w:r>
        <w:rPr>
          <w:spacing w:val="-4"/>
        </w:rPr>
        <w:t xml:space="preserve"> </w:t>
      </w:r>
      <w:r>
        <w:rPr>
          <w:spacing w:val="-2"/>
        </w:rPr>
        <w:t>tekniği,</w:t>
      </w:r>
      <w:r>
        <w:rPr>
          <w:spacing w:val="-3"/>
        </w:rPr>
        <w:t xml:space="preserve"> </w:t>
      </w:r>
      <w:r>
        <w:rPr>
          <w:spacing w:val="-2"/>
        </w:rPr>
        <w:t>standart</w:t>
      </w:r>
      <w:r>
        <w:rPr>
          <w:spacing w:val="-4"/>
        </w:rPr>
        <w:t xml:space="preserve"> </w:t>
      </w:r>
      <w:r>
        <w:rPr>
          <w:spacing w:val="-2"/>
        </w:rPr>
        <w:t>bir</w:t>
      </w:r>
      <w:r>
        <w:rPr>
          <w:spacing w:val="-4"/>
        </w:rPr>
        <w:t xml:space="preserve"> </w:t>
      </w:r>
      <w:r>
        <w:rPr>
          <w:spacing w:val="-2"/>
        </w:rPr>
        <w:t>şekilde</w:t>
      </w:r>
      <w:r>
        <w:rPr>
          <w:spacing w:val="-5"/>
        </w:rPr>
        <w:t xml:space="preserve"> </w:t>
      </w:r>
      <w:r>
        <w:rPr>
          <w:spacing w:val="-2"/>
        </w:rPr>
        <w:t>üç</w:t>
      </w:r>
      <w:r>
        <w:rPr>
          <w:spacing w:val="-5"/>
        </w:rPr>
        <w:t xml:space="preserve"> </w:t>
      </w:r>
      <w:r>
        <w:rPr>
          <w:spacing w:val="-2"/>
        </w:rPr>
        <w:t>temel</w:t>
      </w:r>
      <w:r>
        <w:rPr>
          <w:spacing w:val="-3"/>
        </w:rPr>
        <w:t xml:space="preserve"> </w:t>
      </w:r>
      <w:r>
        <w:rPr>
          <w:spacing w:val="-2"/>
        </w:rPr>
        <w:t>adımdan</w:t>
      </w:r>
      <w:r>
        <w:rPr>
          <w:spacing w:val="-4"/>
        </w:rPr>
        <w:t xml:space="preserve"> </w:t>
      </w:r>
      <w:r>
        <w:rPr>
          <w:spacing w:val="-2"/>
        </w:rPr>
        <w:t>oluşur. İlk</w:t>
      </w:r>
      <w:r>
        <w:rPr>
          <w:spacing w:val="-3"/>
        </w:rPr>
        <w:t xml:space="preserve"> </w:t>
      </w:r>
      <w:r>
        <w:rPr>
          <w:spacing w:val="-2"/>
        </w:rPr>
        <w:t xml:space="preserve">adımda, </w:t>
      </w:r>
      <w:r>
        <w:t>öznitelik atfeden kişi, hedefin benzer durumlarını taklit etmek üzere kendisinde sahte durumlar üretir. Diğer bir deyişle, atfeden kişi kendini hedefin yerine koymaya çalışır (Gordon,</w:t>
      </w:r>
      <w:r>
        <w:rPr>
          <w:spacing w:val="-15"/>
        </w:rPr>
        <w:t xml:space="preserve"> </w:t>
      </w:r>
      <w:r>
        <w:t>1986:158).</w:t>
      </w:r>
      <w:r>
        <w:rPr>
          <w:spacing w:val="-15"/>
        </w:rPr>
        <w:t xml:space="preserve"> </w:t>
      </w:r>
      <w:r>
        <w:t>Taklit</w:t>
      </w:r>
      <w:r>
        <w:rPr>
          <w:spacing w:val="-15"/>
        </w:rPr>
        <w:t xml:space="preserve"> </w:t>
      </w:r>
      <w:r>
        <w:t>edilebilecek</w:t>
      </w:r>
      <w:r>
        <w:rPr>
          <w:spacing w:val="-15"/>
        </w:rPr>
        <w:t xml:space="preserve"> </w:t>
      </w:r>
      <w:r>
        <w:t>zihinsel</w:t>
      </w:r>
      <w:r>
        <w:rPr>
          <w:spacing w:val="-15"/>
        </w:rPr>
        <w:t xml:space="preserve"> </w:t>
      </w:r>
      <w:r>
        <w:t>durumlar</w:t>
      </w:r>
      <w:r>
        <w:rPr>
          <w:spacing w:val="-15"/>
        </w:rPr>
        <w:t xml:space="preserve"> </w:t>
      </w:r>
      <w:r>
        <w:t>arasında</w:t>
      </w:r>
      <w:r>
        <w:rPr>
          <w:spacing w:val="-15"/>
        </w:rPr>
        <w:t xml:space="preserve"> </w:t>
      </w:r>
      <w:r>
        <w:t>algılar,</w:t>
      </w:r>
      <w:r>
        <w:rPr>
          <w:spacing w:val="-15"/>
        </w:rPr>
        <w:t xml:space="preserve"> </w:t>
      </w:r>
      <w:r>
        <w:t>istekler,</w:t>
      </w:r>
      <w:r>
        <w:rPr>
          <w:spacing w:val="-15"/>
        </w:rPr>
        <w:t xml:space="preserve"> </w:t>
      </w:r>
      <w:r>
        <w:t>inançlar, umutlar, hedefler, duyumlar ve duygular bulunur. İkinci aşama, bu başlangıçtaki sahte durumları atfeden kişinin kendi psikolojisindeki karar verme veya duygu üretme mekanizmasına beslemek ve sonra bu mekanizmanın sahte durumlar üzerinde çalışmasına izin vermekten oluşur. Örneğin, atfeden kişi bir hedefin kararını tahmin etmek istiyorsa, hedefin sahip olduğunu varsaydığı sahte arzular ve inançlar üretebilir ve karar verme sistemini</w:t>
      </w:r>
      <w:r>
        <w:rPr>
          <w:spacing w:val="-10"/>
        </w:rPr>
        <w:t xml:space="preserve"> </w:t>
      </w:r>
      <w:r>
        <w:t>kullanarak</w:t>
      </w:r>
      <w:r>
        <w:rPr>
          <w:spacing w:val="-11"/>
        </w:rPr>
        <w:t xml:space="preserve"> </w:t>
      </w:r>
      <w:r>
        <w:t>sahte</w:t>
      </w:r>
      <w:r>
        <w:rPr>
          <w:spacing w:val="-11"/>
        </w:rPr>
        <w:t xml:space="preserve"> </w:t>
      </w:r>
      <w:r>
        <w:t>bir</w:t>
      </w:r>
      <w:r>
        <w:rPr>
          <w:spacing w:val="-11"/>
        </w:rPr>
        <w:t xml:space="preserve"> </w:t>
      </w:r>
      <w:r>
        <w:t>karar</w:t>
      </w:r>
      <w:r>
        <w:rPr>
          <w:spacing w:val="-11"/>
        </w:rPr>
        <w:t xml:space="preserve"> </w:t>
      </w:r>
      <w:r>
        <w:t>alabilir.</w:t>
      </w:r>
      <w:r>
        <w:rPr>
          <w:spacing w:val="-11"/>
        </w:rPr>
        <w:t xml:space="preserve"> </w:t>
      </w:r>
      <w:r>
        <w:t>Üçüncü</w:t>
      </w:r>
      <w:r>
        <w:rPr>
          <w:spacing w:val="-11"/>
        </w:rPr>
        <w:t xml:space="preserve"> </w:t>
      </w:r>
      <w:r>
        <w:t>adımda,</w:t>
      </w:r>
      <w:r>
        <w:rPr>
          <w:spacing w:val="-11"/>
        </w:rPr>
        <w:t xml:space="preserve"> </w:t>
      </w:r>
      <w:r>
        <w:t>atfeden</w:t>
      </w:r>
      <w:r>
        <w:rPr>
          <w:spacing w:val="-11"/>
        </w:rPr>
        <w:t xml:space="preserve"> </w:t>
      </w:r>
      <w:r>
        <w:t>kişi,</w:t>
      </w:r>
      <w:r>
        <w:rPr>
          <w:spacing w:val="-11"/>
        </w:rPr>
        <w:t xml:space="preserve"> </w:t>
      </w:r>
      <w:r>
        <w:t>hedefin</w:t>
      </w:r>
      <w:r>
        <w:rPr>
          <w:spacing w:val="-11"/>
        </w:rPr>
        <w:t xml:space="preserve"> </w:t>
      </w:r>
      <w:r>
        <w:t>geçireceği veya</w:t>
      </w:r>
      <w:r>
        <w:rPr>
          <w:spacing w:val="-2"/>
        </w:rPr>
        <w:t xml:space="preserve"> </w:t>
      </w:r>
      <w:r>
        <w:t>zaten</w:t>
      </w:r>
      <w:r>
        <w:rPr>
          <w:spacing w:val="-2"/>
        </w:rPr>
        <w:t xml:space="preserve"> </w:t>
      </w:r>
      <w:r>
        <w:t>geçirdiği</w:t>
      </w:r>
      <w:r>
        <w:rPr>
          <w:spacing w:val="-3"/>
        </w:rPr>
        <w:t xml:space="preserve"> </w:t>
      </w:r>
      <w:r>
        <w:t>bir</w:t>
      </w:r>
      <w:r>
        <w:rPr>
          <w:spacing w:val="-3"/>
        </w:rPr>
        <w:t xml:space="preserve"> </w:t>
      </w:r>
      <w:r>
        <w:t>durum</w:t>
      </w:r>
      <w:r>
        <w:rPr>
          <w:spacing w:val="-3"/>
        </w:rPr>
        <w:t xml:space="preserve"> </w:t>
      </w:r>
      <w:r>
        <w:t>olarak</w:t>
      </w:r>
      <w:r>
        <w:rPr>
          <w:spacing w:val="-3"/>
        </w:rPr>
        <w:t xml:space="preserve"> </w:t>
      </w:r>
      <w:r>
        <w:t>hedefin</w:t>
      </w:r>
      <w:r>
        <w:rPr>
          <w:spacing w:val="-2"/>
        </w:rPr>
        <w:t xml:space="preserve"> </w:t>
      </w:r>
      <w:r>
        <w:t>çıktı</w:t>
      </w:r>
      <w:r>
        <w:rPr>
          <w:spacing w:val="-3"/>
        </w:rPr>
        <w:t xml:space="preserve"> </w:t>
      </w:r>
      <w:r>
        <w:t>durumunu</w:t>
      </w:r>
      <w:r>
        <w:rPr>
          <w:spacing w:val="-3"/>
        </w:rPr>
        <w:t xml:space="preserve"> </w:t>
      </w:r>
      <w:r>
        <w:t>atar.</w:t>
      </w:r>
      <w:r>
        <w:rPr>
          <w:spacing w:val="-2"/>
        </w:rPr>
        <w:t xml:space="preserve"> </w:t>
      </w:r>
      <w:r>
        <w:t>Bu</w:t>
      </w:r>
      <w:r>
        <w:rPr>
          <w:spacing w:val="-3"/>
        </w:rPr>
        <w:t xml:space="preserve"> </w:t>
      </w:r>
      <w:r>
        <w:t>üç</w:t>
      </w:r>
      <w:r>
        <w:rPr>
          <w:spacing w:val="-4"/>
        </w:rPr>
        <w:t xml:space="preserve"> </w:t>
      </w:r>
      <w:r>
        <w:t>aşamalı</w:t>
      </w:r>
      <w:r>
        <w:rPr>
          <w:spacing w:val="-3"/>
        </w:rPr>
        <w:t xml:space="preserve"> </w:t>
      </w:r>
      <w:r>
        <w:t>prosedür, en kapsamlı simülasyon sezgisidir. Ancak, iki adımlı gibi daha kısa varyantlar da olabilir. Bu durumda, atfeden kişi sahte bir durum oluşturur ve bunu herhangi bir işleme mekanizmasından</w:t>
      </w:r>
      <w:r>
        <w:rPr>
          <w:spacing w:val="-16"/>
        </w:rPr>
        <w:t xml:space="preserve"> </w:t>
      </w:r>
      <w:r>
        <w:t>geçirmeden</w:t>
      </w:r>
      <w:r>
        <w:rPr>
          <w:spacing w:val="-14"/>
        </w:rPr>
        <w:t xml:space="preserve"> </w:t>
      </w:r>
      <w:r>
        <w:t>doğrudan</w:t>
      </w:r>
      <w:r>
        <w:rPr>
          <w:spacing w:val="-14"/>
        </w:rPr>
        <w:t xml:space="preserve"> </w:t>
      </w:r>
      <w:r>
        <w:t>hedefe</w:t>
      </w:r>
      <w:r>
        <w:rPr>
          <w:spacing w:val="-13"/>
        </w:rPr>
        <w:t xml:space="preserve"> </w:t>
      </w:r>
      <w:r>
        <w:t>atfeder.</w:t>
      </w:r>
      <w:r>
        <w:rPr>
          <w:spacing w:val="-15"/>
        </w:rPr>
        <w:t xml:space="preserve"> </w:t>
      </w:r>
      <w:r>
        <w:t>Açıkça,</w:t>
      </w:r>
      <w:r>
        <w:rPr>
          <w:spacing w:val="-14"/>
        </w:rPr>
        <w:t xml:space="preserve"> </w:t>
      </w:r>
      <w:r>
        <w:t>simülasyon</w:t>
      </w:r>
      <w:r>
        <w:rPr>
          <w:spacing w:val="-12"/>
        </w:rPr>
        <w:t xml:space="preserve"> </w:t>
      </w:r>
      <w:r>
        <w:t>teorisinin</w:t>
      </w:r>
      <w:r>
        <w:rPr>
          <w:spacing w:val="-13"/>
        </w:rPr>
        <w:t xml:space="preserve"> </w:t>
      </w:r>
      <w:r>
        <w:rPr>
          <w:spacing w:val="-2"/>
        </w:rPr>
        <w:t>temel</w:t>
      </w:r>
      <w:r>
        <w:t xml:space="preserve"> kavramı, zihin okumayı kolaylaştırmak için taklit ve tekrar deneme yöntemlerinin kullanılmasıdır. Bir zihin okuyucu, hedefin zihinsel "pozisyonunu" üstlenir ve bu duruşa uygun olan zihinsel aktiviteyi kopyalar veya taklit etmeye çalışır. Gordon (2004), Gallagher'ın (2007: 63) ifadesiyle, simülasyonun diğer insanların zihinlere sahip olduğunu tanımamıza izin veren bir mekanizma olduğunu belirterek daha radikal bir yaklaşım </w:t>
      </w:r>
      <w:r>
        <w:rPr>
          <w:spacing w:val="-2"/>
        </w:rPr>
        <w:t>benimsemiştir.</w:t>
      </w:r>
    </w:p>
    <w:p w14:paraId="1F842350">
      <w:pPr>
        <w:pStyle w:val="9"/>
        <w:spacing w:before="120" w:after="120" w:line="360" w:lineRule="auto"/>
        <w:ind w:left="0" w:firstLine="567"/>
      </w:pPr>
      <w:r>
        <w:t>Öte yandan, Gallese'in (2001: 45) simülasyon görüşü, üç seviyeden oluşan biraz daha karmaşık bir yapıya sahiptir:</w:t>
      </w:r>
    </w:p>
    <w:p w14:paraId="61D231B0">
      <w:pPr>
        <w:pStyle w:val="28"/>
        <w:numPr>
          <w:ilvl w:val="0"/>
          <w:numId w:val="8"/>
        </w:numPr>
        <w:tabs>
          <w:tab w:val="left" w:pos="336"/>
        </w:tabs>
        <w:spacing w:before="120" w:after="120" w:line="360" w:lineRule="auto"/>
        <w:ind w:left="0" w:firstLine="567"/>
        <w:jc w:val="both"/>
        <w:rPr>
          <w:sz w:val="24"/>
        </w:rPr>
      </w:pPr>
      <w:r>
        <w:rPr>
          <w:sz w:val="24"/>
        </w:rPr>
        <w:t xml:space="preserve">Fenomenolojik seviye, başka insanlarla karşılaştığımızda her zaman deneyimlediğimiz benzerlik hissinden sorumludur. Bu seviye aynı zamanda empatik seviye olarak da </w:t>
      </w:r>
      <w:r>
        <w:rPr>
          <w:spacing w:val="-2"/>
          <w:sz w:val="24"/>
        </w:rPr>
        <w:t>tanımlanabilir.</w:t>
      </w:r>
    </w:p>
    <w:p w14:paraId="32639571">
      <w:pPr>
        <w:pStyle w:val="28"/>
        <w:numPr>
          <w:ilvl w:val="0"/>
          <w:numId w:val="8"/>
        </w:numPr>
        <w:tabs>
          <w:tab w:val="left" w:pos="346"/>
        </w:tabs>
        <w:spacing w:before="120" w:after="120" w:line="360" w:lineRule="auto"/>
        <w:ind w:left="0" w:firstLine="567"/>
        <w:jc w:val="both"/>
        <w:rPr>
          <w:sz w:val="24"/>
        </w:rPr>
      </w:pPr>
      <w:r>
        <w:rPr>
          <w:sz w:val="24"/>
        </w:rPr>
        <w:t>Fonksiyonel seviye, başkalarının modellerinin yaratılmasını sağlayan süreçlermiş gibi simülasyon rutinleri açısından karakterize edilebilir.</w:t>
      </w:r>
    </w:p>
    <w:p w14:paraId="30535C0A">
      <w:pPr>
        <w:pStyle w:val="28"/>
        <w:numPr>
          <w:ilvl w:val="0"/>
          <w:numId w:val="8"/>
        </w:numPr>
        <w:tabs>
          <w:tab w:val="left" w:pos="303"/>
        </w:tabs>
        <w:spacing w:before="120" w:after="120" w:line="360" w:lineRule="auto"/>
        <w:ind w:left="0" w:firstLine="567"/>
        <w:jc w:val="both"/>
        <w:rPr>
          <w:sz w:val="24"/>
        </w:rPr>
      </w:pPr>
      <w:r>
        <w:rPr>
          <w:sz w:val="24"/>
        </w:rPr>
        <w:t xml:space="preserve">Alt bireysel seviye, bir dizi ayna eşleştirme nöral devrelerinin aktivitesinin sonucu olarak </w:t>
      </w:r>
      <w:r>
        <w:rPr>
          <w:spacing w:val="-2"/>
          <w:sz w:val="24"/>
        </w:rPr>
        <w:t>somutlaşır.</w:t>
      </w:r>
    </w:p>
    <w:p w14:paraId="515C42FB">
      <w:pPr>
        <w:pStyle w:val="9"/>
        <w:spacing w:before="120" w:after="120" w:line="360" w:lineRule="auto"/>
        <w:ind w:left="0" w:firstLine="567"/>
      </w:pPr>
      <w:r>
        <w:t>Gallagher (2007: 63), insan-insan etkileşiminin fenomenolojik anlayışını kullanarak bu iki yaklaşıma</w:t>
      </w:r>
      <w:r>
        <w:rPr>
          <w:spacing w:val="-15"/>
        </w:rPr>
        <w:t xml:space="preserve"> </w:t>
      </w:r>
      <w:r>
        <w:t>itiraz</w:t>
      </w:r>
      <w:r>
        <w:rPr>
          <w:spacing w:val="-15"/>
        </w:rPr>
        <w:t xml:space="preserve"> </w:t>
      </w:r>
      <w:r>
        <w:t>etmeye</w:t>
      </w:r>
      <w:r>
        <w:rPr>
          <w:spacing w:val="-15"/>
        </w:rPr>
        <w:t xml:space="preserve"> </w:t>
      </w:r>
      <w:r>
        <w:t>çalışır.</w:t>
      </w:r>
      <w:r>
        <w:rPr>
          <w:spacing w:val="-15"/>
        </w:rPr>
        <w:t xml:space="preserve"> </w:t>
      </w:r>
      <w:r>
        <w:t>Gordon</w:t>
      </w:r>
      <w:r>
        <w:rPr>
          <w:spacing w:val="-15"/>
        </w:rPr>
        <w:t xml:space="preserve"> </w:t>
      </w:r>
      <w:r>
        <w:t>(2004)</w:t>
      </w:r>
      <w:r>
        <w:rPr>
          <w:spacing w:val="-15"/>
        </w:rPr>
        <w:t xml:space="preserve"> </w:t>
      </w:r>
      <w:r>
        <w:t>ile</w:t>
      </w:r>
      <w:r>
        <w:rPr>
          <w:spacing w:val="-15"/>
        </w:rPr>
        <w:t xml:space="preserve"> </w:t>
      </w:r>
      <w:r>
        <w:t>ilgili</w:t>
      </w:r>
      <w:r>
        <w:rPr>
          <w:spacing w:val="-15"/>
        </w:rPr>
        <w:t xml:space="preserve"> </w:t>
      </w:r>
      <w:r>
        <w:t>olarak,</w:t>
      </w:r>
      <w:r>
        <w:rPr>
          <w:spacing w:val="-15"/>
        </w:rPr>
        <w:t xml:space="preserve"> </w:t>
      </w:r>
      <w:r>
        <w:t>simülasyonun</w:t>
      </w:r>
      <w:r>
        <w:rPr>
          <w:spacing w:val="-15"/>
        </w:rPr>
        <w:t xml:space="preserve"> </w:t>
      </w:r>
      <w:r>
        <w:t>bazen</w:t>
      </w:r>
      <w:r>
        <w:rPr>
          <w:spacing w:val="-15"/>
        </w:rPr>
        <w:t xml:space="preserve"> </w:t>
      </w:r>
      <w:r>
        <w:t>başarısız olabileceğini ve bu durumun simülatörün teori teorisi temelli bir yaklaşım benimsemesine yol açabileceğini iddia eder. Gallese (2001:33) içinse, ayna nöronlarında görülen nörolojik mekanizmalara odaklanma, başkalarını fenomenolojik olarak anlamanın bilinçli doğasıyla çatışma yaratabilir.</w:t>
      </w:r>
    </w:p>
    <w:p w14:paraId="043A3F5F">
      <w:pPr>
        <w:pStyle w:val="5"/>
        <w:spacing w:before="240" w:after="240" w:line="360" w:lineRule="auto"/>
        <w:ind w:left="567"/>
        <w:rPr>
          <w:rFonts w:ascii="Times New Roman" w:hAnsi="Times New Roman" w:cs="Times New Roman"/>
          <w:b/>
          <w:i w:val="0"/>
        </w:rPr>
      </w:pPr>
      <w:bookmarkStart w:id="107" w:name="_Toc195875809"/>
      <w:bookmarkStart w:id="108" w:name="_Toc197351247"/>
      <w:bookmarkStart w:id="109" w:name="_Toc195877794"/>
      <w:r>
        <w:rPr>
          <w:rFonts w:ascii="Times New Roman" w:hAnsi="Times New Roman" w:cs="Times New Roman"/>
          <w:b/>
          <w:i w:val="0"/>
          <w:color w:val="auto"/>
          <w:sz w:val="24"/>
        </w:rPr>
        <w:t>2.3.6.3. Gerçeklik-Sanallık Sürekliliği</w:t>
      </w:r>
      <w:bookmarkEnd w:id="107"/>
      <w:bookmarkEnd w:id="108"/>
      <w:bookmarkEnd w:id="109"/>
    </w:p>
    <w:p w14:paraId="77DBFC2A">
      <w:pPr>
        <w:pStyle w:val="9"/>
        <w:spacing w:before="120" w:after="120" w:line="360" w:lineRule="auto"/>
        <w:ind w:left="0" w:firstLine="567"/>
      </w:pPr>
      <w:r>
        <w:t>Gerçeklik-Sanallık Sürekliliği, Paul Milgram ve Fumio Kishino tarafından 1994 yılında geliştirilen ve gerçek dünya ile</w:t>
      </w:r>
      <w:r>
        <w:rPr>
          <w:spacing w:val="-1"/>
        </w:rPr>
        <w:t xml:space="preserve"> </w:t>
      </w:r>
      <w:r>
        <w:t>tamamen sanal dünya arasındaki tüm geçişleri kapsayan bir spektrumu ifade eden bir kavramdır (Milgram ve Kishino, 1994: 1321). Bu kavramsal çerçeve,</w:t>
      </w:r>
      <w:r>
        <w:rPr>
          <w:spacing w:val="-10"/>
        </w:rPr>
        <w:t xml:space="preserve"> </w:t>
      </w:r>
      <w:r>
        <w:t>fiziksel</w:t>
      </w:r>
      <w:r>
        <w:rPr>
          <w:spacing w:val="-10"/>
        </w:rPr>
        <w:t xml:space="preserve"> </w:t>
      </w:r>
      <w:r>
        <w:t>gerçeklikten</w:t>
      </w:r>
      <w:r>
        <w:rPr>
          <w:spacing w:val="-11"/>
        </w:rPr>
        <w:t xml:space="preserve"> </w:t>
      </w:r>
      <w:r>
        <w:t>başlayarak,</w:t>
      </w:r>
      <w:r>
        <w:rPr>
          <w:spacing w:val="-10"/>
        </w:rPr>
        <w:t xml:space="preserve"> </w:t>
      </w:r>
      <w:r>
        <w:t>artırılmış</w:t>
      </w:r>
      <w:r>
        <w:rPr>
          <w:spacing w:val="-10"/>
        </w:rPr>
        <w:t xml:space="preserve"> </w:t>
      </w:r>
      <w:r>
        <w:t>gerçeklik</w:t>
      </w:r>
      <w:r>
        <w:rPr>
          <w:spacing w:val="-10"/>
        </w:rPr>
        <w:t xml:space="preserve"> </w:t>
      </w:r>
      <w:r>
        <w:t>(AR),</w:t>
      </w:r>
      <w:r>
        <w:rPr>
          <w:spacing w:val="-11"/>
        </w:rPr>
        <w:t xml:space="preserve"> </w:t>
      </w:r>
      <w:r>
        <w:t>artırılmış</w:t>
      </w:r>
      <w:r>
        <w:rPr>
          <w:spacing w:val="-10"/>
        </w:rPr>
        <w:t xml:space="preserve"> </w:t>
      </w:r>
      <w:r>
        <w:t>sanallık</w:t>
      </w:r>
      <w:r>
        <w:rPr>
          <w:spacing w:val="-10"/>
        </w:rPr>
        <w:t xml:space="preserve"> </w:t>
      </w:r>
      <w:r>
        <w:t>(AV), ve</w:t>
      </w:r>
      <w:r>
        <w:rPr>
          <w:spacing w:val="-8"/>
        </w:rPr>
        <w:t xml:space="preserve"> </w:t>
      </w:r>
      <w:r>
        <w:t>tam</w:t>
      </w:r>
      <w:r>
        <w:rPr>
          <w:spacing w:val="-6"/>
        </w:rPr>
        <w:t xml:space="preserve"> </w:t>
      </w:r>
      <w:r>
        <w:t>sanal</w:t>
      </w:r>
      <w:r>
        <w:rPr>
          <w:spacing w:val="-3"/>
        </w:rPr>
        <w:t xml:space="preserve"> </w:t>
      </w:r>
      <w:r>
        <w:t>gerçeklik</w:t>
      </w:r>
      <w:r>
        <w:rPr>
          <w:spacing w:val="-6"/>
        </w:rPr>
        <w:t xml:space="preserve"> </w:t>
      </w:r>
      <w:r>
        <w:t>(VR)</w:t>
      </w:r>
      <w:r>
        <w:rPr>
          <w:spacing w:val="-7"/>
        </w:rPr>
        <w:t xml:space="preserve"> </w:t>
      </w:r>
      <w:r>
        <w:t>gibi</w:t>
      </w:r>
      <w:r>
        <w:rPr>
          <w:spacing w:val="-6"/>
        </w:rPr>
        <w:t xml:space="preserve"> </w:t>
      </w:r>
      <w:r>
        <w:t>farklı</w:t>
      </w:r>
      <w:r>
        <w:rPr>
          <w:spacing w:val="-7"/>
        </w:rPr>
        <w:t xml:space="preserve"> </w:t>
      </w:r>
      <w:r>
        <w:t>teknolojik</w:t>
      </w:r>
      <w:r>
        <w:rPr>
          <w:spacing w:val="-6"/>
        </w:rPr>
        <w:t xml:space="preserve"> </w:t>
      </w:r>
      <w:r>
        <w:t>ortamlar</w:t>
      </w:r>
      <w:r>
        <w:rPr>
          <w:spacing w:val="-7"/>
        </w:rPr>
        <w:t xml:space="preserve"> </w:t>
      </w:r>
      <w:r>
        <w:t>arasında</w:t>
      </w:r>
      <w:r>
        <w:rPr>
          <w:spacing w:val="-6"/>
        </w:rPr>
        <w:t xml:space="preserve"> </w:t>
      </w:r>
      <w:r>
        <w:t>sürekli</w:t>
      </w:r>
      <w:r>
        <w:rPr>
          <w:spacing w:val="-6"/>
        </w:rPr>
        <w:t xml:space="preserve"> </w:t>
      </w:r>
      <w:r>
        <w:t>bir</w:t>
      </w:r>
      <w:r>
        <w:rPr>
          <w:spacing w:val="-7"/>
        </w:rPr>
        <w:t xml:space="preserve"> </w:t>
      </w:r>
      <w:r>
        <w:t>geçiş</w:t>
      </w:r>
      <w:r>
        <w:rPr>
          <w:spacing w:val="-6"/>
        </w:rPr>
        <w:t xml:space="preserve"> </w:t>
      </w:r>
      <w:r>
        <w:rPr>
          <w:spacing w:val="-2"/>
        </w:rPr>
        <w:t>olanağı</w:t>
      </w:r>
      <w:r>
        <w:t xml:space="preserve"> tanımaktadır (Wang, 2023:4). Artırılmış gerçeklik, kullanıcıların gerçek dünya üzerine dijital</w:t>
      </w:r>
      <w:r>
        <w:rPr>
          <w:spacing w:val="-15"/>
        </w:rPr>
        <w:t xml:space="preserve"> </w:t>
      </w:r>
      <w:r>
        <w:t>bilgilerin</w:t>
      </w:r>
      <w:r>
        <w:rPr>
          <w:spacing w:val="-15"/>
        </w:rPr>
        <w:t xml:space="preserve"> </w:t>
      </w:r>
      <w:r>
        <w:t>veya</w:t>
      </w:r>
      <w:r>
        <w:rPr>
          <w:spacing w:val="-15"/>
        </w:rPr>
        <w:t xml:space="preserve"> </w:t>
      </w:r>
      <w:r>
        <w:t>nesnelerin</w:t>
      </w:r>
      <w:r>
        <w:rPr>
          <w:spacing w:val="-15"/>
        </w:rPr>
        <w:t xml:space="preserve"> </w:t>
      </w:r>
      <w:r>
        <w:t>eklenmesi</w:t>
      </w:r>
      <w:r>
        <w:rPr>
          <w:spacing w:val="-15"/>
        </w:rPr>
        <w:t xml:space="preserve"> </w:t>
      </w:r>
      <w:r>
        <w:t>yoluyla</w:t>
      </w:r>
      <w:r>
        <w:rPr>
          <w:spacing w:val="-15"/>
        </w:rPr>
        <w:t xml:space="preserve"> </w:t>
      </w:r>
      <w:r>
        <w:t>zenginleştirilmiş</w:t>
      </w:r>
      <w:r>
        <w:rPr>
          <w:spacing w:val="-15"/>
        </w:rPr>
        <w:t xml:space="preserve"> </w:t>
      </w:r>
      <w:r>
        <w:t>bir</w:t>
      </w:r>
      <w:r>
        <w:rPr>
          <w:spacing w:val="-15"/>
        </w:rPr>
        <w:t xml:space="preserve"> </w:t>
      </w:r>
      <w:r>
        <w:t>çevreyle</w:t>
      </w:r>
      <w:r>
        <w:rPr>
          <w:spacing w:val="-15"/>
        </w:rPr>
        <w:t xml:space="preserve"> </w:t>
      </w:r>
      <w:r>
        <w:t xml:space="preserve">etkileşimde bulunmalarını sağlarken, artırılmış sanallık, sanal ortamlara gerçek dünya elementleri entegre ederek kullanıcılara hem sanal hem de fiziksel unsurlarla etkileşim imkanı sunmaktadır (Das, 2024:5). Sanal gerçeklik ise, kullanıcıları tamamen bilgisayar tarafından oluşturulmuş, dış dünyadan soyutlanmış bir ortama davet etmektedir. Bu teknolojik bakış açısı, farklı gerçeklik türlerinin insan deneyimi ve etkileşim üzerindeki etkilerini derinlemesine inceleyerek, bu teknolojilerin günlük yaşam ve çeşitli uygulama alanlarındaki potansiyel faydalarını ve zorluklarını tartışmayı amaçlamaktadır (Cartwright, </w:t>
      </w:r>
      <w:r>
        <w:rPr>
          <w:spacing w:val="-2"/>
        </w:rPr>
        <w:t>2018:2).</w:t>
      </w:r>
    </w:p>
    <w:p w14:paraId="1267FDE7">
      <w:pPr>
        <w:pStyle w:val="9"/>
        <w:spacing w:before="120" w:after="120" w:line="360" w:lineRule="auto"/>
        <w:ind w:left="0" w:firstLine="567"/>
      </w:pPr>
      <w:r>
        <w:t>Gerçeklik-Sanallık Sürekliliği, eğitimden sağlık hizmetlerine, eğlenceden mühendisliğe kadar çok çeşitli alanlarda uygulama potansiyeline sahiptir. Örneğin, tıp eğitiminde AR ve VR</w:t>
      </w:r>
      <w:r>
        <w:rPr>
          <w:spacing w:val="-15"/>
        </w:rPr>
        <w:t xml:space="preserve"> </w:t>
      </w:r>
      <w:r>
        <w:t>teknolojileri,</w:t>
      </w:r>
      <w:r>
        <w:rPr>
          <w:spacing w:val="-15"/>
        </w:rPr>
        <w:t xml:space="preserve"> </w:t>
      </w:r>
      <w:r>
        <w:t>öğrencilere</w:t>
      </w:r>
      <w:r>
        <w:rPr>
          <w:spacing w:val="-15"/>
        </w:rPr>
        <w:t xml:space="preserve"> </w:t>
      </w:r>
      <w:r>
        <w:t>insan</w:t>
      </w:r>
      <w:r>
        <w:rPr>
          <w:spacing w:val="-15"/>
        </w:rPr>
        <w:t xml:space="preserve"> </w:t>
      </w:r>
      <w:r>
        <w:t>anatomisi</w:t>
      </w:r>
      <w:r>
        <w:rPr>
          <w:spacing w:val="-15"/>
        </w:rPr>
        <w:t xml:space="preserve"> </w:t>
      </w:r>
      <w:r>
        <w:t>veya</w:t>
      </w:r>
      <w:r>
        <w:rPr>
          <w:spacing w:val="-15"/>
        </w:rPr>
        <w:t xml:space="preserve"> </w:t>
      </w:r>
      <w:r>
        <w:t>cerrahi</w:t>
      </w:r>
      <w:r>
        <w:rPr>
          <w:spacing w:val="-15"/>
        </w:rPr>
        <w:t xml:space="preserve"> </w:t>
      </w:r>
      <w:r>
        <w:t>prosedürler</w:t>
      </w:r>
      <w:r>
        <w:rPr>
          <w:spacing w:val="-15"/>
        </w:rPr>
        <w:t xml:space="preserve"> </w:t>
      </w:r>
      <w:r>
        <w:t>gibi</w:t>
      </w:r>
      <w:r>
        <w:rPr>
          <w:spacing w:val="-15"/>
        </w:rPr>
        <w:t xml:space="preserve"> </w:t>
      </w:r>
      <w:r>
        <w:t>konuları</w:t>
      </w:r>
      <w:r>
        <w:rPr>
          <w:spacing w:val="-15"/>
        </w:rPr>
        <w:t xml:space="preserve"> </w:t>
      </w:r>
      <w:r>
        <w:t>çok</w:t>
      </w:r>
      <w:r>
        <w:rPr>
          <w:spacing w:val="-15"/>
        </w:rPr>
        <w:t xml:space="preserve"> </w:t>
      </w:r>
      <w:r>
        <w:t>daha etkileşimli</w:t>
      </w:r>
      <w:r>
        <w:rPr>
          <w:spacing w:val="-11"/>
        </w:rPr>
        <w:t xml:space="preserve"> </w:t>
      </w:r>
      <w:r>
        <w:t>ve</w:t>
      </w:r>
      <w:r>
        <w:rPr>
          <w:spacing w:val="-13"/>
        </w:rPr>
        <w:t xml:space="preserve"> </w:t>
      </w:r>
      <w:r>
        <w:t>deneyimsel</w:t>
      </w:r>
      <w:r>
        <w:rPr>
          <w:spacing w:val="-9"/>
        </w:rPr>
        <w:t xml:space="preserve"> </w:t>
      </w:r>
      <w:r>
        <w:t>bir</w:t>
      </w:r>
      <w:r>
        <w:rPr>
          <w:spacing w:val="-12"/>
        </w:rPr>
        <w:t xml:space="preserve"> </w:t>
      </w:r>
      <w:r>
        <w:t>şekilde</w:t>
      </w:r>
      <w:r>
        <w:rPr>
          <w:spacing w:val="-13"/>
        </w:rPr>
        <w:t xml:space="preserve"> </w:t>
      </w:r>
      <w:r>
        <w:t>öğrenme</w:t>
      </w:r>
      <w:r>
        <w:rPr>
          <w:spacing w:val="-12"/>
        </w:rPr>
        <w:t xml:space="preserve"> </w:t>
      </w:r>
      <w:r>
        <w:t>imkanı</w:t>
      </w:r>
      <w:r>
        <w:rPr>
          <w:spacing w:val="-11"/>
        </w:rPr>
        <w:t xml:space="preserve"> </w:t>
      </w:r>
      <w:r>
        <w:t>sunmaktadır</w:t>
      </w:r>
      <w:r>
        <w:rPr>
          <w:spacing w:val="-12"/>
        </w:rPr>
        <w:t xml:space="preserve"> </w:t>
      </w:r>
      <w:r>
        <w:t>(Sutherland</w:t>
      </w:r>
      <w:r>
        <w:rPr>
          <w:spacing w:val="-12"/>
        </w:rPr>
        <w:t xml:space="preserve"> </w:t>
      </w:r>
      <w:r>
        <w:t>ve</w:t>
      </w:r>
      <w:r>
        <w:rPr>
          <w:spacing w:val="-10"/>
        </w:rPr>
        <w:t xml:space="preserve"> </w:t>
      </w:r>
      <w:r>
        <w:t>La</w:t>
      </w:r>
      <w:r>
        <w:rPr>
          <w:spacing w:val="-13"/>
        </w:rPr>
        <w:t xml:space="preserve"> </w:t>
      </w:r>
      <w:r>
        <w:t xml:space="preserve">Russa, 2024: 377). Sanal gerçeklik ortamları, gerçek hayatta karşılaşılabilecek riskleri taşımadan karmaşık cerrahi tekniklerin pratik yapılmasına olanak tanırken, artırılmış gerçeklik uygulamaları, gerçek zamanlı bilgilerle desteklenen interaktif eğitim materyalleri sağlamaktadır (Li </w:t>
      </w:r>
      <w:r>
        <w:rPr>
          <w:rFonts w:hint="default"/>
          <w:lang w:val="tr-TR"/>
        </w:rPr>
        <w:t>vd.</w:t>
      </w:r>
      <w:r>
        <w:t>, 2017: 3867). Bu teknolojiler, aynı zamanda kullanıcıların sanal ortamlarda sosyal etkileşim kurmalarını ve uzaktan iş birliği yapmalarını mümkün kılarak, iş ve eğitim dünyasında devrim yaratma potansiyeline sahiptir.</w:t>
      </w:r>
    </w:p>
    <w:p w14:paraId="5149A5FD">
      <w:pPr>
        <w:pStyle w:val="9"/>
        <w:spacing w:before="120" w:after="120" w:line="360" w:lineRule="auto"/>
        <w:ind w:left="0" w:firstLine="567"/>
      </w:pPr>
      <w:r>
        <w:t>Önceki araştırmalar gerçeklik-Sanallık Sürekliliğinin teorik temellerini ve pratik uygulamalarını kapsamlı bir şekilde ele alacak ve bu süreklilik boyunca etkili geçişler sağlamak için gereken teknolojik ve tasarım stratejilerini daha da geliştirmek için bir temel oluşturmayı hedeflemektedir (Milgram v</w:t>
      </w:r>
      <w:r>
        <w:rPr>
          <w:rFonts w:hint="default"/>
          <w:lang w:val="tr-TR"/>
        </w:rPr>
        <w:t>d.</w:t>
      </w:r>
      <w:r>
        <w:t>,1995: 282; Skarbez v</w:t>
      </w:r>
      <w:r>
        <w:rPr>
          <w:rFonts w:hint="default"/>
          <w:lang w:val="tr-TR"/>
        </w:rPr>
        <w:t>d.</w:t>
      </w:r>
      <w:r>
        <w:t>, 2021: 647997). Ayrıca, önceki araştırmalarda bu teknolojilerin kullanıcı deneyimi, etkileşim kalıpları ve sosyal etkileri üzerindeki uzun vadeli etkilerini analiz edilerek, gerçek ve sanal dünyalar</w:t>
      </w:r>
      <w:r>
        <w:rPr>
          <w:spacing w:val="-12"/>
        </w:rPr>
        <w:t xml:space="preserve"> </w:t>
      </w:r>
      <w:r>
        <w:t>arasında</w:t>
      </w:r>
      <w:r>
        <w:rPr>
          <w:spacing w:val="-12"/>
        </w:rPr>
        <w:t xml:space="preserve"> </w:t>
      </w:r>
      <w:r>
        <w:t>daha</w:t>
      </w:r>
      <w:r>
        <w:rPr>
          <w:spacing w:val="-13"/>
        </w:rPr>
        <w:t xml:space="preserve"> </w:t>
      </w:r>
      <w:r>
        <w:t>doğal</w:t>
      </w:r>
      <w:r>
        <w:rPr>
          <w:spacing w:val="-11"/>
        </w:rPr>
        <w:t xml:space="preserve"> </w:t>
      </w:r>
      <w:r>
        <w:t>ve</w:t>
      </w:r>
      <w:r>
        <w:rPr>
          <w:spacing w:val="-13"/>
        </w:rPr>
        <w:t xml:space="preserve"> </w:t>
      </w:r>
      <w:r>
        <w:t>sezgisel</w:t>
      </w:r>
      <w:r>
        <w:rPr>
          <w:spacing w:val="-11"/>
        </w:rPr>
        <w:t xml:space="preserve"> </w:t>
      </w:r>
      <w:r>
        <w:t>geçişler</w:t>
      </w:r>
      <w:r>
        <w:rPr>
          <w:spacing w:val="-10"/>
        </w:rPr>
        <w:t xml:space="preserve"> </w:t>
      </w:r>
      <w:r>
        <w:t>yaratma</w:t>
      </w:r>
      <w:r>
        <w:rPr>
          <w:spacing w:val="-9"/>
        </w:rPr>
        <w:t xml:space="preserve"> </w:t>
      </w:r>
      <w:r>
        <w:t>yollarının</w:t>
      </w:r>
      <w:r>
        <w:rPr>
          <w:spacing w:val="-11"/>
        </w:rPr>
        <w:t xml:space="preserve"> </w:t>
      </w:r>
      <w:r>
        <w:t>araştırılması</w:t>
      </w:r>
      <w:r>
        <w:rPr>
          <w:spacing w:val="-11"/>
        </w:rPr>
        <w:t xml:space="preserve"> </w:t>
      </w:r>
      <w:r>
        <w:t>bu</w:t>
      </w:r>
      <w:r>
        <w:rPr>
          <w:spacing w:val="-12"/>
        </w:rPr>
        <w:t xml:space="preserve"> </w:t>
      </w:r>
      <w:r>
        <w:t>kavram ile</w:t>
      </w:r>
      <w:r>
        <w:rPr>
          <w:spacing w:val="-9"/>
        </w:rPr>
        <w:t xml:space="preserve"> </w:t>
      </w:r>
      <w:r>
        <w:t>amaçlanmaktadır</w:t>
      </w:r>
      <w:r>
        <w:rPr>
          <w:spacing w:val="-9"/>
        </w:rPr>
        <w:t xml:space="preserve"> </w:t>
      </w:r>
      <w:r>
        <w:t>(Casas</w:t>
      </w:r>
      <w:r>
        <w:rPr>
          <w:spacing w:val="-9"/>
        </w:rPr>
        <w:t xml:space="preserve"> </w:t>
      </w:r>
      <w:r>
        <w:t>v</w:t>
      </w:r>
      <w:r>
        <w:rPr>
          <w:rFonts w:hint="default"/>
          <w:lang w:val="tr-TR"/>
        </w:rPr>
        <w:t>d.</w:t>
      </w:r>
      <w:r>
        <w:t>,</w:t>
      </w:r>
      <w:r>
        <w:rPr>
          <w:spacing w:val="-9"/>
        </w:rPr>
        <w:t xml:space="preserve"> </w:t>
      </w:r>
      <w:r>
        <w:t>2018:1-4).</w:t>
      </w:r>
      <w:r>
        <w:rPr>
          <w:spacing w:val="-9"/>
        </w:rPr>
        <w:t xml:space="preserve"> </w:t>
      </w:r>
      <w:r>
        <w:t>Bu</w:t>
      </w:r>
      <w:r>
        <w:rPr>
          <w:spacing w:val="-9"/>
        </w:rPr>
        <w:t xml:space="preserve"> </w:t>
      </w:r>
      <w:r>
        <w:t>sürecin</w:t>
      </w:r>
      <w:r>
        <w:rPr>
          <w:spacing w:val="-9"/>
        </w:rPr>
        <w:t xml:space="preserve"> </w:t>
      </w:r>
      <w:r>
        <w:t>sonunda,</w:t>
      </w:r>
      <w:r>
        <w:rPr>
          <w:spacing w:val="-9"/>
        </w:rPr>
        <w:t xml:space="preserve"> </w:t>
      </w:r>
      <w:r>
        <w:t>Gerçeklik-Sanallık Sürekliliği</w:t>
      </w:r>
      <w:r>
        <w:rPr>
          <w:spacing w:val="-7"/>
        </w:rPr>
        <w:t xml:space="preserve"> </w:t>
      </w:r>
      <w:r>
        <w:t>ve</w:t>
      </w:r>
      <w:r>
        <w:rPr>
          <w:spacing w:val="-8"/>
        </w:rPr>
        <w:t xml:space="preserve"> </w:t>
      </w:r>
      <w:r>
        <w:t>bu</w:t>
      </w:r>
      <w:r>
        <w:rPr>
          <w:spacing w:val="-7"/>
        </w:rPr>
        <w:t xml:space="preserve"> </w:t>
      </w:r>
      <w:r>
        <w:t>süreklilikte</w:t>
      </w:r>
      <w:r>
        <w:rPr>
          <w:spacing w:val="-5"/>
        </w:rPr>
        <w:t xml:space="preserve"> </w:t>
      </w:r>
      <w:r>
        <w:t>yer</w:t>
      </w:r>
      <w:r>
        <w:rPr>
          <w:spacing w:val="-8"/>
        </w:rPr>
        <w:t xml:space="preserve"> </w:t>
      </w:r>
      <w:r>
        <w:t>alan</w:t>
      </w:r>
      <w:r>
        <w:rPr>
          <w:spacing w:val="-7"/>
        </w:rPr>
        <w:t xml:space="preserve"> </w:t>
      </w:r>
      <w:r>
        <w:t>çeşitli</w:t>
      </w:r>
      <w:r>
        <w:rPr>
          <w:spacing w:val="-7"/>
        </w:rPr>
        <w:t xml:space="preserve"> </w:t>
      </w:r>
      <w:r>
        <w:t>teknolojilerin</w:t>
      </w:r>
      <w:r>
        <w:rPr>
          <w:spacing w:val="-7"/>
        </w:rPr>
        <w:t xml:space="preserve"> </w:t>
      </w:r>
      <w:r>
        <w:t>gelecekteki</w:t>
      </w:r>
      <w:r>
        <w:rPr>
          <w:spacing w:val="-7"/>
        </w:rPr>
        <w:t xml:space="preserve"> </w:t>
      </w:r>
      <w:r>
        <w:t>evrimi</w:t>
      </w:r>
      <w:r>
        <w:rPr>
          <w:spacing w:val="-7"/>
        </w:rPr>
        <w:t xml:space="preserve"> </w:t>
      </w:r>
      <w:r>
        <w:t>hakkında</w:t>
      </w:r>
      <w:r>
        <w:rPr>
          <w:spacing w:val="-7"/>
        </w:rPr>
        <w:t xml:space="preserve"> </w:t>
      </w:r>
      <w:r>
        <w:rPr>
          <w:spacing w:val="-4"/>
        </w:rPr>
        <w:t xml:space="preserve">daha </w:t>
      </w:r>
      <w:r>
        <w:t>derin bir anlayış sağlamak ve bu alandaki akademik ve pratik bilgi birikimine katkıda bulunmak amaçlanmaktadır.</w:t>
      </w:r>
    </w:p>
    <w:p w14:paraId="77850EC9">
      <w:pPr>
        <w:pStyle w:val="9"/>
        <w:spacing w:before="120" w:after="120" w:line="360" w:lineRule="auto"/>
        <w:ind w:left="0" w:firstLine="567"/>
      </w:pPr>
      <w:r>
        <w:t xml:space="preserve">Gerçeklik-Sanallık Sürekliliği dört ana bileşenden oluşur. Bu bileşenler, kullanıcıların fiziksel ve dijital dünyalar arasında nasıl deneyim yaşadıklarını kapsamlı bir şekilde </w:t>
      </w:r>
      <w:r>
        <w:rPr>
          <w:spacing w:val="-2"/>
        </w:rPr>
        <w:t>tanımlamaktadır.</w:t>
      </w:r>
    </w:p>
    <w:p w14:paraId="154239DF">
      <w:pPr>
        <w:pStyle w:val="28"/>
        <w:numPr>
          <w:ilvl w:val="0"/>
          <w:numId w:val="9"/>
        </w:numPr>
        <w:tabs>
          <w:tab w:val="left" w:pos="462"/>
        </w:tabs>
        <w:spacing w:before="120" w:after="120" w:line="360" w:lineRule="auto"/>
        <w:ind w:left="0" w:firstLine="567"/>
        <w:jc w:val="both"/>
        <w:rPr>
          <w:sz w:val="24"/>
        </w:rPr>
      </w:pPr>
      <w:r>
        <w:rPr>
          <w:b/>
          <w:sz w:val="24"/>
        </w:rPr>
        <w:t xml:space="preserve">Gerçek Ortam: </w:t>
      </w:r>
      <w:r>
        <w:rPr>
          <w:sz w:val="24"/>
        </w:rPr>
        <w:t>Bu, sürekliliğin en doğal ucu olup, herhangi bir dijital müdahale olmaksızın tamamen fiziksel ve doğal unsurların bulunduğu ortamdır. Burada kullanıcılar, gerçek nesnelerle ve olaylarla doğrudan etkileşimde bulunurlar. Bu ortam, teknolojinin varlığını</w:t>
      </w:r>
      <w:r>
        <w:rPr>
          <w:spacing w:val="-15"/>
          <w:sz w:val="24"/>
        </w:rPr>
        <w:t xml:space="preserve"> </w:t>
      </w:r>
      <w:r>
        <w:rPr>
          <w:sz w:val="24"/>
        </w:rPr>
        <w:t>hissetmeden,</w:t>
      </w:r>
      <w:r>
        <w:rPr>
          <w:spacing w:val="-15"/>
          <w:sz w:val="24"/>
        </w:rPr>
        <w:t xml:space="preserve"> </w:t>
      </w:r>
      <w:r>
        <w:rPr>
          <w:sz w:val="24"/>
        </w:rPr>
        <w:t>insanların</w:t>
      </w:r>
      <w:r>
        <w:rPr>
          <w:spacing w:val="-15"/>
          <w:sz w:val="24"/>
        </w:rPr>
        <w:t xml:space="preserve"> </w:t>
      </w:r>
      <w:r>
        <w:rPr>
          <w:sz w:val="24"/>
        </w:rPr>
        <w:t>günlük</w:t>
      </w:r>
      <w:r>
        <w:rPr>
          <w:spacing w:val="-15"/>
          <w:sz w:val="24"/>
        </w:rPr>
        <w:t xml:space="preserve"> </w:t>
      </w:r>
      <w:r>
        <w:rPr>
          <w:sz w:val="24"/>
        </w:rPr>
        <w:t>yaşamlarını</w:t>
      </w:r>
      <w:r>
        <w:rPr>
          <w:spacing w:val="-15"/>
          <w:sz w:val="24"/>
        </w:rPr>
        <w:t xml:space="preserve"> </w:t>
      </w:r>
      <w:r>
        <w:rPr>
          <w:sz w:val="24"/>
        </w:rPr>
        <w:t>sürdürdükleri</w:t>
      </w:r>
      <w:r>
        <w:rPr>
          <w:spacing w:val="-15"/>
          <w:sz w:val="24"/>
        </w:rPr>
        <w:t xml:space="preserve"> </w:t>
      </w:r>
      <w:r>
        <w:rPr>
          <w:sz w:val="24"/>
        </w:rPr>
        <w:t>geleneksel</w:t>
      </w:r>
      <w:r>
        <w:rPr>
          <w:spacing w:val="-15"/>
          <w:sz w:val="24"/>
        </w:rPr>
        <w:t xml:space="preserve"> </w:t>
      </w:r>
      <w:r>
        <w:rPr>
          <w:sz w:val="24"/>
        </w:rPr>
        <w:t>çevredir</w:t>
      </w:r>
      <w:r>
        <w:rPr>
          <w:spacing w:val="-15"/>
          <w:sz w:val="24"/>
        </w:rPr>
        <w:t xml:space="preserve"> </w:t>
      </w:r>
      <w:r>
        <w:rPr>
          <w:sz w:val="24"/>
        </w:rPr>
        <w:t xml:space="preserve">(Das, </w:t>
      </w:r>
      <w:r>
        <w:rPr>
          <w:spacing w:val="-2"/>
          <w:sz w:val="24"/>
        </w:rPr>
        <w:t>2024:1-3).</w:t>
      </w:r>
    </w:p>
    <w:p w14:paraId="0BAC3BBF">
      <w:pPr>
        <w:pStyle w:val="28"/>
        <w:numPr>
          <w:ilvl w:val="0"/>
          <w:numId w:val="9"/>
        </w:numPr>
        <w:tabs>
          <w:tab w:val="left" w:pos="500"/>
        </w:tabs>
        <w:spacing w:before="120" w:after="120" w:line="360" w:lineRule="auto"/>
        <w:ind w:left="0" w:firstLine="567"/>
        <w:jc w:val="both"/>
        <w:rPr>
          <w:b/>
          <w:sz w:val="24"/>
        </w:rPr>
      </w:pPr>
      <w:r>
        <w:rPr>
          <w:b/>
          <w:sz w:val="24"/>
        </w:rPr>
        <w:t xml:space="preserve">Artırılmış Gerçeklik (AR): </w:t>
      </w:r>
      <w:r>
        <w:rPr>
          <w:sz w:val="24"/>
        </w:rPr>
        <w:t>Artırılmış gerçeklik, gerçek dünya ortamına dijital elementlerin eklenmesiyle oluşturulan bir katmandır (Carmigniani ve Furht, 2011:3). Bu teknoloji, gerçek dünya görüntülerinin üzerine bilgi katmanları ekleyerek, kullanıcıların çevreleri</w:t>
      </w:r>
      <w:r>
        <w:rPr>
          <w:spacing w:val="-7"/>
          <w:sz w:val="24"/>
        </w:rPr>
        <w:t xml:space="preserve"> </w:t>
      </w:r>
      <w:r>
        <w:rPr>
          <w:sz w:val="24"/>
        </w:rPr>
        <w:t>hakkında</w:t>
      </w:r>
      <w:r>
        <w:rPr>
          <w:spacing w:val="-7"/>
          <w:sz w:val="24"/>
        </w:rPr>
        <w:t xml:space="preserve"> </w:t>
      </w:r>
      <w:r>
        <w:rPr>
          <w:sz w:val="24"/>
        </w:rPr>
        <w:t>daha</w:t>
      </w:r>
      <w:r>
        <w:rPr>
          <w:spacing w:val="-8"/>
          <w:sz w:val="24"/>
        </w:rPr>
        <w:t xml:space="preserve"> </w:t>
      </w:r>
      <w:r>
        <w:rPr>
          <w:sz w:val="24"/>
        </w:rPr>
        <w:t>fazla</w:t>
      </w:r>
      <w:r>
        <w:rPr>
          <w:spacing w:val="-7"/>
          <w:sz w:val="24"/>
        </w:rPr>
        <w:t xml:space="preserve"> </w:t>
      </w:r>
      <w:r>
        <w:rPr>
          <w:sz w:val="24"/>
        </w:rPr>
        <w:t>bilgi</w:t>
      </w:r>
      <w:r>
        <w:rPr>
          <w:spacing w:val="-6"/>
          <w:sz w:val="24"/>
        </w:rPr>
        <w:t xml:space="preserve"> </w:t>
      </w:r>
      <w:r>
        <w:rPr>
          <w:sz w:val="24"/>
        </w:rPr>
        <w:t>edinmelerine</w:t>
      </w:r>
      <w:r>
        <w:rPr>
          <w:spacing w:val="-7"/>
          <w:sz w:val="24"/>
        </w:rPr>
        <w:t xml:space="preserve"> </w:t>
      </w:r>
      <w:r>
        <w:rPr>
          <w:sz w:val="24"/>
        </w:rPr>
        <w:t>veya</w:t>
      </w:r>
      <w:r>
        <w:rPr>
          <w:spacing w:val="-8"/>
          <w:sz w:val="24"/>
        </w:rPr>
        <w:t xml:space="preserve"> </w:t>
      </w:r>
      <w:r>
        <w:rPr>
          <w:sz w:val="24"/>
        </w:rPr>
        <w:t>belirli</w:t>
      </w:r>
      <w:r>
        <w:rPr>
          <w:spacing w:val="-7"/>
          <w:sz w:val="24"/>
        </w:rPr>
        <w:t xml:space="preserve"> </w:t>
      </w:r>
      <w:r>
        <w:rPr>
          <w:sz w:val="24"/>
        </w:rPr>
        <w:t>görevleri</w:t>
      </w:r>
      <w:r>
        <w:rPr>
          <w:spacing w:val="-7"/>
          <w:sz w:val="24"/>
        </w:rPr>
        <w:t xml:space="preserve"> </w:t>
      </w:r>
      <w:r>
        <w:rPr>
          <w:sz w:val="24"/>
        </w:rPr>
        <w:t>daha</w:t>
      </w:r>
      <w:r>
        <w:rPr>
          <w:spacing w:val="-5"/>
          <w:sz w:val="24"/>
        </w:rPr>
        <w:t xml:space="preserve"> </w:t>
      </w:r>
      <w:r>
        <w:rPr>
          <w:sz w:val="24"/>
        </w:rPr>
        <w:t>etkin</w:t>
      </w:r>
      <w:r>
        <w:rPr>
          <w:spacing w:val="-7"/>
          <w:sz w:val="24"/>
        </w:rPr>
        <w:t xml:space="preserve"> </w:t>
      </w:r>
      <w:r>
        <w:rPr>
          <w:sz w:val="24"/>
        </w:rPr>
        <w:t>bir</w:t>
      </w:r>
      <w:r>
        <w:rPr>
          <w:spacing w:val="-7"/>
          <w:sz w:val="24"/>
        </w:rPr>
        <w:t xml:space="preserve"> </w:t>
      </w:r>
      <w:r>
        <w:rPr>
          <w:sz w:val="24"/>
        </w:rPr>
        <w:t>şekilde yerine</w:t>
      </w:r>
      <w:r>
        <w:rPr>
          <w:spacing w:val="-12"/>
          <w:sz w:val="24"/>
        </w:rPr>
        <w:t xml:space="preserve"> </w:t>
      </w:r>
      <w:r>
        <w:rPr>
          <w:sz w:val="24"/>
        </w:rPr>
        <w:t>getirmelerine</w:t>
      </w:r>
      <w:r>
        <w:rPr>
          <w:spacing w:val="-14"/>
          <w:sz w:val="24"/>
        </w:rPr>
        <w:t xml:space="preserve"> </w:t>
      </w:r>
      <w:r>
        <w:rPr>
          <w:sz w:val="24"/>
        </w:rPr>
        <w:t>olanak</w:t>
      </w:r>
      <w:r>
        <w:rPr>
          <w:spacing w:val="-13"/>
          <w:sz w:val="24"/>
        </w:rPr>
        <w:t xml:space="preserve"> </w:t>
      </w:r>
      <w:r>
        <w:rPr>
          <w:sz w:val="24"/>
        </w:rPr>
        <w:t>tanır</w:t>
      </w:r>
      <w:r>
        <w:rPr>
          <w:spacing w:val="-14"/>
          <w:sz w:val="24"/>
        </w:rPr>
        <w:t xml:space="preserve"> </w:t>
      </w:r>
      <w:r>
        <w:rPr>
          <w:sz w:val="24"/>
        </w:rPr>
        <w:t>(Craig,</w:t>
      </w:r>
      <w:r>
        <w:rPr>
          <w:spacing w:val="-13"/>
          <w:sz w:val="24"/>
        </w:rPr>
        <w:t xml:space="preserve"> </w:t>
      </w:r>
      <w:r>
        <w:rPr>
          <w:sz w:val="24"/>
        </w:rPr>
        <w:t>2013:1-5).</w:t>
      </w:r>
      <w:r>
        <w:rPr>
          <w:spacing w:val="-13"/>
          <w:sz w:val="24"/>
        </w:rPr>
        <w:t xml:space="preserve"> </w:t>
      </w:r>
      <w:r>
        <w:rPr>
          <w:sz w:val="24"/>
        </w:rPr>
        <w:t>Örneğin,</w:t>
      </w:r>
      <w:r>
        <w:rPr>
          <w:spacing w:val="-13"/>
          <w:sz w:val="24"/>
        </w:rPr>
        <w:t xml:space="preserve"> </w:t>
      </w:r>
      <w:r>
        <w:rPr>
          <w:sz w:val="24"/>
        </w:rPr>
        <w:t>tarihi</w:t>
      </w:r>
      <w:r>
        <w:rPr>
          <w:spacing w:val="-12"/>
          <w:sz w:val="24"/>
        </w:rPr>
        <w:t xml:space="preserve"> </w:t>
      </w:r>
      <w:r>
        <w:rPr>
          <w:sz w:val="24"/>
        </w:rPr>
        <w:t>bir</w:t>
      </w:r>
      <w:r>
        <w:rPr>
          <w:spacing w:val="-13"/>
          <w:sz w:val="24"/>
        </w:rPr>
        <w:t xml:space="preserve"> </w:t>
      </w:r>
      <w:r>
        <w:rPr>
          <w:sz w:val="24"/>
        </w:rPr>
        <w:t>binanın</w:t>
      </w:r>
      <w:r>
        <w:rPr>
          <w:spacing w:val="-13"/>
          <w:sz w:val="24"/>
        </w:rPr>
        <w:t xml:space="preserve"> </w:t>
      </w:r>
      <w:r>
        <w:rPr>
          <w:sz w:val="24"/>
        </w:rPr>
        <w:t>önünde</w:t>
      </w:r>
      <w:r>
        <w:rPr>
          <w:spacing w:val="-14"/>
          <w:sz w:val="24"/>
        </w:rPr>
        <w:t xml:space="preserve"> </w:t>
      </w:r>
      <w:r>
        <w:rPr>
          <w:sz w:val="24"/>
        </w:rPr>
        <w:t>duran bir</w:t>
      </w:r>
      <w:r>
        <w:rPr>
          <w:spacing w:val="-12"/>
          <w:sz w:val="24"/>
        </w:rPr>
        <w:t xml:space="preserve"> </w:t>
      </w:r>
      <w:r>
        <w:rPr>
          <w:sz w:val="24"/>
        </w:rPr>
        <w:t>kişi,</w:t>
      </w:r>
      <w:r>
        <w:rPr>
          <w:spacing w:val="-12"/>
          <w:sz w:val="24"/>
        </w:rPr>
        <w:t xml:space="preserve"> </w:t>
      </w:r>
      <w:r>
        <w:rPr>
          <w:sz w:val="24"/>
        </w:rPr>
        <w:t>AR</w:t>
      </w:r>
      <w:r>
        <w:rPr>
          <w:spacing w:val="-11"/>
          <w:sz w:val="24"/>
        </w:rPr>
        <w:t xml:space="preserve"> </w:t>
      </w:r>
      <w:r>
        <w:rPr>
          <w:sz w:val="24"/>
        </w:rPr>
        <w:t>gözlükleri</w:t>
      </w:r>
      <w:r>
        <w:rPr>
          <w:spacing w:val="-12"/>
          <w:sz w:val="24"/>
        </w:rPr>
        <w:t xml:space="preserve"> </w:t>
      </w:r>
      <w:r>
        <w:rPr>
          <w:sz w:val="24"/>
        </w:rPr>
        <w:t>aracılığıyla</w:t>
      </w:r>
      <w:r>
        <w:rPr>
          <w:spacing w:val="-12"/>
          <w:sz w:val="24"/>
        </w:rPr>
        <w:t xml:space="preserve"> </w:t>
      </w:r>
      <w:r>
        <w:rPr>
          <w:sz w:val="24"/>
        </w:rPr>
        <w:t>o</w:t>
      </w:r>
      <w:r>
        <w:rPr>
          <w:spacing w:val="-12"/>
          <w:sz w:val="24"/>
        </w:rPr>
        <w:t xml:space="preserve"> </w:t>
      </w:r>
      <w:r>
        <w:rPr>
          <w:sz w:val="24"/>
        </w:rPr>
        <w:t>binanın</w:t>
      </w:r>
      <w:r>
        <w:rPr>
          <w:spacing w:val="-12"/>
          <w:sz w:val="24"/>
        </w:rPr>
        <w:t xml:space="preserve"> </w:t>
      </w:r>
      <w:r>
        <w:rPr>
          <w:sz w:val="24"/>
        </w:rPr>
        <w:t>tarihçesi</w:t>
      </w:r>
      <w:r>
        <w:rPr>
          <w:spacing w:val="-11"/>
          <w:sz w:val="24"/>
        </w:rPr>
        <w:t xml:space="preserve"> </w:t>
      </w:r>
      <w:r>
        <w:rPr>
          <w:sz w:val="24"/>
        </w:rPr>
        <w:t>hakkında</w:t>
      </w:r>
      <w:r>
        <w:rPr>
          <w:spacing w:val="-12"/>
          <w:sz w:val="24"/>
        </w:rPr>
        <w:t xml:space="preserve"> </w:t>
      </w:r>
      <w:r>
        <w:rPr>
          <w:sz w:val="24"/>
        </w:rPr>
        <w:t>bilgileri</w:t>
      </w:r>
      <w:r>
        <w:rPr>
          <w:spacing w:val="-9"/>
          <w:sz w:val="24"/>
        </w:rPr>
        <w:t xml:space="preserve"> </w:t>
      </w:r>
      <w:r>
        <w:rPr>
          <w:sz w:val="24"/>
        </w:rPr>
        <w:t>görebilir</w:t>
      </w:r>
      <w:r>
        <w:rPr>
          <w:spacing w:val="-12"/>
          <w:sz w:val="24"/>
        </w:rPr>
        <w:t xml:space="preserve"> </w:t>
      </w:r>
      <w:r>
        <w:rPr>
          <w:sz w:val="24"/>
        </w:rPr>
        <w:t>(Challenor ve</w:t>
      </w:r>
      <w:r>
        <w:rPr>
          <w:spacing w:val="-2"/>
          <w:sz w:val="24"/>
        </w:rPr>
        <w:t xml:space="preserve"> </w:t>
      </w:r>
      <w:r>
        <w:rPr>
          <w:sz w:val="24"/>
        </w:rPr>
        <w:t>Ma,</w:t>
      </w:r>
      <w:r>
        <w:rPr>
          <w:spacing w:val="-1"/>
          <w:sz w:val="24"/>
        </w:rPr>
        <w:t xml:space="preserve"> </w:t>
      </w:r>
      <w:r>
        <w:rPr>
          <w:sz w:val="24"/>
        </w:rPr>
        <w:t>2019:39)</w:t>
      </w:r>
      <w:r>
        <w:rPr>
          <w:spacing w:val="40"/>
          <w:sz w:val="24"/>
        </w:rPr>
        <w:t xml:space="preserve"> </w:t>
      </w:r>
      <w:r>
        <w:rPr>
          <w:sz w:val="24"/>
        </w:rPr>
        <w:t>veya bir</w:t>
      </w:r>
      <w:r>
        <w:rPr>
          <w:spacing w:val="-2"/>
          <w:sz w:val="24"/>
        </w:rPr>
        <w:t xml:space="preserve"> </w:t>
      </w:r>
      <w:r>
        <w:rPr>
          <w:sz w:val="24"/>
        </w:rPr>
        <w:t>montaj</w:t>
      </w:r>
      <w:r>
        <w:rPr>
          <w:spacing w:val="-1"/>
          <w:sz w:val="24"/>
        </w:rPr>
        <w:t xml:space="preserve"> </w:t>
      </w:r>
      <w:r>
        <w:rPr>
          <w:sz w:val="24"/>
        </w:rPr>
        <w:t>hattında</w:t>
      </w:r>
      <w:r>
        <w:rPr>
          <w:spacing w:val="-2"/>
          <w:sz w:val="24"/>
        </w:rPr>
        <w:t xml:space="preserve"> </w:t>
      </w:r>
      <w:r>
        <w:rPr>
          <w:sz w:val="24"/>
        </w:rPr>
        <w:t>çalışan bir</w:t>
      </w:r>
      <w:r>
        <w:rPr>
          <w:spacing w:val="-2"/>
          <w:sz w:val="24"/>
        </w:rPr>
        <w:t xml:space="preserve"> </w:t>
      </w:r>
      <w:r>
        <w:rPr>
          <w:sz w:val="24"/>
        </w:rPr>
        <w:t>teknisyen,</w:t>
      </w:r>
      <w:r>
        <w:rPr>
          <w:spacing w:val="-1"/>
          <w:sz w:val="24"/>
        </w:rPr>
        <w:t xml:space="preserve"> </w:t>
      </w:r>
      <w:r>
        <w:rPr>
          <w:sz w:val="24"/>
        </w:rPr>
        <w:t>makine</w:t>
      </w:r>
      <w:r>
        <w:rPr>
          <w:spacing w:val="-2"/>
          <w:sz w:val="24"/>
        </w:rPr>
        <w:t xml:space="preserve"> </w:t>
      </w:r>
      <w:r>
        <w:rPr>
          <w:sz w:val="24"/>
        </w:rPr>
        <w:t>parçaları</w:t>
      </w:r>
      <w:r>
        <w:rPr>
          <w:spacing w:val="-1"/>
          <w:sz w:val="24"/>
        </w:rPr>
        <w:t xml:space="preserve"> </w:t>
      </w:r>
      <w:r>
        <w:rPr>
          <w:sz w:val="24"/>
        </w:rPr>
        <w:t>hakkında adım adım talimatları doğrudan görüş alanında alabilir (Zhu v</w:t>
      </w:r>
      <w:r>
        <w:rPr>
          <w:rFonts w:hint="default"/>
          <w:sz w:val="24"/>
          <w:lang w:val="tr-TR"/>
        </w:rPr>
        <w:t>d.</w:t>
      </w:r>
      <w:r>
        <w:rPr>
          <w:sz w:val="24"/>
        </w:rPr>
        <w:t>, 2013: 1699).</w:t>
      </w:r>
    </w:p>
    <w:p w14:paraId="1D46C81E">
      <w:pPr>
        <w:pStyle w:val="28"/>
        <w:numPr>
          <w:ilvl w:val="0"/>
          <w:numId w:val="9"/>
        </w:numPr>
        <w:tabs>
          <w:tab w:val="left" w:pos="419"/>
        </w:tabs>
        <w:spacing w:before="120" w:after="120" w:line="360" w:lineRule="auto"/>
        <w:ind w:left="0" w:firstLine="567"/>
        <w:jc w:val="both"/>
        <w:rPr>
          <w:sz w:val="24"/>
        </w:rPr>
      </w:pPr>
      <w:r>
        <w:rPr>
          <w:b/>
          <w:sz w:val="24"/>
        </w:rPr>
        <w:t xml:space="preserve">Artırılmış Sanallık (AV): </w:t>
      </w:r>
      <w:r>
        <w:rPr>
          <w:sz w:val="24"/>
        </w:rPr>
        <w:t>Bu ortam, temelde sanal olsa da, gerçek dünya unsurlarıyla zenginleştirilmiştir (Ternier v</w:t>
      </w:r>
      <w:r>
        <w:rPr>
          <w:rFonts w:hint="default"/>
          <w:sz w:val="24"/>
          <w:lang w:val="tr-TR"/>
        </w:rPr>
        <w:t>d.</w:t>
      </w:r>
      <w:r>
        <w:rPr>
          <w:sz w:val="24"/>
        </w:rPr>
        <w:t>, 2012: 2143). Örneğin, bir video oyununda gerçek zamanlı olarak yayınlanan dış dünya görüntüleri veya sensörlerden alınan verilerle etkileşime girilebilir (Grischkan, 2022:62). Bu, sanal dünyaya bir dereceye kadar gerçeklik hissi</w:t>
      </w:r>
      <w:r>
        <w:rPr>
          <w:spacing w:val="-5"/>
          <w:sz w:val="24"/>
        </w:rPr>
        <w:t xml:space="preserve"> </w:t>
      </w:r>
      <w:r>
        <w:rPr>
          <w:sz w:val="24"/>
        </w:rPr>
        <w:t>katmak</w:t>
      </w:r>
      <w:r>
        <w:rPr>
          <w:spacing w:val="-4"/>
          <w:sz w:val="24"/>
        </w:rPr>
        <w:t xml:space="preserve"> </w:t>
      </w:r>
      <w:r>
        <w:rPr>
          <w:sz w:val="24"/>
        </w:rPr>
        <w:t>için</w:t>
      </w:r>
      <w:r>
        <w:rPr>
          <w:spacing w:val="-4"/>
          <w:sz w:val="24"/>
        </w:rPr>
        <w:t xml:space="preserve"> </w:t>
      </w:r>
      <w:r>
        <w:rPr>
          <w:sz w:val="24"/>
        </w:rPr>
        <w:t>kullanılır</w:t>
      </w:r>
      <w:r>
        <w:rPr>
          <w:spacing w:val="-4"/>
          <w:sz w:val="24"/>
        </w:rPr>
        <w:t xml:space="preserve"> </w:t>
      </w:r>
      <w:r>
        <w:rPr>
          <w:sz w:val="24"/>
        </w:rPr>
        <w:t>ve</w:t>
      </w:r>
      <w:r>
        <w:rPr>
          <w:spacing w:val="-2"/>
          <w:sz w:val="24"/>
        </w:rPr>
        <w:t xml:space="preserve"> </w:t>
      </w:r>
      <w:r>
        <w:rPr>
          <w:sz w:val="24"/>
        </w:rPr>
        <w:t>genellikle</w:t>
      </w:r>
      <w:r>
        <w:rPr>
          <w:spacing w:val="-4"/>
          <w:sz w:val="24"/>
        </w:rPr>
        <w:t xml:space="preserve"> </w:t>
      </w:r>
      <w:r>
        <w:rPr>
          <w:sz w:val="24"/>
        </w:rPr>
        <w:t>kullanıcıya</w:t>
      </w:r>
      <w:r>
        <w:rPr>
          <w:spacing w:val="-5"/>
          <w:sz w:val="24"/>
        </w:rPr>
        <w:t xml:space="preserve"> </w:t>
      </w:r>
      <w:r>
        <w:rPr>
          <w:sz w:val="24"/>
        </w:rPr>
        <w:t>daha</w:t>
      </w:r>
      <w:r>
        <w:rPr>
          <w:spacing w:val="-5"/>
          <w:sz w:val="24"/>
        </w:rPr>
        <w:t xml:space="preserve"> </w:t>
      </w:r>
      <w:r>
        <w:rPr>
          <w:sz w:val="24"/>
        </w:rPr>
        <w:t>sürükleyici</w:t>
      </w:r>
      <w:r>
        <w:rPr>
          <w:spacing w:val="-3"/>
          <w:sz w:val="24"/>
        </w:rPr>
        <w:t xml:space="preserve"> </w:t>
      </w:r>
      <w:r>
        <w:rPr>
          <w:sz w:val="24"/>
        </w:rPr>
        <w:t>bir</w:t>
      </w:r>
      <w:r>
        <w:rPr>
          <w:spacing w:val="-4"/>
          <w:sz w:val="24"/>
        </w:rPr>
        <w:t xml:space="preserve"> </w:t>
      </w:r>
      <w:r>
        <w:rPr>
          <w:sz w:val="24"/>
        </w:rPr>
        <w:t>deneyim</w:t>
      </w:r>
      <w:r>
        <w:rPr>
          <w:spacing w:val="-2"/>
          <w:sz w:val="24"/>
        </w:rPr>
        <w:t xml:space="preserve"> sunabilir.</w:t>
      </w:r>
    </w:p>
    <w:p w14:paraId="1B23E7ED">
      <w:pPr>
        <w:pStyle w:val="28"/>
        <w:numPr>
          <w:ilvl w:val="0"/>
          <w:numId w:val="9"/>
        </w:numPr>
        <w:tabs>
          <w:tab w:val="left" w:pos="486"/>
        </w:tabs>
        <w:spacing w:before="120" w:after="120" w:line="360" w:lineRule="auto"/>
        <w:ind w:left="0" w:firstLine="567"/>
        <w:jc w:val="both"/>
        <w:rPr>
          <w:sz w:val="24"/>
          <w:szCs w:val="24"/>
        </w:rPr>
      </w:pPr>
      <w:r>
        <w:rPr>
          <w:b/>
          <w:sz w:val="24"/>
        </w:rPr>
        <w:t xml:space="preserve">Sanal Ortam (VR): </w:t>
      </w:r>
      <w:r>
        <w:rPr>
          <w:sz w:val="24"/>
        </w:rPr>
        <w:t>Sanal gerçeklik, kullanıcıyı çevresel uyaranlardan tamamen soyutlayarak tamamen sanal bir dünyaya taşımaktadır (Wohlgenannt ve diğerleri, 2020: 455). Burada, kullanıcılar baştan sona dijital olarak oluşturulmuş bir ortamda etkileşimde bulunurlar</w:t>
      </w:r>
      <w:r>
        <w:rPr>
          <w:spacing w:val="57"/>
          <w:w w:val="150"/>
          <w:sz w:val="24"/>
        </w:rPr>
        <w:t xml:space="preserve"> </w:t>
      </w:r>
      <w:r>
        <w:rPr>
          <w:sz w:val="24"/>
        </w:rPr>
        <w:t>(LaValle,</w:t>
      </w:r>
      <w:r>
        <w:rPr>
          <w:spacing w:val="62"/>
          <w:w w:val="150"/>
          <w:sz w:val="24"/>
        </w:rPr>
        <w:t xml:space="preserve"> </w:t>
      </w:r>
      <w:r>
        <w:rPr>
          <w:sz w:val="24"/>
        </w:rPr>
        <w:t>2023:1-3).</w:t>
      </w:r>
      <w:r>
        <w:rPr>
          <w:spacing w:val="61"/>
          <w:w w:val="150"/>
          <w:sz w:val="24"/>
          <w:szCs w:val="24"/>
        </w:rPr>
        <w:t xml:space="preserve"> </w:t>
      </w:r>
      <w:r>
        <w:rPr>
          <w:sz w:val="24"/>
          <w:szCs w:val="24"/>
        </w:rPr>
        <w:t>Bu</w:t>
      </w:r>
      <w:r>
        <w:rPr>
          <w:spacing w:val="59"/>
          <w:w w:val="150"/>
          <w:sz w:val="24"/>
          <w:szCs w:val="24"/>
        </w:rPr>
        <w:t xml:space="preserve"> </w:t>
      </w:r>
      <w:r>
        <w:rPr>
          <w:sz w:val="24"/>
          <w:szCs w:val="24"/>
        </w:rPr>
        <w:t>ortam,</w:t>
      </w:r>
      <w:r>
        <w:rPr>
          <w:spacing w:val="61"/>
          <w:w w:val="150"/>
          <w:sz w:val="24"/>
          <w:szCs w:val="24"/>
        </w:rPr>
        <w:t xml:space="preserve"> </w:t>
      </w:r>
      <w:r>
        <w:rPr>
          <w:sz w:val="24"/>
          <w:szCs w:val="24"/>
        </w:rPr>
        <w:t>özellikle</w:t>
      </w:r>
      <w:r>
        <w:rPr>
          <w:spacing w:val="59"/>
          <w:w w:val="150"/>
          <w:sz w:val="24"/>
          <w:szCs w:val="24"/>
        </w:rPr>
        <w:t xml:space="preserve"> </w:t>
      </w:r>
      <w:r>
        <w:rPr>
          <w:sz w:val="24"/>
          <w:szCs w:val="24"/>
        </w:rPr>
        <w:t>eğitim,</w:t>
      </w:r>
      <w:r>
        <w:rPr>
          <w:spacing w:val="59"/>
          <w:w w:val="150"/>
          <w:sz w:val="24"/>
          <w:szCs w:val="24"/>
        </w:rPr>
        <w:t xml:space="preserve"> </w:t>
      </w:r>
      <w:r>
        <w:rPr>
          <w:sz w:val="24"/>
          <w:szCs w:val="24"/>
        </w:rPr>
        <w:t>eğlence</w:t>
      </w:r>
      <w:r>
        <w:rPr>
          <w:spacing w:val="61"/>
          <w:w w:val="150"/>
          <w:sz w:val="24"/>
          <w:szCs w:val="24"/>
        </w:rPr>
        <w:t xml:space="preserve"> </w:t>
      </w:r>
      <w:r>
        <w:rPr>
          <w:sz w:val="24"/>
          <w:szCs w:val="24"/>
        </w:rPr>
        <w:t>ve</w:t>
      </w:r>
      <w:r>
        <w:rPr>
          <w:spacing w:val="60"/>
          <w:w w:val="150"/>
          <w:sz w:val="24"/>
          <w:szCs w:val="24"/>
        </w:rPr>
        <w:t xml:space="preserve"> </w:t>
      </w:r>
      <w:r>
        <w:rPr>
          <w:spacing w:val="-2"/>
          <w:sz w:val="24"/>
          <w:szCs w:val="24"/>
        </w:rPr>
        <w:t xml:space="preserve">profesyonel </w:t>
      </w:r>
      <w:r>
        <w:rPr>
          <w:sz w:val="24"/>
          <w:szCs w:val="24"/>
        </w:rPr>
        <w:t>simülasyon</w:t>
      </w:r>
      <w:r>
        <w:rPr>
          <w:spacing w:val="-8"/>
          <w:sz w:val="24"/>
          <w:szCs w:val="24"/>
        </w:rPr>
        <w:t xml:space="preserve"> </w:t>
      </w:r>
      <w:r>
        <w:rPr>
          <w:sz w:val="24"/>
          <w:szCs w:val="24"/>
        </w:rPr>
        <w:t>gibi</w:t>
      </w:r>
      <w:r>
        <w:rPr>
          <w:spacing w:val="-10"/>
          <w:sz w:val="24"/>
          <w:szCs w:val="24"/>
        </w:rPr>
        <w:t xml:space="preserve"> </w:t>
      </w:r>
      <w:r>
        <w:rPr>
          <w:sz w:val="24"/>
          <w:szCs w:val="24"/>
        </w:rPr>
        <w:t>alanlarda</w:t>
      </w:r>
      <w:r>
        <w:rPr>
          <w:spacing w:val="-11"/>
          <w:sz w:val="24"/>
          <w:szCs w:val="24"/>
        </w:rPr>
        <w:t xml:space="preserve"> </w:t>
      </w:r>
      <w:r>
        <w:rPr>
          <w:sz w:val="24"/>
          <w:szCs w:val="24"/>
        </w:rPr>
        <w:t>kullanılarak</w:t>
      </w:r>
      <w:r>
        <w:rPr>
          <w:spacing w:val="-8"/>
          <w:sz w:val="24"/>
          <w:szCs w:val="24"/>
        </w:rPr>
        <w:t xml:space="preserve"> </w:t>
      </w:r>
      <w:r>
        <w:rPr>
          <w:sz w:val="24"/>
          <w:szCs w:val="24"/>
        </w:rPr>
        <w:t>kullanıcıları</w:t>
      </w:r>
      <w:r>
        <w:rPr>
          <w:spacing w:val="-7"/>
          <w:sz w:val="24"/>
          <w:szCs w:val="24"/>
        </w:rPr>
        <w:t xml:space="preserve"> </w:t>
      </w:r>
      <w:r>
        <w:rPr>
          <w:sz w:val="24"/>
          <w:szCs w:val="24"/>
        </w:rPr>
        <w:t>tamamen</w:t>
      </w:r>
      <w:r>
        <w:rPr>
          <w:spacing w:val="-8"/>
          <w:sz w:val="24"/>
          <w:szCs w:val="24"/>
        </w:rPr>
        <w:t xml:space="preserve"> </w:t>
      </w:r>
      <w:r>
        <w:rPr>
          <w:sz w:val="24"/>
          <w:szCs w:val="24"/>
        </w:rPr>
        <w:t>farklı</w:t>
      </w:r>
      <w:r>
        <w:rPr>
          <w:spacing w:val="-10"/>
          <w:sz w:val="24"/>
          <w:szCs w:val="24"/>
        </w:rPr>
        <w:t xml:space="preserve"> </w:t>
      </w:r>
      <w:r>
        <w:rPr>
          <w:sz w:val="24"/>
          <w:szCs w:val="24"/>
        </w:rPr>
        <w:t>bir</w:t>
      </w:r>
      <w:r>
        <w:rPr>
          <w:spacing w:val="-6"/>
          <w:sz w:val="24"/>
          <w:szCs w:val="24"/>
        </w:rPr>
        <w:t xml:space="preserve"> </w:t>
      </w:r>
      <w:r>
        <w:rPr>
          <w:sz w:val="24"/>
          <w:szCs w:val="24"/>
        </w:rPr>
        <w:t>gerçekliğe</w:t>
      </w:r>
      <w:r>
        <w:rPr>
          <w:spacing w:val="-9"/>
          <w:sz w:val="24"/>
          <w:szCs w:val="24"/>
        </w:rPr>
        <w:t xml:space="preserve"> </w:t>
      </w:r>
      <w:r>
        <w:rPr>
          <w:sz w:val="24"/>
          <w:szCs w:val="24"/>
        </w:rPr>
        <w:t>taşıyabilir (Zheng ve diğerleri, 1998:20-23).</w:t>
      </w:r>
    </w:p>
    <w:p w14:paraId="648FDA97">
      <w:pPr>
        <w:pStyle w:val="9"/>
        <w:spacing w:before="120" w:after="120" w:line="360" w:lineRule="auto"/>
        <w:ind w:left="0" w:firstLine="567"/>
      </w:pPr>
      <w:r>
        <w:t>Bu süreklilik boyunca geçiş yapabilme yeteneği, özellikle giyilebilir teknolojiler, akıllı gözlükler ve hareket algılama cihazları gibi yenilikçi araçlar sayesinde giderek daha fazla önem kazanmaktadır (Demirci, 2018: 985). Bu cihazlar, kullanıcıların gerçek ve sanal dünyalar arasında sorunsuz bir şekilde geçiş yapmalarını sağlayarak, her iki dünyanın da avantajlarından</w:t>
      </w:r>
      <w:r>
        <w:rPr>
          <w:spacing w:val="-15"/>
        </w:rPr>
        <w:t xml:space="preserve"> </w:t>
      </w:r>
      <w:r>
        <w:t>en</w:t>
      </w:r>
      <w:r>
        <w:rPr>
          <w:spacing w:val="-15"/>
        </w:rPr>
        <w:t xml:space="preserve"> </w:t>
      </w:r>
      <w:r>
        <w:t>iyi</w:t>
      </w:r>
      <w:r>
        <w:rPr>
          <w:spacing w:val="-15"/>
        </w:rPr>
        <w:t xml:space="preserve"> </w:t>
      </w:r>
      <w:r>
        <w:t>şekilde</w:t>
      </w:r>
      <w:r>
        <w:rPr>
          <w:spacing w:val="-15"/>
        </w:rPr>
        <w:t xml:space="preserve"> </w:t>
      </w:r>
      <w:r>
        <w:t>yararlanmalarına</w:t>
      </w:r>
      <w:r>
        <w:rPr>
          <w:spacing w:val="-15"/>
        </w:rPr>
        <w:t xml:space="preserve"> </w:t>
      </w:r>
      <w:r>
        <w:t>olanak</w:t>
      </w:r>
      <w:r>
        <w:rPr>
          <w:spacing w:val="-15"/>
        </w:rPr>
        <w:t xml:space="preserve"> </w:t>
      </w:r>
      <w:r>
        <w:t>tanımaktadır</w:t>
      </w:r>
      <w:r>
        <w:rPr>
          <w:spacing w:val="-15"/>
        </w:rPr>
        <w:t xml:space="preserve"> </w:t>
      </w:r>
      <w:r>
        <w:t>(Ham</w:t>
      </w:r>
      <w:r>
        <w:rPr>
          <w:spacing w:val="-15"/>
        </w:rPr>
        <w:t xml:space="preserve"> </w:t>
      </w:r>
      <w:r>
        <w:t>ve</w:t>
      </w:r>
      <w:r>
        <w:rPr>
          <w:spacing w:val="-15"/>
        </w:rPr>
        <w:t xml:space="preserve"> </w:t>
      </w:r>
      <w:r>
        <w:t>diğerleri,</w:t>
      </w:r>
      <w:r>
        <w:rPr>
          <w:spacing w:val="-15"/>
        </w:rPr>
        <w:t xml:space="preserve"> </w:t>
      </w:r>
      <w:r>
        <w:t>2014: 109). Bu geçişler, hem bireysel kullanım hem de eğitim, sağlık hizmetleri, üretim ve diğer endüstriyel uygulamalar için önemli fırsatlar sunmaktadır. Örneğin, bir cerrah sanal gerçeklik ortamında bir operasyonu prova edebilir ve ardından gerçek bir ameliyata daha hazırlıklı olarak girebilir (Aïm ve diğerleri, 2016: 224). Bu teknolojilerin entegrasyonu, gerçeklikle sanallığın birleştiği yeni bir etkileşim biçimi oluşturarak kullanıcı deneyimini zenginleştirir ve çeşitli sektörlerde verimliliği artırabilir.</w:t>
      </w:r>
    </w:p>
    <w:p w14:paraId="00A5FCAE">
      <w:pPr>
        <w:pStyle w:val="5"/>
        <w:spacing w:before="240" w:after="240" w:line="360" w:lineRule="auto"/>
        <w:ind w:left="567"/>
        <w:rPr>
          <w:rFonts w:ascii="Times New Roman" w:hAnsi="Times New Roman" w:cs="Times New Roman"/>
          <w:b/>
          <w:i w:val="0"/>
          <w:color w:val="auto"/>
          <w:sz w:val="24"/>
        </w:rPr>
      </w:pPr>
      <w:bookmarkStart w:id="110" w:name="_Toc195875810"/>
      <w:bookmarkStart w:id="111" w:name="_Toc195877795"/>
      <w:bookmarkStart w:id="112" w:name="_Toc197351248"/>
      <w:r>
        <w:rPr>
          <w:rFonts w:ascii="Times New Roman" w:hAnsi="Times New Roman" w:cs="Times New Roman"/>
          <w:b/>
          <w:i w:val="0"/>
          <w:color w:val="auto"/>
          <w:sz w:val="24"/>
        </w:rPr>
        <w:t>2.3.6.4. Daldırma</w:t>
      </w:r>
      <w:bookmarkEnd w:id="110"/>
      <w:bookmarkEnd w:id="111"/>
      <w:bookmarkEnd w:id="112"/>
    </w:p>
    <w:p w14:paraId="50C5E35E">
      <w:pPr>
        <w:pStyle w:val="9"/>
        <w:spacing w:before="120" w:after="120" w:line="360" w:lineRule="auto"/>
        <w:ind w:left="0" w:firstLine="567"/>
      </w:pPr>
      <w:r>
        <w:t xml:space="preserve">Sanal gerçeklik (VR) ve artırılmış gerçeklik (AR) alanlarında ilerlerken, ikna edici bir ullanıcı deneyimi yaratmak büyük ölçüde ulaşılabilecek daldırma derecesine bağlıdır. Daldırma, bir kişinin kendisini fiziksel olmayan bir dünyanın parçası olarak algıladığı subjektif izlenimi ifade eder; bu, kişiyi kapsayan görüntüler, sesler veya diğer uyarıcılarla oluşturulan etkileyici bir çevre yaratılarak sağlanır. Yüksek kaliteli grafikler, 3D ses ve etkileşimli ortamlar gibi teknolojik yönler, kullanıcıların sanal ortamda "içinde" oldukları hissini belirleyen önemli unsurlardır ve VR ve AR uygulamalarının etkinliği için kritiktir (Slater </w:t>
      </w:r>
      <w:r>
        <w:rPr>
          <w:rFonts w:hint="default"/>
          <w:lang w:val="tr-TR"/>
        </w:rPr>
        <w:t>ve</w:t>
      </w:r>
      <w:r>
        <w:t xml:space="preserve"> Wilbur, 1997: 603).</w:t>
      </w:r>
    </w:p>
    <w:p w14:paraId="4E73C211">
      <w:pPr>
        <w:pStyle w:val="9"/>
        <w:spacing w:before="120" w:after="120" w:line="360" w:lineRule="auto"/>
        <w:ind w:left="0" w:firstLine="567"/>
      </w:pPr>
      <w:r>
        <w:t>Görsel sadakat, daldırıcı teknolojide hayati öneme sahiptir. Yüksek kaliteli grafikler, kullanıcıların görsel duyularını etkileyen gerçekçi sanal ortamlar yaratmada önemli bir rol oynar.</w:t>
      </w:r>
      <w:r>
        <w:rPr>
          <w:spacing w:val="-10"/>
        </w:rPr>
        <w:t xml:space="preserve"> </w:t>
      </w:r>
      <w:r>
        <w:t>Bu,</w:t>
      </w:r>
      <w:r>
        <w:rPr>
          <w:spacing w:val="-12"/>
        </w:rPr>
        <w:t xml:space="preserve"> </w:t>
      </w:r>
      <w:r>
        <w:t>detaylı</w:t>
      </w:r>
      <w:r>
        <w:rPr>
          <w:spacing w:val="-11"/>
        </w:rPr>
        <w:t xml:space="preserve"> </w:t>
      </w:r>
      <w:r>
        <w:t>dokular,</w:t>
      </w:r>
      <w:r>
        <w:rPr>
          <w:spacing w:val="-12"/>
        </w:rPr>
        <w:t xml:space="preserve"> </w:t>
      </w:r>
      <w:r>
        <w:t>sofistike</w:t>
      </w:r>
      <w:r>
        <w:rPr>
          <w:spacing w:val="-12"/>
        </w:rPr>
        <w:t xml:space="preserve"> </w:t>
      </w:r>
      <w:r>
        <w:t>aydınlatma</w:t>
      </w:r>
      <w:r>
        <w:rPr>
          <w:spacing w:val="-10"/>
        </w:rPr>
        <w:t xml:space="preserve"> </w:t>
      </w:r>
      <w:r>
        <w:t>efektleri</w:t>
      </w:r>
      <w:r>
        <w:rPr>
          <w:spacing w:val="-12"/>
        </w:rPr>
        <w:t xml:space="preserve"> </w:t>
      </w:r>
      <w:r>
        <w:t>ve</w:t>
      </w:r>
      <w:r>
        <w:rPr>
          <w:spacing w:val="-6"/>
        </w:rPr>
        <w:t xml:space="preserve"> </w:t>
      </w:r>
      <w:r>
        <w:t>yüksek</w:t>
      </w:r>
      <w:r>
        <w:rPr>
          <w:spacing w:val="-9"/>
        </w:rPr>
        <w:t xml:space="preserve"> </w:t>
      </w:r>
      <w:r>
        <w:t>çözünürlüklü</w:t>
      </w:r>
      <w:r>
        <w:rPr>
          <w:spacing w:val="-11"/>
        </w:rPr>
        <w:t xml:space="preserve"> </w:t>
      </w:r>
      <w:r>
        <w:t>görüntüler içerir.</w:t>
      </w:r>
      <w:r>
        <w:rPr>
          <w:spacing w:val="-15"/>
        </w:rPr>
        <w:t xml:space="preserve"> </w:t>
      </w:r>
      <w:r>
        <w:t>Araştırmalar,</w:t>
      </w:r>
      <w:r>
        <w:rPr>
          <w:spacing w:val="-15"/>
        </w:rPr>
        <w:t xml:space="preserve"> </w:t>
      </w:r>
      <w:r>
        <w:t>görsel</w:t>
      </w:r>
      <w:r>
        <w:rPr>
          <w:spacing w:val="-15"/>
        </w:rPr>
        <w:t xml:space="preserve"> </w:t>
      </w:r>
      <w:r>
        <w:t>temsil</w:t>
      </w:r>
      <w:r>
        <w:rPr>
          <w:spacing w:val="-15"/>
        </w:rPr>
        <w:t xml:space="preserve"> </w:t>
      </w:r>
      <w:r>
        <w:t>ne</w:t>
      </w:r>
      <w:r>
        <w:rPr>
          <w:spacing w:val="-15"/>
        </w:rPr>
        <w:t xml:space="preserve"> </w:t>
      </w:r>
      <w:r>
        <w:t>kadar</w:t>
      </w:r>
      <w:r>
        <w:rPr>
          <w:spacing w:val="-15"/>
        </w:rPr>
        <w:t xml:space="preserve"> </w:t>
      </w:r>
      <w:r>
        <w:t>gerçekçi</w:t>
      </w:r>
      <w:r>
        <w:rPr>
          <w:spacing w:val="-15"/>
        </w:rPr>
        <w:t xml:space="preserve"> </w:t>
      </w:r>
      <w:r>
        <w:t>olursa,</w:t>
      </w:r>
      <w:r>
        <w:rPr>
          <w:spacing w:val="-15"/>
        </w:rPr>
        <w:t xml:space="preserve"> </w:t>
      </w:r>
      <w:r>
        <w:t>kullanıcıların</w:t>
      </w:r>
      <w:r>
        <w:rPr>
          <w:spacing w:val="-15"/>
        </w:rPr>
        <w:t xml:space="preserve"> </w:t>
      </w:r>
      <w:r>
        <w:t>sanal</w:t>
      </w:r>
      <w:r>
        <w:rPr>
          <w:spacing w:val="-15"/>
        </w:rPr>
        <w:t xml:space="preserve"> </w:t>
      </w:r>
      <w:r>
        <w:t>ortamı</w:t>
      </w:r>
      <w:r>
        <w:rPr>
          <w:spacing w:val="-15"/>
        </w:rPr>
        <w:t xml:space="preserve"> </w:t>
      </w:r>
      <w:r>
        <w:t>gerçek olarak kabul etme olasılığının o kadar arttığını göstermiştir, bu da varlık hissini artırır (Bormann,</w:t>
      </w:r>
      <w:r>
        <w:rPr>
          <w:spacing w:val="-11"/>
        </w:rPr>
        <w:t xml:space="preserve"> </w:t>
      </w:r>
      <w:r>
        <w:t>2016:</w:t>
      </w:r>
      <w:r>
        <w:rPr>
          <w:spacing w:val="-11"/>
        </w:rPr>
        <w:t xml:space="preserve"> </w:t>
      </w:r>
      <w:r>
        <w:t>191).</w:t>
      </w:r>
      <w:r>
        <w:rPr>
          <w:spacing w:val="-12"/>
        </w:rPr>
        <w:t xml:space="preserve"> </w:t>
      </w:r>
      <w:r>
        <w:t>GPU</w:t>
      </w:r>
      <w:r>
        <w:rPr>
          <w:spacing w:val="-11"/>
        </w:rPr>
        <w:t xml:space="preserve"> </w:t>
      </w:r>
      <w:r>
        <w:t>teknolojisindeki</w:t>
      </w:r>
      <w:r>
        <w:rPr>
          <w:spacing w:val="-11"/>
        </w:rPr>
        <w:t xml:space="preserve"> </w:t>
      </w:r>
      <w:r>
        <w:t>modern</w:t>
      </w:r>
      <w:r>
        <w:rPr>
          <w:spacing w:val="-12"/>
        </w:rPr>
        <w:t xml:space="preserve"> </w:t>
      </w:r>
      <w:r>
        <w:t>ilerlemeler</w:t>
      </w:r>
      <w:r>
        <w:rPr>
          <w:spacing w:val="-12"/>
        </w:rPr>
        <w:t xml:space="preserve"> </w:t>
      </w:r>
      <w:r>
        <w:t>ve</w:t>
      </w:r>
      <w:r>
        <w:rPr>
          <w:spacing w:val="-11"/>
        </w:rPr>
        <w:t xml:space="preserve"> </w:t>
      </w:r>
      <w:r>
        <w:t>grafik</w:t>
      </w:r>
      <w:r>
        <w:rPr>
          <w:spacing w:val="-12"/>
        </w:rPr>
        <w:t xml:space="preserve"> </w:t>
      </w:r>
      <w:r>
        <w:t>işleme</w:t>
      </w:r>
      <w:r>
        <w:rPr>
          <w:spacing w:val="-11"/>
        </w:rPr>
        <w:t xml:space="preserve"> </w:t>
      </w:r>
      <w:r>
        <w:rPr>
          <w:spacing w:val="-2"/>
        </w:rPr>
        <w:t>teknikleri,</w:t>
      </w:r>
      <w:r>
        <w:t xml:space="preserve"> gerçeklikten neredeyse ayırt edilemeyecek kadar yaşam benzeri sahneler yaratılmasına olanak tanımıştır.</w:t>
      </w:r>
    </w:p>
    <w:p w14:paraId="1DCF90CA">
      <w:pPr>
        <w:pStyle w:val="9"/>
        <w:spacing w:before="120" w:after="120" w:line="360" w:lineRule="auto"/>
        <w:ind w:left="0" w:firstLine="567"/>
      </w:pPr>
      <w:r>
        <w:t>Ses teknolojisi, daldırma deneyimini artırmada eşit derecede kritik bir bileşendir. Uzamsal ses veya 3D ses, sesi üç boyutlu bir alan izlenimi yaratacak şekilde simüle ederek sanal dünyanın gerçekçiliğini artırır. Lokki ve Grohn (2005: 883)’e göre, 3D ses, görsel ortamla uyumlu işitsel ipuçları sağlayarak varlık hissine önemli katkılarda bulunur. Bu uyum, kullanıcıların</w:t>
      </w:r>
      <w:r>
        <w:rPr>
          <w:spacing w:val="-14"/>
        </w:rPr>
        <w:t xml:space="preserve"> </w:t>
      </w:r>
      <w:r>
        <w:t>sesleri</w:t>
      </w:r>
      <w:r>
        <w:rPr>
          <w:spacing w:val="-14"/>
        </w:rPr>
        <w:t xml:space="preserve"> </w:t>
      </w:r>
      <w:r>
        <w:t>mekansal</w:t>
      </w:r>
      <w:r>
        <w:rPr>
          <w:spacing w:val="-14"/>
        </w:rPr>
        <w:t xml:space="preserve"> </w:t>
      </w:r>
      <w:r>
        <w:t>olarak</w:t>
      </w:r>
      <w:r>
        <w:rPr>
          <w:spacing w:val="-9"/>
        </w:rPr>
        <w:t xml:space="preserve"> </w:t>
      </w:r>
      <w:r>
        <w:t>yerleştirmelerine</w:t>
      </w:r>
      <w:r>
        <w:rPr>
          <w:spacing w:val="-15"/>
        </w:rPr>
        <w:t xml:space="preserve"> </w:t>
      </w:r>
      <w:r>
        <w:t>izin</w:t>
      </w:r>
      <w:r>
        <w:rPr>
          <w:spacing w:val="-14"/>
        </w:rPr>
        <w:t xml:space="preserve"> </w:t>
      </w:r>
      <w:r>
        <w:t>verir,</w:t>
      </w:r>
      <w:r>
        <w:rPr>
          <w:spacing w:val="-14"/>
        </w:rPr>
        <w:t xml:space="preserve"> </w:t>
      </w:r>
      <w:r>
        <w:t>bu</w:t>
      </w:r>
      <w:r>
        <w:rPr>
          <w:spacing w:val="-14"/>
        </w:rPr>
        <w:t xml:space="preserve"> </w:t>
      </w:r>
      <w:r>
        <w:t>da</w:t>
      </w:r>
      <w:r>
        <w:rPr>
          <w:spacing w:val="-15"/>
        </w:rPr>
        <w:t xml:space="preserve"> </w:t>
      </w:r>
      <w:r>
        <w:t>onları</w:t>
      </w:r>
      <w:r>
        <w:rPr>
          <w:spacing w:val="-14"/>
        </w:rPr>
        <w:t xml:space="preserve"> </w:t>
      </w:r>
      <w:r>
        <w:t>sanal</w:t>
      </w:r>
      <w:r>
        <w:rPr>
          <w:spacing w:val="-14"/>
        </w:rPr>
        <w:t xml:space="preserve"> </w:t>
      </w:r>
      <w:r>
        <w:t>dünyaya daha fazla daldırır ve deneyimi daha ikna edici ve etkileşimli hale getirir.</w:t>
      </w:r>
    </w:p>
    <w:p w14:paraId="6D36B6E2">
      <w:pPr>
        <w:pStyle w:val="9"/>
        <w:spacing w:before="120" w:after="120" w:line="360" w:lineRule="auto"/>
        <w:ind w:left="0" w:firstLine="567"/>
      </w:pPr>
      <w:r>
        <w:t>Kullanıcıların</w:t>
      </w:r>
      <w:r>
        <w:rPr>
          <w:spacing w:val="-8"/>
        </w:rPr>
        <w:t xml:space="preserve"> </w:t>
      </w:r>
      <w:r>
        <w:t>ortamla</w:t>
      </w:r>
      <w:r>
        <w:rPr>
          <w:spacing w:val="-9"/>
        </w:rPr>
        <w:t xml:space="preserve"> </w:t>
      </w:r>
      <w:r>
        <w:t>etkileşime</w:t>
      </w:r>
      <w:r>
        <w:rPr>
          <w:spacing w:val="-8"/>
        </w:rPr>
        <w:t xml:space="preserve"> </w:t>
      </w:r>
      <w:r>
        <w:t>girebilme</w:t>
      </w:r>
      <w:r>
        <w:rPr>
          <w:spacing w:val="-5"/>
        </w:rPr>
        <w:t xml:space="preserve"> </w:t>
      </w:r>
      <w:r>
        <w:t>yeteneği,</w:t>
      </w:r>
      <w:r>
        <w:rPr>
          <w:spacing w:val="-7"/>
        </w:rPr>
        <w:t xml:space="preserve"> </w:t>
      </w:r>
      <w:r>
        <w:t>daldırma</w:t>
      </w:r>
      <w:r>
        <w:rPr>
          <w:spacing w:val="-9"/>
        </w:rPr>
        <w:t xml:space="preserve"> </w:t>
      </w:r>
      <w:r>
        <w:t>derinliği</w:t>
      </w:r>
      <w:r>
        <w:rPr>
          <w:spacing w:val="-7"/>
        </w:rPr>
        <w:t xml:space="preserve"> </w:t>
      </w:r>
      <w:r>
        <w:t>üzerinde</w:t>
      </w:r>
      <w:r>
        <w:rPr>
          <w:spacing w:val="-9"/>
        </w:rPr>
        <w:t xml:space="preserve"> </w:t>
      </w:r>
      <w:r>
        <w:t>önemli</w:t>
      </w:r>
      <w:r>
        <w:rPr>
          <w:spacing w:val="-7"/>
        </w:rPr>
        <w:t xml:space="preserve"> </w:t>
      </w:r>
      <w:r>
        <w:t>bir etkiye sahiptir. Kullanıcı girişlerine gerçek zamanlı olarak yanıt veren etkileşimli ortamlar, sanal</w:t>
      </w:r>
      <w:r>
        <w:rPr>
          <w:spacing w:val="-15"/>
        </w:rPr>
        <w:t xml:space="preserve"> </w:t>
      </w:r>
      <w:r>
        <w:t>dünyanın</w:t>
      </w:r>
      <w:r>
        <w:rPr>
          <w:spacing w:val="-14"/>
        </w:rPr>
        <w:t xml:space="preserve"> </w:t>
      </w:r>
      <w:r>
        <w:t>gerçekçiliğini</w:t>
      </w:r>
      <w:r>
        <w:rPr>
          <w:spacing w:val="-15"/>
        </w:rPr>
        <w:t xml:space="preserve"> </w:t>
      </w:r>
      <w:r>
        <w:t>artırır.</w:t>
      </w:r>
      <w:r>
        <w:rPr>
          <w:spacing w:val="-15"/>
        </w:rPr>
        <w:t xml:space="preserve"> </w:t>
      </w:r>
      <w:r>
        <w:t>Bowman</w:t>
      </w:r>
      <w:r>
        <w:rPr>
          <w:spacing w:val="-14"/>
        </w:rPr>
        <w:t xml:space="preserve"> </w:t>
      </w:r>
      <w:r>
        <w:t>ve</w:t>
      </w:r>
      <w:r>
        <w:rPr>
          <w:spacing w:val="-14"/>
        </w:rPr>
        <w:t xml:space="preserve"> </w:t>
      </w:r>
      <w:r>
        <w:t>McMahan</w:t>
      </w:r>
      <w:r>
        <w:rPr>
          <w:spacing w:val="-14"/>
        </w:rPr>
        <w:t xml:space="preserve"> </w:t>
      </w:r>
      <w:r>
        <w:t>(2007:</w:t>
      </w:r>
      <w:r>
        <w:rPr>
          <w:spacing w:val="-14"/>
        </w:rPr>
        <w:t xml:space="preserve"> </w:t>
      </w:r>
      <w:r>
        <w:t>36)’a</w:t>
      </w:r>
      <w:r>
        <w:rPr>
          <w:spacing w:val="-14"/>
        </w:rPr>
        <w:t xml:space="preserve"> </w:t>
      </w:r>
      <w:r>
        <w:t>göre,</w:t>
      </w:r>
      <w:r>
        <w:rPr>
          <w:spacing w:val="-15"/>
        </w:rPr>
        <w:t xml:space="preserve"> </w:t>
      </w:r>
      <w:r>
        <w:t xml:space="preserve">kullanıcıların alıp kullanabileceği veya manipüle edebileceği nesneler gibi etkileşimli unsurlar sunan ortamlar, kullanıcıların sanal dünyayla daha fazla bağ kurmasını sağlar. Bu bağlantı, sanal alanın gerçek dünyanın bir uzantısı olarak algılanmasını sürdürmek için hayati öneme </w:t>
      </w:r>
      <w:r>
        <w:rPr>
          <w:spacing w:val="-2"/>
        </w:rPr>
        <w:t>sahiptir.</w:t>
      </w:r>
    </w:p>
    <w:p w14:paraId="5E3F2B2A">
      <w:pPr>
        <w:pStyle w:val="9"/>
        <w:spacing w:before="120" w:after="120" w:line="360" w:lineRule="auto"/>
        <w:ind w:left="0" w:firstLine="567"/>
      </w:pPr>
      <w:r>
        <w:t xml:space="preserve">Yüksek kaliteli grafikler, 3D ses ve etkileşim kabiliyetlerinin sorunsuz entegrasyonu, etkili </w:t>
      </w:r>
      <w:r>
        <w:rPr>
          <w:spacing w:val="-2"/>
        </w:rPr>
        <w:t>bir</w:t>
      </w:r>
      <w:r>
        <w:rPr>
          <w:spacing w:val="-5"/>
        </w:rPr>
        <w:t xml:space="preserve"> </w:t>
      </w:r>
      <w:r>
        <w:rPr>
          <w:spacing w:val="-2"/>
        </w:rPr>
        <w:t>daldırma</w:t>
      </w:r>
      <w:r>
        <w:rPr>
          <w:spacing w:val="-6"/>
        </w:rPr>
        <w:t xml:space="preserve"> </w:t>
      </w:r>
      <w:r>
        <w:rPr>
          <w:spacing w:val="-2"/>
        </w:rPr>
        <w:t>deneyimi yaratmak</w:t>
      </w:r>
      <w:r>
        <w:rPr>
          <w:spacing w:val="-5"/>
        </w:rPr>
        <w:t xml:space="preserve"> </w:t>
      </w:r>
      <w:r>
        <w:rPr>
          <w:spacing w:val="-2"/>
        </w:rPr>
        <w:t>için</w:t>
      </w:r>
      <w:r>
        <w:rPr>
          <w:spacing w:val="-5"/>
        </w:rPr>
        <w:t xml:space="preserve"> </w:t>
      </w:r>
      <w:r>
        <w:rPr>
          <w:spacing w:val="-2"/>
        </w:rPr>
        <w:t>anahtardır. Dede</w:t>
      </w:r>
      <w:r>
        <w:rPr>
          <w:spacing w:val="-6"/>
        </w:rPr>
        <w:t xml:space="preserve"> </w:t>
      </w:r>
      <w:r>
        <w:rPr>
          <w:spacing w:val="-2"/>
        </w:rPr>
        <w:t>(2009:</w:t>
      </w:r>
      <w:r>
        <w:rPr>
          <w:spacing w:val="-3"/>
        </w:rPr>
        <w:t xml:space="preserve"> </w:t>
      </w:r>
      <w:r>
        <w:rPr>
          <w:spacing w:val="-2"/>
        </w:rPr>
        <w:t>66-69)’ye göre, grafik</w:t>
      </w:r>
      <w:r>
        <w:rPr>
          <w:spacing w:val="-5"/>
        </w:rPr>
        <w:t xml:space="preserve"> </w:t>
      </w:r>
      <w:r>
        <w:rPr>
          <w:spacing w:val="-2"/>
        </w:rPr>
        <w:t xml:space="preserve">sadakati, </w:t>
      </w:r>
      <w:r>
        <w:t>ses</w:t>
      </w:r>
      <w:r>
        <w:rPr>
          <w:spacing w:val="-13"/>
        </w:rPr>
        <w:t xml:space="preserve"> </w:t>
      </w:r>
      <w:r>
        <w:t>derinliği</w:t>
      </w:r>
      <w:r>
        <w:rPr>
          <w:spacing w:val="-13"/>
        </w:rPr>
        <w:t xml:space="preserve"> </w:t>
      </w:r>
      <w:r>
        <w:t>ve</w:t>
      </w:r>
      <w:r>
        <w:rPr>
          <w:spacing w:val="-12"/>
        </w:rPr>
        <w:t xml:space="preserve"> </w:t>
      </w:r>
      <w:r>
        <w:t>etkileşim</w:t>
      </w:r>
      <w:r>
        <w:rPr>
          <w:spacing w:val="-12"/>
        </w:rPr>
        <w:t xml:space="preserve"> </w:t>
      </w:r>
      <w:r>
        <w:t>iyi</w:t>
      </w:r>
      <w:r>
        <w:rPr>
          <w:spacing w:val="-13"/>
        </w:rPr>
        <w:t xml:space="preserve"> </w:t>
      </w:r>
      <w:r>
        <w:t>entegre</w:t>
      </w:r>
      <w:r>
        <w:rPr>
          <w:spacing w:val="-14"/>
        </w:rPr>
        <w:t xml:space="preserve"> </w:t>
      </w:r>
      <w:r>
        <w:t>edildiğinde,</w:t>
      </w:r>
      <w:r>
        <w:rPr>
          <w:spacing w:val="-11"/>
        </w:rPr>
        <w:t xml:space="preserve"> </w:t>
      </w:r>
      <w:r>
        <w:t>gerçek</w:t>
      </w:r>
      <w:r>
        <w:rPr>
          <w:spacing w:val="-13"/>
        </w:rPr>
        <w:t xml:space="preserve"> </w:t>
      </w:r>
      <w:r>
        <w:t>hayattaki</w:t>
      </w:r>
      <w:r>
        <w:rPr>
          <w:spacing w:val="-13"/>
        </w:rPr>
        <w:t xml:space="preserve"> </w:t>
      </w:r>
      <w:r>
        <w:t>etkileşimleri</w:t>
      </w:r>
      <w:r>
        <w:rPr>
          <w:spacing w:val="-13"/>
        </w:rPr>
        <w:t xml:space="preserve"> </w:t>
      </w:r>
      <w:r>
        <w:t>ikna</w:t>
      </w:r>
      <w:r>
        <w:rPr>
          <w:spacing w:val="-14"/>
        </w:rPr>
        <w:t xml:space="preserve"> </w:t>
      </w:r>
      <w:r>
        <w:t>edici</w:t>
      </w:r>
      <w:r>
        <w:rPr>
          <w:spacing w:val="-13"/>
        </w:rPr>
        <w:t xml:space="preserve"> </w:t>
      </w:r>
      <w:r>
        <w:t>bir şekilde taklit eden uyumlu bir deneyim yaratırlar. Bu entegrasyon, kullanıcıların sanal ortamla etkileşim kurmak için gerekli zihinsel çabayı azaltmaya yardımcı olur ve böylece genel daldırma deneyimini artırır.</w:t>
      </w:r>
    </w:p>
    <w:p w14:paraId="1F013A32">
      <w:pPr>
        <w:pStyle w:val="9"/>
        <w:spacing w:before="120" w:after="120" w:line="360" w:lineRule="auto"/>
        <w:ind w:left="0" w:firstLine="567"/>
      </w:pPr>
      <w:r>
        <w:t>VR ve AR teknolojileri geliştikçe, geliştirilmiş grafikler, uzamsal ses ve etkileşim yoluyla daldırmayı</w:t>
      </w:r>
      <w:r>
        <w:rPr>
          <w:spacing w:val="-5"/>
        </w:rPr>
        <w:t xml:space="preserve"> </w:t>
      </w:r>
      <w:r>
        <w:t>artırma</w:t>
      </w:r>
      <w:r>
        <w:rPr>
          <w:spacing w:val="-6"/>
        </w:rPr>
        <w:t xml:space="preserve"> </w:t>
      </w:r>
      <w:r>
        <w:t>odak</w:t>
      </w:r>
      <w:r>
        <w:rPr>
          <w:spacing w:val="-5"/>
        </w:rPr>
        <w:t xml:space="preserve"> </w:t>
      </w:r>
      <w:r>
        <w:t>noktası</w:t>
      </w:r>
      <w:r>
        <w:rPr>
          <w:spacing w:val="-5"/>
        </w:rPr>
        <w:t xml:space="preserve"> </w:t>
      </w:r>
      <w:r>
        <w:t>önemli</w:t>
      </w:r>
      <w:r>
        <w:rPr>
          <w:spacing w:val="-5"/>
        </w:rPr>
        <w:t xml:space="preserve"> </w:t>
      </w:r>
      <w:r>
        <w:t>olmaya</w:t>
      </w:r>
      <w:r>
        <w:rPr>
          <w:spacing w:val="-6"/>
        </w:rPr>
        <w:t xml:space="preserve"> </w:t>
      </w:r>
      <w:r>
        <w:t>devam</w:t>
      </w:r>
      <w:r>
        <w:rPr>
          <w:spacing w:val="-5"/>
        </w:rPr>
        <w:t xml:space="preserve"> </w:t>
      </w:r>
      <w:r>
        <w:t>edecektir.</w:t>
      </w:r>
      <w:r>
        <w:rPr>
          <w:spacing w:val="-5"/>
        </w:rPr>
        <w:t xml:space="preserve"> </w:t>
      </w:r>
      <w:r>
        <w:t>Bu</w:t>
      </w:r>
      <w:r>
        <w:rPr>
          <w:spacing w:val="-5"/>
        </w:rPr>
        <w:t xml:space="preserve"> </w:t>
      </w:r>
      <w:r>
        <w:t>daldırıcı</w:t>
      </w:r>
      <w:r>
        <w:rPr>
          <w:spacing w:val="-5"/>
        </w:rPr>
        <w:t xml:space="preserve"> </w:t>
      </w:r>
      <w:r>
        <w:t>deneyimlerin etkinliği, bu teknolojik unsurların sorunsuz entegrasyonuna büyük ölçüde bağlıdır, bu da sadece</w:t>
      </w:r>
      <w:r>
        <w:rPr>
          <w:spacing w:val="-7"/>
        </w:rPr>
        <w:t xml:space="preserve"> </w:t>
      </w:r>
      <w:r>
        <w:t>varlık</w:t>
      </w:r>
      <w:r>
        <w:rPr>
          <w:spacing w:val="-8"/>
        </w:rPr>
        <w:t xml:space="preserve"> </w:t>
      </w:r>
      <w:r>
        <w:t>hissini</w:t>
      </w:r>
      <w:r>
        <w:rPr>
          <w:spacing w:val="-8"/>
        </w:rPr>
        <w:t xml:space="preserve"> </w:t>
      </w:r>
      <w:r>
        <w:t>artırmakla</w:t>
      </w:r>
      <w:r>
        <w:rPr>
          <w:spacing w:val="-9"/>
        </w:rPr>
        <w:t xml:space="preserve"> </w:t>
      </w:r>
      <w:r>
        <w:t>kalmaz,</w:t>
      </w:r>
      <w:r>
        <w:rPr>
          <w:spacing w:val="-8"/>
        </w:rPr>
        <w:t xml:space="preserve"> </w:t>
      </w:r>
      <w:r>
        <w:t>aynı</w:t>
      </w:r>
      <w:r>
        <w:rPr>
          <w:spacing w:val="-8"/>
        </w:rPr>
        <w:t xml:space="preserve"> </w:t>
      </w:r>
      <w:r>
        <w:t>zamanda</w:t>
      </w:r>
      <w:r>
        <w:rPr>
          <w:spacing w:val="-9"/>
        </w:rPr>
        <w:t xml:space="preserve"> </w:t>
      </w:r>
      <w:r>
        <w:t>sanal</w:t>
      </w:r>
      <w:r>
        <w:rPr>
          <w:spacing w:val="-8"/>
        </w:rPr>
        <w:t xml:space="preserve"> </w:t>
      </w:r>
      <w:r>
        <w:t>ortamların</w:t>
      </w:r>
      <w:r>
        <w:rPr>
          <w:spacing w:val="-9"/>
        </w:rPr>
        <w:t xml:space="preserve"> </w:t>
      </w:r>
      <w:r>
        <w:t>faydasını,</w:t>
      </w:r>
      <w:r>
        <w:rPr>
          <w:spacing w:val="-8"/>
        </w:rPr>
        <w:t xml:space="preserve"> </w:t>
      </w:r>
      <w:r>
        <w:t>keyfini</w:t>
      </w:r>
      <w:r>
        <w:rPr>
          <w:spacing w:val="-8"/>
        </w:rPr>
        <w:t xml:space="preserve"> </w:t>
      </w:r>
      <w:r>
        <w:t>ve uygulamalı çok yönlülüğünü en üst düzeye çıkarır. Bu alandaki devam eden ilerlemeler, dijital içerikle nasıl etkileşim kurduğumuzu devrim niteliğinde değiştirmeyi vaat ediyor, giderek daha gerçekçi ve etkileyici kullanıcı deneyimleri sunuyor (Abbas vd.,2023:1524).</w:t>
      </w:r>
    </w:p>
    <w:p w14:paraId="575F228C">
      <w:pPr>
        <w:pStyle w:val="5"/>
        <w:spacing w:before="240" w:after="240" w:line="360" w:lineRule="auto"/>
        <w:ind w:left="567"/>
        <w:rPr>
          <w:rFonts w:ascii="Times New Roman" w:hAnsi="Times New Roman" w:cs="Times New Roman"/>
          <w:b/>
          <w:i w:val="0"/>
          <w:color w:val="auto"/>
          <w:sz w:val="24"/>
        </w:rPr>
      </w:pPr>
      <w:bookmarkStart w:id="113" w:name="_Toc195877796"/>
      <w:bookmarkStart w:id="114" w:name="_Toc197351249"/>
      <w:bookmarkStart w:id="115" w:name="_Toc195875811"/>
      <w:r>
        <w:rPr>
          <w:rFonts w:ascii="Times New Roman" w:hAnsi="Times New Roman" w:cs="Times New Roman"/>
          <w:b/>
          <w:i w:val="0"/>
          <w:color w:val="auto"/>
          <w:sz w:val="24"/>
        </w:rPr>
        <w:t>2.3.6.5. Bulunma Algısı</w:t>
      </w:r>
      <w:bookmarkEnd w:id="113"/>
      <w:bookmarkEnd w:id="114"/>
      <w:bookmarkEnd w:id="115"/>
    </w:p>
    <w:p w14:paraId="77E3C6BD">
      <w:pPr>
        <w:pStyle w:val="9"/>
        <w:spacing w:before="120" w:after="120" w:line="360" w:lineRule="auto"/>
        <w:ind w:left="0" w:firstLine="567"/>
      </w:pPr>
      <w:r>
        <w:t>"Varlık</w:t>
      </w:r>
      <w:r>
        <w:rPr>
          <w:spacing w:val="-3"/>
        </w:rPr>
        <w:t xml:space="preserve"> </w:t>
      </w:r>
      <w:r>
        <w:t>hissi"</w:t>
      </w:r>
      <w:r>
        <w:rPr>
          <w:spacing w:val="-1"/>
        </w:rPr>
        <w:t xml:space="preserve"> </w:t>
      </w:r>
      <w:r>
        <w:t>ya</w:t>
      </w:r>
      <w:r>
        <w:rPr>
          <w:spacing w:val="-1"/>
        </w:rPr>
        <w:t xml:space="preserve"> </w:t>
      </w:r>
      <w:r>
        <w:t>da</w:t>
      </w:r>
      <w:r>
        <w:rPr>
          <w:spacing w:val="-4"/>
        </w:rPr>
        <w:t xml:space="preserve"> </w:t>
      </w:r>
      <w:r>
        <w:t>sıklıkla</w:t>
      </w:r>
      <w:r>
        <w:rPr>
          <w:spacing w:val="-4"/>
        </w:rPr>
        <w:t xml:space="preserve"> </w:t>
      </w:r>
      <w:r>
        <w:t>kullanılan</w:t>
      </w:r>
      <w:r>
        <w:rPr>
          <w:spacing w:val="-3"/>
        </w:rPr>
        <w:t xml:space="preserve"> </w:t>
      </w:r>
      <w:r>
        <w:t>diğer</w:t>
      </w:r>
      <w:r>
        <w:rPr>
          <w:spacing w:val="-2"/>
        </w:rPr>
        <w:t xml:space="preserve"> </w:t>
      </w:r>
      <w:r>
        <w:t>adıyla</w:t>
      </w:r>
      <w:r>
        <w:rPr>
          <w:spacing w:val="-2"/>
        </w:rPr>
        <w:t xml:space="preserve"> </w:t>
      </w:r>
      <w:r>
        <w:t>"Bulunma</w:t>
      </w:r>
      <w:r>
        <w:rPr>
          <w:spacing w:val="-2"/>
        </w:rPr>
        <w:t xml:space="preserve"> </w:t>
      </w:r>
      <w:r>
        <w:t>Algısı",</w:t>
      </w:r>
      <w:r>
        <w:rPr>
          <w:spacing w:val="-3"/>
        </w:rPr>
        <w:t xml:space="preserve"> </w:t>
      </w:r>
      <w:r>
        <w:t>sanal</w:t>
      </w:r>
      <w:r>
        <w:rPr>
          <w:spacing w:val="-3"/>
        </w:rPr>
        <w:t xml:space="preserve"> </w:t>
      </w:r>
      <w:r>
        <w:t>gerçeklik</w:t>
      </w:r>
      <w:r>
        <w:rPr>
          <w:spacing w:val="-3"/>
        </w:rPr>
        <w:t xml:space="preserve"> </w:t>
      </w:r>
      <w:r>
        <w:t>(VR) ve artırılmış gerçeklik (AR) alanlarında merkezi bir kavramdır. Kullanıcıların, fiziksel olarak</w:t>
      </w:r>
      <w:r>
        <w:rPr>
          <w:spacing w:val="-12"/>
        </w:rPr>
        <w:t xml:space="preserve"> </w:t>
      </w:r>
      <w:r>
        <w:t>başka</w:t>
      </w:r>
      <w:r>
        <w:rPr>
          <w:spacing w:val="-12"/>
        </w:rPr>
        <w:t xml:space="preserve"> </w:t>
      </w:r>
      <w:r>
        <w:t>bir</w:t>
      </w:r>
      <w:r>
        <w:rPr>
          <w:spacing w:val="-12"/>
        </w:rPr>
        <w:t xml:space="preserve"> </w:t>
      </w:r>
      <w:r>
        <w:t>mekanda</w:t>
      </w:r>
      <w:r>
        <w:rPr>
          <w:spacing w:val="-10"/>
        </w:rPr>
        <w:t xml:space="preserve"> </w:t>
      </w:r>
      <w:r>
        <w:t>bulunmalarına</w:t>
      </w:r>
      <w:r>
        <w:rPr>
          <w:spacing w:val="-10"/>
        </w:rPr>
        <w:t xml:space="preserve"> </w:t>
      </w:r>
      <w:r>
        <w:t>rağmen,</w:t>
      </w:r>
      <w:r>
        <w:rPr>
          <w:spacing w:val="-10"/>
        </w:rPr>
        <w:t xml:space="preserve"> </w:t>
      </w:r>
      <w:r>
        <w:t>kendilerini</w:t>
      </w:r>
      <w:r>
        <w:rPr>
          <w:spacing w:val="-9"/>
        </w:rPr>
        <w:t xml:space="preserve"> </w:t>
      </w:r>
      <w:r>
        <w:t>gerçekten</w:t>
      </w:r>
      <w:r>
        <w:rPr>
          <w:spacing w:val="-10"/>
        </w:rPr>
        <w:t xml:space="preserve"> </w:t>
      </w:r>
      <w:r>
        <w:t>sanal</w:t>
      </w:r>
      <w:r>
        <w:rPr>
          <w:spacing w:val="-9"/>
        </w:rPr>
        <w:t xml:space="preserve"> </w:t>
      </w:r>
      <w:r>
        <w:t>veya</w:t>
      </w:r>
      <w:r>
        <w:rPr>
          <w:spacing w:val="-10"/>
        </w:rPr>
        <w:t xml:space="preserve"> </w:t>
      </w:r>
      <w:r>
        <w:t xml:space="preserve">artırılmış bir ortamda "orada" olarak algılamalarını ifade eder. Bu his, VR ve AR teknolojilerinin etkinliği ve daldırıcılığı için temeldir ve kullanıcı katılımını, memnuniyetini ve genel deneyim faydasını etkiler (Slater </w:t>
      </w:r>
      <w:r>
        <w:rPr>
          <w:rFonts w:hint="default"/>
          <w:lang w:val="tr-TR"/>
        </w:rPr>
        <w:t>ve</w:t>
      </w:r>
      <w:r>
        <w:t xml:space="preserve"> Wilbur, 1997: 603).</w:t>
      </w:r>
    </w:p>
    <w:p w14:paraId="3DFDB2C8">
      <w:pPr>
        <w:pStyle w:val="9"/>
        <w:spacing w:before="120" w:after="120" w:line="360" w:lineRule="auto"/>
        <w:ind w:left="0" w:firstLine="567"/>
      </w:pPr>
      <w:r>
        <w:t>Bulunma Algısı, bir kişinin kendini bir sanal ortamda varmış gibi hissetmesinin derecesi olarak</w:t>
      </w:r>
      <w:r>
        <w:rPr>
          <w:spacing w:val="-9"/>
        </w:rPr>
        <w:t xml:space="preserve"> </w:t>
      </w:r>
      <w:r>
        <w:t>anlaşılabilir,</w:t>
      </w:r>
      <w:r>
        <w:rPr>
          <w:spacing w:val="-10"/>
        </w:rPr>
        <w:t xml:space="preserve"> </w:t>
      </w:r>
      <w:r>
        <w:t>fiziksel</w:t>
      </w:r>
      <w:r>
        <w:rPr>
          <w:spacing w:val="-9"/>
        </w:rPr>
        <w:t xml:space="preserve"> </w:t>
      </w:r>
      <w:r>
        <w:t>olarak</w:t>
      </w:r>
      <w:r>
        <w:rPr>
          <w:spacing w:val="-9"/>
        </w:rPr>
        <w:t xml:space="preserve"> </w:t>
      </w:r>
      <w:r>
        <w:t>bulunduğu</w:t>
      </w:r>
      <w:r>
        <w:rPr>
          <w:spacing w:val="-9"/>
        </w:rPr>
        <w:t xml:space="preserve"> </w:t>
      </w:r>
      <w:r>
        <w:t>mekan</w:t>
      </w:r>
      <w:r>
        <w:rPr>
          <w:spacing w:val="-9"/>
        </w:rPr>
        <w:t xml:space="preserve"> </w:t>
      </w:r>
      <w:r>
        <w:t>değil.</w:t>
      </w:r>
      <w:r>
        <w:rPr>
          <w:spacing w:val="-9"/>
        </w:rPr>
        <w:t xml:space="preserve"> </w:t>
      </w:r>
      <w:r>
        <w:t>Bu,</w:t>
      </w:r>
      <w:r>
        <w:rPr>
          <w:spacing w:val="-9"/>
        </w:rPr>
        <w:t xml:space="preserve"> </w:t>
      </w:r>
      <w:r>
        <w:t>kullanıcının</w:t>
      </w:r>
      <w:r>
        <w:rPr>
          <w:spacing w:val="-7"/>
        </w:rPr>
        <w:t xml:space="preserve"> </w:t>
      </w:r>
      <w:r>
        <w:t>teknolojik</w:t>
      </w:r>
      <w:r>
        <w:rPr>
          <w:spacing w:val="-9"/>
        </w:rPr>
        <w:t xml:space="preserve"> </w:t>
      </w:r>
      <w:r>
        <w:t>aracı (VR</w:t>
      </w:r>
      <w:r>
        <w:rPr>
          <w:spacing w:val="-6"/>
        </w:rPr>
        <w:t xml:space="preserve"> </w:t>
      </w:r>
      <w:r>
        <w:t>başlıkları</w:t>
      </w:r>
      <w:r>
        <w:rPr>
          <w:spacing w:val="-6"/>
        </w:rPr>
        <w:t xml:space="preserve"> </w:t>
      </w:r>
      <w:r>
        <w:t>veya</w:t>
      </w:r>
      <w:r>
        <w:rPr>
          <w:spacing w:val="-8"/>
        </w:rPr>
        <w:t xml:space="preserve"> </w:t>
      </w:r>
      <w:r>
        <w:t>AR</w:t>
      </w:r>
      <w:r>
        <w:rPr>
          <w:spacing w:val="-7"/>
        </w:rPr>
        <w:t xml:space="preserve"> </w:t>
      </w:r>
      <w:r>
        <w:t>cihazları</w:t>
      </w:r>
      <w:r>
        <w:rPr>
          <w:spacing w:val="-6"/>
        </w:rPr>
        <w:t xml:space="preserve"> </w:t>
      </w:r>
      <w:r>
        <w:t>gibi)</w:t>
      </w:r>
      <w:r>
        <w:rPr>
          <w:spacing w:val="-8"/>
        </w:rPr>
        <w:t xml:space="preserve"> </w:t>
      </w:r>
      <w:r>
        <w:t>unuttuğu</w:t>
      </w:r>
      <w:r>
        <w:rPr>
          <w:spacing w:val="-7"/>
        </w:rPr>
        <w:t xml:space="preserve"> </w:t>
      </w:r>
      <w:r>
        <w:t>ve</w:t>
      </w:r>
      <w:r>
        <w:rPr>
          <w:spacing w:val="-8"/>
        </w:rPr>
        <w:t xml:space="preserve"> </w:t>
      </w:r>
      <w:r>
        <w:t>sanal</w:t>
      </w:r>
      <w:r>
        <w:rPr>
          <w:spacing w:val="-6"/>
        </w:rPr>
        <w:t xml:space="preserve"> </w:t>
      </w:r>
      <w:r>
        <w:t>deneyimleri</w:t>
      </w:r>
      <w:r>
        <w:rPr>
          <w:spacing w:val="-6"/>
        </w:rPr>
        <w:t xml:space="preserve"> </w:t>
      </w:r>
      <w:r>
        <w:t>doğrudan</w:t>
      </w:r>
      <w:r>
        <w:rPr>
          <w:spacing w:val="-7"/>
        </w:rPr>
        <w:t xml:space="preserve"> </w:t>
      </w:r>
      <w:r>
        <w:t>algılanan</w:t>
      </w:r>
      <w:r>
        <w:rPr>
          <w:spacing w:val="-7"/>
        </w:rPr>
        <w:t xml:space="preserve"> </w:t>
      </w:r>
      <w:r>
        <w:t>ve gerçekmiş</w:t>
      </w:r>
      <w:r>
        <w:rPr>
          <w:spacing w:val="-10"/>
        </w:rPr>
        <w:t xml:space="preserve"> </w:t>
      </w:r>
      <w:r>
        <w:t>gibi</w:t>
      </w:r>
      <w:r>
        <w:rPr>
          <w:spacing w:val="-12"/>
        </w:rPr>
        <w:t xml:space="preserve"> </w:t>
      </w:r>
      <w:r>
        <w:t>tepki</w:t>
      </w:r>
      <w:r>
        <w:rPr>
          <w:spacing w:val="-13"/>
        </w:rPr>
        <w:t xml:space="preserve"> </w:t>
      </w:r>
      <w:r>
        <w:t>verdiği</w:t>
      </w:r>
      <w:r>
        <w:rPr>
          <w:spacing w:val="-12"/>
        </w:rPr>
        <w:t xml:space="preserve"> </w:t>
      </w:r>
      <w:r>
        <w:t>bir</w:t>
      </w:r>
      <w:r>
        <w:rPr>
          <w:spacing w:val="-13"/>
        </w:rPr>
        <w:t xml:space="preserve"> </w:t>
      </w:r>
      <w:r>
        <w:t>araçsızlık</w:t>
      </w:r>
      <w:r>
        <w:rPr>
          <w:spacing w:val="-10"/>
        </w:rPr>
        <w:t xml:space="preserve"> </w:t>
      </w:r>
      <w:r>
        <w:t>yanılsamasıdır</w:t>
      </w:r>
      <w:r>
        <w:rPr>
          <w:spacing w:val="-13"/>
        </w:rPr>
        <w:t xml:space="preserve"> </w:t>
      </w:r>
      <w:r>
        <w:t>(Lombard</w:t>
      </w:r>
      <w:r>
        <w:rPr>
          <w:spacing w:val="-10"/>
        </w:rPr>
        <w:t xml:space="preserve"> </w:t>
      </w:r>
      <w:r>
        <w:rPr>
          <w:rFonts w:hint="default"/>
          <w:spacing w:val="-10"/>
          <w:lang w:val="tr-TR"/>
        </w:rPr>
        <w:t xml:space="preserve">ve </w:t>
      </w:r>
      <w:r>
        <w:rPr>
          <w:spacing w:val="-14"/>
        </w:rPr>
        <w:t xml:space="preserve"> </w:t>
      </w:r>
      <w:r>
        <w:t>Ditton,</w:t>
      </w:r>
      <w:r>
        <w:rPr>
          <w:spacing w:val="-13"/>
        </w:rPr>
        <w:t xml:space="preserve"> </w:t>
      </w:r>
      <w:r>
        <w:t>1997:1-3).</w:t>
      </w:r>
      <w:r>
        <w:rPr>
          <w:spacing w:val="-13"/>
        </w:rPr>
        <w:t xml:space="preserve"> </w:t>
      </w:r>
      <w:r>
        <w:t>Bu psikolojik durum, daldırıcı teknolojinin tam potansiyeline ulaşması için esastır ve dijital içerik ile insan algısı arasındaki boşluğu kapatır.</w:t>
      </w:r>
    </w:p>
    <w:p w14:paraId="01FCA9C7">
      <w:pPr>
        <w:pStyle w:val="9"/>
        <w:spacing w:before="120" w:after="120" w:line="360" w:lineRule="auto"/>
        <w:ind w:left="0" w:firstLine="567"/>
      </w:pPr>
      <w:r>
        <w:t>Bulunma</w:t>
      </w:r>
      <w:r>
        <w:rPr>
          <w:spacing w:val="-5"/>
        </w:rPr>
        <w:t xml:space="preserve"> </w:t>
      </w:r>
      <w:r>
        <w:t>Algısının</w:t>
      </w:r>
      <w:r>
        <w:rPr>
          <w:spacing w:val="1"/>
        </w:rPr>
        <w:t xml:space="preserve"> </w:t>
      </w:r>
      <w:r>
        <w:t>yoğunluğu</w:t>
      </w:r>
      <w:r>
        <w:rPr>
          <w:spacing w:val="-1"/>
        </w:rPr>
        <w:t xml:space="preserve"> </w:t>
      </w:r>
      <w:r>
        <w:t>ve</w:t>
      </w:r>
      <w:r>
        <w:rPr>
          <w:spacing w:val="-2"/>
        </w:rPr>
        <w:t xml:space="preserve"> </w:t>
      </w:r>
      <w:r>
        <w:t>kalitesine</w:t>
      </w:r>
      <w:r>
        <w:rPr>
          <w:spacing w:val="-3"/>
        </w:rPr>
        <w:t xml:space="preserve"> </w:t>
      </w:r>
      <w:r>
        <w:t>katkıda</w:t>
      </w:r>
      <w:r>
        <w:rPr>
          <w:spacing w:val="-2"/>
        </w:rPr>
        <w:t xml:space="preserve"> </w:t>
      </w:r>
      <w:r>
        <w:t>bulunan</w:t>
      </w:r>
      <w:r>
        <w:rPr>
          <w:spacing w:val="-1"/>
        </w:rPr>
        <w:t xml:space="preserve"> </w:t>
      </w:r>
      <w:r>
        <w:t xml:space="preserve">birkaç faktör </w:t>
      </w:r>
      <w:r>
        <w:rPr>
          <w:spacing w:val="-2"/>
        </w:rPr>
        <w:t>vardır:</w:t>
      </w:r>
    </w:p>
    <w:p w14:paraId="7BE165A4">
      <w:pPr>
        <w:pStyle w:val="28"/>
        <w:numPr>
          <w:ilvl w:val="4"/>
          <w:numId w:val="10"/>
        </w:numPr>
        <w:tabs>
          <w:tab w:val="left" w:pos="880"/>
        </w:tabs>
        <w:spacing w:before="120" w:after="120" w:line="360" w:lineRule="auto"/>
        <w:ind w:left="0" w:firstLine="567"/>
        <w:jc w:val="both"/>
        <w:rPr>
          <w:sz w:val="24"/>
        </w:rPr>
      </w:pPr>
      <w:r>
        <w:rPr>
          <w:b/>
          <w:sz w:val="24"/>
        </w:rPr>
        <w:t>Daldırıcılık</w:t>
      </w:r>
      <w:r>
        <w:rPr>
          <w:sz w:val="24"/>
        </w:rPr>
        <w:t>: Yüksek kaliteli grafikler, 3D ses ve etkileşimli ortamlar gibi daldırıcılığa</w:t>
      </w:r>
      <w:r>
        <w:rPr>
          <w:spacing w:val="-13"/>
          <w:sz w:val="24"/>
        </w:rPr>
        <w:t xml:space="preserve"> </w:t>
      </w:r>
      <w:r>
        <w:rPr>
          <w:sz w:val="24"/>
        </w:rPr>
        <w:t>katkı</w:t>
      </w:r>
      <w:r>
        <w:rPr>
          <w:spacing w:val="-11"/>
          <w:sz w:val="24"/>
        </w:rPr>
        <w:t xml:space="preserve"> </w:t>
      </w:r>
      <w:r>
        <w:rPr>
          <w:sz w:val="24"/>
        </w:rPr>
        <w:t>sağlayan</w:t>
      </w:r>
      <w:r>
        <w:rPr>
          <w:spacing w:val="-12"/>
          <w:sz w:val="24"/>
        </w:rPr>
        <w:t xml:space="preserve"> </w:t>
      </w:r>
      <w:r>
        <w:rPr>
          <w:sz w:val="24"/>
        </w:rPr>
        <w:t>teknolojik</w:t>
      </w:r>
      <w:r>
        <w:rPr>
          <w:spacing w:val="-9"/>
          <w:sz w:val="24"/>
        </w:rPr>
        <w:t xml:space="preserve"> </w:t>
      </w:r>
      <w:r>
        <w:rPr>
          <w:sz w:val="24"/>
        </w:rPr>
        <w:t>yönler</w:t>
      </w:r>
      <w:r>
        <w:rPr>
          <w:spacing w:val="-13"/>
          <w:sz w:val="24"/>
        </w:rPr>
        <w:t xml:space="preserve"> </w:t>
      </w:r>
      <w:r>
        <w:rPr>
          <w:sz w:val="24"/>
        </w:rPr>
        <w:t>kritiktir.</w:t>
      </w:r>
      <w:r>
        <w:rPr>
          <w:spacing w:val="-12"/>
          <w:sz w:val="24"/>
        </w:rPr>
        <w:t xml:space="preserve"> </w:t>
      </w:r>
      <w:r>
        <w:rPr>
          <w:sz w:val="24"/>
        </w:rPr>
        <w:t>Bu</w:t>
      </w:r>
      <w:r>
        <w:rPr>
          <w:spacing w:val="-12"/>
          <w:sz w:val="24"/>
        </w:rPr>
        <w:t xml:space="preserve"> </w:t>
      </w:r>
      <w:r>
        <w:rPr>
          <w:sz w:val="24"/>
        </w:rPr>
        <w:t>unsurlar</w:t>
      </w:r>
      <w:r>
        <w:rPr>
          <w:spacing w:val="-12"/>
          <w:sz w:val="24"/>
        </w:rPr>
        <w:t xml:space="preserve"> </w:t>
      </w:r>
      <w:r>
        <w:rPr>
          <w:sz w:val="24"/>
        </w:rPr>
        <w:t>ne</w:t>
      </w:r>
      <w:r>
        <w:rPr>
          <w:spacing w:val="-13"/>
          <w:sz w:val="24"/>
        </w:rPr>
        <w:t xml:space="preserve"> </w:t>
      </w:r>
      <w:r>
        <w:rPr>
          <w:sz w:val="24"/>
        </w:rPr>
        <w:t>kadar</w:t>
      </w:r>
      <w:r>
        <w:rPr>
          <w:spacing w:val="-10"/>
          <w:sz w:val="24"/>
        </w:rPr>
        <w:t xml:space="preserve"> </w:t>
      </w:r>
      <w:r>
        <w:rPr>
          <w:sz w:val="24"/>
        </w:rPr>
        <w:t>sorunsuz entegre</w:t>
      </w:r>
      <w:r>
        <w:rPr>
          <w:spacing w:val="-4"/>
          <w:sz w:val="24"/>
        </w:rPr>
        <w:t xml:space="preserve"> </w:t>
      </w:r>
      <w:r>
        <w:rPr>
          <w:sz w:val="24"/>
        </w:rPr>
        <w:t>edilirse,</w:t>
      </w:r>
      <w:r>
        <w:rPr>
          <w:spacing w:val="-2"/>
          <w:sz w:val="24"/>
        </w:rPr>
        <w:t xml:space="preserve"> </w:t>
      </w:r>
      <w:r>
        <w:rPr>
          <w:sz w:val="24"/>
        </w:rPr>
        <w:t>kullanıcının</w:t>
      </w:r>
      <w:r>
        <w:rPr>
          <w:spacing w:val="-2"/>
          <w:sz w:val="24"/>
        </w:rPr>
        <w:t xml:space="preserve"> </w:t>
      </w:r>
      <w:r>
        <w:rPr>
          <w:sz w:val="24"/>
        </w:rPr>
        <w:t>bulunma</w:t>
      </w:r>
      <w:r>
        <w:rPr>
          <w:spacing w:val="-3"/>
          <w:sz w:val="24"/>
        </w:rPr>
        <w:t xml:space="preserve"> </w:t>
      </w:r>
      <w:r>
        <w:rPr>
          <w:sz w:val="24"/>
        </w:rPr>
        <w:t>algısı</w:t>
      </w:r>
      <w:r>
        <w:rPr>
          <w:spacing w:val="-1"/>
          <w:sz w:val="24"/>
        </w:rPr>
        <w:t xml:space="preserve"> </w:t>
      </w:r>
      <w:r>
        <w:rPr>
          <w:sz w:val="24"/>
        </w:rPr>
        <w:t>o</w:t>
      </w:r>
      <w:r>
        <w:rPr>
          <w:spacing w:val="-2"/>
          <w:sz w:val="24"/>
        </w:rPr>
        <w:t xml:space="preserve"> </w:t>
      </w:r>
      <w:r>
        <w:rPr>
          <w:sz w:val="24"/>
        </w:rPr>
        <w:t>kadar</w:t>
      </w:r>
      <w:r>
        <w:rPr>
          <w:spacing w:val="-1"/>
          <w:sz w:val="24"/>
        </w:rPr>
        <w:t xml:space="preserve"> </w:t>
      </w:r>
      <w:r>
        <w:rPr>
          <w:sz w:val="24"/>
        </w:rPr>
        <w:t>yüksek</w:t>
      </w:r>
      <w:r>
        <w:rPr>
          <w:spacing w:val="-2"/>
          <w:sz w:val="24"/>
        </w:rPr>
        <w:t xml:space="preserve"> </w:t>
      </w:r>
      <w:r>
        <w:rPr>
          <w:sz w:val="24"/>
        </w:rPr>
        <w:t>olur</w:t>
      </w:r>
      <w:r>
        <w:rPr>
          <w:spacing w:val="-3"/>
          <w:sz w:val="24"/>
        </w:rPr>
        <w:t xml:space="preserve"> </w:t>
      </w:r>
      <w:r>
        <w:rPr>
          <w:sz w:val="24"/>
        </w:rPr>
        <w:t>(Witmer</w:t>
      </w:r>
      <w:r>
        <w:rPr>
          <w:spacing w:val="-4"/>
          <w:sz w:val="24"/>
        </w:rPr>
        <w:t xml:space="preserve"> </w:t>
      </w:r>
      <w:r>
        <w:rPr>
          <w:rFonts w:hint="default"/>
          <w:spacing w:val="-4"/>
          <w:sz w:val="24"/>
          <w:lang w:val="tr-TR"/>
        </w:rPr>
        <w:t>ve</w:t>
      </w:r>
      <w:r>
        <w:rPr>
          <w:spacing w:val="-4"/>
          <w:sz w:val="24"/>
        </w:rPr>
        <w:t xml:space="preserve"> </w:t>
      </w:r>
      <w:r>
        <w:rPr>
          <w:sz w:val="24"/>
        </w:rPr>
        <w:t>Singer, 1998: 225).</w:t>
      </w:r>
    </w:p>
    <w:p w14:paraId="2F6BC3D3">
      <w:pPr>
        <w:pStyle w:val="28"/>
        <w:numPr>
          <w:ilvl w:val="4"/>
          <w:numId w:val="10"/>
        </w:numPr>
        <w:tabs>
          <w:tab w:val="left" w:pos="880"/>
        </w:tabs>
        <w:spacing w:before="120" w:after="120" w:line="360" w:lineRule="auto"/>
        <w:ind w:left="0" w:firstLine="567"/>
        <w:jc w:val="both"/>
        <w:rPr>
          <w:sz w:val="24"/>
        </w:rPr>
      </w:pPr>
      <w:r>
        <w:rPr>
          <w:b/>
          <w:sz w:val="24"/>
        </w:rPr>
        <w:t>Etkileşim</w:t>
      </w:r>
      <w:r>
        <w:rPr>
          <w:sz w:val="24"/>
        </w:rPr>
        <w:t>: Kullanıcının sanal ortamla gerçek zamanlı olarak etkileşime girebilmesi ve</w:t>
      </w:r>
      <w:r>
        <w:rPr>
          <w:spacing w:val="-7"/>
          <w:sz w:val="24"/>
        </w:rPr>
        <w:t xml:space="preserve"> </w:t>
      </w:r>
      <w:r>
        <w:rPr>
          <w:sz w:val="24"/>
        </w:rPr>
        <w:t>etkileyebilmesi,</w:t>
      </w:r>
      <w:r>
        <w:rPr>
          <w:spacing w:val="-6"/>
          <w:sz w:val="24"/>
        </w:rPr>
        <w:t xml:space="preserve"> </w:t>
      </w:r>
      <w:r>
        <w:rPr>
          <w:sz w:val="24"/>
        </w:rPr>
        <w:t>bulunma</w:t>
      </w:r>
      <w:r>
        <w:rPr>
          <w:spacing w:val="-6"/>
          <w:sz w:val="24"/>
        </w:rPr>
        <w:t xml:space="preserve"> </w:t>
      </w:r>
      <w:r>
        <w:rPr>
          <w:sz w:val="24"/>
        </w:rPr>
        <w:t>algısını</w:t>
      </w:r>
      <w:r>
        <w:rPr>
          <w:spacing w:val="-5"/>
          <w:sz w:val="24"/>
        </w:rPr>
        <w:t xml:space="preserve"> </w:t>
      </w:r>
      <w:r>
        <w:rPr>
          <w:sz w:val="24"/>
        </w:rPr>
        <w:t>önemli</w:t>
      </w:r>
      <w:r>
        <w:rPr>
          <w:spacing w:val="-5"/>
          <w:sz w:val="24"/>
        </w:rPr>
        <w:t xml:space="preserve"> </w:t>
      </w:r>
      <w:r>
        <w:rPr>
          <w:sz w:val="24"/>
        </w:rPr>
        <w:t>ölçüde</w:t>
      </w:r>
      <w:r>
        <w:rPr>
          <w:spacing w:val="-7"/>
          <w:sz w:val="24"/>
        </w:rPr>
        <w:t xml:space="preserve"> </w:t>
      </w:r>
      <w:r>
        <w:rPr>
          <w:sz w:val="24"/>
        </w:rPr>
        <w:t>artırır.</w:t>
      </w:r>
      <w:r>
        <w:rPr>
          <w:spacing w:val="-4"/>
          <w:sz w:val="24"/>
        </w:rPr>
        <w:t xml:space="preserve"> </w:t>
      </w:r>
      <w:r>
        <w:rPr>
          <w:sz w:val="24"/>
        </w:rPr>
        <w:t>Doğal</w:t>
      </w:r>
      <w:r>
        <w:rPr>
          <w:spacing w:val="-5"/>
          <w:sz w:val="24"/>
        </w:rPr>
        <w:t xml:space="preserve"> </w:t>
      </w:r>
      <w:r>
        <w:rPr>
          <w:sz w:val="24"/>
        </w:rPr>
        <w:t>ve</w:t>
      </w:r>
      <w:r>
        <w:rPr>
          <w:spacing w:val="-7"/>
          <w:sz w:val="24"/>
        </w:rPr>
        <w:t xml:space="preserve"> </w:t>
      </w:r>
      <w:r>
        <w:rPr>
          <w:sz w:val="24"/>
        </w:rPr>
        <w:t>sezgisel</w:t>
      </w:r>
      <w:r>
        <w:rPr>
          <w:spacing w:val="-5"/>
          <w:sz w:val="24"/>
        </w:rPr>
        <w:t xml:space="preserve"> </w:t>
      </w:r>
      <w:r>
        <w:rPr>
          <w:sz w:val="24"/>
        </w:rPr>
        <w:t>kontrol sağlayan etkili etkileşim mekanizmaları bu hissi güçlendirir (Sheridan, 1992: 120).</w:t>
      </w:r>
    </w:p>
    <w:p w14:paraId="668F9ECC">
      <w:pPr>
        <w:pStyle w:val="28"/>
        <w:numPr>
          <w:ilvl w:val="4"/>
          <w:numId w:val="10"/>
        </w:numPr>
        <w:tabs>
          <w:tab w:val="left" w:pos="880"/>
        </w:tabs>
        <w:spacing w:before="120" w:after="120" w:line="360" w:lineRule="auto"/>
        <w:ind w:left="0" w:firstLine="567"/>
        <w:jc w:val="both"/>
        <w:rPr>
          <w:sz w:val="24"/>
        </w:rPr>
      </w:pPr>
      <w:r>
        <w:rPr>
          <w:b/>
          <w:sz w:val="24"/>
        </w:rPr>
        <w:t>Bilişsel Katılım</w:t>
      </w:r>
      <w:r>
        <w:rPr>
          <w:sz w:val="24"/>
        </w:rPr>
        <w:t>: Kullanıcının sanal ortamı anlama ve etkileşimde bulunma konusunda gösterdiği psikolojik bağlılık veya zihinsel yatırım da önemli bir rol oynar. Daha yüksek bilişsel katılım, genellikle daha güçlü bir bulunma algısı ile sonuçlanır (Heeter, 1992: 262).</w:t>
      </w:r>
    </w:p>
    <w:p w14:paraId="68F36FA4">
      <w:pPr>
        <w:pStyle w:val="28"/>
        <w:numPr>
          <w:ilvl w:val="4"/>
          <w:numId w:val="10"/>
        </w:numPr>
        <w:tabs>
          <w:tab w:val="left" w:pos="880"/>
        </w:tabs>
        <w:spacing w:before="120" w:after="120" w:line="360" w:lineRule="auto"/>
        <w:ind w:left="0" w:firstLine="567"/>
        <w:jc w:val="both"/>
        <w:rPr>
          <w:sz w:val="24"/>
        </w:rPr>
      </w:pPr>
      <w:r>
        <w:rPr>
          <w:b/>
          <w:sz w:val="24"/>
        </w:rPr>
        <w:t>Çok Duyusal Geri Bildirim</w:t>
      </w:r>
      <w:r>
        <w:rPr>
          <w:sz w:val="24"/>
        </w:rPr>
        <w:t>: Görsel, işitsel ve dokunsal birden fazla duyusal geri bildirimin</w:t>
      </w:r>
      <w:r>
        <w:rPr>
          <w:spacing w:val="-2"/>
          <w:sz w:val="24"/>
        </w:rPr>
        <w:t xml:space="preserve"> </w:t>
      </w:r>
      <w:r>
        <w:rPr>
          <w:sz w:val="24"/>
        </w:rPr>
        <w:t>entegrasyonu,</w:t>
      </w:r>
      <w:r>
        <w:rPr>
          <w:spacing w:val="-1"/>
          <w:sz w:val="24"/>
        </w:rPr>
        <w:t xml:space="preserve"> </w:t>
      </w:r>
      <w:r>
        <w:rPr>
          <w:sz w:val="24"/>
        </w:rPr>
        <w:t>sanal</w:t>
      </w:r>
      <w:r>
        <w:rPr>
          <w:spacing w:val="-2"/>
          <w:sz w:val="24"/>
        </w:rPr>
        <w:t xml:space="preserve"> </w:t>
      </w:r>
      <w:r>
        <w:rPr>
          <w:sz w:val="24"/>
        </w:rPr>
        <w:t>deneyimlerin gerçek</w:t>
      </w:r>
      <w:r>
        <w:rPr>
          <w:spacing w:val="-3"/>
          <w:sz w:val="24"/>
        </w:rPr>
        <w:t xml:space="preserve"> </w:t>
      </w:r>
      <w:r>
        <w:rPr>
          <w:sz w:val="24"/>
        </w:rPr>
        <w:t>olduğu</w:t>
      </w:r>
      <w:r>
        <w:rPr>
          <w:spacing w:val="-1"/>
          <w:sz w:val="24"/>
        </w:rPr>
        <w:t xml:space="preserve"> </w:t>
      </w:r>
      <w:r>
        <w:rPr>
          <w:sz w:val="24"/>
        </w:rPr>
        <w:t>yanılsamasını</w:t>
      </w:r>
      <w:r>
        <w:rPr>
          <w:spacing w:val="-2"/>
          <w:sz w:val="24"/>
        </w:rPr>
        <w:t xml:space="preserve"> </w:t>
      </w:r>
      <w:r>
        <w:rPr>
          <w:sz w:val="24"/>
        </w:rPr>
        <w:t>pekiştirir.</w:t>
      </w:r>
    </w:p>
    <w:p w14:paraId="76C480E4">
      <w:pPr>
        <w:pStyle w:val="9"/>
        <w:spacing w:before="120" w:after="120" w:line="360" w:lineRule="auto"/>
        <w:ind w:left="0" w:firstLine="567"/>
      </w:pPr>
      <w:r>
        <w:t>Bu</w:t>
      </w:r>
      <w:r>
        <w:rPr>
          <w:spacing w:val="-15"/>
        </w:rPr>
        <w:t xml:space="preserve"> </w:t>
      </w:r>
      <w:r>
        <w:t>duyusal</w:t>
      </w:r>
      <w:r>
        <w:rPr>
          <w:spacing w:val="-15"/>
        </w:rPr>
        <w:t xml:space="preserve"> </w:t>
      </w:r>
      <w:r>
        <w:t>girdilerin</w:t>
      </w:r>
      <w:r>
        <w:rPr>
          <w:spacing w:val="-15"/>
        </w:rPr>
        <w:t xml:space="preserve"> </w:t>
      </w:r>
      <w:r>
        <w:t>tutarlılığı</w:t>
      </w:r>
      <w:r>
        <w:rPr>
          <w:spacing w:val="-15"/>
        </w:rPr>
        <w:t xml:space="preserve"> </w:t>
      </w:r>
      <w:r>
        <w:t>ve</w:t>
      </w:r>
      <w:r>
        <w:rPr>
          <w:spacing w:val="-15"/>
        </w:rPr>
        <w:t xml:space="preserve"> </w:t>
      </w:r>
      <w:r>
        <w:t>senkronizasyonu,</w:t>
      </w:r>
      <w:r>
        <w:rPr>
          <w:spacing w:val="-15"/>
        </w:rPr>
        <w:t xml:space="preserve"> </w:t>
      </w:r>
      <w:r>
        <w:t>bulunma</w:t>
      </w:r>
      <w:r>
        <w:rPr>
          <w:spacing w:val="-15"/>
        </w:rPr>
        <w:t xml:space="preserve"> </w:t>
      </w:r>
      <w:r>
        <w:t>algısını</w:t>
      </w:r>
      <w:r>
        <w:rPr>
          <w:spacing w:val="-15"/>
        </w:rPr>
        <w:t xml:space="preserve"> </w:t>
      </w:r>
      <w:r>
        <w:t>sürdürmek</w:t>
      </w:r>
      <w:r>
        <w:rPr>
          <w:spacing w:val="-15"/>
        </w:rPr>
        <w:t xml:space="preserve"> </w:t>
      </w:r>
      <w:r>
        <w:t>için hayati öneme sahiptir (Meehan et al., 2002: 645).</w:t>
      </w:r>
    </w:p>
    <w:p w14:paraId="6C25AA63">
      <w:pPr>
        <w:pStyle w:val="9"/>
        <w:spacing w:before="120" w:after="120" w:line="360" w:lineRule="auto"/>
        <w:ind w:left="0" w:firstLine="567"/>
      </w:pPr>
      <w:r>
        <w:t>Tutarlı bir bulunma algısı sürdürmek, özellikle mevcut teknolojinin sınırlamaları ve kullanıcıların</w:t>
      </w:r>
      <w:r>
        <w:rPr>
          <w:spacing w:val="-6"/>
        </w:rPr>
        <w:t xml:space="preserve"> </w:t>
      </w:r>
      <w:r>
        <w:t>sanal</w:t>
      </w:r>
      <w:r>
        <w:rPr>
          <w:spacing w:val="-6"/>
        </w:rPr>
        <w:t xml:space="preserve"> </w:t>
      </w:r>
      <w:r>
        <w:t>ortamlardaki</w:t>
      </w:r>
      <w:r>
        <w:rPr>
          <w:spacing w:val="-6"/>
        </w:rPr>
        <w:t xml:space="preserve"> </w:t>
      </w:r>
      <w:r>
        <w:t>algısal</w:t>
      </w:r>
      <w:r>
        <w:rPr>
          <w:spacing w:val="-7"/>
        </w:rPr>
        <w:t xml:space="preserve"> </w:t>
      </w:r>
      <w:r>
        <w:t>ve</w:t>
      </w:r>
      <w:r>
        <w:rPr>
          <w:spacing w:val="-8"/>
        </w:rPr>
        <w:t xml:space="preserve"> </w:t>
      </w:r>
      <w:r>
        <w:t>bilişsel</w:t>
      </w:r>
      <w:r>
        <w:rPr>
          <w:spacing w:val="-6"/>
        </w:rPr>
        <w:t xml:space="preserve"> </w:t>
      </w:r>
      <w:r>
        <w:t>farklılıkları</w:t>
      </w:r>
      <w:r>
        <w:rPr>
          <w:spacing w:val="-6"/>
        </w:rPr>
        <w:t xml:space="preserve"> </w:t>
      </w:r>
      <w:r>
        <w:t>göz</w:t>
      </w:r>
      <w:r>
        <w:rPr>
          <w:spacing w:val="-6"/>
        </w:rPr>
        <w:t xml:space="preserve"> </w:t>
      </w:r>
      <w:r>
        <w:t>önüne</w:t>
      </w:r>
      <w:r>
        <w:rPr>
          <w:spacing w:val="-8"/>
        </w:rPr>
        <w:t xml:space="preserve"> </w:t>
      </w:r>
      <w:r>
        <w:t>alındığında</w:t>
      </w:r>
      <w:r>
        <w:rPr>
          <w:spacing w:val="-7"/>
        </w:rPr>
        <w:t xml:space="preserve"> </w:t>
      </w:r>
      <w:r>
        <w:t>çeşitli zorluklar sunar. Bu zorluklara çözüm olarak daha iyi duyusal sadakat için donanımın iyileştirilmesi,</w:t>
      </w:r>
      <w:r>
        <w:rPr>
          <w:spacing w:val="-8"/>
        </w:rPr>
        <w:t xml:space="preserve"> </w:t>
      </w:r>
      <w:r>
        <w:t>gerçekçi</w:t>
      </w:r>
      <w:r>
        <w:rPr>
          <w:spacing w:val="-8"/>
        </w:rPr>
        <w:t xml:space="preserve"> </w:t>
      </w:r>
      <w:r>
        <w:t>fizik</w:t>
      </w:r>
      <w:r>
        <w:rPr>
          <w:spacing w:val="-8"/>
        </w:rPr>
        <w:t xml:space="preserve"> </w:t>
      </w:r>
      <w:r>
        <w:t>ve</w:t>
      </w:r>
      <w:r>
        <w:rPr>
          <w:spacing w:val="-9"/>
        </w:rPr>
        <w:t xml:space="preserve"> </w:t>
      </w:r>
      <w:r>
        <w:t>etkileşimler</w:t>
      </w:r>
      <w:r>
        <w:rPr>
          <w:spacing w:val="-9"/>
        </w:rPr>
        <w:t xml:space="preserve"> </w:t>
      </w:r>
      <w:r>
        <w:t>için</w:t>
      </w:r>
      <w:r>
        <w:rPr>
          <w:spacing w:val="-7"/>
        </w:rPr>
        <w:t xml:space="preserve"> </w:t>
      </w:r>
      <w:r>
        <w:t>yazılımın</w:t>
      </w:r>
      <w:r>
        <w:rPr>
          <w:spacing w:val="-8"/>
        </w:rPr>
        <w:t xml:space="preserve"> </w:t>
      </w:r>
      <w:r>
        <w:t>optimize</w:t>
      </w:r>
      <w:r>
        <w:rPr>
          <w:spacing w:val="-9"/>
        </w:rPr>
        <w:t xml:space="preserve"> </w:t>
      </w:r>
      <w:r>
        <w:t>edilmesi</w:t>
      </w:r>
      <w:r>
        <w:rPr>
          <w:spacing w:val="-8"/>
        </w:rPr>
        <w:t xml:space="preserve"> </w:t>
      </w:r>
      <w:r>
        <w:t>ve</w:t>
      </w:r>
      <w:r>
        <w:rPr>
          <w:spacing w:val="-9"/>
        </w:rPr>
        <w:t xml:space="preserve"> </w:t>
      </w:r>
      <w:r>
        <w:t>insan</w:t>
      </w:r>
      <w:r>
        <w:rPr>
          <w:spacing w:val="-9"/>
        </w:rPr>
        <w:t xml:space="preserve"> </w:t>
      </w:r>
      <w:r>
        <w:t>doğal davranışlarıyla</w:t>
      </w:r>
      <w:r>
        <w:rPr>
          <w:spacing w:val="-3"/>
        </w:rPr>
        <w:t xml:space="preserve"> </w:t>
      </w:r>
      <w:r>
        <w:t>daha</w:t>
      </w:r>
      <w:r>
        <w:rPr>
          <w:spacing w:val="-3"/>
        </w:rPr>
        <w:t xml:space="preserve"> </w:t>
      </w:r>
      <w:r>
        <w:t>uyumlu</w:t>
      </w:r>
      <w:r>
        <w:rPr>
          <w:spacing w:val="-2"/>
        </w:rPr>
        <w:t xml:space="preserve"> </w:t>
      </w:r>
      <w:r>
        <w:t>kullanıcı</w:t>
      </w:r>
      <w:r>
        <w:rPr>
          <w:spacing w:val="-2"/>
        </w:rPr>
        <w:t xml:space="preserve"> </w:t>
      </w:r>
      <w:r>
        <w:t>arayüzlerinin</w:t>
      </w:r>
      <w:r>
        <w:rPr>
          <w:spacing w:val="-2"/>
        </w:rPr>
        <w:t xml:space="preserve"> </w:t>
      </w:r>
      <w:r>
        <w:t>tasarlanması</w:t>
      </w:r>
      <w:r>
        <w:rPr>
          <w:spacing w:val="-2"/>
        </w:rPr>
        <w:t xml:space="preserve"> </w:t>
      </w:r>
      <w:r>
        <w:t>önerilebilir</w:t>
      </w:r>
      <w:r>
        <w:rPr>
          <w:spacing w:val="-3"/>
        </w:rPr>
        <w:t xml:space="preserve"> </w:t>
      </w:r>
      <w:r>
        <w:t>(Steuer,</w:t>
      </w:r>
      <w:r>
        <w:rPr>
          <w:spacing w:val="-3"/>
        </w:rPr>
        <w:t xml:space="preserve"> </w:t>
      </w:r>
      <w:r>
        <w:t xml:space="preserve">1992: </w:t>
      </w:r>
      <w:r>
        <w:rPr>
          <w:spacing w:val="-4"/>
        </w:rPr>
        <w:t>73).</w:t>
      </w:r>
    </w:p>
    <w:p w14:paraId="36E9D93C">
      <w:pPr>
        <w:pStyle w:val="5"/>
        <w:spacing w:before="240" w:after="240" w:line="360" w:lineRule="auto"/>
        <w:ind w:left="567"/>
        <w:rPr>
          <w:rFonts w:ascii="Times New Roman" w:hAnsi="Times New Roman" w:cs="Times New Roman"/>
          <w:b/>
          <w:i w:val="0"/>
          <w:color w:val="auto"/>
          <w:sz w:val="24"/>
        </w:rPr>
      </w:pPr>
      <w:bookmarkStart w:id="116" w:name="_Toc195875812"/>
      <w:bookmarkStart w:id="117" w:name="_Toc195877797"/>
      <w:bookmarkStart w:id="118" w:name="_Toc197351250"/>
      <w:r>
        <w:rPr>
          <w:rFonts w:ascii="Times New Roman" w:hAnsi="Times New Roman" w:cs="Times New Roman"/>
          <w:b/>
          <w:i w:val="0"/>
          <w:color w:val="auto"/>
          <w:sz w:val="24"/>
        </w:rPr>
        <w:t>2.3.6.6. Akış Teorisi</w:t>
      </w:r>
      <w:bookmarkEnd w:id="116"/>
      <w:bookmarkEnd w:id="117"/>
      <w:bookmarkEnd w:id="118"/>
    </w:p>
    <w:p w14:paraId="5CB261BE">
      <w:pPr>
        <w:pStyle w:val="9"/>
        <w:spacing w:before="120" w:after="120" w:line="360" w:lineRule="auto"/>
        <w:ind w:left="0" w:firstLine="567"/>
      </w:pPr>
      <w:r>
        <w:t>Genellikle,</w:t>
      </w:r>
      <w:r>
        <w:rPr>
          <w:spacing w:val="-2"/>
        </w:rPr>
        <w:t xml:space="preserve"> </w:t>
      </w:r>
      <w:r>
        <w:t>insanlar yaşamlarını</w:t>
      </w:r>
      <w:r>
        <w:rPr>
          <w:spacing w:val="-2"/>
        </w:rPr>
        <w:t xml:space="preserve"> </w:t>
      </w:r>
      <w:r>
        <w:t>zorunlu</w:t>
      </w:r>
      <w:r>
        <w:rPr>
          <w:spacing w:val="-3"/>
        </w:rPr>
        <w:t xml:space="preserve"> </w:t>
      </w:r>
      <w:r>
        <w:t>olarak</w:t>
      </w:r>
      <w:r>
        <w:rPr>
          <w:spacing w:val="-1"/>
        </w:rPr>
        <w:t xml:space="preserve"> </w:t>
      </w:r>
      <w:r>
        <w:t>yapmaları</w:t>
      </w:r>
      <w:r>
        <w:rPr>
          <w:spacing w:val="-3"/>
        </w:rPr>
        <w:t xml:space="preserve"> </w:t>
      </w:r>
      <w:r>
        <w:t>gereken</w:t>
      </w:r>
      <w:r>
        <w:rPr>
          <w:spacing w:val="-2"/>
        </w:rPr>
        <w:t xml:space="preserve"> </w:t>
      </w:r>
      <w:r>
        <w:t>işler</w:t>
      </w:r>
      <w:r>
        <w:rPr>
          <w:spacing w:val="-3"/>
        </w:rPr>
        <w:t xml:space="preserve"> </w:t>
      </w:r>
      <w:r>
        <w:t>ve</w:t>
      </w:r>
      <w:r>
        <w:rPr>
          <w:spacing w:val="-1"/>
        </w:rPr>
        <w:t xml:space="preserve"> </w:t>
      </w:r>
      <w:r>
        <w:t>yapmak</w:t>
      </w:r>
      <w:r>
        <w:rPr>
          <w:spacing w:val="-2"/>
        </w:rPr>
        <w:t xml:space="preserve"> </w:t>
      </w:r>
      <w:r>
        <w:t>zorunda olmadıkları işler olmak üzere iki ana kategoriye ayırırlar. Yetişkinler için, hayatı sürdürebilmek</w:t>
      </w:r>
      <w:r>
        <w:rPr>
          <w:spacing w:val="-3"/>
        </w:rPr>
        <w:t xml:space="preserve"> </w:t>
      </w:r>
      <w:r>
        <w:t>adına</w:t>
      </w:r>
      <w:r>
        <w:rPr>
          <w:spacing w:val="-2"/>
        </w:rPr>
        <w:t xml:space="preserve"> </w:t>
      </w:r>
      <w:r>
        <w:t>çalışmak</w:t>
      </w:r>
      <w:r>
        <w:rPr>
          <w:spacing w:val="-3"/>
        </w:rPr>
        <w:t xml:space="preserve"> </w:t>
      </w:r>
      <w:r>
        <w:t>ve</w:t>
      </w:r>
      <w:r>
        <w:rPr>
          <w:spacing w:val="-5"/>
        </w:rPr>
        <w:t xml:space="preserve"> </w:t>
      </w:r>
      <w:r>
        <w:t>maddi</w:t>
      </w:r>
      <w:r>
        <w:rPr>
          <w:spacing w:val="-1"/>
        </w:rPr>
        <w:t xml:space="preserve"> </w:t>
      </w:r>
      <w:r>
        <w:t>gelir</w:t>
      </w:r>
      <w:r>
        <w:rPr>
          <w:spacing w:val="-2"/>
        </w:rPr>
        <w:t xml:space="preserve"> </w:t>
      </w:r>
      <w:r>
        <w:t>elde</w:t>
      </w:r>
      <w:r>
        <w:rPr>
          <w:spacing w:val="-2"/>
        </w:rPr>
        <w:t xml:space="preserve"> </w:t>
      </w:r>
      <w:r>
        <w:t>etmek;</w:t>
      </w:r>
      <w:r>
        <w:rPr>
          <w:spacing w:val="-3"/>
        </w:rPr>
        <w:t xml:space="preserve"> </w:t>
      </w:r>
      <w:r>
        <w:t>gençler</w:t>
      </w:r>
      <w:r>
        <w:rPr>
          <w:spacing w:val="-3"/>
        </w:rPr>
        <w:t xml:space="preserve"> </w:t>
      </w:r>
      <w:r>
        <w:t>ve</w:t>
      </w:r>
      <w:r>
        <w:rPr>
          <w:spacing w:val="-3"/>
        </w:rPr>
        <w:t xml:space="preserve"> </w:t>
      </w:r>
      <w:r>
        <w:t>çocuklar</w:t>
      </w:r>
      <w:r>
        <w:rPr>
          <w:spacing w:val="-5"/>
        </w:rPr>
        <w:t xml:space="preserve"> </w:t>
      </w:r>
      <w:r>
        <w:t>için</w:t>
      </w:r>
      <w:r>
        <w:rPr>
          <w:spacing w:val="-3"/>
        </w:rPr>
        <w:t xml:space="preserve"> </w:t>
      </w:r>
      <w:r>
        <w:t>ise</w:t>
      </w:r>
      <w:r>
        <w:rPr>
          <w:spacing w:val="-4"/>
        </w:rPr>
        <w:t xml:space="preserve"> </w:t>
      </w:r>
      <w:r>
        <w:t>okula gitmek, ders çalışmak ve ödev yapmak gibi faaliyetler, genellikle zorunluluklar arasında görülür</w:t>
      </w:r>
      <w:r>
        <w:rPr>
          <w:spacing w:val="-9"/>
        </w:rPr>
        <w:t xml:space="preserve"> </w:t>
      </w:r>
      <w:r>
        <w:t>(Csikszentmihalyi,</w:t>
      </w:r>
      <w:r>
        <w:rPr>
          <w:spacing w:val="-7"/>
        </w:rPr>
        <w:t xml:space="preserve"> </w:t>
      </w:r>
      <w:r>
        <w:t>2014a:</w:t>
      </w:r>
      <w:r>
        <w:rPr>
          <w:spacing w:val="-6"/>
        </w:rPr>
        <w:t xml:space="preserve"> </w:t>
      </w:r>
      <w:r>
        <w:t>153).</w:t>
      </w:r>
      <w:r>
        <w:rPr>
          <w:spacing w:val="-9"/>
        </w:rPr>
        <w:t xml:space="preserve"> </w:t>
      </w:r>
      <w:r>
        <w:t>Bu</w:t>
      </w:r>
      <w:r>
        <w:rPr>
          <w:spacing w:val="-8"/>
        </w:rPr>
        <w:t xml:space="preserve"> </w:t>
      </w:r>
      <w:r>
        <w:t>durumlar,</w:t>
      </w:r>
      <w:r>
        <w:rPr>
          <w:spacing w:val="-8"/>
        </w:rPr>
        <w:t xml:space="preserve"> </w:t>
      </w:r>
      <w:r>
        <w:t>insanların</w:t>
      </w:r>
      <w:r>
        <w:rPr>
          <w:spacing w:val="-8"/>
        </w:rPr>
        <w:t xml:space="preserve"> </w:t>
      </w:r>
      <w:r>
        <w:t>içsel</w:t>
      </w:r>
      <w:r>
        <w:rPr>
          <w:spacing w:val="-6"/>
        </w:rPr>
        <w:t xml:space="preserve"> </w:t>
      </w:r>
      <w:r>
        <w:t>motivasyonla</w:t>
      </w:r>
      <w:r>
        <w:rPr>
          <w:spacing w:val="-8"/>
        </w:rPr>
        <w:t xml:space="preserve"> </w:t>
      </w:r>
      <w:r>
        <w:t>hareket ettiği anlar değildir (Csikszentmihalyi, Larson ve Prescott, 1977: 281; Csikszentmihalyi ve Graef,</w:t>
      </w:r>
      <w:r>
        <w:rPr>
          <w:spacing w:val="-1"/>
        </w:rPr>
        <w:t xml:space="preserve"> </w:t>
      </w:r>
      <w:r>
        <w:t>1980: 401).</w:t>
      </w:r>
      <w:r>
        <w:rPr>
          <w:spacing w:val="-1"/>
        </w:rPr>
        <w:t xml:space="preserve"> </w:t>
      </w:r>
      <w:r>
        <w:t>Öte yandan, boş zamanlarda yapılan oyun oynamak, televizyon izlemek veya</w:t>
      </w:r>
      <w:r>
        <w:rPr>
          <w:spacing w:val="-8"/>
        </w:rPr>
        <w:t xml:space="preserve"> </w:t>
      </w:r>
      <w:r>
        <w:t>sosyalleşmek</w:t>
      </w:r>
      <w:r>
        <w:rPr>
          <w:spacing w:val="-7"/>
        </w:rPr>
        <w:t xml:space="preserve"> </w:t>
      </w:r>
      <w:r>
        <w:t>gibi</w:t>
      </w:r>
      <w:r>
        <w:rPr>
          <w:spacing w:val="-8"/>
        </w:rPr>
        <w:t xml:space="preserve"> </w:t>
      </w:r>
      <w:r>
        <w:t>etkinlikler</w:t>
      </w:r>
      <w:r>
        <w:rPr>
          <w:spacing w:val="-9"/>
        </w:rPr>
        <w:t xml:space="preserve"> </w:t>
      </w:r>
      <w:r>
        <w:t>çoğunlukla</w:t>
      </w:r>
      <w:r>
        <w:rPr>
          <w:spacing w:val="-9"/>
        </w:rPr>
        <w:t xml:space="preserve"> </w:t>
      </w:r>
      <w:r>
        <w:t>eğlence</w:t>
      </w:r>
      <w:r>
        <w:rPr>
          <w:spacing w:val="-9"/>
        </w:rPr>
        <w:t xml:space="preserve"> </w:t>
      </w:r>
      <w:r>
        <w:t>olarak</w:t>
      </w:r>
      <w:r>
        <w:rPr>
          <w:spacing w:val="-8"/>
        </w:rPr>
        <w:t xml:space="preserve"> </w:t>
      </w:r>
      <w:r>
        <w:t>kabul</w:t>
      </w:r>
      <w:r>
        <w:rPr>
          <w:spacing w:val="-8"/>
        </w:rPr>
        <w:t xml:space="preserve"> </w:t>
      </w:r>
      <w:r>
        <w:t>edilir.</w:t>
      </w:r>
      <w:r>
        <w:rPr>
          <w:spacing w:val="-9"/>
        </w:rPr>
        <w:t xml:space="preserve"> </w:t>
      </w:r>
      <w:r>
        <w:t>Kimi</w:t>
      </w:r>
      <w:r>
        <w:rPr>
          <w:spacing w:val="-8"/>
        </w:rPr>
        <w:t xml:space="preserve"> </w:t>
      </w:r>
      <w:r>
        <w:t>insanlar</w:t>
      </w:r>
      <w:r>
        <w:rPr>
          <w:spacing w:val="-9"/>
        </w:rPr>
        <w:t xml:space="preserve"> </w:t>
      </w:r>
      <w:r>
        <w:t>boş zamanlarında, ödül veya maddi kazanç beklemeden ekstrem sporlar gibi riskli aktivitelerle meşgul olur ve bu sırada yaptıkları aktiviteden büyük zevk alır ve tamamen o ana odaklanırlar</w:t>
      </w:r>
      <w:r>
        <w:rPr>
          <w:spacing w:val="-7"/>
        </w:rPr>
        <w:t xml:space="preserve"> </w:t>
      </w:r>
      <w:r>
        <w:t>(Csikszentmihalyi,</w:t>
      </w:r>
      <w:r>
        <w:rPr>
          <w:spacing w:val="-5"/>
        </w:rPr>
        <w:t xml:space="preserve"> </w:t>
      </w:r>
      <w:r>
        <w:t>2014a:153).</w:t>
      </w:r>
      <w:r>
        <w:rPr>
          <w:spacing w:val="-4"/>
        </w:rPr>
        <w:t xml:space="preserve"> </w:t>
      </w:r>
      <w:r>
        <w:t>Bu</w:t>
      </w:r>
      <w:r>
        <w:rPr>
          <w:spacing w:val="-5"/>
        </w:rPr>
        <w:t xml:space="preserve"> </w:t>
      </w:r>
      <w:r>
        <w:t>tür</w:t>
      </w:r>
      <w:r>
        <w:rPr>
          <w:spacing w:val="-5"/>
        </w:rPr>
        <w:t xml:space="preserve"> </w:t>
      </w:r>
      <w:r>
        <w:t>etkinliklerin</w:t>
      </w:r>
      <w:r>
        <w:rPr>
          <w:spacing w:val="-5"/>
        </w:rPr>
        <w:t xml:space="preserve"> </w:t>
      </w:r>
      <w:r>
        <w:t>eğlenceli</w:t>
      </w:r>
      <w:r>
        <w:rPr>
          <w:spacing w:val="-5"/>
        </w:rPr>
        <w:t xml:space="preserve"> </w:t>
      </w:r>
      <w:r>
        <w:t>olmasının</w:t>
      </w:r>
      <w:r>
        <w:rPr>
          <w:spacing w:val="-5"/>
        </w:rPr>
        <w:t xml:space="preserve"> </w:t>
      </w:r>
      <w:r>
        <w:t>altında yatan nedenleri araştırmak üzere Macar psikolog Mihaly Csikszentmihalyi, çeşitli meslek gruplarından insanlarla (atletler, kaya tırmanıcıları, dansçılar, ressamlar vb.) görüşmeler yapmış</w:t>
      </w:r>
      <w:r>
        <w:rPr>
          <w:spacing w:val="-11"/>
        </w:rPr>
        <w:t xml:space="preserve"> </w:t>
      </w:r>
      <w:r>
        <w:t>ve</w:t>
      </w:r>
      <w:r>
        <w:rPr>
          <w:spacing w:val="-13"/>
        </w:rPr>
        <w:t xml:space="preserve"> </w:t>
      </w:r>
      <w:r>
        <w:t>akış</w:t>
      </w:r>
      <w:r>
        <w:rPr>
          <w:spacing w:val="-11"/>
        </w:rPr>
        <w:t xml:space="preserve"> </w:t>
      </w:r>
      <w:r>
        <w:t>teorisini</w:t>
      </w:r>
      <w:r>
        <w:rPr>
          <w:spacing w:val="-9"/>
        </w:rPr>
        <w:t xml:space="preserve"> </w:t>
      </w:r>
      <w:r>
        <w:t>geliştirmiştir</w:t>
      </w:r>
      <w:r>
        <w:rPr>
          <w:spacing w:val="-12"/>
        </w:rPr>
        <w:t xml:space="preserve"> </w:t>
      </w:r>
      <w:r>
        <w:t>(Csikszentmihalyi,</w:t>
      </w:r>
      <w:r>
        <w:rPr>
          <w:spacing w:val="-11"/>
        </w:rPr>
        <w:t xml:space="preserve"> </w:t>
      </w:r>
      <w:r>
        <w:t>1975:5).</w:t>
      </w:r>
      <w:r>
        <w:rPr>
          <w:spacing w:val="-10"/>
        </w:rPr>
        <w:t xml:space="preserve"> </w:t>
      </w:r>
      <w:r>
        <w:t>Akış,</w:t>
      </w:r>
      <w:r>
        <w:rPr>
          <w:spacing w:val="-11"/>
        </w:rPr>
        <w:t xml:space="preserve"> </w:t>
      </w:r>
      <w:r>
        <w:t>bireyin</w:t>
      </w:r>
      <w:r>
        <w:rPr>
          <w:spacing w:val="-7"/>
        </w:rPr>
        <w:t xml:space="preserve"> </w:t>
      </w:r>
      <w:r>
        <w:t>yaptığı</w:t>
      </w:r>
      <w:r>
        <w:rPr>
          <w:spacing w:val="-11"/>
        </w:rPr>
        <w:t xml:space="preserve"> </w:t>
      </w:r>
      <w:r>
        <w:t>işten herhangi bir karşılık beklemeden, o işe tamamen kendini kaptırdığı ve bu süreci keyifle yaşadığı bir psikolojik durumu ifade eder (Csikszentmihalyi, 1988:5).</w:t>
      </w:r>
    </w:p>
    <w:p w14:paraId="1B37499A">
      <w:pPr>
        <w:pStyle w:val="9"/>
        <w:spacing w:before="120" w:after="120" w:line="360" w:lineRule="auto"/>
        <w:ind w:left="0" w:firstLine="567"/>
      </w:pPr>
      <w:r>
        <w:t>Akış deneyimi sıklıkla optimal veya üst düzey bir yaşam tecrübesi olarak tanımlanır. Psikolojide, bireyin optimal deneyimi, bilincin düzenlenmesi ile ilişkilendirilir. Bilinç üzerinde</w:t>
      </w:r>
      <w:r>
        <w:rPr>
          <w:spacing w:val="-15"/>
        </w:rPr>
        <w:t xml:space="preserve"> </w:t>
      </w:r>
      <w:r>
        <w:t>olumsuz</w:t>
      </w:r>
      <w:r>
        <w:rPr>
          <w:spacing w:val="-15"/>
        </w:rPr>
        <w:t xml:space="preserve"> </w:t>
      </w:r>
      <w:r>
        <w:t>etkiler</w:t>
      </w:r>
      <w:r>
        <w:rPr>
          <w:spacing w:val="-15"/>
        </w:rPr>
        <w:t xml:space="preserve"> </w:t>
      </w:r>
      <w:r>
        <w:t>yaratan</w:t>
      </w:r>
      <w:r>
        <w:rPr>
          <w:spacing w:val="-15"/>
        </w:rPr>
        <w:t xml:space="preserve"> </w:t>
      </w:r>
      <w:r>
        <w:t>faktörler,</w:t>
      </w:r>
      <w:r>
        <w:rPr>
          <w:spacing w:val="-15"/>
        </w:rPr>
        <w:t xml:space="preserve"> </w:t>
      </w:r>
      <w:r>
        <w:t>acı,</w:t>
      </w:r>
      <w:r>
        <w:rPr>
          <w:spacing w:val="-14"/>
        </w:rPr>
        <w:t xml:space="preserve"> </w:t>
      </w:r>
      <w:r>
        <w:t>korku,</w:t>
      </w:r>
      <w:r>
        <w:rPr>
          <w:spacing w:val="-14"/>
        </w:rPr>
        <w:t xml:space="preserve"> </w:t>
      </w:r>
      <w:r>
        <w:t>öfke</w:t>
      </w:r>
      <w:r>
        <w:rPr>
          <w:spacing w:val="-15"/>
        </w:rPr>
        <w:t xml:space="preserve"> </w:t>
      </w:r>
      <w:r>
        <w:t>gibi</w:t>
      </w:r>
      <w:r>
        <w:rPr>
          <w:spacing w:val="-13"/>
        </w:rPr>
        <w:t xml:space="preserve"> </w:t>
      </w:r>
      <w:r>
        <w:t>duygularla</w:t>
      </w:r>
      <w:r>
        <w:rPr>
          <w:spacing w:val="-15"/>
        </w:rPr>
        <w:t xml:space="preserve"> </w:t>
      </w:r>
      <w:r>
        <w:t>kendini</w:t>
      </w:r>
      <w:r>
        <w:rPr>
          <w:spacing w:val="-13"/>
        </w:rPr>
        <w:t xml:space="preserve"> </w:t>
      </w:r>
      <w:r>
        <w:t>belli</w:t>
      </w:r>
      <w:r>
        <w:rPr>
          <w:spacing w:val="-14"/>
        </w:rPr>
        <w:t xml:space="preserve"> </w:t>
      </w:r>
      <w:r>
        <w:t>eder ve</w:t>
      </w:r>
      <w:r>
        <w:rPr>
          <w:spacing w:val="9"/>
        </w:rPr>
        <w:t xml:space="preserve"> </w:t>
      </w:r>
      <w:r>
        <w:t>düzensizlik</w:t>
      </w:r>
      <w:r>
        <w:rPr>
          <w:spacing w:val="14"/>
        </w:rPr>
        <w:t xml:space="preserve"> </w:t>
      </w:r>
      <w:r>
        <w:t>yaratır.</w:t>
      </w:r>
      <w:r>
        <w:rPr>
          <w:spacing w:val="11"/>
        </w:rPr>
        <w:t xml:space="preserve"> </w:t>
      </w:r>
      <w:r>
        <w:t>Bu</w:t>
      </w:r>
      <w:r>
        <w:rPr>
          <w:spacing w:val="12"/>
        </w:rPr>
        <w:t xml:space="preserve"> </w:t>
      </w:r>
      <w:r>
        <w:t>düzensizlik,</w:t>
      </w:r>
      <w:r>
        <w:rPr>
          <w:spacing w:val="9"/>
        </w:rPr>
        <w:t xml:space="preserve"> </w:t>
      </w:r>
      <w:r>
        <w:t>mevcut</w:t>
      </w:r>
      <w:r>
        <w:rPr>
          <w:spacing w:val="12"/>
        </w:rPr>
        <w:t xml:space="preserve"> </w:t>
      </w:r>
      <w:r>
        <w:t>hedeflerle</w:t>
      </w:r>
      <w:r>
        <w:rPr>
          <w:spacing w:val="11"/>
        </w:rPr>
        <w:t xml:space="preserve"> </w:t>
      </w:r>
      <w:r>
        <w:t>çatışan</w:t>
      </w:r>
      <w:r>
        <w:rPr>
          <w:spacing w:val="12"/>
        </w:rPr>
        <w:t xml:space="preserve"> </w:t>
      </w:r>
      <w:r>
        <w:t>ve</w:t>
      </w:r>
      <w:r>
        <w:rPr>
          <w:spacing w:val="11"/>
        </w:rPr>
        <w:t xml:space="preserve"> </w:t>
      </w:r>
      <w:r>
        <w:t>hedeflere</w:t>
      </w:r>
      <w:r>
        <w:rPr>
          <w:spacing w:val="11"/>
        </w:rPr>
        <w:t xml:space="preserve"> </w:t>
      </w:r>
      <w:r>
        <w:rPr>
          <w:spacing w:val="-2"/>
        </w:rPr>
        <w:t>ulaşılmasını</w:t>
      </w:r>
      <w:r>
        <w:t xml:space="preserve"> engelleyen bilgileri içerir. Dikkatin bu bilgileri düzenlemeye yönlendirilmesi, diğer faaliyetlere daha az dikkat ayrılmasına neden olur ve bu durum hedeflere ulaşmada başarısızlığa yol açabilir. Psikolojik enerji olarak tanımlanan dikkat, hangi bilgilerin bilinç düzeyinde işleneceğini belirler ve denetlenebilir olduğundan, dikkati odaklamak suretiyle bilinçteki</w:t>
      </w:r>
      <w:r>
        <w:rPr>
          <w:spacing w:val="-13"/>
        </w:rPr>
        <w:t xml:space="preserve"> </w:t>
      </w:r>
      <w:r>
        <w:t>düzensizliği</w:t>
      </w:r>
      <w:r>
        <w:rPr>
          <w:spacing w:val="-13"/>
        </w:rPr>
        <w:t xml:space="preserve"> </w:t>
      </w:r>
      <w:r>
        <w:t>gidermek</w:t>
      </w:r>
      <w:r>
        <w:rPr>
          <w:spacing w:val="-14"/>
        </w:rPr>
        <w:t xml:space="preserve"> </w:t>
      </w:r>
      <w:r>
        <w:t>mümkündür.</w:t>
      </w:r>
      <w:r>
        <w:rPr>
          <w:spacing w:val="-14"/>
        </w:rPr>
        <w:t xml:space="preserve"> </w:t>
      </w:r>
      <w:r>
        <w:t>Dikkatin</w:t>
      </w:r>
      <w:r>
        <w:rPr>
          <w:spacing w:val="-14"/>
        </w:rPr>
        <w:t xml:space="preserve"> </w:t>
      </w:r>
      <w:r>
        <w:t>dağıtıcı</w:t>
      </w:r>
      <w:r>
        <w:rPr>
          <w:spacing w:val="-14"/>
        </w:rPr>
        <w:t xml:space="preserve"> </w:t>
      </w:r>
      <w:r>
        <w:t>unsurlardan</w:t>
      </w:r>
      <w:r>
        <w:rPr>
          <w:spacing w:val="-12"/>
        </w:rPr>
        <w:t xml:space="preserve"> </w:t>
      </w:r>
      <w:r>
        <w:t>uzaklaştırılması ve gereken süre boyunca yalnızca ilgili faaliyete yoğunlaştırılmasıyla, enerji verimli bir şekilde kullanılır. Bu durum, endişeye yer bırakmaz ve yetersizlik duygusu üzerinde düşünülmez.</w:t>
      </w:r>
      <w:r>
        <w:rPr>
          <w:spacing w:val="-9"/>
        </w:rPr>
        <w:t xml:space="preserve"> </w:t>
      </w:r>
      <w:r>
        <w:t>Birey,</w:t>
      </w:r>
      <w:r>
        <w:rPr>
          <w:spacing w:val="-4"/>
        </w:rPr>
        <w:t xml:space="preserve"> </w:t>
      </w:r>
      <w:r>
        <w:t>yalnızca</w:t>
      </w:r>
      <w:r>
        <w:rPr>
          <w:spacing w:val="-10"/>
        </w:rPr>
        <w:t xml:space="preserve"> </w:t>
      </w:r>
      <w:r>
        <w:t>olumlu</w:t>
      </w:r>
      <w:r>
        <w:rPr>
          <w:spacing w:val="-9"/>
        </w:rPr>
        <w:t xml:space="preserve"> </w:t>
      </w:r>
      <w:r>
        <w:t>geri</w:t>
      </w:r>
      <w:r>
        <w:rPr>
          <w:spacing w:val="-9"/>
        </w:rPr>
        <w:t xml:space="preserve"> </w:t>
      </w:r>
      <w:r>
        <w:t>bildirimler</w:t>
      </w:r>
      <w:r>
        <w:rPr>
          <w:spacing w:val="-10"/>
        </w:rPr>
        <w:t xml:space="preserve"> </w:t>
      </w:r>
      <w:r>
        <w:t>aracılığıyla</w:t>
      </w:r>
      <w:r>
        <w:rPr>
          <w:spacing w:val="-8"/>
        </w:rPr>
        <w:t xml:space="preserve"> </w:t>
      </w:r>
      <w:r>
        <w:t>etkinliğin</w:t>
      </w:r>
      <w:r>
        <w:rPr>
          <w:spacing w:val="-6"/>
        </w:rPr>
        <w:t xml:space="preserve"> </w:t>
      </w:r>
      <w:r>
        <w:t>gidişatı</w:t>
      </w:r>
      <w:r>
        <w:rPr>
          <w:spacing w:val="-9"/>
        </w:rPr>
        <w:t xml:space="preserve"> </w:t>
      </w:r>
      <w:r>
        <w:t>hakkında bilgi edinir ve süreç üzerinde kontrol sağlar (Csikszentmihalyi, 1990:5).</w:t>
      </w:r>
    </w:p>
    <w:p w14:paraId="76C029CB">
      <w:pPr>
        <w:pStyle w:val="9"/>
        <w:spacing w:before="120" w:after="120" w:line="360" w:lineRule="auto"/>
        <w:ind w:left="0" w:firstLine="567"/>
      </w:pPr>
      <w:r>
        <w:t>Akış</w:t>
      </w:r>
      <w:r>
        <w:rPr>
          <w:spacing w:val="-7"/>
        </w:rPr>
        <w:t xml:space="preserve"> </w:t>
      </w:r>
      <w:r>
        <w:t>deneyimi,</w:t>
      </w:r>
      <w:r>
        <w:rPr>
          <w:spacing w:val="-6"/>
        </w:rPr>
        <w:t xml:space="preserve"> </w:t>
      </w:r>
      <w:r>
        <w:t>çok</w:t>
      </w:r>
      <w:r>
        <w:rPr>
          <w:spacing w:val="-7"/>
        </w:rPr>
        <w:t xml:space="preserve"> </w:t>
      </w:r>
      <w:r>
        <w:t>boyutlu</w:t>
      </w:r>
      <w:r>
        <w:rPr>
          <w:spacing w:val="-7"/>
        </w:rPr>
        <w:t xml:space="preserve"> </w:t>
      </w:r>
      <w:r>
        <w:t>bir</w:t>
      </w:r>
      <w:r>
        <w:rPr>
          <w:spacing w:val="-4"/>
        </w:rPr>
        <w:t xml:space="preserve"> </w:t>
      </w:r>
      <w:r>
        <w:t>yapıya</w:t>
      </w:r>
      <w:r>
        <w:rPr>
          <w:spacing w:val="-8"/>
        </w:rPr>
        <w:t xml:space="preserve"> </w:t>
      </w:r>
      <w:r>
        <w:t>sahiptir</w:t>
      </w:r>
      <w:r>
        <w:rPr>
          <w:spacing w:val="-7"/>
        </w:rPr>
        <w:t xml:space="preserve"> </w:t>
      </w:r>
      <w:r>
        <w:t>ve</w:t>
      </w:r>
      <w:r>
        <w:rPr>
          <w:spacing w:val="-5"/>
        </w:rPr>
        <w:t xml:space="preserve"> </w:t>
      </w:r>
      <w:r>
        <w:t>bu</w:t>
      </w:r>
      <w:r>
        <w:rPr>
          <w:spacing w:val="-4"/>
        </w:rPr>
        <w:t xml:space="preserve"> </w:t>
      </w:r>
      <w:r>
        <w:t>yapı,</w:t>
      </w:r>
      <w:r>
        <w:rPr>
          <w:spacing w:val="-6"/>
        </w:rPr>
        <w:t xml:space="preserve"> </w:t>
      </w:r>
      <w:r>
        <w:t>akışın</w:t>
      </w:r>
      <w:r>
        <w:rPr>
          <w:spacing w:val="-7"/>
        </w:rPr>
        <w:t xml:space="preserve"> </w:t>
      </w:r>
      <w:r>
        <w:t>koşullarını</w:t>
      </w:r>
      <w:r>
        <w:rPr>
          <w:spacing w:val="-6"/>
        </w:rPr>
        <w:t xml:space="preserve"> </w:t>
      </w:r>
      <w:r>
        <w:t>ve</w:t>
      </w:r>
      <w:r>
        <w:rPr>
          <w:spacing w:val="-8"/>
        </w:rPr>
        <w:t xml:space="preserve"> </w:t>
      </w:r>
      <w:r>
        <w:t>özelliklerini belirler. Optimal bir yaşantıyı mümkün kılan koşullar arasında açık hedefler, anlık geribildirim ve bireyin yeteneklerine uygun zorlayıcı görevler bulunur. Akış deneyiminin karakteristik</w:t>
      </w:r>
      <w:r>
        <w:rPr>
          <w:spacing w:val="-3"/>
        </w:rPr>
        <w:t xml:space="preserve"> </w:t>
      </w:r>
      <w:r>
        <w:t>özellikleri</w:t>
      </w:r>
      <w:r>
        <w:rPr>
          <w:spacing w:val="-3"/>
        </w:rPr>
        <w:t xml:space="preserve"> </w:t>
      </w:r>
      <w:r>
        <w:t>ise</w:t>
      </w:r>
      <w:r>
        <w:rPr>
          <w:spacing w:val="-3"/>
        </w:rPr>
        <w:t xml:space="preserve"> </w:t>
      </w:r>
      <w:r>
        <w:t>odaklanmış</w:t>
      </w:r>
      <w:r>
        <w:rPr>
          <w:spacing w:val="-3"/>
        </w:rPr>
        <w:t xml:space="preserve"> </w:t>
      </w:r>
      <w:r>
        <w:t>dikkat,</w:t>
      </w:r>
      <w:r>
        <w:rPr>
          <w:spacing w:val="-3"/>
        </w:rPr>
        <w:t xml:space="preserve"> </w:t>
      </w:r>
      <w:r>
        <w:t>kontrol</w:t>
      </w:r>
      <w:r>
        <w:rPr>
          <w:spacing w:val="-3"/>
        </w:rPr>
        <w:t xml:space="preserve"> </w:t>
      </w:r>
      <w:r>
        <w:t>hissi,</w:t>
      </w:r>
      <w:r>
        <w:rPr>
          <w:spacing w:val="-3"/>
        </w:rPr>
        <w:t xml:space="preserve"> </w:t>
      </w:r>
      <w:r>
        <w:t>öz-bilincin</w:t>
      </w:r>
      <w:r>
        <w:rPr>
          <w:spacing w:val="-3"/>
        </w:rPr>
        <w:t xml:space="preserve"> </w:t>
      </w:r>
      <w:r>
        <w:t>kaybolması,</w:t>
      </w:r>
      <w:r>
        <w:rPr>
          <w:spacing w:val="-3"/>
        </w:rPr>
        <w:t xml:space="preserve"> </w:t>
      </w:r>
      <w:r>
        <w:t>zaman algısının değişmesi ve ototelik (kendi kendine amaç) deneyimleridir (Csikszentmihalyi, 1997:2). Bu özellikler, bireyin etkinliği sadece etkinlik için gerçekleştirdiği, sonucundan bağımsız olarak süreçten keyif aldığı anları ifade eder.</w:t>
      </w:r>
    </w:p>
    <w:p w14:paraId="4B9FD46A">
      <w:pPr>
        <w:pStyle w:val="9"/>
        <w:spacing w:before="120" w:after="120" w:line="360" w:lineRule="auto"/>
        <w:ind w:left="0" w:firstLine="567"/>
      </w:pPr>
      <w:r>
        <w:t>Akış deneyiminin temel gerekliliklerinden biri, açık ve net hedeflerin belirlenmesidir. Bireyin, gerçekleştirdiği eylem sonucunda ulaşılacak son noktayı, her adımda ne yapması ve neden yapması gerektiğini bilmesi gerekmektedir (Csikszentmihalyi, 2014c: 129). Her bir adımın sonrasında ne yapılacağına dair açık bilgiye sahip olunması, hedefe ulaşma yolunda belirsizlik veya karmaşanın önüne geçer. Bu durum, sadece hedef ve bu hedefe ulaşma yollarının net olması gerektiğini değil, aynı zamanda kullanılacak araçların da tanımlanmış ve anlaşılır olmasını gerektirir (Csikszentmihalyi, 2014d: 135).</w:t>
      </w:r>
    </w:p>
    <w:p w14:paraId="521EA096">
      <w:pPr>
        <w:pStyle w:val="9"/>
        <w:spacing w:before="120" w:after="120" w:line="360" w:lineRule="auto"/>
        <w:ind w:left="0" w:firstLine="567"/>
      </w:pPr>
      <w:r>
        <w:t>Spor ve oyunların sıklıkla akış etkinlikleri olarak nitelendirilmesinin nedenlerinden biri, kuralların, takımların, rakiplerin ve mekanların herkes tarafından bilinmesidir (Csikszentmihalyi, 1975:5). Aynı şekilde, öğrenmenin keyifli hale gelmesi için, sınıf ortamında öğrencilerin dersin konusu ve amacı hakkında genel bir bilgiye sahip olmaları yeterli değildir. Dersin süresince ne olduğunun ve ne olacağının sürekli ve açık bir şekilde bilinmesi, akış deneyiminin yaşanabilmesi için kritiktir (Csikszentmihalyi, 2014c: 129).</w:t>
      </w:r>
    </w:p>
    <w:p w14:paraId="0838809E">
      <w:pPr>
        <w:pStyle w:val="9"/>
        <w:spacing w:before="120" w:after="120" w:line="360" w:lineRule="auto"/>
        <w:ind w:left="0" w:firstLine="567"/>
      </w:pPr>
      <w:r>
        <w:t>Öğrenme</w:t>
      </w:r>
      <w:r>
        <w:rPr>
          <w:spacing w:val="-9"/>
        </w:rPr>
        <w:t xml:space="preserve"> </w:t>
      </w:r>
      <w:r>
        <w:t>sürecinde,</w:t>
      </w:r>
      <w:r>
        <w:rPr>
          <w:spacing w:val="-9"/>
        </w:rPr>
        <w:t xml:space="preserve"> </w:t>
      </w:r>
      <w:r>
        <w:t>geribildirim</w:t>
      </w:r>
      <w:r>
        <w:rPr>
          <w:spacing w:val="-10"/>
        </w:rPr>
        <w:t xml:space="preserve"> </w:t>
      </w:r>
      <w:r>
        <w:t>etkin</w:t>
      </w:r>
      <w:r>
        <w:rPr>
          <w:spacing w:val="-11"/>
        </w:rPr>
        <w:t xml:space="preserve"> </w:t>
      </w:r>
      <w:r>
        <w:t>bir</w:t>
      </w:r>
      <w:r>
        <w:rPr>
          <w:spacing w:val="-11"/>
        </w:rPr>
        <w:t xml:space="preserve"> </w:t>
      </w:r>
      <w:r>
        <w:t>rol</w:t>
      </w:r>
      <w:r>
        <w:rPr>
          <w:spacing w:val="-11"/>
        </w:rPr>
        <w:t xml:space="preserve"> </w:t>
      </w:r>
      <w:r>
        <w:t>oynar</w:t>
      </w:r>
      <w:r>
        <w:rPr>
          <w:spacing w:val="-11"/>
        </w:rPr>
        <w:t xml:space="preserve"> </w:t>
      </w:r>
      <w:r>
        <w:t>ve</w:t>
      </w:r>
      <w:r>
        <w:rPr>
          <w:spacing w:val="-9"/>
        </w:rPr>
        <w:t xml:space="preserve"> </w:t>
      </w:r>
      <w:r>
        <w:t>öğrenilen</w:t>
      </w:r>
      <w:r>
        <w:rPr>
          <w:spacing w:val="-11"/>
        </w:rPr>
        <w:t xml:space="preserve"> </w:t>
      </w:r>
      <w:r>
        <w:t>bilgilerin</w:t>
      </w:r>
      <w:r>
        <w:rPr>
          <w:spacing w:val="-9"/>
        </w:rPr>
        <w:t xml:space="preserve"> </w:t>
      </w:r>
      <w:r>
        <w:t xml:space="preserve">pekiştirilmesinde kritik bir faktördür (Hattie, 2009:1). Geribildirimin asıl amacı, öğrencinin anlık anlama seviyesi ile öğrenme hedefleri arasındaki farkı azaltmak ve öğrenciyi bu süreçte desteklemektir (Hattie </w:t>
      </w:r>
      <w:r>
        <w:rPr>
          <w:rFonts w:hint="default"/>
          <w:lang w:val="tr-TR"/>
        </w:rPr>
        <w:t>ve</w:t>
      </w:r>
      <w:r>
        <w:t xml:space="preserve"> Timberley, 2007:81). Öğrenciler, geribildirim aracılığıyla, "Ne yapıyorum?", "Nasıl yapıyorum?" ve "Bir sonraki adım ne olacak?" gibi sorulara cevap bulmalıdır (Rakoczy v</w:t>
      </w:r>
      <w:r>
        <w:rPr>
          <w:rFonts w:hint="default"/>
          <w:lang w:val="tr-TR"/>
        </w:rPr>
        <w:t>d.</w:t>
      </w:r>
      <w:r>
        <w:t xml:space="preserve">, 2013:63). Böylece, bireyler yaptıkları işin kalitesini ve hedeflerine ne kadar yaklaştıklarını sürekli olarak değerlendirebilirler (Csikszentmihalyi, </w:t>
      </w:r>
      <w:r>
        <w:rPr>
          <w:spacing w:val="-2"/>
        </w:rPr>
        <w:t>1990:5).</w:t>
      </w:r>
    </w:p>
    <w:p w14:paraId="18108840">
      <w:pPr>
        <w:pStyle w:val="9"/>
        <w:spacing w:before="120" w:after="120" w:line="360" w:lineRule="auto"/>
        <w:ind w:left="0" w:firstLine="567"/>
      </w:pPr>
      <w:r>
        <w:t>Eğitim</w:t>
      </w:r>
      <w:r>
        <w:rPr>
          <w:spacing w:val="-2"/>
        </w:rPr>
        <w:t xml:space="preserve"> </w:t>
      </w:r>
      <w:r>
        <w:t>sürecinde,</w:t>
      </w:r>
      <w:r>
        <w:rPr>
          <w:spacing w:val="-2"/>
        </w:rPr>
        <w:t xml:space="preserve"> </w:t>
      </w:r>
      <w:r>
        <w:t>öğrencilerin</w:t>
      </w:r>
      <w:r>
        <w:rPr>
          <w:spacing w:val="-3"/>
        </w:rPr>
        <w:t xml:space="preserve"> </w:t>
      </w:r>
      <w:r>
        <w:t>performansları</w:t>
      </w:r>
      <w:r>
        <w:rPr>
          <w:spacing w:val="-2"/>
        </w:rPr>
        <w:t xml:space="preserve"> </w:t>
      </w:r>
      <w:r>
        <w:t>hakkında</w:t>
      </w:r>
      <w:r>
        <w:rPr>
          <w:spacing w:val="-3"/>
        </w:rPr>
        <w:t xml:space="preserve"> </w:t>
      </w:r>
      <w:r>
        <w:t>hızlı</w:t>
      </w:r>
      <w:r>
        <w:rPr>
          <w:spacing w:val="-2"/>
        </w:rPr>
        <w:t xml:space="preserve"> </w:t>
      </w:r>
      <w:r>
        <w:t>ve</w:t>
      </w:r>
      <w:r>
        <w:rPr>
          <w:spacing w:val="-3"/>
        </w:rPr>
        <w:t xml:space="preserve"> </w:t>
      </w:r>
      <w:r>
        <w:t>düzenli</w:t>
      </w:r>
      <w:r>
        <w:rPr>
          <w:spacing w:val="-2"/>
        </w:rPr>
        <w:t xml:space="preserve"> </w:t>
      </w:r>
      <w:r>
        <w:t>geribildirim</w:t>
      </w:r>
      <w:r>
        <w:rPr>
          <w:spacing w:val="-2"/>
        </w:rPr>
        <w:t xml:space="preserve"> </w:t>
      </w:r>
      <w:r>
        <w:t>alması gerekir. Başlangıçta, bu bilgiler genellikle öğretmenden gelir çünkü öğrenciler henüz öğrendikleri konuya hakim değildirler. Ancak zamanla öğrenciler, kendi başlarına geribildirim vermeyi öğrenir</w:t>
      </w:r>
      <w:r>
        <w:rPr>
          <w:spacing w:val="-1"/>
        </w:rPr>
        <w:t xml:space="preserve"> </w:t>
      </w:r>
      <w:r>
        <w:t>ve</w:t>
      </w:r>
      <w:r>
        <w:rPr>
          <w:spacing w:val="-2"/>
        </w:rPr>
        <w:t xml:space="preserve"> </w:t>
      </w:r>
      <w:r>
        <w:t>bu</w:t>
      </w:r>
      <w:r>
        <w:rPr>
          <w:spacing w:val="-1"/>
        </w:rPr>
        <w:t xml:space="preserve"> </w:t>
      </w:r>
      <w:r>
        <w:t>süreçte</w:t>
      </w:r>
      <w:r>
        <w:rPr>
          <w:spacing w:val="-1"/>
        </w:rPr>
        <w:t xml:space="preserve"> </w:t>
      </w:r>
      <w:r>
        <w:t>kendi gelişimlerini izleyerek</w:t>
      </w:r>
      <w:r>
        <w:rPr>
          <w:spacing w:val="-1"/>
        </w:rPr>
        <w:t xml:space="preserve"> </w:t>
      </w:r>
      <w:r>
        <w:t>özerklik</w:t>
      </w:r>
      <w:r>
        <w:rPr>
          <w:spacing w:val="-1"/>
        </w:rPr>
        <w:t xml:space="preserve"> </w:t>
      </w:r>
      <w:r>
        <w:t>kazanırlar (Flavell, 1976:231). Öğretmenler, sınıf içi etkinlikleri, sorulan soruları ve verilen cevapları gözlemleyerek öğrencinin kendisine verdiği geribildirimin doğruluğunu değerlendirebilir (Csikszentmihalyi, 2014a:153).</w:t>
      </w:r>
    </w:p>
    <w:p w14:paraId="35336860">
      <w:pPr>
        <w:pStyle w:val="9"/>
        <w:spacing w:before="120" w:after="120" w:line="360" w:lineRule="auto"/>
        <w:ind w:left="0" w:firstLine="567"/>
      </w:pPr>
      <w:r>
        <w:t>Akış deneyiminin bir diğer önemli koşulu, gerçekleştirilen işin zorluk seviyesinin kişinin yetenekleriyle uyumlu olmasıdır. Bu durum, Berlyne tarafından ortaya konan ‘optimal canlılık’ kavramıyla benzerlik gösterir ancak akış, işin algılanan zorluğu ve bireyin beceri düzeyine</w:t>
      </w:r>
      <w:r>
        <w:rPr>
          <w:spacing w:val="-7"/>
        </w:rPr>
        <w:t xml:space="preserve"> </w:t>
      </w:r>
      <w:r>
        <w:t>odaklanırken,</w:t>
      </w:r>
      <w:r>
        <w:rPr>
          <w:spacing w:val="-7"/>
        </w:rPr>
        <w:t xml:space="preserve"> </w:t>
      </w:r>
      <w:r>
        <w:t>optimal</w:t>
      </w:r>
      <w:r>
        <w:rPr>
          <w:spacing w:val="-7"/>
        </w:rPr>
        <w:t xml:space="preserve"> </w:t>
      </w:r>
      <w:r>
        <w:t>canlılık</w:t>
      </w:r>
      <w:r>
        <w:rPr>
          <w:spacing w:val="-9"/>
        </w:rPr>
        <w:t xml:space="preserve"> </w:t>
      </w:r>
      <w:r>
        <w:t>için</w:t>
      </w:r>
      <w:r>
        <w:rPr>
          <w:spacing w:val="-7"/>
        </w:rPr>
        <w:t xml:space="preserve"> </w:t>
      </w:r>
      <w:r>
        <w:t>bu</w:t>
      </w:r>
      <w:r>
        <w:rPr>
          <w:spacing w:val="-7"/>
        </w:rPr>
        <w:t xml:space="preserve"> </w:t>
      </w:r>
      <w:r>
        <w:t>parametrelerin</w:t>
      </w:r>
      <w:r>
        <w:rPr>
          <w:spacing w:val="-7"/>
        </w:rPr>
        <w:t xml:space="preserve"> </w:t>
      </w:r>
      <w:r>
        <w:t>objektif</w:t>
      </w:r>
      <w:r>
        <w:rPr>
          <w:spacing w:val="-5"/>
        </w:rPr>
        <w:t xml:space="preserve"> </w:t>
      </w:r>
      <w:r>
        <w:t>seviyeleri</w:t>
      </w:r>
      <w:r>
        <w:rPr>
          <w:spacing w:val="-7"/>
        </w:rPr>
        <w:t xml:space="preserve"> </w:t>
      </w:r>
      <w:r>
        <w:t>esas</w:t>
      </w:r>
      <w:r>
        <w:rPr>
          <w:spacing w:val="-7"/>
        </w:rPr>
        <w:t xml:space="preserve"> </w:t>
      </w:r>
      <w:r>
        <w:t>alınır (Csikszentmihalyi, Abuhamdeh ve Nakamura, 2014: 227). Akış teorisine göre, eğer bir görev becerilerin üzerindeyse, kişi endişe duyabilir. Aksine, görev kişinin kapasitesinin altındaysa,</w:t>
      </w:r>
      <w:r>
        <w:rPr>
          <w:spacing w:val="-2"/>
        </w:rPr>
        <w:t xml:space="preserve"> </w:t>
      </w:r>
      <w:r>
        <w:t>sıkılabilir.</w:t>
      </w:r>
      <w:r>
        <w:rPr>
          <w:spacing w:val="-3"/>
        </w:rPr>
        <w:t xml:space="preserve"> </w:t>
      </w:r>
      <w:r>
        <w:t>Optimal</w:t>
      </w:r>
      <w:r>
        <w:rPr>
          <w:spacing w:val="-2"/>
        </w:rPr>
        <w:t xml:space="preserve"> </w:t>
      </w:r>
      <w:r>
        <w:t>durumda</w:t>
      </w:r>
      <w:r>
        <w:rPr>
          <w:spacing w:val="-3"/>
        </w:rPr>
        <w:t xml:space="preserve"> </w:t>
      </w:r>
      <w:r>
        <w:t>ise,</w:t>
      </w:r>
      <w:r>
        <w:rPr>
          <w:spacing w:val="-3"/>
        </w:rPr>
        <w:t xml:space="preserve"> </w:t>
      </w:r>
      <w:r>
        <w:t>kişi yeteneklerini</w:t>
      </w:r>
      <w:r>
        <w:rPr>
          <w:spacing w:val="-2"/>
        </w:rPr>
        <w:t xml:space="preserve"> </w:t>
      </w:r>
      <w:r>
        <w:t>kullanarak</w:t>
      </w:r>
      <w:r>
        <w:rPr>
          <w:spacing w:val="-2"/>
        </w:rPr>
        <w:t xml:space="preserve"> </w:t>
      </w:r>
      <w:r>
        <w:t>ve</w:t>
      </w:r>
      <w:r>
        <w:rPr>
          <w:spacing w:val="-3"/>
        </w:rPr>
        <w:t xml:space="preserve"> </w:t>
      </w:r>
      <w:r>
        <w:t>bu yeteneklere uygun zorluklardaki bir işi başarıyla yerine getirebileceğini hissettiğinde akışa girer (Csikszentmihalyi, 2014c: 129). Vygotsky'ye göre, öğrenme, mevcut becerilerin tekrar kullanılması</w:t>
      </w:r>
      <w:r>
        <w:rPr>
          <w:spacing w:val="-9"/>
        </w:rPr>
        <w:t xml:space="preserve"> </w:t>
      </w:r>
      <w:r>
        <w:t>yerine,</w:t>
      </w:r>
      <w:r>
        <w:rPr>
          <w:spacing w:val="-11"/>
        </w:rPr>
        <w:t xml:space="preserve"> </w:t>
      </w:r>
      <w:r>
        <w:t>öğrencinin</w:t>
      </w:r>
      <w:r>
        <w:rPr>
          <w:spacing w:val="-9"/>
        </w:rPr>
        <w:t xml:space="preserve"> </w:t>
      </w:r>
      <w:r>
        <w:t>yeteneklerini</w:t>
      </w:r>
      <w:r>
        <w:rPr>
          <w:spacing w:val="-11"/>
        </w:rPr>
        <w:t xml:space="preserve"> </w:t>
      </w:r>
      <w:r>
        <w:t>artıracak</w:t>
      </w:r>
      <w:r>
        <w:rPr>
          <w:spacing w:val="-11"/>
        </w:rPr>
        <w:t xml:space="preserve"> </w:t>
      </w:r>
      <w:r>
        <w:t>zorluklarla</w:t>
      </w:r>
      <w:r>
        <w:rPr>
          <w:spacing w:val="-7"/>
        </w:rPr>
        <w:t xml:space="preserve"> </w:t>
      </w:r>
      <w:r>
        <w:t>yüzleştiğinde</w:t>
      </w:r>
      <w:r>
        <w:rPr>
          <w:spacing w:val="-12"/>
        </w:rPr>
        <w:t xml:space="preserve"> </w:t>
      </w:r>
      <w:r>
        <w:t>gerçekleşir. Akış deneyimi de, beceri ve zorlukların yüksek olduğu durumlarda yaşanır (Csikszentmihalyi, 2014a:153). Bu nedenle, akış içinde öğrenme gerçekleşebilir (Tardy ve Snyder, 2004: 118).</w:t>
      </w:r>
    </w:p>
    <w:p w14:paraId="575538B0">
      <w:pPr>
        <w:pStyle w:val="9"/>
        <w:spacing w:before="120" w:after="120" w:line="360" w:lineRule="auto"/>
        <w:ind w:left="0" w:firstLine="567"/>
      </w:pPr>
      <w:r>
        <w:t>Akış deneyiminde bireylerin işlerine olan yoğun odaklanmaları, onların bu etkinlikten aldıkları zevki artırır. Bireyin dikkatinin tamamen bir noktaya yönelmesi, bu deneyimin temel özelliklerinden biridir (Csikszentmihalyi, 2014d: 135). Katılımcılar, anı yaşarken başka hiçbir şeye dikkat etmezler ve tüm enerjilerini o anki eyleme adamış olurlar. Düşünceler,</w:t>
      </w:r>
      <w:r>
        <w:rPr>
          <w:spacing w:val="-11"/>
        </w:rPr>
        <w:t xml:space="preserve"> </w:t>
      </w:r>
      <w:r>
        <w:t>duygular,</w:t>
      </w:r>
      <w:r>
        <w:rPr>
          <w:spacing w:val="-11"/>
        </w:rPr>
        <w:t xml:space="preserve"> </w:t>
      </w:r>
      <w:r>
        <w:t>arzular</w:t>
      </w:r>
      <w:r>
        <w:rPr>
          <w:spacing w:val="-12"/>
        </w:rPr>
        <w:t xml:space="preserve"> </w:t>
      </w:r>
      <w:r>
        <w:t>ve</w:t>
      </w:r>
      <w:r>
        <w:rPr>
          <w:spacing w:val="-12"/>
        </w:rPr>
        <w:t xml:space="preserve"> </w:t>
      </w:r>
      <w:r>
        <w:t>eylemler</w:t>
      </w:r>
      <w:r>
        <w:rPr>
          <w:spacing w:val="-11"/>
        </w:rPr>
        <w:t xml:space="preserve"> </w:t>
      </w:r>
      <w:r>
        <w:t>arasında</w:t>
      </w:r>
      <w:r>
        <w:rPr>
          <w:spacing w:val="-12"/>
        </w:rPr>
        <w:t xml:space="preserve"> </w:t>
      </w:r>
      <w:r>
        <w:t>bir</w:t>
      </w:r>
      <w:r>
        <w:rPr>
          <w:spacing w:val="-11"/>
        </w:rPr>
        <w:t xml:space="preserve"> </w:t>
      </w:r>
      <w:r>
        <w:t>uyum</w:t>
      </w:r>
      <w:r>
        <w:rPr>
          <w:spacing w:val="-10"/>
        </w:rPr>
        <w:t xml:space="preserve"> </w:t>
      </w:r>
      <w:r>
        <w:t>sağlanır,</w:t>
      </w:r>
      <w:r>
        <w:rPr>
          <w:spacing w:val="-11"/>
        </w:rPr>
        <w:t xml:space="preserve"> </w:t>
      </w:r>
      <w:r>
        <w:t>bu</w:t>
      </w:r>
      <w:r>
        <w:rPr>
          <w:spacing w:val="-11"/>
        </w:rPr>
        <w:t xml:space="preserve"> </w:t>
      </w:r>
      <w:r>
        <w:t>da</w:t>
      </w:r>
      <w:r>
        <w:rPr>
          <w:spacing w:val="-12"/>
        </w:rPr>
        <w:t xml:space="preserve"> </w:t>
      </w:r>
      <w:r>
        <w:t>bireyin</w:t>
      </w:r>
      <w:r>
        <w:rPr>
          <w:spacing w:val="-10"/>
        </w:rPr>
        <w:t xml:space="preserve"> </w:t>
      </w:r>
      <w:r>
        <w:t>eylemin bir parçası olduğunu hissetmesine ve etkinlikle tamamen bütünleşmesine olanak tanır. Bu durumda, birey kendini kaybeder ve günlük rutinlerinden uzaklaşarak etkinliği neredeyse otomatik bir şekilde sürdürür (Csikszentmihalyi, 1990:5).</w:t>
      </w:r>
    </w:p>
    <w:p w14:paraId="55CD2940">
      <w:pPr>
        <w:pStyle w:val="9"/>
        <w:spacing w:before="120" w:after="120" w:line="360" w:lineRule="auto"/>
        <w:ind w:left="0" w:firstLine="567"/>
      </w:pPr>
      <w:r>
        <w:t>Dikkatin, psişik enerji olarak tanımlanan bir kaynak olduğu ve birden fazla şeye aynı anda odaklanamayacağı unutulmamalıdır. İnsanlar genellikle iki bilgi akışını aynı anda takip edebilirler; bu nedenle, birden fazla görev üzerinde çalışılırken tam anlamıyla akışa girilemez (Csikszentmihalyi, 2014d:135). Akış, eylemi tamamen kucaklamak ve sonuçlarını düşünmeden devam ettirmenin sonucudur (Csikszentmihalyi, 2014a:153).</w:t>
      </w:r>
    </w:p>
    <w:p w14:paraId="01D1A06D">
      <w:pPr>
        <w:pStyle w:val="9"/>
        <w:spacing w:before="120" w:after="120" w:line="360" w:lineRule="auto"/>
        <w:ind w:left="0" w:firstLine="567"/>
      </w:pPr>
      <w:r>
        <w:t>Günlük yaşamda insanlar, genellikle nasıl göründükleri ve diğerlerinin kendileri hakkında ne düşündüğü konusunda önemli ölçüde enerji harcarlar. Ancak akış durumunda, birey sosyal bir varlık olarak kendini kaybeder (Nakamura &amp; Csikszentmihalyi, 2009:235). Kişi, dış görünüşü veya başkalarının değerlendirmeleriyle ilgilenmez; diğer insanların gözünden kendine bakmayı bırakır. Bedensel ihtiyaçların farkındalığı azalır ve kişi yaptığı eylemle bütünleşir.</w:t>
      </w:r>
      <w:r>
        <w:rPr>
          <w:spacing w:val="-4"/>
        </w:rPr>
        <w:t xml:space="preserve"> </w:t>
      </w:r>
      <w:r>
        <w:t>Eylem</w:t>
      </w:r>
      <w:r>
        <w:rPr>
          <w:spacing w:val="-4"/>
        </w:rPr>
        <w:t xml:space="preserve"> </w:t>
      </w:r>
      <w:r>
        <w:t>sırasında yaşanan</w:t>
      </w:r>
      <w:r>
        <w:rPr>
          <w:spacing w:val="-2"/>
        </w:rPr>
        <w:t xml:space="preserve"> </w:t>
      </w:r>
      <w:r>
        <w:t>egonun</w:t>
      </w:r>
      <w:r>
        <w:rPr>
          <w:spacing w:val="-4"/>
        </w:rPr>
        <w:t xml:space="preserve"> </w:t>
      </w:r>
      <w:r>
        <w:t>kaybı</w:t>
      </w:r>
      <w:r>
        <w:rPr>
          <w:spacing w:val="-4"/>
        </w:rPr>
        <w:t xml:space="preserve"> </w:t>
      </w:r>
      <w:r>
        <w:t>paradoksal</w:t>
      </w:r>
      <w:r>
        <w:rPr>
          <w:spacing w:val="-4"/>
        </w:rPr>
        <w:t xml:space="preserve"> </w:t>
      </w:r>
      <w:r>
        <w:t>bir</w:t>
      </w:r>
      <w:r>
        <w:rPr>
          <w:spacing w:val="-3"/>
        </w:rPr>
        <w:t xml:space="preserve"> </w:t>
      </w:r>
      <w:r>
        <w:t>şekilde,</w:t>
      </w:r>
      <w:r>
        <w:rPr>
          <w:spacing w:val="-2"/>
        </w:rPr>
        <w:t xml:space="preserve"> </w:t>
      </w:r>
      <w:r>
        <w:t>eylem</w:t>
      </w:r>
      <w:r>
        <w:rPr>
          <w:spacing w:val="-4"/>
        </w:rPr>
        <w:t xml:space="preserve"> </w:t>
      </w:r>
      <w:r>
        <w:t>sonrasında bireyin kendini daha güçlü ve önemli hissetmesine yol açar. Birey, sıklıkla kendini daha büyük</w:t>
      </w:r>
      <w:r>
        <w:rPr>
          <w:spacing w:val="-7"/>
        </w:rPr>
        <w:t xml:space="preserve"> </w:t>
      </w:r>
      <w:r>
        <w:t>bir</w:t>
      </w:r>
      <w:r>
        <w:rPr>
          <w:spacing w:val="-5"/>
        </w:rPr>
        <w:t xml:space="preserve"> </w:t>
      </w:r>
      <w:r>
        <w:t>bütünün</w:t>
      </w:r>
      <w:r>
        <w:rPr>
          <w:spacing w:val="-6"/>
        </w:rPr>
        <w:t xml:space="preserve"> </w:t>
      </w:r>
      <w:r>
        <w:t>parçası</w:t>
      </w:r>
      <w:r>
        <w:rPr>
          <w:spacing w:val="-6"/>
        </w:rPr>
        <w:t xml:space="preserve"> </w:t>
      </w:r>
      <w:r>
        <w:t>olarak</w:t>
      </w:r>
      <w:r>
        <w:rPr>
          <w:spacing w:val="-7"/>
        </w:rPr>
        <w:t xml:space="preserve"> </w:t>
      </w:r>
      <w:r>
        <w:t>hissederek</w:t>
      </w:r>
      <w:r>
        <w:rPr>
          <w:spacing w:val="-5"/>
        </w:rPr>
        <w:t xml:space="preserve"> </w:t>
      </w:r>
      <w:r>
        <w:t>aşkınlık</w:t>
      </w:r>
      <w:r>
        <w:rPr>
          <w:spacing w:val="-6"/>
        </w:rPr>
        <w:t xml:space="preserve"> </w:t>
      </w:r>
      <w:r>
        <w:t>deneyimler</w:t>
      </w:r>
      <w:r>
        <w:rPr>
          <w:spacing w:val="-8"/>
        </w:rPr>
        <w:t xml:space="preserve"> </w:t>
      </w:r>
      <w:r>
        <w:t>(Csikszentmihalyi,</w:t>
      </w:r>
      <w:r>
        <w:rPr>
          <w:spacing w:val="-6"/>
        </w:rPr>
        <w:t xml:space="preserve"> </w:t>
      </w:r>
      <w:r>
        <w:t xml:space="preserve">2014d: </w:t>
      </w:r>
      <w:r>
        <w:rPr>
          <w:spacing w:val="-4"/>
        </w:rPr>
        <w:t>135).</w:t>
      </w:r>
    </w:p>
    <w:p w14:paraId="3374BDD3">
      <w:pPr>
        <w:pStyle w:val="9"/>
        <w:spacing w:before="120" w:after="120" w:line="360" w:lineRule="auto"/>
        <w:ind w:left="0" w:firstLine="567"/>
      </w:pPr>
      <w:r>
        <w:t>Akış durumunda birey, hareketlerini ve çevresini kontrol altında tuttuğunu hisseder. Bu kontrol duygusu, egonun yerini alır (Csikszentmihalyi, 2014d: 135). Eylemi bilinçli olarak kontrol etmekten ziyade, bilinmeyen veya tahmin edilmeyen bir durumla karşılaşmayacağına dair bir rahatlama hissi yaşar. Kişi, aktivitenin kontrolünün dışına çıkmayacağını bilerek endişelenmez ve eylem sonrasında her şeyin kendi kontrolünde olduğunu,</w:t>
      </w:r>
      <w:r>
        <w:rPr>
          <w:spacing w:val="-12"/>
        </w:rPr>
        <w:t xml:space="preserve"> </w:t>
      </w:r>
      <w:r>
        <w:t>gerekli</w:t>
      </w:r>
      <w:r>
        <w:rPr>
          <w:spacing w:val="-13"/>
        </w:rPr>
        <w:t xml:space="preserve"> </w:t>
      </w:r>
      <w:r>
        <w:t>becerilere</w:t>
      </w:r>
      <w:r>
        <w:rPr>
          <w:spacing w:val="-15"/>
        </w:rPr>
        <w:t xml:space="preserve"> </w:t>
      </w:r>
      <w:r>
        <w:t>sahip</w:t>
      </w:r>
      <w:r>
        <w:rPr>
          <w:spacing w:val="-14"/>
        </w:rPr>
        <w:t xml:space="preserve"> </w:t>
      </w:r>
      <w:r>
        <w:t>olduğunu</w:t>
      </w:r>
      <w:r>
        <w:rPr>
          <w:spacing w:val="-14"/>
        </w:rPr>
        <w:t xml:space="preserve"> </w:t>
      </w:r>
      <w:r>
        <w:t>ve</w:t>
      </w:r>
      <w:r>
        <w:rPr>
          <w:spacing w:val="-13"/>
        </w:rPr>
        <w:t xml:space="preserve"> </w:t>
      </w:r>
      <w:r>
        <w:t>eylemi</w:t>
      </w:r>
      <w:r>
        <w:rPr>
          <w:spacing w:val="-13"/>
        </w:rPr>
        <w:t xml:space="preserve"> </w:t>
      </w:r>
      <w:r>
        <w:t>kendi</w:t>
      </w:r>
      <w:r>
        <w:rPr>
          <w:spacing w:val="-14"/>
        </w:rPr>
        <w:t xml:space="preserve"> </w:t>
      </w:r>
      <w:r>
        <w:t>istediği</w:t>
      </w:r>
      <w:r>
        <w:rPr>
          <w:spacing w:val="-9"/>
        </w:rPr>
        <w:t xml:space="preserve"> </w:t>
      </w:r>
      <w:r>
        <w:t>yönde</w:t>
      </w:r>
      <w:r>
        <w:rPr>
          <w:spacing w:val="-13"/>
        </w:rPr>
        <w:t xml:space="preserve"> </w:t>
      </w:r>
      <w:r>
        <w:t>şekillendirdiğini fark eder (Csikszentmihalyi, 2014d: 135).</w:t>
      </w:r>
    </w:p>
    <w:p w14:paraId="3AEC01CB">
      <w:pPr>
        <w:pStyle w:val="9"/>
        <w:spacing w:before="120" w:after="120" w:line="360" w:lineRule="auto"/>
        <w:ind w:left="0" w:firstLine="567"/>
      </w:pPr>
      <w:r>
        <w:t xml:space="preserve">Akış deneyiminde zaman algısı sıklıkla değişir. Katılımcılar genellikle zamanın olağandan daha hızlı geçtiğini belirtirler. Etkinlikle bütünleşme ve dikkatin tamamen etkinliğe verilmesi nedeniyle zamanın nasıl geçtiği fark edilmez (Nakamura </w:t>
      </w:r>
      <w:r>
        <w:rPr>
          <w:rFonts w:hint="default"/>
          <w:lang w:val="tr-TR"/>
        </w:rPr>
        <w:t xml:space="preserve">ve </w:t>
      </w:r>
      <w:r>
        <w:t xml:space="preserve"> Csikszentmihalyi, 2009: 195). Akışın temel bir özelliği, eylemin kendisinin amaç haline gelmesidir. Bu deneyim, Yunanca ‘kendi’ anlamına gelen "auto" ve ‘amaç’ anlamına gelen "telos" kelimelerinin birleşiminden oluşan ototelik terimiyle ifade edilir (Csikszentmihalyi, 1990:5). Birey, bu tür deneyimlerde ne yapabileceğini, fırsatları ve geliştirilebilecek beceri ve</w:t>
      </w:r>
      <w:r>
        <w:rPr>
          <w:spacing w:val="-10"/>
        </w:rPr>
        <w:t xml:space="preserve"> </w:t>
      </w:r>
      <w:r>
        <w:t>yeteneklerini</w:t>
      </w:r>
      <w:r>
        <w:rPr>
          <w:spacing w:val="-11"/>
        </w:rPr>
        <w:t xml:space="preserve"> </w:t>
      </w:r>
      <w:r>
        <w:t>keşfeder</w:t>
      </w:r>
      <w:r>
        <w:rPr>
          <w:spacing w:val="-12"/>
        </w:rPr>
        <w:t xml:space="preserve"> </w:t>
      </w:r>
      <w:r>
        <w:t>ve</w:t>
      </w:r>
      <w:r>
        <w:rPr>
          <w:spacing w:val="-13"/>
        </w:rPr>
        <w:t xml:space="preserve"> </w:t>
      </w:r>
      <w:r>
        <w:t>bundan</w:t>
      </w:r>
      <w:r>
        <w:rPr>
          <w:spacing w:val="-12"/>
        </w:rPr>
        <w:t xml:space="preserve"> </w:t>
      </w:r>
      <w:r>
        <w:t>keyif</w:t>
      </w:r>
      <w:r>
        <w:rPr>
          <w:spacing w:val="-12"/>
        </w:rPr>
        <w:t xml:space="preserve"> </w:t>
      </w:r>
      <w:r>
        <w:t>alır.</w:t>
      </w:r>
      <w:r>
        <w:rPr>
          <w:spacing w:val="-12"/>
        </w:rPr>
        <w:t xml:space="preserve"> </w:t>
      </w:r>
      <w:r>
        <w:t>Bu</w:t>
      </w:r>
      <w:r>
        <w:rPr>
          <w:spacing w:val="-9"/>
        </w:rPr>
        <w:t xml:space="preserve"> </w:t>
      </w:r>
      <w:r>
        <w:t>nedenle,</w:t>
      </w:r>
      <w:r>
        <w:rPr>
          <w:spacing w:val="-12"/>
        </w:rPr>
        <w:t xml:space="preserve"> </w:t>
      </w:r>
      <w:r>
        <w:t>bu</w:t>
      </w:r>
      <w:r>
        <w:rPr>
          <w:spacing w:val="-12"/>
        </w:rPr>
        <w:t xml:space="preserve"> </w:t>
      </w:r>
      <w:r>
        <w:t>duyguları</w:t>
      </w:r>
      <w:r>
        <w:rPr>
          <w:spacing w:val="-12"/>
        </w:rPr>
        <w:t xml:space="preserve"> </w:t>
      </w:r>
      <w:r>
        <w:t>tekrar</w:t>
      </w:r>
      <w:r>
        <w:rPr>
          <w:spacing w:val="-8"/>
        </w:rPr>
        <w:t xml:space="preserve"> </w:t>
      </w:r>
      <w:r>
        <w:t>yaşamak</w:t>
      </w:r>
      <w:r>
        <w:rPr>
          <w:spacing w:val="-12"/>
        </w:rPr>
        <w:t xml:space="preserve"> </w:t>
      </w:r>
      <w:r>
        <w:t>için etkinliği sürdürme eğilimi gösterir (Csikszentmihalyi, 2014c: 129). Bu koşul ve özellikler sağlandığında, akış içindeki etkinlikler birey için ödül niteliğindedir.</w:t>
      </w:r>
    </w:p>
    <w:p w14:paraId="06974557">
      <w:pPr>
        <w:pStyle w:val="9"/>
        <w:spacing w:before="120" w:after="120" w:line="360" w:lineRule="auto"/>
        <w:ind w:left="0" w:firstLine="567"/>
      </w:pPr>
    </w:p>
    <w:p w14:paraId="59C8C2FD">
      <w:pPr>
        <w:pStyle w:val="9"/>
        <w:spacing w:before="120" w:after="120" w:line="360" w:lineRule="auto"/>
        <w:ind w:left="0" w:firstLine="567"/>
      </w:pPr>
    </w:p>
    <w:p w14:paraId="28F53B0A">
      <w:pPr>
        <w:pStyle w:val="2"/>
        <w:tabs>
          <w:tab w:val="left" w:pos="519"/>
        </w:tabs>
        <w:spacing w:before="240" w:after="240" w:line="360" w:lineRule="auto"/>
        <w:ind w:left="567"/>
        <w:jc w:val="both"/>
      </w:pPr>
      <w:bookmarkStart w:id="119" w:name="_Toc195875813"/>
      <w:bookmarkStart w:id="120" w:name="_Toc197351251"/>
      <w:bookmarkStart w:id="121" w:name="_Toc195877798"/>
      <w:r>
        <w:t>2.4. Yaşam</w:t>
      </w:r>
      <w:r>
        <w:rPr>
          <w:spacing w:val="-4"/>
        </w:rPr>
        <w:t xml:space="preserve"> </w:t>
      </w:r>
      <w:r>
        <w:rPr>
          <w:spacing w:val="-2"/>
        </w:rPr>
        <w:t>Kalitesi</w:t>
      </w:r>
      <w:bookmarkEnd w:id="119"/>
      <w:bookmarkEnd w:id="120"/>
      <w:bookmarkEnd w:id="121"/>
    </w:p>
    <w:p w14:paraId="3D521C2C">
      <w:pPr>
        <w:pStyle w:val="4"/>
        <w:spacing w:before="240" w:after="240" w:line="360" w:lineRule="auto"/>
        <w:ind w:left="567" w:firstLine="0"/>
        <w:rPr>
          <w:i w:val="0"/>
        </w:rPr>
      </w:pPr>
      <w:bookmarkStart w:id="122" w:name="_Toc197351252"/>
      <w:bookmarkStart w:id="123" w:name="_Toc195877799"/>
      <w:r>
        <w:rPr>
          <w:i w:val="0"/>
        </w:rPr>
        <w:t xml:space="preserve">2.4.1. </w:t>
      </w:r>
      <w:bookmarkStart w:id="124" w:name="_Toc195875814"/>
      <w:r>
        <w:rPr>
          <w:i w:val="0"/>
        </w:rPr>
        <w:t>Yaşam Kalitesi Kavramı</w:t>
      </w:r>
      <w:bookmarkEnd w:id="122"/>
      <w:bookmarkEnd w:id="123"/>
      <w:bookmarkEnd w:id="124"/>
    </w:p>
    <w:p w14:paraId="6D050A3B">
      <w:pPr>
        <w:pStyle w:val="9"/>
        <w:spacing w:before="120" w:after="120" w:line="360" w:lineRule="auto"/>
        <w:ind w:left="0" w:firstLine="567"/>
      </w:pPr>
      <w:r>
        <w:t>Kalite</w:t>
      </w:r>
      <w:r>
        <w:rPr>
          <w:spacing w:val="-9"/>
        </w:rPr>
        <w:t xml:space="preserve"> </w:t>
      </w:r>
      <w:r>
        <w:t>kelimesi</w:t>
      </w:r>
      <w:r>
        <w:rPr>
          <w:spacing w:val="-8"/>
        </w:rPr>
        <w:t xml:space="preserve"> </w:t>
      </w:r>
      <w:r>
        <w:t>Türk</w:t>
      </w:r>
      <w:r>
        <w:rPr>
          <w:spacing w:val="-8"/>
        </w:rPr>
        <w:t xml:space="preserve"> </w:t>
      </w:r>
      <w:r>
        <w:t>Dil</w:t>
      </w:r>
      <w:r>
        <w:rPr>
          <w:spacing w:val="-5"/>
        </w:rPr>
        <w:t xml:space="preserve"> </w:t>
      </w:r>
      <w:r>
        <w:t>Kurumu</w:t>
      </w:r>
      <w:r>
        <w:rPr>
          <w:spacing w:val="-8"/>
        </w:rPr>
        <w:t xml:space="preserve"> </w:t>
      </w:r>
      <w:r>
        <w:t>sözlüğünde</w:t>
      </w:r>
      <w:r>
        <w:rPr>
          <w:spacing w:val="-7"/>
        </w:rPr>
        <w:t xml:space="preserve"> </w:t>
      </w:r>
      <w:r>
        <w:t>“bir</w:t>
      </w:r>
      <w:r>
        <w:rPr>
          <w:spacing w:val="-6"/>
        </w:rPr>
        <w:t xml:space="preserve"> </w:t>
      </w:r>
      <w:r>
        <w:t>şeyin</w:t>
      </w:r>
      <w:r>
        <w:rPr>
          <w:spacing w:val="-8"/>
        </w:rPr>
        <w:t xml:space="preserve"> </w:t>
      </w:r>
      <w:r>
        <w:t>iyi</w:t>
      </w:r>
      <w:r>
        <w:rPr>
          <w:spacing w:val="-8"/>
        </w:rPr>
        <w:t xml:space="preserve"> </w:t>
      </w:r>
      <w:r>
        <w:t>veya</w:t>
      </w:r>
      <w:r>
        <w:rPr>
          <w:spacing w:val="-7"/>
        </w:rPr>
        <w:t xml:space="preserve"> </w:t>
      </w:r>
      <w:r>
        <w:t>kötü</w:t>
      </w:r>
      <w:r>
        <w:rPr>
          <w:spacing w:val="-8"/>
        </w:rPr>
        <w:t xml:space="preserve"> </w:t>
      </w:r>
      <w:r>
        <w:t>olma</w:t>
      </w:r>
      <w:r>
        <w:rPr>
          <w:spacing w:val="-4"/>
        </w:rPr>
        <w:t xml:space="preserve"> </w:t>
      </w:r>
      <w:r>
        <w:t>özelliği,</w:t>
      </w:r>
      <w:r>
        <w:rPr>
          <w:spacing w:val="-8"/>
        </w:rPr>
        <w:t xml:space="preserve"> </w:t>
      </w:r>
      <w:r>
        <w:t>nitelik” ve</w:t>
      </w:r>
      <w:r>
        <w:rPr>
          <w:spacing w:val="-1"/>
        </w:rPr>
        <w:t xml:space="preserve"> </w:t>
      </w:r>
      <w:r>
        <w:t>“üstün nitelikli”</w:t>
      </w:r>
      <w:r>
        <w:rPr>
          <w:spacing w:val="-1"/>
        </w:rPr>
        <w:t xml:space="preserve"> </w:t>
      </w:r>
      <w:r>
        <w:t>olarak tanımlanmaktadır. Anılan kavram ayrıca, bireylerin yaşantılarını ve nesnelerin özelliklerini ifade etmek, hedeflenen mükemmeliyeti değerlendirmek üzere kullanılmaktadır. Kalitenin her ne kadar ölçü, sayı, süreç, süre ve test gibi somut kriterleri olsa da birçok alanda his, heyecan, tatmin, tercih, değer yargıları ve tutum gibi soyut kriterleri de bulunmakta ve bunlara dayanılarak da ölçülebilmektedir. Bu bağlamda, kalite objektif ve subjektif bir kavram olarak değerlendirilmektedir (Perim, 2007:9).</w:t>
      </w:r>
    </w:p>
    <w:p w14:paraId="3A086CC3">
      <w:pPr>
        <w:pStyle w:val="9"/>
        <w:spacing w:before="120" w:after="120" w:line="360" w:lineRule="auto"/>
        <w:ind w:left="0" w:firstLine="567"/>
      </w:pPr>
      <w:r>
        <w:t>“Yaşam</w:t>
      </w:r>
      <w:r>
        <w:rPr>
          <w:spacing w:val="-10"/>
        </w:rPr>
        <w:t xml:space="preserve"> </w:t>
      </w:r>
      <w:r>
        <w:t>Kalitesi”</w:t>
      </w:r>
      <w:r>
        <w:rPr>
          <w:spacing w:val="-11"/>
        </w:rPr>
        <w:t xml:space="preserve"> </w:t>
      </w:r>
      <w:r>
        <w:t>konsepti,</w:t>
      </w:r>
      <w:r>
        <w:rPr>
          <w:spacing w:val="-11"/>
        </w:rPr>
        <w:t xml:space="preserve"> </w:t>
      </w:r>
      <w:r>
        <w:t>tarih</w:t>
      </w:r>
      <w:r>
        <w:rPr>
          <w:spacing w:val="-10"/>
        </w:rPr>
        <w:t xml:space="preserve"> </w:t>
      </w:r>
      <w:r>
        <w:t>boyunca</w:t>
      </w:r>
      <w:r>
        <w:rPr>
          <w:spacing w:val="-12"/>
        </w:rPr>
        <w:t xml:space="preserve"> </w:t>
      </w:r>
      <w:r>
        <w:t>hem</w:t>
      </w:r>
      <w:r>
        <w:rPr>
          <w:spacing w:val="-10"/>
        </w:rPr>
        <w:t xml:space="preserve"> </w:t>
      </w:r>
      <w:r>
        <w:t>sosyolojik</w:t>
      </w:r>
      <w:r>
        <w:rPr>
          <w:spacing w:val="-10"/>
        </w:rPr>
        <w:t xml:space="preserve"> </w:t>
      </w:r>
      <w:r>
        <w:t>hem</w:t>
      </w:r>
      <w:r>
        <w:rPr>
          <w:spacing w:val="-10"/>
        </w:rPr>
        <w:t xml:space="preserve"> </w:t>
      </w:r>
      <w:r>
        <w:t>de</w:t>
      </w:r>
      <w:r>
        <w:rPr>
          <w:spacing w:val="-12"/>
        </w:rPr>
        <w:t xml:space="preserve"> </w:t>
      </w:r>
      <w:r>
        <w:t>tıbbi</w:t>
      </w:r>
      <w:r>
        <w:rPr>
          <w:spacing w:val="-10"/>
        </w:rPr>
        <w:t xml:space="preserve"> </w:t>
      </w:r>
      <w:r>
        <w:t>açıdan</w:t>
      </w:r>
      <w:r>
        <w:rPr>
          <w:spacing w:val="-11"/>
        </w:rPr>
        <w:t xml:space="preserve"> </w:t>
      </w:r>
      <w:r>
        <w:t>önemli</w:t>
      </w:r>
      <w:r>
        <w:rPr>
          <w:spacing w:val="-10"/>
        </w:rPr>
        <w:t xml:space="preserve"> </w:t>
      </w:r>
      <w:r>
        <w:t>bir</w:t>
      </w:r>
      <w:r>
        <w:rPr>
          <w:spacing w:val="-9"/>
        </w:rPr>
        <w:t xml:space="preserve"> </w:t>
      </w:r>
      <w:r>
        <w:t>yer tutmuştur. Aristo gibi ilk dönem filozoflar, bireylerin 'iyi bir yaşam' sürdürebilmeleri için gerekli olan unsurlar ve mutluluk  üzerinde durmuşlardır (Osterfeld, 1994:20). Aristo ve onu takip eden birçok düşünüre göre, yaşamın ana gayesi, en iyi olası durumu ve en yüksek dereceyi elde etmektir. Bu ideal duruma ulaşan bir birey, en üst yaşam kalitesini deneyimlemiş olur. Medikal alandaki tarihine bakıldığında, Hipokrat döneminden itibaren doktorların, hastaların tedavileri ve şikayetlerinin giderilmesi sırasında, iyilik halini maksimize etmeleri gerektiği öğretiliyordu (Levine, 1996:490).</w:t>
      </w:r>
    </w:p>
    <w:p w14:paraId="4300AF16">
      <w:pPr>
        <w:pStyle w:val="9"/>
        <w:spacing w:before="120" w:after="120" w:line="360" w:lineRule="auto"/>
        <w:ind w:left="0" w:firstLine="567"/>
      </w:pPr>
      <w:r>
        <w:t>Ancak, "yaşam kalitesi"</w:t>
      </w:r>
      <w:r>
        <w:rPr>
          <w:spacing w:val="-1"/>
        </w:rPr>
        <w:t xml:space="preserve"> </w:t>
      </w:r>
      <w:r>
        <w:t>terimi olarak ilk defa</w:t>
      </w:r>
      <w:r>
        <w:rPr>
          <w:spacing w:val="-1"/>
        </w:rPr>
        <w:t xml:space="preserve"> </w:t>
      </w:r>
      <w:r>
        <w:t>Priestley</w:t>
      </w:r>
      <w:r>
        <w:rPr>
          <w:spacing w:val="-4"/>
        </w:rPr>
        <w:t xml:space="preserve"> </w:t>
      </w:r>
      <w:r>
        <w:t>tarafından 1943 yılında "Cumartesi Işıkları" (Daylight on Saturday) adlı eserinde kullanılmıştır (Gerharz, 1999: 192). Dünya Sağlık Örgütü (WHO) 1946'da sağlığı, sadece hastalık veya sakatlığın yokluğu değil, "fiziksel, zihinsel ve</w:t>
      </w:r>
      <w:r>
        <w:rPr>
          <w:spacing w:val="-1"/>
        </w:rPr>
        <w:t xml:space="preserve"> </w:t>
      </w:r>
      <w:r>
        <w:t>sosyal açıdan</w:t>
      </w:r>
      <w:r>
        <w:rPr>
          <w:spacing w:val="-1"/>
        </w:rPr>
        <w:t xml:space="preserve"> </w:t>
      </w:r>
      <w:r>
        <w:t>tam bir</w:t>
      </w:r>
      <w:r>
        <w:rPr>
          <w:spacing w:val="-1"/>
        </w:rPr>
        <w:t xml:space="preserve"> </w:t>
      </w:r>
      <w:r>
        <w:t>iyilik hali"</w:t>
      </w:r>
      <w:r>
        <w:rPr>
          <w:spacing w:val="-2"/>
        </w:rPr>
        <w:t xml:space="preserve"> </w:t>
      </w:r>
      <w:r>
        <w:t>olarak pozitif</w:t>
      </w:r>
      <w:r>
        <w:rPr>
          <w:spacing w:val="-1"/>
        </w:rPr>
        <w:t xml:space="preserve"> </w:t>
      </w:r>
      <w:r>
        <w:t>bir</w:t>
      </w:r>
      <w:r>
        <w:rPr>
          <w:spacing w:val="-1"/>
        </w:rPr>
        <w:t xml:space="preserve"> </w:t>
      </w:r>
      <w:r>
        <w:t>tanım ile</w:t>
      </w:r>
      <w:r>
        <w:rPr>
          <w:spacing w:val="-1"/>
        </w:rPr>
        <w:t xml:space="preserve"> </w:t>
      </w:r>
      <w:r>
        <w:t>ele</w:t>
      </w:r>
      <w:r>
        <w:rPr>
          <w:spacing w:val="-1"/>
        </w:rPr>
        <w:t xml:space="preserve"> </w:t>
      </w:r>
      <w:r>
        <w:t>alınca, yaşam kalitesi kavramına olan ilgi önemli ölçüde artmıştır. Ancak, medikal literatürde "yaşam kalitesi" terimi, ilk defa Long'un 1960'ta yayınladığı "On the Quantity</w:t>
      </w:r>
      <w:r>
        <w:rPr>
          <w:spacing w:val="-1"/>
        </w:rPr>
        <w:t xml:space="preserve"> </w:t>
      </w:r>
      <w:r>
        <w:t>and Quality of Life" başlıklı yazısında geçmektedir (Long, 1960: 9).MEDLINE veri tabanındaki araştırmalara</w:t>
      </w:r>
      <w:r>
        <w:rPr>
          <w:spacing w:val="-6"/>
        </w:rPr>
        <w:t xml:space="preserve"> </w:t>
      </w:r>
      <w:r>
        <w:t>göre,</w:t>
      </w:r>
      <w:r>
        <w:rPr>
          <w:spacing w:val="-7"/>
        </w:rPr>
        <w:t xml:space="preserve"> </w:t>
      </w:r>
      <w:r>
        <w:t>1970</w:t>
      </w:r>
      <w:r>
        <w:rPr>
          <w:spacing w:val="-4"/>
        </w:rPr>
        <w:t xml:space="preserve"> </w:t>
      </w:r>
      <w:r>
        <w:t>yılına</w:t>
      </w:r>
      <w:r>
        <w:rPr>
          <w:spacing w:val="-8"/>
        </w:rPr>
        <w:t xml:space="preserve"> </w:t>
      </w:r>
      <w:r>
        <w:t>kadar</w:t>
      </w:r>
      <w:r>
        <w:rPr>
          <w:spacing w:val="-8"/>
        </w:rPr>
        <w:t xml:space="preserve"> </w:t>
      </w:r>
      <w:r>
        <w:t>sadece</w:t>
      </w:r>
      <w:r>
        <w:rPr>
          <w:spacing w:val="-8"/>
        </w:rPr>
        <w:t xml:space="preserve"> </w:t>
      </w:r>
      <w:r>
        <w:t>10</w:t>
      </w:r>
      <w:r>
        <w:rPr>
          <w:spacing w:val="-7"/>
        </w:rPr>
        <w:t xml:space="preserve"> </w:t>
      </w:r>
      <w:r>
        <w:t>makalede</w:t>
      </w:r>
      <w:r>
        <w:rPr>
          <w:spacing w:val="-8"/>
        </w:rPr>
        <w:t xml:space="preserve"> </w:t>
      </w:r>
      <w:r>
        <w:t>bu</w:t>
      </w:r>
      <w:r>
        <w:rPr>
          <w:spacing w:val="-7"/>
        </w:rPr>
        <w:t xml:space="preserve"> </w:t>
      </w:r>
      <w:r>
        <w:t>konuya</w:t>
      </w:r>
      <w:r>
        <w:rPr>
          <w:spacing w:val="-8"/>
        </w:rPr>
        <w:t xml:space="preserve"> </w:t>
      </w:r>
      <w:r>
        <w:t>değinilmiş,</w:t>
      </w:r>
      <w:r>
        <w:rPr>
          <w:spacing w:val="-6"/>
        </w:rPr>
        <w:t xml:space="preserve"> </w:t>
      </w:r>
      <w:r>
        <w:t>1991-2000 yılları arasında ise bu sayı 30813'e çıkmıştır. Ancak, bu çalışmaların yalnızca %30-50'si yaşam</w:t>
      </w:r>
      <w:r>
        <w:rPr>
          <w:spacing w:val="-2"/>
        </w:rPr>
        <w:t xml:space="preserve"> </w:t>
      </w:r>
      <w:r>
        <w:t>kalitesi</w:t>
      </w:r>
      <w:r>
        <w:rPr>
          <w:spacing w:val="-2"/>
        </w:rPr>
        <w:t xml:space="preserve"> </w:t>
      </w:r>
      <w:r>
        <w:t>konusunu</w:t>
      </w:r>
      <w:r>
        <w:rPr>
          <w:spacing w:val="-5"/>
        </w:rPr>
        <w:t xml:space="preserve"> </w:t>
      </w:r>
      <w:r>
        <w:t>ele</w:t>
      </w:r>
      <w:r>
        <w:rPr>
          <w:spacing w:val="-2"/>
        </w:rPr>
        <w:t xml:space="preserve"> </w:t>
      </w:r>
      <w:r>
        <w:t>alırken, yaşam</w:t>
      </w:r>
      <w:r>
        <w:rPr>
          <w:spacing w:val="-2"/>
        </w:rPr>
        <w:t xml:space="preserve"> </w:t>
      </w:r>
      <w:r>
        <w:t>kalitesi</w:t>
      </w:r>
      <w:r>
        <w:rPr>
          <w:spacing w:val="-2"/>
        </w:rPr>
        <w:t xml:space="preserve"> </w:t>
      </w:r>
      <w:r>
        <w:t>ile</w:t>
      </w:r>
      <w:r>
        <w:rPr>
          <w:spacing w:val="-2"/>
        </w:rPr>
        <w:t xml:space="preserve"> </w:t>
      </w:r>
      <w:r>
        <w:t>ilgili</w:t>
      </w:r>
      <w:r>
        <w:rPr>
          <w:spacing w:val="-2"/>
        </w:rPr>
        <w:t xml:space="preserve"> </w:t>
      </w:r>
      <w:r>
        <w:t>bir</w:t>
      </w:r>
      <w:r>
        <w:rPr>
          <w:spacing w:val="-2"/>
        </w:rPr>
        <w:t xml:space="preserve"> </w:t>
      </w:r>
      <w:r>
        <w:t>ölçek</w:t>
      </w:r>
      <w:r>
        <w:rPr>
          <w:spacing w:val="-2"/>
        </w:rPr>
        <w:t xml:space="preserve"> </w:t>
      </w:r>
      <w:r>
        <w:t>kullanım</w:t>
      </w:r>
      <w:r>
        <w:rPr>
          <w:spacing w:val="-2"/>
        </w:rPr>
        <w:t xml:space="preserve"> </w:t>
      </w:r>
      <w:r>
        <w:t>oranı</w:t>
      </w:r>
      <w:r>
        <w:rPr>
          <w:spacing w:val="-2"/>
        </w:rPr>
        <w:t xml:space="preserve"> sadece</w:t>
      </w:r>
    </w:p>
    <w:p w14:paraId="65987C7B">
      <w:pPr>
        <w:pStyle w:val="9"/>
        <w:spacing w:before="120" w:after="120" w:line="360" w:lineRule="auto"/>
        <w:ind w:left="0" w:firstLine="567"/>
      </w:pPr>
      <w:r>
        <w:t>%2-7 arasında kalmıştır. Ayrıca, araştırmacılar bu konuda pozitif görüşler bildirirlerken, günlük uygulamalarında bu konuya çok fazla yer ayırmadıkları da gözlemlenmektedir (Bowling, 1998: 25).</w:t>
      </w:r>
    </w:p>
    <w:p w14:paraId="6EF06A77">
      <w:pPr>
        <w:pStyle w:val="9"/>
        <w:spacing w:before="120" w:after="120" w:line="360" w:lineRule="auto"/>
        <w:ind w:left="0" w:firstLine="567"/>
      </w:pPr>
      <w:r>
        <w:t>Son zamanlarda "Yaşam Kalitesi" kavramına duyulan ilgi, büyük oranda teknolojik gelişmelerle ve sağlık sektöründeki önemli ilerlemelerle bağlantılıdır. Günümüzde birçok hastalığın tedavi edilebilir olduğunu görüyoruz. Bu durum, yaşam süresinin uzamasına ve kronik hastalıklarla daha uzun süre yaşamaya neden olmuştur. Dahası, etkili ilaçların piyasaya sürülmesiyle birlikte, tedavi sırasında hastanın konforu da ilaçlar arasındaki farkı belirleyen bir faktör haline gelmiştir, bu da yaşam kalitesinin kritik bir öneme sahip olduğunu göstermektedir(Boylu ve Paçacıoğlu,:2016:137)</w:t>
      </w:r>
    </w:p>
    <w:p w14:paraId="033D71DF">
      <w:pPr>
        <w:pStyle w:val="9"/>
        <w:spacing w:before="120" w:after="120" w:line="360" w:lineRule="auto"/>
        <w:ind w:left="0" w:firstLine="567"/>
      </w:pPr>
      <w:r>
        <w:t>İnternetin yaygın kullanımı ve iletişim olanaklarının artması sayesinde, hastalar şimdi doktora gitmeden önce hastalıkları hakkında çok daha fazla bilgi edinebilmektedirler. Bu, doktorların</w:t>
      </w:r>
      <w:r>
        <w:rPr>
          <w:spacing w:val="-12"/>
        </w:rPr>
        <w:t xml:space="preserve"> </w:t>
      </w:r>
      <w:r>
        <w:t>artık</w:t>
      </w:r>
      <w:r>
        <w:rPr>
          <w:spacing w:val="-11"/>
        </w:rPr>
        <w:t xml:space="preserve"> </w:t>
      </w:r>
      <w:r>
        <w:t>tek</w:t>
      </w:r>
      <w:r>
        <w:rPr>
          <w:spacing w:val="-12"/>
        </w:rPr>
        <w:t xml:space="preserve"> </w:t>
      </w:r>
      <w:r>
        <w:t>karar</w:t>
      </w:r>
      <w:r>
        <w:rPr>
          <w:spacing w:val="-10"/>
        </w:rPr>
        <w:t xml:space="preserve"> </w:t>
      </w:r>
      <w:r>
        <w:t>mercii</w:t>
      </w:r>
      <w:r>
        <w:rPr>
          <w:spacing w:val="-11"/>
        </w:rPr>
        <w:t xml:space="preserve"> </w:t>
      </w:r>
      <w:r>
        <w:t>olmadığını</w:t>
      </w:r>
      <w:r>
        <w:rPr>
          <w:spacing w:val="-11"/>
        </w:rPr>
        <w:t xml:space="preserve"> </w:t>
      </w:r>
      <w:r>
        <w:t>ve</w:t>
      </w:r>
      <w:r>
        <w:rPr>
          <w:spacing w:val="-12"/>
        </w:rPr>
        <w:t xml:space="preserve"> </w:t>
      </w:r>
      <w:r>
        <w:t>hastaların</w:t>
      </w:r>
      <w:r>
        <w:rPr>
          <w:spacing w:val="-12"/>
        </w:rPr>
        <w:t xml:space="preserve"> </w:t>
      </w:r>
      <w:r>
        <w:t>görüş</w:t>
      </w:r>
      <w:r>
        <w:rPr>
          <w:spacing w:val="-12"/>
        </w:rPr>
        <w:t xml:space="preserve"> </w:t>
      </w:r>
      <w:r>
        <w:t>ve</w:t>
      </w:r>
      <w:r>
        <w:rPr>
          <w:spacing w:val="-12"/>
        </w:rPr>
        <w:t xml:space="preserve"> </w:t>
      </w:r>
      <w:r>
        <w:t>isteklerini</w:t>
      </w:r>
      <w:r>
        <w:rPr>
          <w:spacing w:val="-11"/>
        </w:rPr>
        <w:t xml:space="preserve"> </w:t>
      </w:r>
      <w:r>
        <w:t>de</w:t>
      </w:r>
      <w:r>
        <w:rPr>
          <w:spacing w:val="-12"/>
        </w:rPr>
        <w:t xml:space="preserve"> </w:t>
      </w:r>
      <w:r>
        <w:t>göz</w:t>
      </w:r>
      <w:r>
        <w:rPr>
          <w:spacing w:val="-10"/>
        </w:rPr>
        <w:t xml:space="preserve"> </w:t>
      </w:r>
      <w:r>
        <w:t>önünde bulundurmaları gerektiğini işaret etmektedir. "Yaşamın kutsallığı" (sanctity of life) ideolojisinin yükselişi de, tıbbi yaklaşımları etkileyerek, doktorların sadece hastaların hayatta kalmasına odaklanmaması, aynı zamanda yaşam kalitelerini de göz önünde bulundurması gerektiği görüşünü popülerleştirmiştir (Browne, 1999: 194).</w:t>
      </w:r>
    </w:p>
    <w:p w14:paraId="4EE4F4B3">
      <w:pPr>
        <w:pStyle w:val="9"/>
        <w:spacing w:before="120" w:after="120" w:line="360" w:lineRule="auto"/>
        <w:ind w:left="0" w:firstLine="567"/>
      </w:pPr>
      <w:r>
        <w:t>1970'lere kadar, sağlık profesyonelleri çalışmalarını morbidite, mortalite ve fizyolojik ölçümlere dayandırarak gerçekleştiriyordu. Ancak 1992 yılında, en önemli sağlık göstergeleri arasında "Yaşam Kalitesi"ne de yer verilmiştir (O’Boyle,1998:133).</w:t>
      </w:r>
    </w:p>
    <w:p w14:paraId="42471D26">
      <w:pPr>
        <w:pStyle w:val="9"/>
        <w:spacing w:before="120" w:after="120" w:line="360" w:lineRule="auto"/>
        <w:ind w:left="0" w:firstLine="567"/>
      </w:pPr>
      <w:r>
        <w:t>Diğer yandan, yaşam kalitesi farklı disiplinlerde değişik şekilde tanımlanmaktadır. Kişisel iyilik durumunun bir ifadesi ve subjektif bir tatmin birimi olan yaşam kalitesi, mutluluk, tatmin ve uyum kavramlarıyla birlikte kullanılmaktadır. Yaşam kalitesi, bireylerin kendi kültür ve moral değerleri çerçevesinde hayatlarındaki memnuniyet ve mutluluk olarak da ifade edilmektedir. Başka bir ifadeyle, subjektif tatmin şeklinde de tanımlanabilmektedir (Güven, 2007:47).</w:t>
      </w:r>
    </w:p>
    <w:p w14:paraId="354154C6">
      <w:pPr>
        <w:pStyle w:val="9"/>
        <w:spacing w:before="120" w:after="120" w:line="360" w:lineRule="auto"/>
        <w:ind w:left="0" w:firstLine="567"/>
      </w:pPr>
      <w:r>
        <w:t>Bireyler ve toplumlar sosyal çevre, ruhi haller, fiziki işlevler, aileler, dini inanç, etik ve ahlaki değerleriyle birlikte değerlendirilmektedir. Bu bağlamda, yaşam kalitesi kavramının çok boyutlu bir kavram olduğunu ifade edilerek, yaşam kalitesinin niteliklerini fiziki ve toplumsal iyilik, psikososyal ahenk, öğretiler ve değerler olarak sınıflandırmışlardır (Beşer ve Öz, 2003).</w:t>
      </w:r>
    </w:p>
    <w:p w14:paraId="1B651B5F">
      <w:pPr>
        <w:pStyle w:val="9"/>
        <w:spacing w:before="120" w:after="120" w:line="360" w:lineRule="auto"/>
        <w:ind w:left="0" w:firstLine="567"/>
      </w:pPr>
      <w:r>
        <w:t>Dünya</w:t>
      </w:r>
      <w:r>
        <w:rPr>
          <w:spacing w:val="-10"/>
        </w:rPr>
        <w:t xml:space="preserve"> </w:t>
      </w:r>
      <w:r>
        <w:t>Sağlık</w:t>
      </w:r>
      <w:r>
        <w:rPr>
          <w:spacing w:val="-12"/>
        </w:rPr>
        <w:t xml:space="preserve"> </w:t>
      </w:r>
      <w:r>
        <w:t>Örgütü</w:t>
      </w:r>
      <w:r>
        <w:rPr>
          <w:spacing w:val="-9"/>
        </w:rPr>
        <w:t xml:space="preserve"> </w:t>
      </w:r>
      <w:r>
        <w:t>(DSÖ),</w:t>
      </w:r>
      <w:r>
        <w:rPr>
          <w:spacing w:val="-8"/>
        </w:rPr>
        <w:t xml:space="preserve"> </w:t>
      </w:r>
      <w:r>
        <w:t>yaşam</w:t>
      </w:r>
      <w:r>
        <w:rPr>
          <w:spacing w:val="-11"/>
        </w:rPr>
        <w:t xml:space="preserve"> </w:t>
      </w:r>
      <w:r>
        <w:t>kalitesini</w:t>
      </w:r>
      <w:r>
        <w:rPr>
          <w:spacing w:val="-11"/>
        </w:rPr>
        <w:t xml:space="preserve"> </w:t>
      </w:r>
      <w:r>
        <w:t>bir</w:t>
      </w:r>
      <w:r>
        <w:rPr>
          <w:spacing w:val="-10"/>
        </w:rPr>
        <w:t xml:space="preserve"> </w:t>
      </w:r>
      <w:r>
        <w:t>bireyin</w:t>
      </w:r>
      <w:r>
        <w:rPr>
          <w:spacing w:val="-5"/>
        </w:rPr>
        <w:t xml:space="preserve"> </w:t>
      </w:r>
      <w:r>
        <w:t>yaşadığı</w:t>
      </w:r>
      <w:r>
        <w:rPr>
          <w:spacing w:val="-11"/>
        </w:rPr>
        <w:t xml:space="preserve"> </w:t>
      </w:r>
      <w:r>
        <w:t>kültür</w:t>
      </w:r>
      <w:r>
        <w:rPr>
          <w:spacing w:val="-10"/>
        </w:rPr>
        <w:t xml:space="preserve"> </w:t>
      </w:r>
      <w:r>
        <w:t>ve</w:t>
      </w:r>
      <w:r>
        <w:rPr>
          <w:spacing w:val="-10"/>
        </w:rPr>
        <w:t xml:space="preserve"> </w:t>
      </w:r>
      <w:r>
        <w:t>değer</w:t>
      </w:r>
      <w:r>
        <w:rPr>
          <w:spacing w:val="-10"/>
        </w:rPr>
        <w:t xml:space="preserve"> </w:t>
      </w:r>
      <w:r>
        <w:t>sistemleri bağlamında bireylerin hedefleri, beklentileri, standartları ve endişelerinin yaşamdaki konumlarına ilişkin algısı olarak tanımlamaktadır. Tüm bu tanımlardan da anlaşılacağı üzere, yaşam kalitesi insan yaşamının iyileştirilmesine yönelik bir kavramdır ve insanların psikososyal</w:t>
      </w:r>
      <w:r>
        <w:rPr>
          <w:spacing w:val="-9"/>
        </w:rPr>
        <w:t xml:space="preserve"> </w:t>
      </w:r>
      <w:r>
        <w:t>ve</w:t>
      </w:r>
      <w:r>
        <w:rPr>
          <w:spacing w:val="-8"/>
        </w:rPr>
        <w:t xml:space="preserve"> </w:t>
      </w:r>
      <w:r>
        <w:t>ekonomik</w:t>
      </w:r>
      <w:r>
        <w:rPr>
          <w:spacing w:val="-7"/>
        </w:rPr>
        <w:t xml:space="preserve"> </w:t>
      </w:r>
      <w:r>
        <w:t>refahlarının</w:t>
      </w:r>
      <w:r>
        <w:rPr>
          <w:spacing w:val="-9"/>
        </w:rPr>
        <w:t xml:space="preserve"> </w:t>
      </w:r>
      <w:r>
        <w:t>sağlanması</w:t>
      </w:r>
      <w:r>
        <w:rPr>
          <w:spacing w:val="-9"/>
        </w:rPr>
        <w:t xml:space="preserve"> </w:t>
      </w:r>
      <w:r>
        <w:t>ile</w:t>
      </w:r>
      <w:r>
        <w:rPr>
          <w:spacing w:val="-10"/>
        </w:rPr>
        <w:t xml:space="preserve"> </w:t>
      </w:r>
      <w:r>
        <w:t>insan</w:t>
      </w:r>
      <w:r>
        <w:rPr>
          <w:spacing w:val="-10"/>
        </w:rPr>
        <w:t xml:space="preserve"> </w:t>
      </w:r>
      <w:r>
        <w:t>istek</w:t>
      </w:r>
      <w:r>
        <w:rPr>
          <w:spacing w:val="-9"/>
        </w:rPr>
        <w:t xml:space="preserve"> </w:t>
      </w:r>
      <w:r>
        <w:t>ve</w:t>
      </w:r>
      <w:r>
        <w:rPr>
          <w:spacing w:val="-8"/>
        </w:rPr>
        <w:t xml:space="preserve"> </w:t>
      </w:r>
      <w:r>
        <w:t>gereksinimlerinin</w:t>
      </w:r>
      <w:r>
        <w:rPr>
          <w:spacing w:val="-9"/>
        </w:rPr>
        <w:t xml:space="preserve"> </w:t>
      </w:r>
      <w:r>
        <w:t>tatmin edici bir şekilde karşılanması yoluyla elde edilebilir. İnsanların öznel olarak algılayışını tanımlamaktadır (Shookner, 1998:47).</w:t>
      </w:r>
    </w:p>
    <w:p w14:paraId="2D25DA87">
      <w:pPr>
        <w:pStyle w:val="9"/>
        <w:spacing w:before="120" w:after="120" w:line="360" w:lineRule="auto"/>
        <w:ind w:left="0" w:firstLine="567"/>
      </w:pPr>
      <w:r>
        <w:t>Farklı</w:t>
      </w:r>
      <w:r>
        <w:rPr>
          <w:spacing w:val="9"/>
        </w:rPr>
        <w:t xml:space="preserve"> </w:t>
      </w:r>
      <w:r>
        <w:t>bir</w:t>
      </w:r>
      <w:r>
        <w:rPr>
          <w:spacing w:val="9"/>
        </w:rPr>
        <w:t xml:space="preserve"> </w:t>
      </w:r>
      <w:r>
        <w:t>bakış</w:t>
      </w:r>
      <w:r>
        <w:rPr>
          <w:spacing w:val="9"/>
        </w:rPr>
        <w:t xml:space="preserve"> </w:t>
      </w:r>
      <w:r>
        <w:t>açısıyla</w:t>
      </w:r>
      <w:r>
        <w:rPr>
          <w:spacing w:val="13"/>
        </w:rPr>
        <w:t xml:space="preserve"> </w:t>
      </w:r>
      <w:r>
        <w:t>yaşam</w:t>
      </w:r>
      <w:r>
        <w:rPr>
          <w:spacing w:val="10"/>
        </w:rPr>
        <w:t xml:space="preserve"> </w:t>
      </w:r>
      <w:r>
        <w:t>kalitesi,</w:t>
      </w:r>
      <w:r>
        <w:rPr>
          <w:spacing w:val="11"/>
        </w:rPr>
        <w:t xml:space="preserve"> </w:t>
      </w:r>
      <w:r>
        <w:t>yaşam</w:t>
      </w:r>
      <w:r>
        <w:rPr>
          <w:spacing w:val="9"/>
        </w:rPr>
        <w:t xml:space="preserve"> </w:t>
      </w:r>
      <w:r>
        <w:t>kalitesinin</w:t>
      </w:r>
      <w:r>
        <w:rPr>
          <w:spacing w:val="9"/>
        </w:rPr>
        <w:t xml:space="preserve"> </w:t>
      </w:r>
      <w:r>
        <w:t>ve</w:t>
      </w:r>
      <w:r>
        <w:rPr>
          <w:spacing w:val="11"/>
        </w:rPr>
        <w:t xml:space="preserve"> </w:t>
      </w:r>
      <w:r>
        <w:t>yaşamın</w:t>
      </w:r>
      <w:r>
        <w:rPr>
          <w:spacing w:val="8"/>
        </w:rPr>
        <w:t xml:space="preserve"> </w:t>
      </w:r>
      <w:r>
        <w:t>alt</w:t>
      </w:r>
      <w:r>
        <w:rPr>
          <w:spacing w:val="10"/>
        </w:rPr>
        <w:t xml:space="preserve"> </w:t>
      </w:r>
      <w:r>
        <w:rPr>
          <w:spacing w:val="-2"/>
        </w:rPr>
        <w:t xml:space="preserve">alanlarına </w:t>
      </w:r>
      <w:r>
        <w:t>ilişkin</w:t>
      </w:r>
      <w:r>
        <w:rPr>
          <w:spacing w:val="-9"/>
        </w:rPr>
        <w:t xml:space="preserve"> </w:t>
      </w:r>
      <w:r>
        <w:t>iyilik</w:t>
      </w:r>
      <w:r>
        <w:rPr>
          <w:spacing w:val="-9"/>
        </w:rPr>
        <w:t xml:space="preserve"> </w:t>
      </w:r>
      <w:r>
        <w:t>ifadelerinin</w:t>
      </w:r>
      <w:r>
        <w:rPr>
          <w:spacing w:val="-7"/>
        </w:rPr>
        <w:t xml:space="preserve"> </w:t>
      </w:r>
      <w:r>
        <w:t>kaliteyi</w:t>
      </w:r>
      <w:r>
        <w:rPr>
          <w:spacing w:val="-9"/>
        </w:rPr>
        <w:t xml:space="preserve"> </w:t>
      </w:r>
      <w:r>
        <w:t>belirlediği,</w:t>
      </w:r>
      <w:r>
        <w:rPr>
          <w:spacing w:val="-9"/>
        </w:rPr>
        <w:t xml:space="preserve"> </w:t>
      </w:r>
      <w:r>
        <w:t>doyum</w:t>
      </w:r>
      <w:r>
        <w:rPr>
          <w:spacing w:val="-9"/>
        </w:rPr>
        <w:t xml:space="preserve"> </w:t>
      </w:r>
      <w:r>
        <w:t>ve</w:t>
      </w:r>
      <w:r>
        <w:rPr>
          <w:spacing w:val="-10"/>
        </w:rPr>
        <w:t xml:space="preserve"> </w:t>
      </w:r>
      <w:r>
        <w:t>mutluluk</w:t>
      </w:r>
      <w:r>
        <w:rPr>
          <w:spacing w:val="-9"/>
        </w:rPr>
        <w:t xml:space="preserve"> </w:t>
      </w:r>
      <w:r>
        <w:t>kapasitesine</w:t>
      </w:r>
      <w:r>
        <w:rPr>
          <w:spacing w:val="-10"/>
        </w:rPr>
        <w:t xml:space="preserve"> </w:t>
      </w:r>
      <w:r>
        <w:t>sahip</w:t>
      </w:r>
      <w:r>
        <w:rPr>
          <w:spacing w:val="-9"/>
        </w:rPr>
        <w:t xml:space="preserve"> </w:t>
      </w:r>
      <w:r>
        <w:t>ortak</w:t>
      </w:r>
      <w:r>
        <w:rPr>
          <w:spacing w:val="-9"/>
        </w:rPr>
        <w:t xml:space="preserve"> </w:t>
      </w:r>
      <w:r>
        <w:t>bir boyutu içermektedir (Tunç, 2011:25)</w:t>
      </w:r>
      <w:r>
        <w:rPr>
          <w:spacing w:val="-2"/>
        </w:rPr>
        <w:t xml:space="preserve">. </w:t>
      </w:r>
      <w:r>
        <w:t>Yaşam kalitesi, kişisel fiziksel durumun ötesinde kişisel refahı kapsayan daha geniş bir kavramdır. Yaşam kalitesi ölçümü, kişinin rolü, ruh hali, hastalık ve benzeri durumlara ilişkin deneyimleri, genel psikolojik durumu, mutluluğu, yaşamdan duyduğu doyum gibi kavramları incelemektedir (Doğduay, 2013:48).</w:t>
      </w:r>
    </w:p>
    <w:p w14:paraId="657B8449">
      <w:pPr>
        <w:pStyle w:val="9"/>
        <w:spacing w:before="120" w:after="120" w:line="360" w:lineRule="auto"/>
        <w:ind w:left="0" w:firstLine="567"/>
      </w:pPr>
      <w:r>
        <w:t>Yaşam kalitesi, kendini geliştirme, kişisel yaşamı zenginleştirme ve hedeflere ulaşmayla ilgilidir (Zorba, 2004:89). Yaşamdan memnuniyet ve mutluluk olarak nitelendirilebilecek yaşam</w:t>
      </w:r>
      <w:r>
        <w:rPr>
          <w:spacing w:val="-11"/>
        </w:rPr>
        <w:t xml:space="preserve"> </w:t>
      </w:r>
      <w:r>
        <w:t>kalitesi,</w:t>
      </w:r>
      <w:r>
        <w:rPr>
          <w:spacing w:val="-11"/>
        </w:rPr>
        <w:t xml:space="preserve"> </w:t>
      </w:r>
      <w:r>
        <w:t>insanların</w:t>
      </w:r>
      <w:r>
        <w:rPr>
          <w:spacing w:val="-12"/>
        </w:rPr>
        <w:t xml:space="preserve"> </w:t>
      </w:r>
      <w:r>
        <w:t>fiziksel</w:t>
      </w:r>
      <w:r>
        <w:rPr>
          <w:spacing w:val="-11"/>
        </w:rPr>
        <w:t xml:space="preserve"> </w:t>
      </w:r>
      <w:r>
        <w:t>fonksiyonlarını,</w:t>
      </w:r>
      <w:r>
        <w:rPr>
          <w:spacing w:val="-11"/>
        </w:rPr>
        <w:t xml:space="preserve"> </w:t>
      </w:r>
      <w:r>
        <w:t>psikolojik</w:t>
      </w:r>
      <w:r>
        <w:rPr>
          <w:spacing w:val="-11"/>
        </w:rPr>
        <w:t xml:space="preserve"> </w:t>
      </w:r>
      <w:r>
        <w:t>durumlarını,</w:t>
      </w:r>
      <w:r>
        <w:rPr>
          <w:spacing w:val="-12"/>
        </w:rPr>
        <w:t xml:space="preserve"> </w:t>
      </w:r>
      <w:r>
        <w:t>aile</w:t>
      </w:r>
      <w:r>
        <w:rPr>
          <w:spacing w:val="-12"/>
        </w:rPr>
        <w:t xml:space="preserve"> </w:t>
      </w:r>
      <w:r>
        <w:t>içi</w:t>
      </w:r>
      <w:r>
        <w:rPr>
          <w:spacing w:val="-12"/>
        </w:rPr>
        <w:t xml:space="preserve"> </w:t>
      </w:r>
      <w:r>
        <w:t>ve</w:t>
      </w:r>
      <w:r>
        <w:rPr>
          <w:spacing w:val="-13"/>
        </w:rPr>
        <w:t xml:space="preserve"> </w:t>
      </w:r>
      <w:r>
        <w:t>aile</w:t>
      </w:r>
      <w:r>
        <w:rPr>
          <w:spacing w:val="-13"/>
        </w:rPr>
        <w:t xml:space="preserve"> </w:t>
      </w:r>
      <w:r>
        <w:t xml:space="preserve">dışı sosyal ilişkilerini, çevre ile etkileşimlerini ve inançlarını kapsamaktadır (Arslantaş vd., </w:t>
      </w:r>
      <w:r>
        <w:rPr>
          <w:spacing w:val="-2"/>
        </w:rPr>
        <w:t>2006:126).</w:t>
      </w:r>
    </w:p>
    <w:p w14:paraId="0EB62934">
      <w:pPr>
        <w:pStyle w:val="4"/>
        <w:spacing w:before="240" w:after="240" w:line="360" w:lineRule="auto"/>
        <w:ind w:left="567" w:firstLine="0"/>
        <w:rPr>
          <w:i w:val="0"/>
        </w:rPr>
      </w:pPr>
      <w:bookmarkStart w:id="125" w:name="_Toc197351253"/>
      <w:bookmarkStart w:id="126" w:name="_Toc195875815"/>
      <w:bookmarkStart w:id="127" w:name="_Toc195877800"/>
      <w:r>
        <w:rPr>
          <w:i w:val="0"/>
        </w:rPr>
        <w:t>2.4.2. Yaşam Kalitesi Boyutları</w:t>
      </w:r>
      <w:bookmarkEnd w:id="125"/>
      <w:bookmarkEnd w:id="126"/>
      <w:bookmarkEnd w:id="127"/>
    </w:p>
    <w:p w14:paraId="682E3D13">
      <w:pPr>
        <w:pStyle w:val="9"/>
        <w:spacing w:before="120" w:after="120" w:line="360" w:lineRule="auto"/>
        <w:ind w:left="0" w:firstLine="567"/>
      </w:pPr>
      <w:r>
        <w:t>Yaşam</w:t>
      </w:r>
      <w:r>
        <w:rPr>
          <w:spacing w:val="-11"/>
        </w:rPr>
        <w:t xml:space="preserve"> </w:t>
      </w:r>
      <w:r>
        <w:t>kalitesinin</w:t>
      </w:r>
      <w:r>
        <w:rPr>
          <w:spacing w:val="-11"/>
        </w:rPr>
        <w:t xml:space="preserve"> </w:t>
      </w:r>
      <w:r>
        <w:t>alanları</w:t>
      </w:r>
      <w:r>
        <w:rPr>
          <w:spacing w:val="-11"/>
        </w:rPr>
        <w:t xml:space="preserve"> </w:t>
      </w:r>
      <w:r>
        <w:t>dört</w:t>
      </w:r>
      <w:r>
        <w:rPr>
          <w:spacing w:val="-12"/>
        </w:rPr>
        <w:t xml:space="preserve"> </w:t>
      </w:r>
      <w:r>
        <w:t>temel</w:t>
      </w:r>
      <w:r>
        <w:rPr>
          <w:spacing w:val="-11"/>
        </w:rPr>
        <w:t xml:space="preserve"> </w:t>
      </w:r>
      <w:r>
        <w:t>başlık</w:t>
      </w:r>
      <w:r>
        <w:rPr>
          <w:spacing w:val="-12"/>
        </w:rPr>
        <w:t xml:space="preserve"> </w:t>
      </w:r>
      <w:r>
        <w:t>altında</w:t>
      </w:r>
      <w:r>
        <w:rPr>
          <w:spacing w:val="-10"/>
        </w:rPr>
        <w:t xml:space="preserve"> </w:t>
      </w:r>
      <w:r>
        <w:t>değerlendirilmektedir.</w:t>
      </w:r>
      <w:r>
        <w:rPr>
          <w:spacing w:val="-12"/>
        </w:rPr>
        <w:t xml:space="preserve"> </w:t>
      </w:r>
      <w:r>
        <w:t>Bu</w:t>
      </w:r>
      <w:r>
        <w:rPr>
          <w:spacing w:val="-12"/>
        </w:rPr>
        <w:t xml:space="preserve"> </w:t>
      </w:r>
      <w:r>
        <w:t>alanlar,</w:t>
      </w:r>
      <w:r>
        <w:rPr>
          <w:spacing w:val="-10"/>
        </w:rPr>
        <w:t xml:space="preserve"> </w:t>
      </w:r>
      <w:r>
        <w:t>ruhsal sağlık ve mutluluk içinde bulunma hali, fiziki sağlık ve mutluluk içinde bulunma durumu, sosyal</w:t>
      </w:r>
      <w:r>
        <w:rPr>
          <w:spacing w:val="-4"/>
        </w:rPr>
        <w:t xml:space="preserve"> </w:t>
      </w:r>
      <w:r>
        <w:t>ve</w:t>
      </w:r>
      <w:r>
        <w:rPr>
          <w:spacing w:val="-4"/>
        </w:rPr>
        <w:t xml:space="preserve"> </w:t>
      </w:r>
      <w:r>
        <w:t>bireysel</w:t>
      </w:r>
      <w:r>
        <w:rPr>
          <w:spacing w:val="-4"/>
        </w:rPr>
        <w:t xml:space="preserve"> </w:t>
      </w:r>
      <w:r>
        <w:t>huzur</w:t>
      </w:r>
      <w:r>
        <w:rPr>
          <w:spacing w:val="-4"/>
        </w:rPr>
        <w:t xml:space="preserve"> </w:t>
      </w:r>
      <w:r>
        <w:t>içinde</w:t>
      </w:r>
      <w:r>
        <w:rPr>
          <w:spacing w:val="-4"/>
        </w:rPr>
        <w:t xml:space="preserve"> </w:t>
      </w:r>
      <w:r>
        <w:t>bulunma</w:t>
      </w:r>
      <w:r>
        <w:rPr>
          <w:spacing w:val="-4"/>
        </w:rPr>
        <w:t xml:space="preserve"> </w:t>
      </w:r>
      <w:r>
        <w:t>hali</w:t>
      </w:r>
      <w:r>
        <w:rPr>
          <w:spacing w:val="-4"/>
        </w:rPr>
        <w:t xml:space="preserve"> </w:t>
      </w:r>
      <w:r>
        <w:t>ile</w:t>
      </w:r>
      <w:r>
        <w:rPr>
          <w:spacing w:val="-5"/>
        </w:rPr>
        <w:t xml:space="preserve"> </w:t>
      </w:r>
      <w:r>
        <w:t>maddi</w:t>
      </w:r>
      <w:r>
        <w:rPr>
          <w:spacing w:val="-2"/>
        </w:rPr>
        <w:t xml:space="preserve"> </w:t>
      </w:r>
      <w:r>
        <w:t>yeterlilik</w:t>
      </w:r>
      <w:r>
        <w:rPr>
          <w:spacing w:val="-4"/>
        </w:rPr>
        <w:t xml:space="preserve"> </w:t>
      </w:r>
      <w:r>
        <w:t>içinde</w:t>
      </w:r>
      <w:r>
        <w:rPr>
          <w:spacing w:val="-5"/>
        </w:rPr>
        <w:t xml:space="preserve"> </w:t>
      </w:r>
      <w:r>
        <w:t>bulunma</w:t>
      </w:r>
      <w:r>
        <w:rPr>
          <w:spacing w:val="-5"/>
        </w:rPr>
        <w:t xml:space="preserve"> </w:t>
      </w:r>
      <w:r>
        <w:t>hali</w:t>
      </w:r>
      <w:r>
        <w:rPr>
          <w:spacing w:val="-4"/>
        </w:rPr>
        <w:t xml:space="preserve"> </w:t>
      </w:r>
      <w:r>
        <w:t>olarak gruplandırılmaktadır Ruhi sağlık ve mutluluk içinde bulunma hali, bireyin psikolojik olarak sağlıklı, hayattan tatmin olan, faydalı olması halinin yanı sıra, anksiyete, self-kontrol ve meşguliyete ilişkin durumları</w:t>
      </w:r>
      <w:r>
        <w:rPr>
          <w:spacing w:val="-15"/>
        </w:rPr>
        <w:t xml:space="preserve"> </w:t>
      </w:r>
      <w:r>
        <w:t>ifade</w:t>
      </w:r>
      <w:r>
        <w:rPr>
          <w:spacing w:val="-15"/>
        </w:rPr>
        <w:t xml:space="preserve"> </w:t>
      </w:r>
      <w:r>
        <w:t>etmektedir.</w:t>
      </w:r>
      <w:r>
        <w:rPr>
          <w:spacing w:val="-15"/>
        </w:rPr>
        <w:t xml:space="preserve"> </w:t>
      </w:r>
      <w:r>
        <w:t>Ayrıca,</w:t>
      </w:r>
      <w:r>
        <w:rPr>
          <w:spacing w:val="-15"/>
        </w:rPr>
        <w:t xml:space="preserve"> </w:t>
      </w:r>
      <w:r>
        <w:t>hayatın</w:t>
      </w:r>
      <w:r>
        <w:rPr>
          <w:spacing w:val="-15"/>
        </w:rPr>
        <w:t xml:space="preserve"> </w:t>
      </w:r>
      <w:r>
        <w:t>anlamı,</w:t>
      </w:r>
      <w:r>
        <w:rPr>
          <w:spacing w:val="-15"/>
        </w:rPr>
        <w:t xml:space="preserve"> </w:t>
      </w:r>
      <w:r>
        <w:t>mutluluk,</w:t>
      </w:r>
      <w:r>
        <w:rPr>
          <w:spacing w:val="-15"/>
        </w:rPr>
        <w:t xml:space="preserve"> </w:t>
      </w:r>
      <w:r>
        <w:t>sosyal</w:t>
      </w:r>
      <w:r>
        <w:rPr>
          <w:spacing w:val="-15"/>
        </w:rPr>
        <w:t xml:space="preserve"> </w:t>
      </w:r>
      <w:r>
        <w:t>yalıtım</w:t>
      </w:r>
      <w:r>
        <w:rPr>
          <w:spacing w:val="-15"/>
        </w:rPr>
        <w:t xml:space="preserve"> </w:t>
      </w:r>
      <w:r>
        <w:t>ve</w:t>
      </w:r>
      <w:r>
        <w:rPr>
          <w:spacing w:val="-15"/>
        </w:rPr>
        <w:t xml:space="preserve"> </w:t>
      </w:r>
      <w:r>
        <w:t>hissi</w:t>
      </w:r>
      <w:r>
        <w:rPr>
          <w:spacing w:val="-15"/>
        </w:rPr>
        <w:t xml:space="preserve"> </w:t>
      </w:r>
      <w:r>
        <w:t>tepkiler de bu alanda ele alınmaktadır. Fiziki</w:t>
      </w:r>
      <w:r>
        <w:rPr>
          <w:spacing w:val="-6"/>
        </w:rPr>
        <w:t xml:space="preserve"> </w:t>
      </w:r>
      <w:r>
        <w:t>sağlık</w:t>
      </w:r>
      <w:r>
        <w:rPr>
          <w:spacing w:val="-7"/>
        </w:rPr>
        <w:t xml:space="preserve"> </w:t>
      </w:r>
      <w:r>
        <w:t>ve</w:t>
      </w:r>
      <w:r>
        <w:rPr>
          <w:spacing w:val="-8"/>
        </w:rPr>
        <w:t xml:space="preserve"> </w:t>
      </w:r>
      <w:r>
        <w:t>mutluluk</w:t>
      </w:r>
      <w:r>
        <w:rPr>
          <w:spacing w:val="-9"/>
        </w:rPr>
        <w:t xml:space="preserve"> </w:t>
      </w:r>
      <w:r>
        <w:t>içinde</w:t>
      </w:r>
      <w:r>
        <w:rPr>
          <w:spacing w:val="-8"/>
        </w:rPr>
        <w:t xml:space="preserve"> </w:t>
      </w:r>
      <w:r>
        <w:t>bulunma</w:t>
      </w:r>
      <w:r>
        <w:rPr>
          <w:spacing w:val="-8"/>
        </w:rPr>
        <w:t xml:space="preserve"> </w:t>
      </w:r>
      <w:r>
        <w:t>hali,</w:t>
      </w:r>
      <w:r>
        <w:rPr>
          <w:spacing w:val="-7"/>
        </w:rPr>
        <w:t xml:space="preserve"> </w:t>
      </w:r>
      <w:r>
        <w:t>işlevsel</w:t>
      </w:r>
      <w:r>
        <w:rPr>
          <w:spacing w:val="-4"/>
        </w:rPr>
        <w:t xml:space="preserve"> </w:t>
      </w:r>
      <w:r>
        <w:t>yeterlilik,</w:t>
      </w:r>
      <w:r>
        <w:rPr>
          <w:spacing w:val="-7"/>
        </w:rPr>
        <w:t xml:space="preserve"> </w:t>
      </w:r>
      <w:r>
        <w:t>fiziki</w:t>
      </w:r>
      <w:r>
        <w:rPr>
          <w:spacing w:val="-8"/>
        </w:rPr>
        <w:t xml:space="preserve"> </w:t>
      </w:r>
      <w:r>
        <w:t>hareket,</w:t>
      </w:r>
      <w:r>
        <w:rPr>
          <w:spacing w:val="-4"/>
        </w:rPr>
        <w:t xml:space="preserve"> </w:t>
      </w:r>
      <w:r>
        <w:t>yeme,</w:t>
      </w:r>
      <w:r>
        <w:rPr>
          <w:spacing w:val="-7"/>
        </w:rPr>
        <w:t xml:space="preserve"> </w:t>
      </w:r>
      <w:r>
        <w:t xml:space="preserve">içme, uyku, cinsel hayat, dinçlik, bitkinlik, sağlık ve hastalık algısı ile tedaviye ilişkin hususları </w:t>
      </w:r>
      <w:r>
        <w:rPr>
          <w:spacing w:val="-2"/>
        </w:rPr>
        <w:t>içermektedir.</w:t>
      </w:r>
      <w:r>
        <w:t xml:space="preserve"> Sosyal ve bireysel huzur içinde bulunma hali, kişinin destek verenleri, sosyal faaliyetleri, sosyal</w:t>
      </w:r>
      <w:r>
        <w:rPr>
          <w:spacing w:val="-9"/>
        </w:rPr>
        <w:t xml:space="preserve"> </w:t>
      </w:r>
      <w:r>
        <w:t>çevresi</w:t>
      </w:r>
      <w:r>
        <w:rPr>
          <w:spacing w:val="-9"/>
        </w:rPr>
        <w:t xml:space="preserve"> </w:t>
      </w:r>
      <w:r>
        <w:t>tarafından</w:t>
      </w:r>
      <w:r>
        <w:rPr>
          <w:spacing w:val="-7"/>
        </w:rPr>
        <w:t xml:space="preserve"> </w:t>
      </w:r>
      <w:r>
        <w:t>kabul</w:t>
      </w:r>
      <w:r>
        <w:rPr>
          <w:spacing w:val="-9"/>
        </w:rPr>
        <w:t xml:space="preserve"> </w:t>
      </w:r>
      <w:r>
        <w:t>edilmesi,</w:t>
      </w:r>
      <w:r>
        <w:rPr>
          <w:spacing w:val="-9"/>
        </w:rPr>
        <w:t xml:space="preserve"> </w:t>
      </w:r>
      <w:r>
        <w:t>farklı</w:t>
      </w:r>
      <w:r>
        <w:rPr>
          <w:spacing w:val="-9"/>
        </w:rPr>
        <w:t xml:space="preserve"> </w:t>
      </w:r>
      <w:r>
        <w:t>örgütlere</w:t>
      </w:r>
      <w:r>
        <w:rPr>
          <w:spacing w:val="-11"/>
        </w:rPr>
        <w:t xml:space="preserve"> </w:t>
      </w:r>
      <w:r>
        <w:t>iştirak</w:t>
      </w:r>
      <w:r>
        <w:rPr>
          <w:spacing w:val="-9"/>
        </w:rPr>
        <w:t xml:space="preserve"> </w:t>
      </w:r>
      <w:r>
        <w:t>etmesi,</w:t>
      </w:r>
      <w:r>
        <w:rPr>
          <w:spacing w:val="-9"/>
        </w:rPr>
        <w:t xml:space="preserve"> </w:t>
      </w:r>
      <w:r>
        <w:t>öğrenme</w:t>
      </w:r>
      <w:r>
        <w:rPr>
          <w:spacing w:val="-10"/>
        </w:rPr>
        <w:t xml:space="preserve"> </w:t>
      </w:r>
      <w:r>
        <w:t>hali,</w:t>
      </w:r>
      <w:r>
        <w:rPr>
          <w:spacing w:val="-9"/>
        </w:rPr>
        <w:t xml:space="preserve"> </w:t>
      </w:r>
      <w:r>
        <w:t>hayatı algılama şekli ve çalışma hali çerçevesinde değerlendirilmektedir. Maddi yeterlilik içinde bulunma hali geleceğe yönelik emniyet hissi, barınma, sağlık ve iş teminatı gibi hususları karşılamaktadır. Yaşam</w:t>
      </w:r>
      <w:r>
        <w:rPr>
          <w:spacing w:val="-5"/>
        </w:rPr>
        <w:t xml:space="preserve"> </w:t>
      </w:r>
      <w:r>
        <w:t>kalitesi</w:t>
      </w:r>
      <w:r>
        <w:rPr>
          <w:spacing w:val="-6"/>
        </w:rPr>
        <w:t xml:space="preserve"> </w:t>
      </w:r>
      <w:r>
        <w:t>kavramı</w:t>
      </w:r>
      <w:r>
        <w:rPr>
          <w:spacing w:val="-5"/>
        </w:rPr>
        <w:t xml:space="preserve"> </w:t>
      </w:r>
      <w:r>
        <w:t>sosyal</w:t>
      </w:r>
      <w:r>
        <w:rPr>
          <w:spacing w:val="-5"/>
        </w:rPr>
        <w:t xml:space="preserve"> </w:t>
      </w:r>
      <w:r>
        <w:t>bilimlerde</w:t>
      </w:r>
      <w:r>
        <w:rPr>
          <w:spacing w:val="-5"/>
        </w:rPr>
        <w:t xml:space="preserve"> </w:t>
      </w:r>
      <w:r>
        <w:t>farklı</w:t>
      </w:r>
      <w:r>
        <w:rPr>
          <w:spacing w:val="-6"/>
        </w:rPr>
        <w:t xml:space="preserve"> </w:t>
      </w:r>
      <w:r>
        <w:t>disiplinlerde</w:t>
      </w:r>
      <w:r>
        <w:rPr>
          <w:spacing w:val="-8"/>
        </w:rPr>
        <w:t xml:space="preserve"> </w:t>
      </w:r>
      <w:r>
        <w:t>değişik</w:t>
      </w:r>
      <w:r>
        <w:rPr>
          <w:spacing w:val="-6"/>
        </w:rPr>
        <w:t xml:space="preserve"> </w:t>
      </w:r>
      <w:r>
        <w:t>anlamlar</w:t>
      </w:r>
      <w:r>
        <w:rPr>
          <w:spacing w:val="-7"/>
        </w:rPr>
        <w:t xml:space="preserve"> içerecek</w:t>
      </w:r>
      <w:r>
        <w:t xml:space="preserve"> şekilde</w:t>
      </w:r>
      <w:r>
        <w:rPr>
          <w:spacing w:val="-10"/>
        </w:rPr>
        <w:t xml:space="preserve"> </w:t>
      </w:r>
      <w:r>
        <w:t>değerlendirilmiş</w:t>
      </w:r>
      <w:r>
        <w:rPr>
          <w:spacing w:val="-9"/>
        </w:rPr>
        <w:t xml:space="preserve"> </w:t>
      </w:r>
      <w:r>
        <w:t>ve</w:t>
      </w:r>
      <w:r>
        <w:rPr>
          <w:spacing w:val="-10"/>
        </w:rPr>
        <w:t xml:space="preserve"> </w:t>
      </w:r>
      <w:r>
        <w:t>incelenmiştir.</w:t>
      </w:r>
      <w:r>
        <w:rPr>
          <w:spacing w:val="-10"/>
        </w:rPr>
        <w:t xml:space="preserve"> </w:t>
      </w:r>
      <w:r>
        <w:t>Genel</w:t>
      </w:r>
      <w:r>
        <w:rPr>
          <w:spacing w:val="-9"/>
        </w:rPr>
        <w:t xml:space="preserve"> </w:t>
      </w:r>
      <w:r>
        <w:t>olarak,</w:t>
      </w:r>
      <w:r>
        <w:rPr>
          <w:spacing w:val="-9"/>
        </w:rPr>
        <w:t xml:space="preserve"> </w:t>
      </w:r>
      <w:r>
        <w:t>sosyal</w:t>
      </w:r>
      <w:r>
        <w:rPr>
          <w:spacing w:val="-9"/>
        </w:rPr>
        <w:t xml:space="preserve"> </w:t>
      </w:r>
      <w:r>
        <w:t>bilimlerin</w:t>
      </w:r>
      <w:r>
        <w:rPr>
          <w:spacing w:val="-9"/>
        </w:rPr>
        <w:t xml:space="preserve"> </w:t>
      </w:r>
      <w:r>
        <w:t>anılan</w:t>
      </w:r>
      <w:r>
        <w:rPr>
          <w:spacing w:val="-9"/>
        </w:rPr>
        <w:t xml:space="preserve"> </w:t>
      </w:r>
      <w:r>
        <w:t>kavramı</w:t>
      </w:r>
      <w:r>
        <w:rPr>
          <w:spacing w:val="-6"/>
        </w:rPr>
        <w:t xml:space="preserve"> </w:t>
      </w:r>
      <w:r>
        <w:t>ele alışı</w:t>
      </w:r>
      <w:r>
        <w:rPr>
          <w:spacing w:val="-14"/>
        </w:rPr>
        <w:t xml:space="preserve"> </w:t>
      </w:r>
      <w:r>
        <w:t>geniş</w:t>
      </w:r>
      <w:r>
        <w:rPr>
          <w:spacing w:val="-13"/>
        </w:rPr>
        <w:t xml:space="preserve"> </w:t>
      </w:r>
      <w:r>
        <w:t>çerçeveli</w:t>
      </w:r>
      <w:r>
        <w:rPr>
          <w:spacing w:val="-13"/>
        </w:rPr>
        <w:t xml:space="preserve"> </w:t>
      </w:r>
      <w:r>
        <w:t>bir</w:t>
      </w:r>
      <w:r>
        <w:rPr>
          <w:spacing w:val="-14"/>
        </w:rPr>
        <w:t xml:space="preserve"> </w:t>
      </w:r>
      <w:r>
        <w:t>mutluluk</w:t>
      </w:r>
      <w:r>
        <w:rPr>
          <w:spacing w:val="-14"/>
        </w:rPr>
        <w:t xml:space="preserve"> </w:t>
      </w:r>
      <w:r>
        <w:t>ile</w:t>
      </w:r>
      <w:r>
        <w:rPr>
          <w:spacing w:val="-15"/>
        </w:rPr>
        <w:t xml:space="preserve"> </w:t>
      </w:r>
      <w:r>
        <w:t>tatmin</w:t>
      </w:r>
      <w:r>
        <w:rPr>
          <w:spacing w:val="-15"/>
        </w:rPr>
        <w:t xml:space="preserve"> </w:t>
      </w:r>
      <w:r>
        <w:t>terimleri</w:t>
      </w:r>
      <w:r>
        <w:rPr>
          <w:spacing w:val="-14"/>
        </w:rPr>
        <w:t xml:space="preserve"> </w:t>
      </w:r>
      <w:r>
        <w:t>kullanılmak</w:t>
      </w:r>
      <w:r>
        <w:rPr>
          <w:spacing w:val="-15"/>
        </w:rPr>
        <w:t xml:space="preserve"> </w:t>
      </w:r>
      <w:r>
        <w:t>suretiyle,</w:t>
      </w:r>
      <w:r>
        <w:rPr>
          <w:spacing w:val="-12"/>
        </w:rPr>
        <w:t xml:space="preserve"> </w:t>
      </w:r>
      <w:r>
        <w:t>yaşam</w:t>
      </w:r>
      <w:r>
        <w:rPr>
          <w:spacing w:val="-14"/>
        </w:rPr>
        <w:t xml:space="preserve"> </w:t>
      </w:r>
      <w:r>
        <w:t>kalitesini genel anlamıyla ele alınması şeklinde gerçekleşmektedir. Yaşam kalitesinin sosyal bilimlerde kullanımı sağlık bilimlerini de anılan kavramı kullanılmaya teşvik etmektedir (Eser, 2004:4),</w:t>
      </w:r>
    </w:p>
    <w:p w14:paraId="0A104B0C">
      <w:pPr>
        <w:pStyle w:val="9"/>
        <w:spacing w:before="120" w:after="120" w:line="360" w:lineRule="auto"/>
        <w:ind w:left="0" w:firstLine="567"/>
      </w:pPr>
      <w:r>
        <w:t>Yaşam kalitesi nesnel bir olgu olmakla beraber,</w:t>
      </w:r>
      <w:r>
        <w:rPr>
          <w:spacing w:val="-1"/>
        </w:rPr>
        <w:t xml:space="preserve"> </w:t>
      </w:r>
      <w:r>
        <w:t>analiz edilmesi</w:t>
      </w:r>
      <w:r>
        <w:rPr>
          <w:spacing w:val="-2"/>
        </w:rPr>
        <w:t xml:space="preserve"> </w:t>
      </w:r>
      <w:r>
        <w:t>kolay</w:t>
      </w:r>
      <w:r>
        <w:rPr>
          <w:spacing w:val="-6"/>
        </w:rPr>
        <w:t xml:space="preserve"> </w:t>
      </w:r>
      <w:r>
        <w:t>bir kavram olmaktan uzaktır. Bu nedenle, yaşam kalitesini değerlendirebilmek üzere bazı göstergeler belirlenmiştir. Bunlar,</w:t>
      </w:r>
    </w:p>
    <w:p w14:paraId="759E0A31">
      <w:pPr>
        <w:pStyle w:val="28"/>
        <w:numPr>
          <w:ilvl w:val="0"/>
          <w:numId w:val="11"/>
        </w:numPr>
        <w:tabs>
          <w:tab w:val="left" w:pos="868"/>
        </w:tabs>
        <w:spacing w:before="120" w:after="120" w:line="360" w:lineRule="auto"/>
        <w:ind w:left="0" w:firstLine="567"/>
        <w:rPr>
          <w:sz w:val="24"/>
        </w:rPr>
      </w:pPr>
      <w:r>
        <w:rPr>
          <w:sz w:val="24"/>
        </w:rPr>
        <w:t>İncelenen</w:t>
      </w:r>
      <w:r>
        <w:rPr>
          <w:spacing w:val="-4"/>
          <w:sz w:val="24"/>
        </w:rPr>
        <w:t xml:space="preserve"> </w:t>
      </w:r>
      <w:r>
        <w:rPr>
          <w:spacing w:val="-2"/>
          <w:sz w:val="24"/>
        </w:rPr>
        <w:t>data,</w:t>
      </w:r>
    </w:p>
    <w:p w14:paraId="778C6914">
      <w:pPr>
        <w:pStyle w:val="28"/>
        <w:numPr>
          <w:ilvl w:val="0"/>
          <w:numId w:val="11"/>
        </w:numPr>
        <w:tabs>
          <w:tab w:val="left" w:pos="867"/>
        </w:tabs>
        <w:spacing w:before="120" w:after="120" w:line="360" w:lineRule="auto"/>
        <w:ind w:left="0" w:firstLine="567"/>
        <w:jc w:val="both"/>
        <w:rPr>
          <w:sz w:val="24"/>
        </w:rPr>
      </w:pPr>
      <w:r>
        <w:rPr>
          <w:sz w:val="24"/>
        </w:rPr>
        <w:t>Kan</w:t>
      </w:r>
      <w:r>
        <w:rPr>
          <w:spacing w:val="-1"/>
          <w:sz w:val="24"/>
        </w:rPr>
        <w:t xml:space="preserve"> </w:t>
      </w:r>
      <w:r>
        <w:rPr>
          <w:sz w:val="24"/>
        </w:rPr>
        <w:t>tahlilleri,</w:t>
      </w:r>
      <w:r>
        <w:rPr>
          <w:spacing w:val="-1"/>
          <w:sz w:val="24"/>
        </w:rPr>
        <w:t xml:space="preserve"> </w:t>
      </w:r>
      <w:r>
        <w:rPr>
          <w:sz w:val="24"/>
        </w:rPr>
        <w:t>antropometik</w:t>
      </w:r>
      <w:r>
        <w:rPr>
          <w:spacing w:val="-1"/>
          <w:sz w:val="24"/>
        </w:rPr>
        <w:t xml:space="preserve"> </w:t>
      </w:r>
      <w:r>
        <w:rPr>
          <w:sz w:val="24"/>
        </w:rPr>
        <w:t>ölçümler</w:t>
      </w:r>
      <w:r>
        <w:rPr>
          <w:spacing w:val="-2"/>
          <w:sz w:val="24"/>
        </w:rPr>
        <w:t xml:space="preserve"> </w:t>
      </w:r>
      <w:r>
        <w:rPr>
          <w:sz w:val="24"/>
        </w:rPr>
        <w:t>gibi</w:t>
      </w:r>
      <w:r>
        <w:rPr>
          <w:spacing w:val="-1"/>
          <w:sz w:val="24"/>
        </w:rPr>
        <w:t xml:space="preserve"> </w:t>
      </w:r>
      <w:r>
        <w:rPr>
          <w:sz w:val="24"/>
        </w:rPr>
        <w:t>fizyolojik</w:t>
      </w:r>
      <w:r>
        <w:rPr>
          <w:spacing w:val="-1"/>
          <w:sz w:val="24"/>
        </w:rPr>
        <w:t xml:space="preserve"> </w:t>
      </w:r>
      <w:r>
        <w:rPr>
          <w:spacing w:val="-2"/>
          <w:sz w:val="24"/>
        </w:rPr>
        <w:t>indikatörler,</w:t>
      </w:r>
    </w:p>
    <w:p w14:paraId="52BE37EB">
      <w:pPr>
        <w:pStyle w:val="28"/>
        <w:numPr>
          <w:ilvl w:val="0"/>
          <w:numId w:val="11"/>
        </w:numPr>
        <w:tabs>
          <w:tab w:val="left" w:pos="868"/>
        </w:tabs>
        <w:spacing w:before="120" w:after="120" w:line="360" w:lineRule="auto"/>
        <w:ind w:left="0" w:firstLine="567"/>
        <w:rPr>
          <w:sz w:val="24"/>
        </w:rPr>
      </w:pPr>
      <w:r>
        <w:rPr>
          <w:sz w:val="24"/>
        </w:rPr>
        <w:t>Alkol</w:t>
      </w:r>
      <w:r>
        <w:rPr>
          <w:spacing w:val="36"/>
          <w:sz w:val="24"/>
        </w:rPr>
        <w:t xml:space="preserve"> </w:t>
      </w:r>
      <w:r>
        <w:rPr>
          <w:sz w:val="24"/>
        </w:rPr>
        <w:t>alışkanlığı,</w:t>
      </w:r>
      <w:r>
        <w:rPr>
          <w:spacing w:val="36"/>
          <w:sz w:val="24"/>
        </w:rPr>
        <w:t xml:space="preserve"> </w:t>
      </w:r>
      <w:r>
        <w:rPr>
          <w:sz w:val="24"/>
        </w:rPr>
        <w:t>uyuşturucu</w:t>
      </w:r>
      <w:r>
        <w:rPr>
          <w:spacing w:val="35"/>
          <w:sz w:val="24"/>
        </w:rPr>
        <w:t xml:space="preserve"> </w:t>
      </w:r>
      <w:r>
        <w:rPr>
          <w:sz w:val="24"/>
        </w:rPr>
        <w:t>madde</w:t>
      </w:r>
      <w:r>
        <w:rPr>
          <w:spacing w:val="34"/>
          <w:sz w:val="24"/>
        </w:rPr>
        <w:t xml:space="preserve"> </w:t>
      </w:r>
      <w:r>
        <w:rPr>
          <w:sz w:val="24"/>
        </w:rPr>
        <w:t>bağımlılığı</w:t>
      </w:r>
      <w:r>
        <w:rPr>
          <w:spacing w:val="36"/>
          <w:sz w:val="24"/>
        </w:rPr>
        <w:t xml:space="preserve"> </w:t>
      </w:r>
      <w:r>
        <w:rPr>
          <w:sz w:val="24"/>
        </w:rPr>
        <w:t>ve</w:t>
      </w:r>
      <w:r>
        <w:rPr>
          <w:spacing w:val="34"/>
          <w:sz w:val="24"/>
        </w:rPr>
        <w:t xml:space="preserve"> </w:t>
      </w:r>
      <w:r>
        <w:rPr>
          <w:sz w:val="24"/>
        </w:rPr>
        <w:t>intihar</w:t>
      </w:r>
      <w:r>
        <w:rPr>
          <w:spacing w:val="34"/>
          <w:sz w:val="24"/>
        </w:rPr>
        <w:t xml:space="preserve"> </w:t>
      </w:r>
      <w:r>
        <w:rPr>
          <w:sz w:val="24"/>
        </w:rPr>
        <w:t>oranı</w:t>
      </w:r>
      <w:r>
        <w:rPr>
          <w:spacing w:val="38"/>
          <w:sz w:val="24"/>
        </w:rPr>
        <w:t xml:space="preserve"> </w:t>
      </w:r>
      <w:r>
        <w:rPr>
          <w:sz w:val="24"/>
        </w:rPr>
        <w:t>gibi</w:t>
      </w:r>
      <w:r>
        <w:rPr>
          <w:spacing w:val="36"/>
          <w:sz w:val="24"/>
        </w:rPr>
        <w:t xml:space="preserve"> </w:t>
      </w:r>
      <w:r>
        <w:rPr>
          <w:sz w:val="24"/>
        </w:rPr>
        <w:t xml:space="preserve">davranışsal </w:t>
      </w:r>
      <w:r>
        <w:rPr>
          <w:spacing w:val="-2"/>
          <w:sz w:val="24"/>
        </w:rPr>
        <w:t>indikatörler,</w:t>
      </w:r>
    </w:p>
    <w:p w14:paraId="58887C8C">
      <w:pPr>
        <w:pStyle w:val="28"/>
        <w:numPr>
          <w:ilvl w:val="0"/>
          <w:numId w:val="11"/>
        </w:numPr>
        <w:tabs>
          <w:tab w:val="left" w:pos="868"/>
        </w:tabs>
        <w:spacing w:before="120" w:after="120" w:line="360" w:lineRule="auto"/>
        <w:ind w:left="0" w:firstLine="567"/>
        <w:rPr>
          <w:sz w:val="24"/>
        </w:rPr>
      </w:pPr>
      <w:r>
        <w:rPr>
          <w:sz w:val="24"/>
        </w:rPr>
        <w:t>Kişisel</w:t>
      </w:r>
      <w:r>
        <w:rPr>
          <w:spacing w:val="-4"/>
          <w:sz w:val="24"/>
        </w:rPr>
        <w:t xml:space="preserve"> </w:t>
      </w:r>
      <w:r>
        <w:rPr>
          <w:sz w:val="24"/>
        </w:rPr>
        <w:t>raporlar</w:t>
      </w:r>
      <w:r>
        <w:rPr>
          <w:spacing w:val="-3"/>
          <w:sz w:val="24"/>
        </w:rPr>
        <w:t xml:space="preserve"> </w:t>
      </w:r>
      <w:r>
        <w:rPr>
          <w:sz w:val="24"/>
        </w:rPr>
        <w:t>olarak</w:t>
      </w:r>
      <w:r>
        <w:rPr>
          <w:spacing w:val="-2"/>
          <w:sz w:val="24"/>
        </w:rPr>
        <w:t xml:space="preserve"> </w:t>
      </w:r>
      <w:r>
        <w:rPr>
          <w:sz w:val="24"/>
        </w:rPr>
        <w:t>sıralanmaktadır</w:t>
      </w:r>
      <w:r>
        <w:rPr>
          <w:spacing w:val="-3"/>
          <w:sz w:val="24"/>
        </w:rPr>
        <w:t xml:space="preserve"> </w:t>
      </w:r>
      <w:r>
        <w:rPr>
          <w:sz w:val="24"/>
        </w:rPr>
        <w:t>(Özyılkan,</w:t>
      </w:r>
      <w:r>
        <w:rPr>
          <w:spacing w:val="1"/>
          <w:sz w:val="24"/>
        </w:rPr>
        <w:t xml:space="preserve"> </w:t>
      </w:r>
      <w:r>
        <w:rPr>
          <w:spacing w:val="-2"/>
          <w:sz w:val="24"/>
        </w:rPr>
        <w:t>2004:14).</w:t>
      </w:r>
    </w:p>
    <w:p w14:paraId="5C5CB273">
      <w:pPr>
        <w:pStyle w:val="9"/>
        <w:spacing w:before="120" w:after="120" w:line="360" w:lineRule="auto"/>
        <w:ind w:left="0" w:firstLine="567"/>
      </w:pPr>
      <w:r>
        <w:t>Bu çerçevede, kişilerin yaşam kalitesi farklı ölçeklerden istifade etmek suretiyle, puanlanmakta</w:t>
      </w:r>
      <w:r>
        <w:rPr>
          <w:spacing w:val="-10"/>
        </w:rPr>
        <w:t xml:space="preserve"> </w:t>
      </w:r>
      <w:r>
        <w:t>ve</w:t>
      </w:r>
      <w:r>
        <w:rPr>
          <w:spacing w:val="-8"/>
        </w:rPr>
        <w:t xml:space="preserve"> </w:t>
      </w:r>
      <w:r>
        <w:t>değerlendirilmektedir.</w:t>
      </w:r>
      <w:r>
        <w:rPr>
          <w:spacing w:val="-10"/>
        </w:rPr>
        <w:t xml:space="preserve"> </w:t>
      </w:r>
      <w:r>
        <w:t>Bireylerin</w:t>
      </w:r>
      <w:r>
        <w:rPr>
          <w:spacing w:val="-7"/>
        </w:rPr>
        <w:t xml:space="preserve"> </w:t>
      </w:r>
      <w:r>
        <w:t>yaşam</w:t>
      </w:r>
      <w:r>
        <w:rPr>
          <w:spacing w:val="-9"/>
        </w:rPr>
        <w:t xml:space="preserve"> </w:t>
      </w:r>
      <w:r>
        <w:t>kalitesini</w:t>
      </w:r>
      <w:r>
        <w:rPr>
          <w:spacing w:val="-9"/>
        </w:rPr>
        <w:t xml:space="preserve"> </w:t>
      </w:r>
      <w:r>
        <w:t>ölçecek</w:t>
      </w:r>
      <w:r>
        <w:rPr>
          <w:spacing w:val="-9"/>
        </w:rPr>
        <w:t xml:space="preserve"> </w:t>
      </w:r>
      <w:r>
        <w:t>olan</w:t>
      </w:r>
      <w:r>
        <w:rPr>
          <w:spacing w:val="-10"/>
        </w:rPr>
        <w:t xml:space="preserve"> </w:t>
      </w:r>
      <w:r>
        <w:t>bir</w:t>
      </w:r>
      <w:r>
        <w:rPr>
          <w:spacing w:val="-10"/>
        </w:rPr>
        <w:t xml:space="preserve"> </w:t>
      </w:r>
      <w:r>
        <w:t>ölçekte geçerlilik, güvenirlik ve duyarlılık gibi özellikler aranmaktadır (Carr ve Higginson, 2003:296).</w:t>
      </w:r>
    </w:p>
    <w:p w14:paraId="6D5B0766">
      <w:pPr>
        <w:pStyle w:val="9"/>
        <w:spacing w:before="120" w:after="120" w:line="360" w:lineRule="auto"/>
        <w:ind w:left="0" w:firstLine="567"/>
      </w:pPr>
      <w:r>
        <w:t>“Dünya</w:t>
      </w:r>
      <w:r>
        <w:rPr>
          <w:spacing w:val="-3"/>
        </w:rPr>
        <w:t xml:space="preserve"> </w:t>
      </w:r>
      <w:r>
        <w:t>Sağlık</w:t>
      </w:r>
      <w:r>
        <w:rPr>
          <w:spacing w:val="-2"/>
        </w:rPr>
        <w:t xml:space="preserve"> </w:t>
      </w:r>
      <w:r>
        <w:t>Örgütü Yaşam</w:t>
      </w:r>
      <w:r>
        <w:rPr>
          <w:spacing w:val="-2"/>
        </w:rPr>
        <w:t xml:space="preserve"> </w:t>
      </w:r>
      <w:r>
        <w:t>Kalitesi</w:t>
      </w:r>
      <w:r>
        <w:rPr>
          <w:spacing w:val="-2"/>
        </w:rPr>
        <w:t xml:space="preserve"> </w:t>
      </w:r>
      <w:r>
        <w:t>Değerlendirme</w:t>
      </w:r>
      <w:r>
        <w:rPr>
          <w:spacing w:val="-3"/>
        </w:rPr>
        <w:t xml:space="preserve"> </w:t>
      </w:r>
      <w:r>
        <w:t>Araçları (WHOQOL),</w:t>
      </w:r>
      <w:r>
        <w:rPr>
          <w:spacing w:val="-2"/>
        </w:rPr>
        <w:t xml:space="preserve"> </w:t>
      </w:r>
      <w:r>
        <w:t>Dünya</w:t>
      </w:r>
      <w:r>
        <w:rPr>
          <w:spacing w:val="-3"/>
        </w:rPr>
        <w:t xml:space="preserve"> </w:t>
      </w:r>
      <w:r>
        <w:t>Sağlık Örgütü</w:t>
      </w:r>
      <w:r>
        <w:rPr>
          <w:spacing w:val="-2"/>
        </w:rPr>
        <w:t xml:space="preserve"> </w:t>
      </w:r>
      <w:r>
        <w:t>(DSÖ)”</w:t>
      </w:r>
      <w:r>
        <w:rPr>
          <w:spacing w:val="-3"/>
        </w:rPr>
        <w:t xml:space="preserve"> </w:t>
      </w:r>
      <w:r>
        <w:t>tarafından</w:t>
      </w:r>
      <w:r>
        <w:rPr>
          <w:spacing w:val="-2"/>
        </w:rPr>
        <w:t xml:space="preserve"> </w:t>
      </w:r>
      <w:r>
        <w:t>bireyin genel refah</w:t>
      </w:r>
      <w:r>
        <w:rPr>
          <w:spacing w:val="-2"/>
        </w:rPr>
        <w:t xml:space="preserve"> </w:t>
      </w:r>
      <w:r>
        <w:t>durumunu</w:t>
      </w:r>
      <w:r>
        <w:rPr>
          <w:spacing w:val="-2"/>
        </w:rPr>
        <w:t xml:space="preserve"> </w:t>
      </w:r>
      <w:r>
        <w:t>analiz</w:t>
      </w:r>
      <w:r>
        <w:rPr>
          <w:spacing w:val="-1"/>
        </w:rPr>
        <w:t xml:space="preserve"> </w:t>
      </w:r>
      <w:r>
        <w:t>edebilen</w:t>
      </w:r>
      <w:r>
        <w:rPr>
          <w:spacing w:val="-2"/>
        </w:rPr>
        <w:t xml:space="preserve"> </w:t>
      </w:r>
      <w:r>
        <w:t>ve</w:t>
      </w:r>
      <w:r>
        <w:rPr>
          <w:spacing w:val="-3"/>
        </w:rPr>
        <w:t xml:space="preserve"> </w:t>
      </w:r>
      <w:r>
        <w:t>çeşitli</w:t>
      </w:r>
      <w:r>
        <w:rPr>
          <w:spacing w:val="-2"/>
        </w:rPr>
        <w:t xml:space="preserve"> </w:t>
      </w:r>
      <w:r>
        <w:t>kültürler arası</w:t>
      </w:r>
      <w:r>
        <w:rPr>
          <w:spacing w:val="40"/>
        </w:rPr>
        <w:t xml:space="preserve"> </w:t>
      </w:r>
      <w:r>
        <w:t>mukayeselere</w:t>
      </w:r>
      <w:r>
        <w:rPr>
          <w:spacing w:val="37"/>
        </w:rPr>
        <w:t xml:space="preserve"> </w:t>
      </w:r>
      <w:r>
        <w:t>imkân</w:t>
      </w:r>
      <w:r>
        <w:rPr>
          <w:spacing w:val="40"/>
        </w:rPr>
        <w:t xml:space="preserve"> </w:t>
      </w:r>
      <w:r>
        <w:t>tanıyan</w:t>
      </w:r>
      <w:r>
        <w:rPr>
          <w:spacing w:val="39"/>
        </w:rPr>
        <w:t xml:space="preserve"> </w:t>
      </w:r>
      <w:r>
        <w:t>bir</w:t>
      </w:r>
      <w:r>
        <w:rPr>
          <w:spacing w:val="42"/>
        </w:rPr>
        <w:t xml:space="preserve"> </w:t>
      </w:r>
      <w:r>
        <w:t>set</w:t>
      </w:r>
      <w:r>
        <w:rPr>
          <w:spacing w:val="40"/>
        </w:rPr>
        <w:t xml:space="preserve"> </w:t>
      </w:r>
      <w:r>
        <w:t>ölçümlerden</w:t>
      </w:r>
      <w:r>
        <w:rPr>
          <w:spacing w:val="41"/>
        </w:rPr>
        <w:t xml:space="preserve"> </w:t>
      </w:r>
      <w:r>
        <w:t>oluşmaktadır.</w:t>
      </w:r>
      <w:r>
        <w:rPr>
          <w:spacing w:val="40"/>
        </w:rPr>
        <w:t xml:space="preserve"> </w:t>
      </w:r>
      <w:r>
        <w:t>Globalde</w:t>
      </w:r>
      <w:r>
        <w:rPr>
          <w:spacing w:val="39"/>
        </w:rPr>
        <w:t xml:space="preserve"> </w:t>
      </w:r>
      <w:r>
        <w:t>15</w:t>
      </w:r>
      <w:r>
        <w:rPr>
          <w:spacing w:val="42"/>
        </w:rPr>
        <w:t xml:space="preserve"> </w:t>
      </w:r>
      <w:r>
        <w:rPr>
          <w:spacing w:val="-2"/>
        </w:rPr>
        <w:t>farklı</w:t>
      </w:r>
      <w:r>
        <w:t xml:space="preserve"> merkezde</w:t>
      </w:r>
      <w:r>
        <w:rPr>
          <w:spacing w:val="-15"/>
        </w:rPr>
        <w:t xml:space="preserve"> </w:t>
      </w:r>
      <w:r>
        <w:t>yürütülen</w:t>
      </w:r>
      <w:r>
        <w:rPr>
          <w:spacing w:val="-15"/>
        </w:rPr>
        <w:t xml:space="preserve"> </w:t>
      </w:r>
      <w:r>
        <w:t>ön</w:t>
      </w:r>
      <w:r>
        <w:rPr>
          <w:spacing w:val="-15"/>
        </w:rPr>
        <w:t xml:space="preserve"> </w:t>
      </w:r>
      <w:r>
        <w:t>çalışmalar</w:t>
      </w:r>
      <w:r>
        <w:rPr>
          <w:spacing w:val="-15"/>
        </w:rPr>
        <w:t xml:space="preserve"> </w:t>
      </w:r>
      <w:r>
        <w:t>neticesinde,</w:t>
      </w:r>
      <w:r>
        <w:rPr>
          <w:spacing w:val="-15"/>
        </w:rPr>
        <w:t xml:space="preserve"> </w:t>
      </w:r>
      <w:r>
        <w:t>“WHOQOL-100</w:t>
      </w:r>
      <w:r>
        <w:rPr>
          <w:spacing w:val="-15"/>
        </w:rPr>
        <w:t xml:space="preserve"> </w:t>
      </w:r>
      <w:r>
        <w:t>adında</w:t>
      </w:r>
      <w:r>
        <w:rPr>
          <w:spacing w:val="-15"/>
        </w:rPr>
        <w:t xml:space="preserve"> </w:t>
      </w:r>
      <w:r>
        <w:t>100”</w:t>
      </w:r>
      <w:r>
        <w:rPr>
          <w:spacing w:val="-15"/>
        </w:rPr>
        <w:t xml:space="preserve"> </w:t>
      </w:r>
      <w:r>
        <w:t>maddeli</w:t>
      </w:r>
      <w:r>
        <w:rPr>
          <w:spacing w:val="-15"/>
        </w:rPr>
        <w:t xml:space="preserve"> </w:t>
      </w:r>
      <w:r>
        <w:t>bir</w:t>
      </w:r>
      <w:r>
        <w:rPr>
          <w:spacing w:val="-15"/>
        </w:rPr>
        <w:t xml:space="preserve"> </w:t>
      </w:r>
      <w:r>
        <w:t>ana ölçek</w:t>
      </w:r>
      <w:r>
        <w:rPr>
          <w:spacing w:val="-4"/>
        </w:rPr>
        <w:t xml:space="preserve"> </w:t>
      </w:r>
      <w:r>
        <w:t>ve</w:t>
      </w:r>
      <w:r>
        <w:rPr>
          <w:spacing w:val="-5"/>
        </w:rPr>
        <w:t xml:space="preserve"> </w:t>
      </w:r>
      <w:r>
        <w:t>bu</w:t>
      </w:r>
      <w:r>
        <w:rPr>
          <w:spacing w:val="-4"/>
        </w:rPr>
        <w:t xml:space="preserve"> </w:t>
      </w:r>
      <w:r>
        <w:t>ölçeğin</w:t>
      </w:r>
      <w:r>
        <w:rPr>
          <w:spacing w:val="-4"/>
        </w:rPr>
        <w:t xml:space="preserve"> </w:t>
      </w:r>
      <w:r>
        <w:t>bir</w:t>
      </w:r>
      <w:r>
        <w:rPr>
          <w:spacing w:val="-4"/>
        </w:rPr>
        <w:t xml:space="preserve"> </w:t>
      </w:r>
      <w:r>
        <w:t>alt</w:t>
      </w:r>
      <w:r>
        <w:rPr>
          <w:spacing w:val="-4"/>
        </w:rPr>
        <w:t xml:space="preserve"> </w:t>
      </w:r>
      <w:r>
        <w:t>kümesi</w:t>
      </w:r>
      <w:r>
        <w:rPr>
          <w:spacing w:val="-4"/>
        </w:rPr>
        <w:t xml:space="preserve"> </w:t>
      </w:r>
      <w:r>
        <w:t>olan</w:t>
      </w:r>
      <w:r>
        <w:rPr>
          <w:spacing w:val="-4"/>
        </w:rPr>
        <w:t xml:space="preserve"> </w:t>
      </w:r>
      <w:r>
        <w:t>26</w:t>
      </w:r>
      <w:r>
        <w:rPr>
          <w:spacing w:val="-7"/>
        </w:rPr>
        <w:t xml:space="preserve"> </w:t>
      </w:r>
      <w:r>
        <w:t>maddeli</w:t>
      </w:r>
      <w:r>
        <w:rPr>
          <w:spacing w:val="-4"/>
        </w:rPr>
        <w:t xml:space="preserve"> </w:t>
      </w:r>
      <w:r>
        <w:t>WHOQOL-BREF</w:t>
      </w:r>
      <w:r>
        <w:rPr>
          <w:spacing w:val="-6"/>
        </w:rPr>
        <w:t xml:space="preserve"> </w:t>
      </w:r>
      <w:r>
        <w:t>ölçeği</w:t>
      </w:r>
      <w:r>
        <w:rPr>
          <w:spacing w:val="-4"/>
        </w:rPr>
        <w:t xml:space="preserve"> </w:t>
      </w:r>
      <w:r>
        <w:t>geliştirilmiştir. WHOQOL-BREF, genel olarak algılanan yaşam kalitesi ve algılanan sağlık durumunu değerlendiren iki soru dahil olmak üzere toplam 26 maddeden oluşur; bu sorular fiziksel, psikolojik, sosyal ilişkiler ve çevresel faktörler olmak üzere dört kategoride gruplanır. Bu ölçekte</w:t>
      </w:r>
      <w:r>
        <w:rPr>
          <w:spacing w:val="-15"/>
        </w:rPr>
        <w:t xml:space="preserve"> </w:t>
      </w:r>
      <w:r>
        <w:t>bir</w:t>
      </w:r>
      <w:r>
        <w:rPr>
          <w:spacing w:val="-15"/>
        </w:rPr>
        <w:t xml:space="preserve"> </w:t>
      </w:r>
      <w:r>
        <w:t>toplam</w:t>
      </w:r>
      <w:r>
        <w:rPr>
          <w:spacing w:val="-15"/>
        </w:rPr>
        <w:t xml:space="preserve"> </w:t>
      </w:r>
      <w:r>
        <w:t>puanlama</w:t>
      </w:r>
      <w:r>
        <w:rPr>
          <w:spacing w:val="-15"/>
        </w:rPr>
        <w:t xml:space="preserve"> </w:t>
      </w:r>
      <w:r>
        <w:t>sistemi</w:t>
      </w:r>
      <w:r>
        <w:rPr>
          <w:spacing w:val="-15"/>
        </w:rPr>
        <w:t xml:space="preserve"> </w:t>
      </w:r>
      <w:r>
        <w:t>mevcut</w:t>
      </w:r>
      <w:r>
        <w:rPr>
          <w:spacing w:val="-15"/>
        </w:rPr>
        <w:t xml:space="preserve"> </w:t>
      </w:r>
      <w:r>
        <w:t>değildir;</w:t>
      </w:r>
      <w:r>
        <w:rPr>
          <w:spacing w:val="-15"/>
        </w:rPr>
        <w:t xml:space="preserve"> </w:t>
      </w:r>
      <w:r>
        <w:t>her</w:t>
      </w:r>
      <w:r>
        <w:rPr>
          <w:spacing w:val="-15"/>
        </w:rPr>
        <w:t xml:space="preserve"> </w:t>
      </w:r>
      <w:r>
        <w:t>bölüm</w:t>
      </w:r>
      <w:r>
        <w:rPr>
          <w:spacing w:val="-15"/>
        </w:rPr>
        <w:t xml:space="preserve"> </w:t>
      </w:r>
      <w:r>
        <w:t>ve</w:t>
      </w:r>
      <w:r>
        <w:rPr>
          <w:spacing w:val="-15"/>
        </w:rPr>
        <w:t xml:space="preserve"> </w:t>
      </w:r>
      <w:r>
        <w:t>alan</w:t>
      </w:r>
      <w:r>
        <w:rPr>
          <w:spacing w:val="-15"/>
        </w:rPr>
        <w:t xml:space="preserve"> </w:t>
      </w:r>
      <w:r>
        <w:t>kendi</w:t>
      </w:r>
      <w:r>
        <w:rPr>
          <w:spacing w:val="-15"/>
        </w:rPr>
        <w:t xml:space="preserve"> </w:t>
      </w:r>
      <w:r>
        <w:t>içinde</w:t>
      </w:r>
      <w:r>
        <w:rPr>
          <w:spacing w:val="-15"/>
        </w:rPr>
        <w:t xml:space="preserve"> </w:t>
      </w:r>
      <w:r>
        <w:t>20</w:t>
      </w:r>
      <w:r>
        <w:rPr>
          <w:spacing w:val="-15"/>
        </w:rPr>
        <w:t xml:space="preserve"> </w:t>
      </w:r>
      <w:r>
        <w:t>veya 100 puan üzerinden değerlendirilmektedir.</w:t>
      </w:r>
    </w:p>
    <w:p w14:paraId="321BC441">
      <w:pPr>
        <w:pStyle w:val="5"/>
        <w:spacing w:before="240" w:after="240" w:line="360" w:lineRule="auto"/>
        <w:ind w:left="567"/>
        <w:rPr>
          <w:rFonts w:ascii="Times New Roman" w:hAnsi="Times New Roman" w:cs="Times New Roman"/>
          <w:b/>
          <w:i w:val="0"/>
          <w:color w:val="auto"/>
          <w:sz w:val="24"/>
        </w:rPr>
      </w:pPr>
      <w:bookmarkStart w:id="128" w:name="_Toc197351254"/>
      <w:bookmarkStart w:id="129" w:name="_Toc195877801"/>
      <w:bookmarkStart w:id="130" w:name="_Toc195875816"/>
      <w:r>
        <w:rPr>
          <w:rFonts w:ascii="Times New Roman" w:hAnsi="Times New Roman" w:cs="Times New Roman"/>
          <w:b/>
          <w:i w:val="0"/>
          <w:color w:val="auto"/>
          <w:sz w:val="24"/>
        </w:rPr>
        <w:t>2.4.2.1. Bedensel Boyut</w:t>
      </w:r>
      <w:bookmarkEnd w:id="128"/>
      <w:bookmarkEnd w:id="129"/>
      <w:bookmarkEnd w:id="130"/>
    </w:p>
    <w:p w14:paraId="1635E0EC">
      <w:pPr>
        <w:pStyle w:val="9"/>
        <w:spacing w:before="120" w:after="120" w:line="360" w:lineRule="auto"/>
        <w:ind w:left="0" w:firstLine="567"/>
      </w:pPr>
      <w:r>
        <w:t>Yaşam kalitesinin bedensel alanı, bireylerin genel sağlık ve fiziksel iyi olma durumlarını kapsayan</w:t>
      </w:r>
      <w:r>
        <w:rPr>
          <w:spacing w:val="-15"/>
        </w:rPr>
        <w:t xml:space="preserve"> </w:t>
      </w:r>
      <w:r>
        <w:t>geniş</w:t>
      </w:r>
      <w:r>
        <w:rPr>
          <w:spacing w:val="-15"/>
        </w:rPr>
        <w:t xml:space="preserve"> </w:t>
      </w:r>
      <w:r>
        <w:t>ve</w:t>
      </w:r>
      <w:r>
        <w:rPr>
          <w:spacing w:val="-15"/>
        </w:rPr>
        <w:t xml:space="preserve"> </w:t>
      </w:r>
      <w:r>
        <w:t>çok</w:t>
      </w:r>
      <w:r>
        <w:rPr>
          <w:spacing w:val="-15"/>
        </w:rPr>
        <w:t xml:space="preserve"> </w:t>
      </w:r>
      <w:r>
        <w:t>boyutlu</w:t>
      </w:r>
      <w:r>
        <w:rPr>
          <w:spacing w:val="-15"/>
        </w:rPr>
        <w:t xml:space="preserve"> </w:t>
      </w:r>
      <w:r>
        <w:t>bir</w:t>
      </w:r>
      <w:r>
        <w:rPr>
          <w:spacing w:val="-15"/>
        </w:rPr>
        <w:t xml:space="preserve"> </w:t>
      </w:r>
      <w:r>
        <w:t>kavramdır</w:t>
      </w:r>
      <w:r>
        <w:rPr>
          <w:spacing w:val="-15"/>
        </w:rPr>
        <w:t xml:space="preserve"> </w:t>
      </w:r>
      <w:r>
        <w:t>(Frisch,</w:t>
      </w:r>
      <w:r>
        <w:rPr>
          <w:spacing w:val="-15"/>
        </w:rPr>
        <w:t xml:space="preserve"> </w:t>
      </w:r>
      <w:r>
        <w:t>2000;</w:t>
      </w:r>
      <w:r>
        <w:rPr>
          <w:spacing w:val="-15"/>
        </w:rPr>
        <w:t xml:space="preserve"> </w:t>
      </w:r>
      <w:r>
        <w:t>13).</w:t>
      </w:r>
      <w:r>
        <w:rPr>
          <w:spacing w:val="-15"/>
        </w:rPr>
        <w:t xml:space="preserve"> </w:t>
      </w:r>
      <w:r>
        <w:t>Bu</w:t>
      </w:r>
      <w:r>
        <w:rPr>
          <w:spacing w:val="-15"/>
        </w:rPr>
        <w:t xml:space="preserve"> </w:t>
      </w:r>
      <w:r>
        <w:t>alan,</w:t>
      </w:r>
      <w:r>
        <w:rPr>
          <w:spacing w:val="-15"/>
        </w:rPr>
        <w:t xml:space="preserve"> </w:t>
      </w:r>
      <w:r>
        <w:t>bireyin</w:t>
      </w:r>
      <w:r>
        <w:rPr>
          <w:spacing w:val="-15"/>
        </w:rPr>
        <w:t xml:space="preserve"> </w:t>
      </w:r>
      <w:r>
        <w:t>genel</w:t>
      </w:r>
      <w:r>
        <w:rPr>
          <w:spacing w:val="-15"/>
        </w:rPr>
        <w:t xml:space="preserve"> </w:t>
      </w:r>
      <w:r>
        <w:t>sağlık durumu, fiziksel fonksiyonları, ağrı ve rahatsızlık seviyeleri ile enerji düzeyleri gibi çeşitli bileşenleri içerir. Bireylerin fiziksel sağlığı, günlük yaşam aktivitelerini yerine getirme yeteneklerini ve yaşamdan aldıkları tatmini doğrudan etkilemektedir. Bedensel sağlığın optimal</w:t>
      </w:r>
      <w:r>
        <w:rPr>
          <w:spacing w:val="-15"/>
        </w:rPr>
        <w:t xml:space="preserve"> </w:t>
      </w:r>
      <w:r>
        <w:t>düzeyde</w:t>
      </w:r>
      <w:r>
        <w:rPr>
          <w:spacing w:val="-15"/>
        </w:rPr>
        <w:t xml:space="preserve"> </w:t>
      </w:r>
      <w:r>
        <w:t>olması,</w:t>
      </w:r>
      <w:r>
        <w:rPr>
          <w:spacing w:val="-15"/>
        </w:rPr>
        <w:t xml:space="preserve"> </w:t>
      </w:r>
      <w:r>
        <w:t>kişinin</w:t>
      </w:r>
      <w:r>
        <w:rPr>
          <w:spacing w:val="-15"/>
        </w:rPr>
        <w:t xml:space="preserve"> </w:t>
      </w:r>
      <w:r>
        <w:t>iş,</w:t>
      </w:r>
      <w:r>
        <w:rPr>
          <w:spacing w:val="-15"/>
        </w:rPr>
        <w:t xml:space="preserve"> </w:t>
      </w:r>
      <w:r>
        <w:t>sosyal</w:t>
      </w:r>
      <w:r>
        <w:rPr>
          <w:spacing w:val="-15"/>
        </w:rPr>
        <w:t xml:space="preserve"> </w:t>
      </w:r>
      <w:r>
        <w:t>ve</w:t>
      </w:r>
      <w:r>
        <w:rPr>
          <w:spacing w:val="-15"/>
        </w:rPr>
        <w:t xml:space="preserve"> </w:t>
      </w:r>
      <w:r>
        <w:t>kişisel</w:t>
      </w:r>
      <w:r>
        <w:rPr>
          <w:spacing w:val="-15"/>
        </w:rPr>
        <w:t xml:space="preserve"> </w:t>
      </w:r>
      <w:r>
        <w:t>yaşamda</w:t>
      </w:r>
      <w:r>
        <w:rPr>
          <w:spacing w:val="-15"/>
        </w:rPr>
        <w:t xml:space="preserve"> </w:t>
      </w:r>
      <w:r>
        <w:t>daha</w:t>
      </w:r>
      <w:r>
        <w:rPr>
          <w:spacing w:val="-15"/>
        </w:rPr>
        <w:t xml:space="preserve"> </w:t>
      </w:r>
      <w:r>
        <w:t>aktif</w:t>
      </w:r>
      <w:r>
        <w:rPr>
          <w:spacing w:val="-15"/>
        </w:rPr>
        <w:t xml:space="preserve"> </w:t>
      </w:r>
      <w:r>
        <w:t>ve</w:t>
      </w:r>
      <w:r>
        <w:rPr>
          <w:spacing w:val="-15"/>
        </w:rPr>
        <w:t xml:space="preserve"> </w:t>
      </w:r>
      <w:r>
        <w:t>katılımcı</w:t>
      </w:r>
      <w:r>
        <w:rPr>
          <w:spacing w:val="-15"/>
        </w:rPr>
        <w:t xml:space="preserve"> </w:t>
      </w:r>
      <w:r>
        <w:t>olmasını sağlar ve aynı zamanda yaşam kalitesi ile doğrudan ilişkilidir (Ware, 1993: 32).</w:t>
      </w:r>
    </w:p>
    <w:p w14:paraId="7B9FB9B7">
      <w:pPr>
        <w:pStyle w:val="9"/>
        <w:spacing w:before="120" w:after="120" w:line="360" w:lineRule="auto"/>
        <w:ind w:left="0" w:firstLine="567"/>
      </w:pPr>
      <w:r>
        <w:t>Genel sağlık durumu, bireyin kendini ne kadar sağlıklı hissettiği ve herhangi bir hastalık veya</w:t>
      </w:r>
      <w:r>
        <w:rPr>
          <w:spacing w:val="-5"/>
        </w:rPr>
        <w:t xml:space="preserve"> </w:t>
      </w:r>
      <w:r>
        <w:t>sağlık</w:t>
      </w:r>
      <w:r>
        <w:rPr>
          <w:spacing w:val="-6"/>
        </w:rPr>
        <w:t xml:space="preserve"> </w:t>
      </w:r>
      <w:r>
        <w:t>sorunu</w:t>
      </w:r>
      <w:r>
        <w:rPr>
          <w:spacing w:val="-6"/>
        </w:rPr>
        <w:t xml:space="preserve"> </w:t>
      </w:r>
      <w:r>
        <w:t>olup</w:t>
      </w:r>
      <w:r>
        <w:rPr>
          <w:spacing w:val="-5"/>
        </w:rPr>
        <w:t xml:space="preserve"> </w:t>
      </w:r>
      <w:r>
        <w:t>olmadığı</w:t>
      </w:r>
      <w:r>
        <w:rPr>
          <w:spacing w:val="-5"/>
        </w:rPr>
        <w:t xml:space="preserve"> </w:t>
      </w:r>
      <w:r>
        <w:t>ile</w:t>
      </w:r>
      <w:r>
        <w:rPr>
          <w:spacing w:val="-7"/>
        </w:rPr>
        <w:t xml:space="preserve"> </w:t>
      </w:r>
      <w:r>
        <w:t>ilgilidir.</w:t>
      </w:r>
      <w:r>
        <w:rPr>
          <w:spacing w:val="-7"/>
        </w:rPr>
        <w:t xml:space="preserve"> </w:t>
      </w:r>
      <w:r>
        <w:t>Sağlıklı</w:t>
      </w:r>
      <w:r>
        <w:rPr>
          <w:spacing w:val="-5"/>
        </w:rPr>
        <w:t xml:space="preserve"> </w:t>
      </w:r>
      <w:r>
        <w:t>bir</w:t>
      </w:r>
      <w:r>
        <w:rPr>
          <w:spacing w:val="-6"/>
        </w:rPr>
        <w:t xml:space="preserve"> </w:t>
      </w:r>
      <w:r>
        <w:t>birey,</w:t>
      </w:r>
      <w:r>
        <w:rPr>
          <w:spacing w:val="-2"/>
        </w:rPr>
        <w:t xml:space="preserve"> </w:t>
      </w:r>
      <w:r>
        <w:t>yaşamdan</w:t>
      </w:r>
      <w:r>
        <w:rPr>
          <w:spacing w:val="-6"/>
        </w:rPr>
        <w:t xml:space="preserve"> </w:t>
      </w:r>
      <w:r>
        <w:t>daha</w:t>
      </w:r>
      <w:r>
        <w:rPr>
          <w:spacing w:val="-7"/>
        </w:rPr>
        <w:t xml:space="preserve"> </w:t>
      </w:r>
      <w:r>
        <w:t>fazla</w:t>
      </w:r>
      <w:r>
        <w:rPr>
          <w:spacing w:val="-6"/>
        </w:rPr>
        <w:t xml:space="preserve"> </w:t>
      </w:r>
      <w:r>
        <w:t xml:space="preserve">tatmin olabilir ve günlük aktivitelerini daha kolay gerçekleştirebilir. Sağlık durumu bozuk olan bireyler ise bu durumun getirdiği fiziksel ve psikolojik yüklerle başa çıkmak zorunda kalabilirler. Bu bağlamda, sağlıklı bir yaşam tarzı benimsemek, düzenli sağlık kontrolleri yapmak ve hastalıkları önleyici tedbirler almak, bireylerin genel sağlık durumlarını iyileştirebilir ve böylece yaşam kalitelerini artırabilir (Patrick </w:t>
      </w:r>
      <w:r>
        <w:rPr>
          <w:rFonts w:hint="default"/>
          <w:lang w:val="tr-TR"/>
        </w:rPr>
        <w:t xml:space="preserve">ve </w:t>
      </w:r>
      <w:r>
        <w:t xml:space="preserve"> Erickson, 1993:112).</w:t>
      </w:r>
    </w:p>
    <w:p w14:paraId="64B0B975">
      <w:pPr>
        <w:pStyle w:val="9"/>
        <w:spacing w:before="120" w:after="120" w:line="360" w:lineRule="auto"/>
        <w:ind w:left="0" w:firstLine="567"/>
      </w:pPr>
      <w:r>
        <w:t>Fiziksel</w:t>
      </w:r>
      <w:r>
        <w:rPr>
          <w:spacing w:val="-2"/>
        </w:rPr>
        <w:t xml:space="preserve"> </w:t>
      </w:r>
      <w:r>
        <w:t>fonksiyonlar, bireyin fiziksel</w:t>
      </w:r>
      <w:r>
        <w:rPr>
          <w:spacing w:val="-2"/>
        </w:rPr>
        <w:t xml:space="preserve"> </w:t>
      </w:r>
      <w:r>
        <w:t>olarak günlük yaşam</w:t>
      </w:r>
      <w:r>
        <w:rPr>
          <w:spacing w:val="-2"/>
        </w:rPr>
        <w:t xml:space="preserve"> </w:t>
      </w:r>
      <w:r>
        <w:t>aktivitelerini</w:t>
      </w:r>
      <w:r>
        <w:rPr>
          <w:spacing w:val="-2"/>
        </w:rPr>
        <w:t xml:space="preserve"> </w:t>
      </w:r>
      <w:r>
        <w:t>ne</w:t>
      </w:r>
      <w:r>
        <w:rPr>
          <w:spacing w:val="-1"/>
        </w:rPr>
        <w:t xml:space="preserve"> </w:t>
      </w:r>
      <w:r>
        <w:t>kadar</w:t>
      </w:r>
      <w:r>
        <w:rPr>
          <w:spacing w:val="-3"/>
        </w:rPr>
        <w:t xml:space="preserve"> </w:t>
      </w:r>
      <w:r>
        <w:t>bağımsız ve</w:t>
      </w:r>
      <w:r>
        <w:rPr>
          <w:spacing w:val="-5"/>
        </w:rPr>
        <w:t xml:space="preserve"> </w:t>
      </w:r>
      <w:r>
        <w:t>etkili</w:t>
      </w:r>
      <w:r>
        <w:rPr>
          <w:spacing w:val="-4"/>
        </w:rPr>
        <w:t xml:space="preserve"> </w:t>
      </w:r>
      <w:r>
        <w:t>bir</w:t>
      </w:r>
      <w:r>
        <w:rPr>
          <w:spacing w:val="-4"/>
        </w:rPr>
        <w:t xml:space="preserve"> </w:t>
      </w:r>
      <w:r>
        <w:t>şekilde</w:t>
      </w:r>
      <w:r>
        <w:rPr>
          <w:spacing w:val="-3"/>
        </w:rPr>
        <w:t xml:space="preserve"> </w:t>
      </w:r>
      <w:r>
        <w:t>gerçekleştirebildiği</w:t>
      </w:r>
      <w:r>
        <w:rPr>
          <w:spacing w:val="-4"/>
        </w:rPr>
        <w:t xml:space="preserve"> </w:t>
      </w:r>
      <w:r>
        <w:t>ile</w:t>
      </w:r>
      <w:r>
        <w:rPr>
          <w:spacing w:val="-4"/>
        </w:rPr>
        <w:t xml:space="preserve"> </w:t>
      </w:r>
      <w:r>
        <w:t>ilgilidir.</w:t>
      </w:r>
      <w:r>
        <w:rPr>
          <w:spacing w:val="-4"/>
        </w:rPr>
        <w:t xml:space="preserve"> </w:t>
      </w:r>
      <w:r>
        <w:t>Bu</w:t>
      </w:r>
      <w:r>
        <w:rPr>
          <w:spacing w:val="-4"/>
        </w:rPr>
        <w:t xml:space="preserve"> </w:t>
      </w:r>
      <w:r>
        <w:t>aktiviteler,</w:t>
      </w:r>
      <w:r>
        <w:rPr>
          <w:spacing w:val="-2"/>
        </w:rPr>
        <w:t xml:space="preserve"> </w:t>
      </w:r>
      <w:r>
        <w:t>basit</w:t>
      </w:r>
      <w:r>
        <w:rPr>
          <w:spacing w:val="-1"/>
        </w:rPr>
        <w:t xml:space="preserve"> </w:t>
      </w:r>
      <w:r>
        <w:t>günlük</w:t>
      </w:r>
      <w:r>
        <w:rPr>
          <w:spacing w:val="-4"/>
        </w:rPr>
        <w:t xml:space="preserve"> </w:t>
      </w:r>
      <w:r>
        <w:t>görevlerden (giyinme,</w:t>
      </w:r>
      <w:r>
        <w:rPr>
          <w:spacing w:val="-15"/>
        </w:rPr>
        <w:t xml:space="preserve"> </w:t>
      </w:r>
      <w:r>
        <w:t>yeme</w:t>
      </w:r>
      <w:r>
        <w:rPr>
          <w:spacing w:val="-15"/>
        </w:rPr>
        <w:t xml:space="preserve"> </w:t>
      </w:r>
      <w:r>
        <w:t>içme,</w:t>
      </w:r>
      <w:r>
        <w:rPr>
          <w:spacing w:val="-15"/>
        </w:rPr>
        <w:t xml:space="preserve"> </w:t>
      </w:r>
      <w:r>
        <w:t>yürüme)</w:t>
      </w:r>
      <w:r>
        <w:rPr>
          <w:spacing w:val="-15"/>
        </w:rPr>
        <w:t xml:space="preserve"> </w:t>
      </w:r>
      <w:r>
        <w:t>daha</w:t>
      </w:r>
      <w:r>
        <w:rPr>
          <w:spacing w:val="-15"/>
        </w:rPr>
        <w:t xml:space="preserve"> </w:t>
      </w:r>
      <w:r>
        <w:t>karmaşık</w:t>
      </w:r>
      <w:r>
        <w:rPr>
          <w:spacing w:val="-15"/>
        </w:rPr>
        <w:t xml:space="preserve"> </w:t>
      </w:r>
      <w:r>
        <w:t>fiziksel</w:t>
      </w:r>
      <w:r>
        <w:rPr>
          <w:spacing w:val="-15"/>
        </w:rPr>
        <w:t xml:space="preserve"> </w:t>
      </w:r>
      <w:r>
        <w:t>faaliyetlere</w:t>
      </w:r>
      <w:r>
        <w:rPr>
          <w:spacing w:val="-15"/>
        </w:rPr>
        <w:t xml:space="preserve"> </w:t>
      </w:r>
      <w:r>
        <w:t>(egzersiz</w:t>
      </w:r>
      <w:r>
        <w:rPr>
          <w:spacing w:val="-15"/>
        </w:rPr>
        <w:t xml:space="preserve"> </w:t>
      </w:r>
      <w:r>
        <w:t>yapma,</w:t>
      </w:r>
      <w:r>
        <w:rPr>
          <w:spacing w:val="-15"/>
        </w:rPr>
        <w:t xml:space="preserve"> </w:t>
      </w:r>
      <w:r>
        <w:t>ağır</w:t>
      </w:r>
      <w:r>
        <w:rPr>
          <w:spacing w:val="-15"/>
        </w:rPr>
        <w:t xml:space="preserve"> </w:t>
      </w:r>
      <w:r>
        <w:t>işler yapma) kadar geniş bir yelpazeyi kapsar. Fiziksel fonksiyonların iyi olması, bireyin bağımsızlığını korumasına</w:t>
      </w:r>
      <w:r>
        <w:rPr>
          <w:spacing w:val="-1"/>
        </w:rPr>
        <w:t xml:space="preserve"> </w:t>
      </w:r>
      <w:r>
        <w:t>ve yaşamdan daha</w:t>
      </w:r>
      <w:r>
        <w:rPr>
          <w:spacing w:val="-1"/>
        </w:rPr>
        <w:t xml:space="preserve"> </w:t>
      </w:r>
      <w:r>
        <w:t>fazla tatmin almasına yardımcı olur. Fiziksel kapasiteyi korumak ve artırmak bireylerin yaşam kaliteleri ile oldukça ilişkilidir (Ware, 1993; 32-34).</w:t>
      </w:r>
    </w:p>
    <w:p w14:paraId="4D650E96">
      <w:pPr>
        <w:pStyle w:val="9"/>
        <w:spacing w:before="120" w:after="120" w:line="360" w:lineRule="auto"/>
        <w:ind w:left="0" w:firstLine="567"/>
      </w:pPr>
      <w:r>
        <w:t>Ağrı ve rahatsızlık, bireylerin yaşam kalitesini doğrudan etkileyen önemli faktörlerdendir. Kronik ağrı ve rahatsızlıklar, bireylerin günlük yaşam aktivitelerini sınırlayabilir ve genel yaşam memnuniyetini azaltabilir. Ağrı yönetimi ve tedavisi, bireylerin yaşam kalitelerini artırmada kritik bir rol oynar. Bu bağlamda, tıbbi tedavi, fizik tedavi, ağrı yönetim programları ve alternatif terapiler, ağrı ve rahatsızlıkların azaltılmasında etkili olabilir, bu durumda yaşam kalitesini etkilemektedir (WHOQOL Group, 1998:557).</w:t>
      </w:r>
    </w:p>
    <w:p w14:paraId="0AACC85F">
      <w:pPr>
        <w:pStyle w:val="9"/>
        <w:spacing w:before="120" w:after="120" w:line="360" w:lineRule="auto"/>
        <w:ind w:left="0" w:firstLine="567"/>
      </w:pPr>
      <w:r>
        <w:t>Enerji seviyeleri ve yorgunluk, bireylerin genel refahını ve günlük yaşamlarını sürdürme kapasitelerini</w:t>
      </w:r>
      <w:r>
        <w:rPr>
          <w:spacing w:val="-12"/>
        </w:rPr>
        <w:t xml:space="preserve"> </w:t>
      </w:r>
      <w:r>
        <w:t>etkileyen</w:t>
      </w:r>
      <w:r>
        <w:rPr>
          <w:spacing w:val="-12"/>
        </w:rPr>
        <w:t xml:space="preserve"> </w:t>
      </w:r>
      <w:r>
        <w:t>önemli</w:t>
      </w:r>
      <w:r>
        <w:rPr>
          <w:spacing w:val="-12"/>
        </w:rPr>
        <w:t xml:space="preserve"> </w:t>
      </w:r>
      <w:r>
        <w:t>bir</w:t>
      </w:r>
      <w:r>
        <w:rPr>
          <w:spacing w:val="-12"/>
        </w:rPr>
        <w:t xml:space="preserve"> </w:t>
      </w:r>
      <w:r>
        <w:t>diğer</w:t>
      </w:r>
      <w:r>
        <w:rPr>
          <w:spacing w:val="-12"/>
        </w:rPr>
        <w:t xml:space="preserve"> </w:t>
      </w:r>
      <w:r>
        <w:t>bileşendir.</w:t>
      </w:r>
      <w:r>
        <w:rPr>
          <w:spacing w:val="-12"/>
        </w:rPr>
        <w:t xml:space="preserve"> </w:t>
      </w:r>
      <w:r>
        <w:t>Yüksek</w:t>
      </w:r>
      <w:r>
        <w:rPr>
          <w:spacing w:val="-12"/>
        </w:rPr>
        <w:t xml:space="preserve"> </w:t>
      </w:r>
      <w:r>
        <w:t>enerji</w:t>
      </w:r>
      <w:r>
        <w:rPr>
          <w:spacing w:val="-12"/>
        </w:rPr>
        <w:t xml:space="preserve"> </w:t>
      </w:r>
      <w:r>
        <w:t>seviyeleri,</w:t>
      </w:r>
      <w:r>
        <w:rPr>
          <w:spacing w:val="-12"/>
        </w:rPr>
        <w:t xml:space="preserve"> </w:t>
      </w:r>
      <w:r>
        <w:t>bireylerin</w:t>
      </w:r>
      <w:r>
        <w:rPr>
          <w:spacing w:val="-12"/>
        </w:rPr>
        <w:t xml:space="preserve"> </w:t>
      </w:r>
      <w:r>
        <w:t>daha aktif, üretken ve mutlu olmalarını sağlar. Öte yandan, sürekli yorgunluk hissi, bireylerin günlük yaşamlarını sürdürme kapasitesini azaltabilir ve genel yaşam memnuniyetini olumsuz etkileyebilir (Patrick</w:t>
      </w:r>
      <w:r>
        <w:rPr>
          <w:rFonts w:hint="default"/>
          <w:lang w:val="tr-TR"/>
        </w:rPr>
        <w:t xml:space="preserve"> ve</w:t>
      </w:r>
      <w:r>
        <w:t xml:space="preserve">  Erickson, 1993:110-115).</w:t>
      </w:r>
    </w:p>
    <w:p w14:paraId="2DC86042">
      <w:pPr>
        <w:pStyle w:val="9"/>
        <w:spacing w:before="120" w:after="120" w:line="360" w:lineRule="auto"/>
        <w:ind w:left="0" w:firstLine="567"/>
      </w:pPr>
      <w:r>
        <w:t>Sonuç olarak, yaşam kalitesinin bedensel alanı, bireylerin genel sağlık durumu, fiziksel fonksiyonları,</w:t>
      </w:r>
      <w:r>
        <w:rPr>
          <w:spacing w:val="-10"/>
        </w:rPr>
        <w:t xml:space="preserve"> </w:t>
      </w:r>
      <w:r>
        <w:t>ağrı</w:t>
      </w:r>
      <w:r>
        <w:rPr>
          <w:spacing w:val="-9"/>
        </w:rPr>
        <w:t xml:space="preserve"> </w:t>
      </w:r>
      <w:r>
        <w:t>ve</w:t>
      </w:r>
      <w:r>
        <w:rPr>
          <w:spacing w:val="-10"/>
        </w:rPr>
        <w:t xml:space="preserve"> </w:t>
      </w:r>
      <w:r>
        <w:t>rahatsızlık</w:t>
      </w:r>
      <w:r>
        <w:rPr>
          <w:spacing w:val="-12"/>
        </w:rPr>
        <w:t xml:space="preserve"> </w:t>
      </w:r>
      <w:r>
        <w:t>seviyeleri</w:t>
      </w:r>
      <w:r>
        <w:rPr>
          <w:spacing w:val="-9"/>
        </w:rPr>
        <w:t xml:space="preserve"> </w:t>
      </w:r>
      <w:r>
        <w:t>ile</w:t>
      </w:r>
      <w:r>
        <w:rPr>
          <w:spacing w:val="-10"/>
        </w:rPr>
        <w:t xml:space="preserve"> </w:t>
      </w:r>
      <w:r>
        <w:t>enerji</w:t>
      </w:r>
      <w:r>
        <w:rPr>
          <w:spacing w:val="-9"/>
        </w:rPr>
        <w:t xml:space="preserve"> </w:t>
      </w:r>
      <w:r>
        <w:t>düzeyleri</w:t>
      </w:r>
      <w:r>
        <w:rPr>
          <w:spacing w:val="-9"/>
        </w:rPr>
        <w:t xml:space="preserve"> </w:t>
      </w:r>
      <w:r>
        <w:t>gibi</w:t>
      </w:r>
      <w:r>
        <w:rPr>
          <w:spacing w:val="-9"/>
        </w:rPr>
        <w:t xml:space="preserve"> </w:t>
      </w:r>
      <w:r>
        <w:t>çeşitli</w:t>
      </w:r>
      <w:r>
        <w:rPr>
          <w:spacing w:val="-9"/>
        </w:rPr>
        <w:t xml:space="preserve"> </w:t>
      </w:r>
      <w:r>
        <w:t>bileşenleri</w:t>
      </w:r>
      <w:r>
        <w:rPr>
          <w:spacing w:val="-9"/>
        </w:rPr>
        <w:t xml:space="preserve"> </w:t>
      </w:r>
      <w:r>
        <w:t>kapsar. Bu</w:t>
      </w:r>
      <w:r>
        <w:rPr>
          <w:spacing w:val="-9"/>
        </w:rPr>
        <w:t xml:space="preserve"> </w:t>
      </w:r>
      <w:r>
        <w:t>bileşenlerin</w:t>
      </w:r>
      <w:r>
        <w:rPr>
          <w:spacing w:val="-10"/>
        </w:rPr>
        <w:t xml:space="preserve"> </w:t>
      </w:r>
      <w:r>
        <w:t>her</w:t>
      </w:r>
      <w:r>
        <w:rPr>
          <w:spacing w:val="-10"/>
        </w:rPr>
        <w:t xml:space="preserve"> </w:t>
      </w:r>
      <w:r>
        <w:t>biri,</w:t>
      </w:r>
      <w:r>
        <w:rPr>
          <w:spacing w:val="-10"/>
        </w:rPr>
        <w:t xml:space="preserve"> </w:t>
      </w:r>
      <w:r>
        <w:t>bireylerin</w:t>
      </w:r>
      <w:r>
        <w:rPr>
          <w:spacing w:val="-7"/>
        </w:rPr>
        <w:t xml:space="preserve"> </w:t>
      </w:r>
      <w:r>
        <w:t>genel</w:t>
      </w:r>
      <w:r>
        <w:rPr>
          <w:spacing w:val="-4"/>
        </w:rPr>
        <w:t xml:space="preserve"> </w:t>
      </w:r>
      <w:r>
        <w:t>yaşam</w:t>
      </w:r>
      <w:r>
        <w:rPr>
          <w:spacing w:val="-9"/>
        </w:rPr>
        <w:t xml:space="preserve"> </w:t>
      </w:r>
      <w:r>
        <w:t>memnuniyetini</w:t>
      </w:r>
      <w:r>
        <w:rPr>
          <w:spacing w:val="-9"/>
        </w:rPr>
        <w:t xml:space="preserve"> </w:t>
      </w:r>
      <w:r>
        <w:t>ve</w:t>
      </w:r>
      <w:r>
        <w:rPr>
          <w:spacing w:val="-10"/>
        </w:rPr>
        <w:t xml:space="preserve"> </w:t>
      </w:r>
      <w:r>
        <w:t>refahını</w:t>
      </w:r>
      <w:r>
        <w:rPr>
          <w:spacing w:val="-9"/>
        </w:rPr>
        <w:t xml:space="preserve"> </w:t>
      </w:r>
      <w:r>
        <w:t>doğrudan</w:t>
      </w:r>
      <w:r>
        <w:rPr>
          <w:spacing w:val="-9"/>
        </w:rPr>
        <w:t xml:space="preserve"> </w:t>
      </w:r>
      <w:r>
        <w:t>etkiler. Bu nedenle, bedensel sağlığın korunması ve iyileştirilmesi, genel yaşam kalitesinin artırılmasında</w:t>
      </w:r>
      <w:r>
        <w:rPr>
          <w:spacing w:val="-7"/>
        </w:rPr>
        <w:t xml:space="preserve"> </w:t>
      </w:r>
      <w:r>
        <w:t>kritik</w:t>
      </w:r>
      <w:r>
        <w:rPr>
          <w:spacing w:val="-6"/>
        </w:rPr>
        <w:t xml:space="preserve"> </w:t>
      </w:r>
      <w:r>
        <w:t>bir</w:t>
      </w:r>
      <w:r>
        <w:rPr>
          <w:spacing w:val="-7"/>
        </w:rPr>
        <w:t xml:space="preserve"> </w:t>
      </w:r>
      <w:r>
        <w:t>öneme</w:t>
      </w:r>
      <w:r>
        <w:rPr>
          <w:spacing w:val="-7"/>
        </w:rPr>
        <w:t xml:space="preserve"> </w:t>
      </w:r>
      <w:r>
        <w:t>sahiptir.</w:t>
      </w:r>
      <w:r>
        <w:rPr>
          <w:spacing w:val="-7"/>
        </w:rPr>
        <w:t xml:space="preserve"> </w:t>
      </w:r>
      <w:r>
        <w:t>Sağlıklı</w:t>
      </w:r>
      <w:r>
        <w:rPr>
          <w:spacing w:val="-6"/>
        </w:rPr>
        <w:t xml:space="preserve"> </w:t>
      </w:r>
      <w:r>
        <w:t>bir</w:t>
      </w:r>
      <w:r>
        <w:rPr>
          <w:spacing w:val="-4"/>
        </w:rPr>
        <w:t xml:space="preserve"> </w:t>
      </w:r>
      <w:r>
        <w:t>yaşam</w:t>
      </w:r>
      <w:r>
        <w:rPr>
          <w:spacing w:val="-6"/>
        </w:rPr>
        <w:t xml:space="preserve"> </w:t>
      </w:r>
      <w:r>
        <w:t>tarzı</w:t>
      </w:r>
      <w:r>
        <w:rPr>
          <w:spacing w:val="-6"/>
        </w:rPr>
        <w:t xml:space="preserve"> </w:t>
      </w:r>
      <w:r>
        <w:t>benimsemek,</w:t>
      </w:r>
      <w:r>
        <w:rPr>
          <w:spacing w:val="-7"/>
        </w:rPr>
        <w:t xml:space="preserve"> </w:t>
      </w:r>
      <w:r>
        <w:t>düzenli</w:t>
      </w:r>
      <w:r>
        <w:rPr>
          <w:spacing w:val="-6"/>
        </w:rPr>
        <w:t xml:space="preserve"> </w:t>
      </w:r>
      <w:r>
        <w:t>sağlık kontrolleri yapmak ve sağlık sorunları için etkili tedavi yöntemleri uygulamak, bireylerin bedensel</w:t>
      </w:r>
      <w:r>
        <w:rPr>
          <w:spacing w:val="-13"/>
        </w:rPr>
        <w:t xml:space="preserve"> </w:t>
      </w:r>
      <w:r>
        <w:t>sağlıklarını</w:t>
      </w:r>
      <w:r>
        <w:rPr>
          <w:spacing w:val="-12"/>
        </w:rPr>
        <w:t xml:space="preserve"> </w:t>
      </w:r>
      <w:r>
        <w:t>ve</w:t>
      </w:r>
      <w:r>
        <w:rPr>
          <w:spacing w:val="-14"/>
        </w:rPr>
        <w:t xml:space="preserve"> </w:t>
      </w:r>
      <w:r>
        <w:t>dolayısıyla</w:t>
      </w:r>
      <w:r>
        <w:rPr>
          <w:spacing w:val="-10"/>
        </w:rPr>
        <w:t xml:space="preserve"> </w:t>
      </w:r>
      <w:r>
        <w:t>yaşam</w:t>
      </w:r>
      <w:r>
        <w:rPr>
          <w:spacing w:val="-13"/>
        </w:rPr>
        <w:t xml:space="preserve"> </w:t>
      </w:r>
      <w:r>
        <w:t>kalitelerini</w:t>
      </w:r>
      <w:r>
        <w:rPr>
          <w:spacing w:val="-12"/>
        </w:rPr>
        <w:t xml:space="preserve"> </w:t>
      </w:r>
      <w:r>
        <w:t>önemli</w:t>
      </w:r>
      <w:r>
        <w:rPr>
          <w:spacing w:val="-13"/>
        </w:rPr>
        <w:t xml:space="preserve"> </w:t>
      </w:r>
      <w:r>
        <w:t>ölçüde</w:t>
      </w:r>
      <w:r>
        <w:rPr>
          <w:spacing w:val="-14"/>
        </w:rPr>
        <w:t xml:space="preserve"> </w:t>
      </w:r>
      <w:r>
        <w:t>artırabilir</w:t>
      </w:r>
      <w:r>
        <w:rPr>
          <w:spacing w:val="-14"/>
        </w:rPr>
        <w:t xml:space="preserve"> </w:t>
      </w:r>
      <w:r>
        <w:t>(Ware,</w:t>
      </w:r>
      <w:r>
        <w:rPr>
          <w:spacing w:val="-13"/>
        </w:rPr>
        <w:t xml:space="preserve"> </w:t>
      </w:r>
      <w:r>
        <w:t>1993:33; Patrick &amp; Erickson, 1993:113; WHOQOL Group, 1998:557).</w:t>
      </w:r>
    </w:p>
    <w:p w14:paraId="65AC6629">
      <w:pPr>
        <w:pStyle w:val="5"/>
        <w:spacing w:before="240" w:after="240" w:line="360" w:lineRule="auto"/>
        <w:ind w:left="567"/>
        <w:rPr>
          <w:rFonts w:ascii="Times New Roman" w:hAnsi="Times New Roman" w:cs="Times New Roman"/>
          <w:b/>
          <w:i w:val="0"/>
          <w:color w:val="auto"/>
          <w:sz w:val="24"/>
          <w:szCs w:val="24"/>
        </w:rPr>
      </w:pPr>
      <w:bookmarkStart w:id="131" w:name="_Toc197351255"/>
      <w:bookmarkStart w:id="132" w:name="_Toc195877802"/>
      <w:bookmarkStart w:id="133" w:name="_Toc195875817"/>
      <w:r>
        <w:rPr>
          <w:rFonts w:ascii="Times New Roman" w:hAnsi="Times New Roman" w:cs="Times New Roman"/>
          <w:b/>
          <w:i w:val="0"/>
          <w:color w:val="auto"/>
          <w:sz w:val="24"/>
          <w:szCs w:val="24"/>
        </w:rPr>
        <w:t>2.4.2.2. Ruhsal Boyut</w:t>
      </w:r>
      <w:bookmarkEnd w:id="131"/>
      <w:bookmarkEnd w:id="132"/>
      <w:bookmarkEnd w:id="133"/>
    </w:p>
    <w:p w14:paraId="34683E79">
      <w:pPr>
        <w:pStyle w:val="9"/>
        <w:spacing w:before="120" w:after="120" w:line="360" w:lineRule="auto"/>
        <w:ind w:left="0" w:firstLine="567"/>
      </w:pPr>
      <w:r>
        <w:t>Yaşam kalitesinin ruhsal alanı, bireylerin duygusal ve zihinsel iyi olma durumlarını kapsayan geniş ve karmaşık bir kavramdır (Moberg &amp; Brusek, 1977:313). Bu alan, bireylerin genel ruh hali, mutluluk, stres, anksiyete, depresyon düzeyleri ile kendini gerçekleştirme ve kişisel gelişim gibi çeşitli bileşenleri içermektedir. Ruhsal sağlık, bireylerin yaşamdan aldıkları tatmini ve genel yaşam memnuniyetlerini doğrudan etkilemektedir (Ali, vd., 2015:233). Duygusal sağlık, bireylerin pozitif ve negatif duygularını nasıl yönettiklerini, stresle başa çıkma yeteneklerini ve genel ruh hallerini içermektedir. Anksiyete ve depresyon gibi ruhsal sorunlar, bireylerin günlük yaşam aktivitelerini</w:t>
      </w:r>
      <w:r>
        <w:rPr>
          <w:spacing w:val="75"/>
          <w:w w:val="150"/>
        </w:rPr>
        <w:t xml:space="preserve"> </w:t>
      </w:r>
      <w:r>
        <w:t>ve</w:t>
      </w:r>
      <w:r>
        <w:rPr>
          <w:spacing w:val="76"/>
          <w:w w:val="150"/>
        </w:rPr>
        <w:t xml:space="preserve"> </w:t>
      </w:r>
      <w:r>
        <w:t>sosyal</w:t>
      </w:r>
      <w:r>
        <w:rPr>
          <w:spacing w:val="25"/>
        </w:rPr>
        <w:t xml:space="preserve">  </w:t>
      </w:r>
      <w:r>
        <w:t>ilişkilerini</w:t>
      </w:r>
      <w:r>
        <w:rPr>
          <w:spacing w:val="77"/>
          <w:w w:val="150"/>
        </w:rPr>
        <w:t xml:space="preserve"> </w:t>
      </w:r>
      <w:r>
        <w:t>olumsuz</w:t>
      </w:r>
      <w:r>
        <w:rPr>
          <w:spacing w:val="25"/>
        </w:rPr>
        <w:t xml:space="preserve">  </w:t>
      </w:r>
      <w:r>
        <w:t>etkileyebilir.</w:t>
      </w:r>
      <w:r>
        <w:rPr>
          <w:spacing w:val="76"/>
          <w:w w:val="150"/>
        </w:rPr>
        <w:t xml:space="preserve"> </w:t>
      </w:r>
      <w:r>
        <w:t>Bunun</w:t>
      </w:r>
      <w:r>
        <w:rPr>
          <w:spacing w:val="26"/>
        </w:rPr>
        <w:t xml:space="preserve">  </w:t>
      </w:r>
      <w:r>
        <w:t>yanı</w:t>
      </w:r>
      <w:r>
        <w:rPr>
          <w:spacing w:val="77"/>
          <w:w w:val="150"/>
        </w:rPr>
        <w:t xml:space="preserve"> </w:t>
      </w:r>
      <w:r>
        <w:t>sıra,</w:t>
      </w:r>
      <w:r>
        <w:rPr>
          <w:spacing w:val="78"/>
          <w:w w:val="150"/>
        </w:rPr>
        <w:t xml:space="preserve"> </w:t>
      </w:r>
      <w:r>
        <w:rPr>
          <w:spacing w:val="-2"/>
        </w:rPr>
        <w:t>kendini</w:t>
      </w:r>
      <w:r>
        <w:t xml:space="preserve"> gerçekleştirme ve kişisel gelişim, bireylerin potansiyellerini gerçekleştirme ve yaşamlarına anlam katma çabaları bireylerin yaşam kalitelerini olumlu yönde etkileyebilmektedir (Compton, 2018: 3-5).</w:t>
      </w:r>
    </w:p>
    <w:p w14:paraId="6F321202">
      <w:pPr>
        <w:pStyle w:val="9"/>
        <w:spacing w:before="120" w:after="120" w:line="360" w:lineRule="auto"/>
        <w:ind w:left="0" w:firstLine="567"/>
      </w:pPr>
      <w:r>
        <w:t xml:space="preserve">Ruhsal alanın birinci bileşeni olan duygusal sağlık, bireylerin yaşamlarında karşılaştıkları olumlu ve olumsuz duyguları nasıl yönettikleri ile ilgilidir. Duygusal sağlık, bireylerin hayatlarında karşılaştıkları zorluklar karşısında ne kadar dirençli olduklarını ve bu durumlarla nasıl başa çıktıklarını belirlemektedir. Olumlu duyguların baskın olduğu bir </w:t>
      </w:r>
      <w:r>
        <w:rPr>
          <w:spacing w:val="-2"/>
        </w:rPr>
        <w:t>yaşam,</w:t>
      </w:r>
      <w:r>
        <w:rPr>
          <w:spacing w:val="-3"/>
        </w:rPr>
        <w:t xml:space="preserve"> </w:t>
      </w:r>
      <w:r>
        <w:rPr>
          <w:spacing w:val="-2"/>
        </w:rPr>
        <w:t>bireylerin genel yaşam</w:t>
      </w:r>
      <w:r>
        <w:rPr>
          <w:spacing w:val="-3"/>
        </w:rPr>
        <w:t xml:space="preserve"> </w:t>
      </w:r>
      <w:r>
        <w:rPr>
          <w:spacing w:val="-2"/>
        </w:rPr>
        <w:t>memnuniyetini</w:t>
      </w:r>
      <w:r>
        <w:rPr>
          <w:spacing w:val="-3"/>
        </w:rPr>
        <w:t xml:space="preserve"> </w:t>
      </w:r>
      <w:r>
        <w:rPr>
          <w:spacing w:val="-2"/>
        </w:rPr>
        <w:t>artırır.</w:t>
      </w:r>
      <w:r>
        <w:rPr>
          <w:spacing w:val="-5"/>
        </w:rPr>
        <w:t xml:space="preserve"> </w:t>
      </w:r>
      <w:r>
        <w:rPr>
          <w:spacing w:val="-2"/>
        </w:rPr>
        <w:t>Olumsuz</w:t>
      </w:r>
      <w:r>
        <w:rPr>
          <w:spacing w:val="-3"/>
        </w:rPr>
        <w:t xml:space="preserve"> </w:t>
      </w:r>
      <w:r>
        <w:rPr>
          <w:spacing w:val="-2"/>
        </w:rPr>
        <w:t>duygular</w:t>
      </w:r>
      <w:r>
        <w:rPr>
          <w:spacing w:val="-6"/>
        </w:rPr>
        <w:t xml:space="preserve"> </w:t>
      </w:r>
      <w:r>
        <w:rPr>
          <w:spacing w:val="-2"/>
        </w:rPr>
        <w:t xml:space="preserve">ise bireylerin yaşam </w:t>
      </w:r>
      <w:r>
        <w:t>kalitesini</w:t>
      </w:r>
      <w:r>
        <w:rPr>
          <w:spacing w:val="-6"/>
        </w:rPr>
        <w:t xml:space="preserve"> </w:t>
      </w:r>
      <w:r>
        <w:t>düşürebilir.</w:t>
      </w:r>
      <w:r>
        <w:rPr>
          <w:spacing w:val="-7"/>
        </w:rPr>
        <w:t xml:space="preserve"> </w:t>
      </w:r>
      <w:r>
        <w:t>Bu</w:t>
      </w:r>
      <w:r>
        <w:rPr>
          <w:spacing w:val="-7"/>
        </w:rPr>
        <w:t xml:space="preserve"> </w:t>
      </w:r>
      <w:r>
        <w:t>bağlamda,</w:t>
      </w:r>
      <w:r>
        <w:rPr>
          <w:spacing w:val="-7"/>
        </w:rPr>
        <w:t xml:space="preserve"> </w:t>
      </w:r>
      <w:r>
        <w:t>duygusal</w:t>
      </w:r>
      <w:r>
        <w:rPr>
          <w:spacing w:val="-6"/>
        </w:rPr>
        <w:t xml:space="preserve"> </w:t>
      </w:r>
      <w:r>
        <w:t>sağlığı</w:t>
      </w:r>
      <w:r>
        <w:rPr>
          <w:spacing w:val="-6"/>
        </w:rPr>
        <w:t xml:space="preserve"> </w:t>
      </w:r>
      <w:r>
        <w:t>korumak</w:t>
      </w:r>
      <w:r>
        <w:rPr>
          <w:spacing w:val="-7"/>
        </w:rPr>
        <w:t xml:space="preserve"> </w:t>
      </w:r>
      <w:r>
        <w:t>ve</w:t>
      </w:r>
      <w:r>
        <w:rPr>
          <w:spacing w:val="-8"/>
        </w:rPr>
        <w:t xml:space="preserve"> </w:t>
      </w:r>
      <w:r>
        <w:t>iyileştirmek</w:t>
      </w:r>
      <w:r>
        <w:rPr>
          <w:spacing w:val="-7"/>
        </w:rPr>
        <w:t xml:space="preserve"> </w:t>
      </w:r>
      <w:r>
        <w:t>için</w:t>
      </w:r>
      <w:r>
        <w:rPr>
          <w:spacing w:val="-7"/>
        </w:rPr>
        <w:t xml:space="preserve"> </w:t>
      </w:r>
      <w:r>
        <w:t>duygusal farkındalık ve duygusal düzenleme becerileri geliştirilmelidir (Diener et al., 1999:295).</w:t>
      </w:r>
    </w:p>
    <w:p w14:paraId="7327D39C">
      <w:pPr>
        <w:pStyle w:val="9"/>
        <w:spacing w:before="120" w:after="120" w:line="360" w:lineRule="auto"/>
        <w:ind w:left="0" w:firstLine="567"/>
      </w:pPr>
      <w:r>
        <w:t>Ruhsal</w:t>
      </w:r>
      <w:r>
        <w:rPr>
          <w:spacing w:val="-9"/>
        </w:rPr>
        <w:t xml:space="preserve"> </w:t>
      </w:r>
      <w:r>
        <w:t>alanın</w:t>
      </w:r>
      <w:r>
        <w:rPr>
          <w:spacing w:val="-9"/>
        </w:rPr>
        <w:t xml:space="preserve"> </w:t>
      </w:r>
      <w:r>
        <w:t>bir</w:t>
      </w:r>
      <w:r>
        <w:rPr>
          <w:spacing w:val="-10"/>
        </w:rPr>
        <w:t xml:space="preserve"> </w:t>
      </w:r>
      <w:r>
        <w:t>diğer</w:t>
      </w:r>
      <w:r>
        <w:rPr>
          <w:spacing w:val="-10"/>
        </w:rPr>
        <w:t xml:space="preserve"> </w:t>
      </w:r>
      <w:r>
        <w:t>önemli</w:t>
      </w:r>
      <w:r>
        <w:rPr>
          <w:spacing w:val="-9"/>
        </w:rPr>
        <w:t xml:space="preserve"> </w:t>
      </w:r>
      <w:r>
        <w:t>bileşeni</w:t>
      </w:r>
      <w:r>
        <w:rPr>
          <w:spacing w:val="-9"/>
        </w:rPr>
        <w:t xml:space="preserve"> </w:t>
      </w:r>
      <w:r>
        <w:t>stres</w:t>
      </w:r>
      <w:r>
        <w:rPr>
          <w:spacing w:val="-5"/>
        </w:rPr>
        <w:t xml:space="preserve"> </w:t>
      </w:r>
      <w:r>
        <w:t>yönetimidir.</w:t>
      </w:r>
      <w:r>
        <w:rPr>
          <w:spacing w:val="-10"/>
        </w:rPr>
        <w:t xml:space="preserve"> </w:t>
      </w:r>
      <w:r>
        <w:t>Stres,</w:t>
      </w:r>
      <w:r>
        <w:rPr>
          <w:spacing w:val="-9"/>
        </w:rPr>
        <w:t xml:space="preserve"> </w:t>
      </w:r>
      <w:r>
        <w:t>modern</w:t>
      </w:r>
      <w:r>
        <w:rPr>
          <w:spacing w:val="-7"/>
        </w:rPr>
        <w:t xml:space="preserve"> </w:t>
      </w:r>
      <w:r>
        <w:t>yaşamın</w:t>
      </w:r>
      <w:r>
        <w:rPr>
          <w:spacing w:val="-9"/>
        </w:rPr>
        <w:t xml:space="preserve"> </w:t>
      </w:r>
      <w:r>
        <w:t xml:space="preserve">kaçınılmaz bir parçasıdır ve bireylerin hem fiziksel hem de ruhsal sağlıkları üzerinde derin etkileri olabilir. Yüksek stres seviyeleri, anksiyete ve depresyon gibi ruhsal sağlık sorunlarına yol açabilir. Stresin etkili bir şekilde yönetilmesi, bireylerin genel ruhsal sağlığını iyileştirir ve yaşam kalitesini artırabilir (Lazarus </w:t>
      </w:r>
      <w:r>
        <w:rPr>
          <w:rFonts w:hint="default"/>
          <w:lang w:val="tr-TR"/>
        </w:rPr>
        <w:t xml:space="preserve">ve </w:t>
      </w:r>
      <w:r>
        <w:t xml:space="preserve"> Folkman, 1984:234).</w:t>
      </w:r>
    </w:p>
    <w:p w14:paraId="2D8D83F2">
      <w:pPr>
        <w:pStyle w:val="9"/>
        <w:spacing w:before="120" w:after="120" w:line="360" w:lineRule="auto"/>
        <w:ind w:left="0" w:firstLine="567"/>
      </w:pPr>
      <w:r>
        <w:t>Anksiyete</w:t>
      </w:r>
      <w:r>
        <w:rPr>
          <w:spacing w:val="-15"/>
        </w:rPr>
        <w:t xml:space="preserve"> </w:t>
      </w:r>
      <w:r>
        <w:t>ve</w:t>
      </w:r>
      <w:r>
        <w:rPr>
          <w:spacing w:val="-15"/>
        </w:rPr>
        <w:t xml:space="preserve"> </w:t>
      </w:r>
      <w:r>
        <w:t>depresyon,</w:t>
      </w:r>
      <w:r>
        <w:rPr>
          <w:spacing w:val="-15"/>
        </w:rPr>
        <w:t xml:space="preserve"> </w:t>
      </w:r>
      <w:r>
        <w:t>ruhsal</w:t>
      </w:r>
      <w:r>
        <w:rPr>
          <w:spacing w:val="-15"/>
        </w:rPr>
        <w:t xml:space="preserve"> </w:t>
      </w:r>
      <w:r>
        <w:t>sağlığın</w:t>
      </w:r>
      <w:r>
        <w:rPr>
          <w:spacing w:val="-15"/>
        </w:rPr>
        <w:t xml:space="preserve"> </w:t>
      </w:r>
      <w:r>
        <w:t>önemli</w:t>
      </w:r>
      <w:r>
        <w:rPr>
          <w:spacing w:val="-15"/>
        </w:rPr>
        <w:t xml:space="preserve"> </w:t>
      </w:r>
      <w:r>
        <w:t>bileşenlerinden</w:t>
      </w:r>
      <w:r>
        <w:rPr>
          <w:spacing w:val="-15"/>
        </w:rPr>
        <w:t xml:space="preserve"> </w:t>
      </w:r>
      <w:r>
        <w:t>biridir.</w:t>
      </w:r>
      <w:r>
        <w:rPr>
          <w:spacing w:val="-15"/>
        </w:rPr>
        <w:t xml:space="preserve"> </w:t>
      </w:r>
      <w:r>
        <w:t>Anksiyete,</w:t>
      </w:r>
      <w:r>
        <w:rPr>
          <w:spacing w:val="-15"/>
        </w:rPr>
        <w:t xml:space="preserve"> </w:t>
      </w:r>
      <w:r>
        <w:t>bireylerin hayatları</w:t>
      </w:r>
      <w:r>
        <w:rPr>
          <w:spacing w:val="-15"/>
        </w:rPr>
        <w:t xml:space="preserve"> </w:t>
      </w:r>
      <w:r>
        <w:t>ilgili</w:t>
      </w:r>
      <w:r>
        <w:rPr>
          <w:spacing w:val="-15"/>
        </w:rPr>
        <w:t xml:space="preserve"> </w:t>
      </w:r>
      <w:r>
        <w:t>sürekli</w:t>
      </w:r>
      <w:r>
        <w:rPr>
          <w:spacing w:val="-15"/>
        </w:rPr>
        <w:t xml:space="preserve"> </w:t>
      </w:r>
      <w:r>
        <w:t>endişe</w:t>
      </w:r>
      <w:r>
        <w:rPr>
          <w:spacing w:val="-15"/>
        </w:rPr>
        <w:t xml:space="preserve"> </w:t>
      </w:r>
      <w:r>
        <w:t>ve</w:t>
      </w:r>
      <w:r>
        <w:rPr>
          <w:spacing w:val="-15"/>
        </w:rPr>
        <w:t xml:space="preserve"> </w:t>
      </w:r>
      <w:r>
        <w:t>korku</w:t>
      </w:r>
      <w:r>
        <w:rPr>
          <w:spacing w:val="-15"/>
        </w:rPr>
        <w:t xml:space="preserve"> </w:t>
      </w:r>
      <w:r>
        <w:t>hissetmeleriyle</w:t>
      </w:r>
      <w:r>
        <w:rPr>
          <w:spacing w:val="-15"/>
        </w:rPr>
        <w:t xml:space="preserve"> </w:t>
      </w:r>
      <w:r>
        <w:t>karakterizedir</w:t>
      </w:r>
      <w:r>
        <w:rPr>
          <w:spacing w:val="-15"/>
        </w:rPr>
        <w:t xml:space="preserve"> </w:t>
      </w:r>
      <w:r>
        <w:t>(Tuma</w:t>
      </w:r>
      <w:r>
        <w:rPr>
          <w:spacing w:val="-15"/>
        </w:rPr>
        <w:t xml:space="preserve"> </w:t>
      </w:r>
      <w:r>
        <w:t>&amp;</w:t>
      </w:r>
      <w:r>
        <w:rPr>
          <w:spacing w:val="-15"/>
        </w:rPr>
        <w:t xml:space="preserve"> </w:t>
      </w:r>
      <w:r>
        <w:t>Measer,</w:t>
      </w:r>
      <w:r>
        <w:rPr>
          <w:spacing w:val="-15"/>
        </w:rPr>
        <w:t xml:space="preserve"> </w:t>
      </w:r>
      <w:r>
        <w:t xml:space="preserve">2019; 5-7). Depresyon ise sürekli bir üzüntü, ilgi kaybı ve düşük enerji hali ile tanımlanır (Tuma </w:t>
      </w:r>
      <w:r>
        <w:rPr>
          <w:rFonts w:hint="default"/>
          <w:lang w:val="tr-TR"/>
        </w:rPr>
        <w:t>ve</w:t>
      </w:r>
      <w:r>
        <w:rPr>
          <w:spacing w:val="-9"/>
        </w:rPr>
        <w:t xml:space="preserve"> </w:t>
      </w:r>
      <w:r>
        <w:rPr>
          <w:spacing w:val="-2"/>
        </w:rPr>
        <w:t>Measer,</w:t>
      </w:r>
      <w:r>
        <w:rPr>
          <w:spacing w:val="-8"/>
        </w:rPr>
        <w:t xml:space="preserve"> </w:t>
      </w:r>
      <w:r>
        <w:rPr>
          <w:spacing w:val="-2"/>
        </w:rPr>
        <w:t>2019;</w:t>
      </w:r>
      <w:r>
        <w:rPr>
          <w:spacing w:val="-6"/>
        </w:rPr>
        <w:t xml:space="preserve"> </w:t>
      </w:r>
      <w:r>
        <w:rPr>
          <w:spacing w:val="-2"/>
        </w:rPr>
        <w:t>6).</w:t>
      </w:r>
      <w:r>
        <w:rPr>
          <w:spacing w:val="-4"/>
        </w:rPr>
        <w:t xml:space="preserve"> </w:t>
      </w:r>
      <w:r>
        <w:rPr>
          <w:spacing w:val="-2"/>
        </w:rPr>
        <w:t>Bu</w:t>
      </w:r>
      <w:r>
        <w:rPr>
          <w:spacing w:val="-7"/>
        </w:rPr>
        <w:t xml:space="preserve"> </w:t>
      </w:r>
      <w:r>
        <w:rPr>
          <w:spacing w:val="-2"/>
        </w:rPr>
        <w:t>ruhsal</w:t>
      </w:r>
      <w:r>
        <w:rPr>
          <w:spacing w:val="-6"/>
        </w:rPr>
        <w:t xml:space="preserve"> </w:t>
      </w:r>
      <w:r>
        <w:rPr>
          <w:spacing w:val="-2"/>
        </w:rPr>
        <w:t>sağlık</w:t>
      </w:r>
      <w:r>
        <w:rPr>
          <w:spacing w:val="-7"/>
        </w:rPr>
        <w:t xml:space="preserve"> </w:t>
      </w:r>
      <w:r>
        <w:rPr>
          <w:spacing w:val="-2"/>
        </w:rPr>
        <w:t>sorunları,</w:t>
      </w:r>
      <w:r>
        <w:rPr>
          <w:spacing w:val="-7"/>
        </w:rPr>
        <w:t xml:space="preserve"> </w:t>
      </w:r>
      <w:r>
        <w:rPr>
          <w:spacing w:val="-2"/>
        </w:rPr>
        <w:t>bireylerin</w:t>
      </w:r>
      <w:r>
        <w:rPr>
          <w:spacing w:val="-4"/>
        </w:rPr>
        <w:t xml:space="preserve"> </w:t>
      </w:r>
      <w:r>
        <w:rPr>
          <w:spacing w:val="-2"/>
        </w:rPr>
        <w:t>günlük</w:t>
      </w:r>
      <w:r>
        <w:rPr>
          <w:spacing w:val="-3"/>
        </w:rPr>
        <w:t xml:space="preserve"> </w:t>
      </w:r>
      <w:r>
        <w:rPr>
          <w:spacing w:val="-2"/>
        </w:rPr>
        <w:t>yaşamlarını</w:t>
      </w:r>
      <w:r>
        <w:rPr>
          <w:spacing w:val="-6"/>
        </w:rPr>
        <w:t xml:space="preserve"> </w:t>
      </w:r>
      <w:r>
        <w:rPr>
          <w:spacing w:val="-2"/>
        </w:rPr>
        <w:t>ve</w:t>
      </w:r>
      <w:r>
        <w:rPr>
          <w:spacing w:val="-8"/>
        </w:rPr>
        <w:t xml:space="preserve"> </w:t>
      </w:r>
      <w:r>
        <w:rPr>
          <w:spacing w:val="-2"/>
        </w:rPr>
        <w:t xml:space="preserve">genel yaşam </w:t>
      </w:r>
      <w:r>
        <w:t>kalitelerini olumsuz etkileyebilir (Kessler et al., 2005:601).</w:t>
      </w:r>
    </w:p>
    <w:p w14:paraId="06A91757">
      <w:pPr>
        <w:pStyle w:val="9"/>
        <w:spacing w:before="120" w:after="120" w:line="360" w:lineRule="auto"/>
        <w:ind w:left="0" w:firstLine="567"/>
      </w:pPr>
      <w:r>
        <w:t>Kendini gerçekleştirme ve kişisel gelişim, ruhsal sağlığın diğer önemli bileşenleridir. Kendini gerçekleştirme, bireylerin potansiyellerini tam olarak kullanmaları ve yaşamlarına anlam katma çabalarını ifade etmektedir (Compton, 2018:3-5). Maslow'un ihtiyaçlar hiyerarşisine göre, kendini gerçekleştirme, bireylerin en yüksek seviyede ihtiyaçlarını karşılaması anlamına gelir (Maslow, 1943:372). Bu durum, bireylerin yaşamdan aldıkları tatmini</w:t>
      </w:r>
      <w:r>
        <w:rPr>
          <w:spacing w:val="-9"/>
        </w:rPr>
        <w:t xml:space="preserve"> </w:t>
      </w:r>
      <w:r>
        <w:t>ve</w:t>
      </w:r>
      <w:r>
        <w:rPr>
          <w:spacing w:val="-10"/>
        </w:rPr>
        <w:t xml:space="preserve"> </w:t>
      </w:r>
      <w:r>
        <w:t>genel</w:t>
      </w:r>
      <w:r>
        <w:rPr>
          <w:spacing w:val="-5"/>
        </w:rPr>
        <w:t xml:space="preserve"> </w:t>
      </w:r>
      <w:r>
        <w:t>yaşam</w:t>
      </w:r>
      <w:r>
        <w:rPr>
          <w:spacing w:val="-9"/>
        </w:rPr>
        <w:t xml:space="preserve"> </w:t>
      </w:r>
      <w:r>
        <w:t>memnuniyetlerini</w:t>
      </w:r>
      <w:r>
        <w:rPr>
          <w:spacing w:val="-9"/>
        </w:rPr>
        <w:t xml:space="preserve"> </w:t>
      </w:r>
      <w:r>
        <w:t>artırır.</w:t>
      </w:r>
      <w:r>
        <w:rPr>
          <w:spacing w:val="-10"/>
        </w:rPr>
        <w:t xml:space="preserve"> </w:t>
      </w:r>
      <w:r>
        <w:t>Kişisel</w:t>
      </w:r>
      <w:r>
        <w:rPr>
          <w:spacing w:val="-9"/>
        </w:rPr>
        <w:t xml:space="preserve"> </w:t>
      </w:r>
      <w:r>
        <w:t>gelişim</w:t>
      </w:r>
      <w:r>
        <w:rPr>
          <w:spacing w:val="-8"/>
        </w:rPr>
        <w:t xml:space="preserve"> </w:t>
      </w:r>
      <w:r>
        <w:t>ise</w:t>
      </w:r>
      <w:r>
        <w:rPr>
          <w:spacing w:val="-9"/>
        </w:rPr>
        <w:t xml:space="preserve"> </w:t>
      </w:r>
      <w:r>
        <w:t>bireylerin</w:t>
      </w:r>
      <w:r>
        <w:rPr>
          <w:spacing w:val="-9"/>
        </w:rPr>
        <w:t xml:space="preserve"> </w:t>
      </w:r>
      <w:r>
        <w:t>sürekli</w:t>
      </w:r>
      <w:r>
        <w:rPr>
          <w:spacing w:val="-9"/>
        </w:rPr>
        <w:t xml:space="preserve"> </w:t>
      </w:r>
      <w:r>
        <w:t xml:space="preserve">olarak kendilerini geliştirme ve yeni beceriler kazanma çabalarını içerir. Bu süreç, bireylerin özgüvenlerini artırır ve yaşamlarına anlam katabilir (Ryff </w:t>
      </w:r>
      <w:r>
        <w:rPr>
          <w:rFonts w:hint="default"/>
          <w:lang w:val="tr-TR"/>
        </w:rPr>
        <w:t xml:space="preserve">ve </w:t>
      </w:r>
      <w:r>
        <w:t xml:space="preserve"> Keyes, 1995: 724-725).</w:t>
      </w:r>
    </w:p>
    <w:p w14:paraId="0976FDEE">
      <w:pPr>
        <w:pStyle w:val="9"/>
        <w:spacing w:before="120" w:after="120" w:line="360" w:lineRule="auto"/>
        <w:ind w:left="0" w:firstLine="567"/>
      </w:pPr>
      <w:r>
        <w:t>Sonuç olarak, yaşam kalitesinin ruhsal alanı, bireylerin duygusal ve zihinsel iyi olma durumlarını kapsayan geniş bir kavramdır. Bu alan, duygusal sağlık, stres yönetimi, anksiyete ve depresyon, kendini gerçekleştirme ve kişisel gelişim gibi çeşitli bileşenleri içerir. Her bir bileşen, bireylerin genel yaşam memnuniyetini ve refahını doğrudan etkiler. Bu nedenle, ruhsal sağlığın korunması ve iyileştirilmesi, genel yaşam kalitesinin artırılmasında kritik bir öneme sahiptir. Stres yönetimi teknikleri, psikoterapi, meditasyon ve diğer ruhsal sağlık uygulamaları, bireylerin ruhsal sağlığını destekleyebilir ve yaşam kalitelerini</w:t>
      </w:r>
      <w:r>
        <w:rPr>
          <w:spacing w:val="-2"/>
        </w:rPr>
        <w:t xml:space="preserve"> </w:t>
      </w:r>
      <w:r>
        <w:t>artırabilir(Diener</w:t>
      </w:r>
      <w:r>
        <w:rPr>
          <w:spacing w:val="-2"/>
        </w:rPr>
        <w:t xml:space="preserve"> </w:t>
      </w:r>
      <w:r>
        <w:t>et al.,</w:t>
      </w:r>
      <w:r>
        <w:rPr>
          <w:spacing w:val="-2"/>
        </w:rPr>
        <w:t xml:space="preserve"> </w:t>
      </w:r>
      <w:r>
        <w:t>1999:125;</w:t>
      </w:r>
      <w:r>
        <w:rPr>
          <w:spacing w:val="-2"/>
        </w:rPr>
        <w:t xml:space="preserve"> </w:t>
      </w:r>
      <w:r>
        <w:t>Ryff</w:t>
      </w:r>
      <w:r>
        <w:rPr>
          <w:spacing w:val="-1"/>
        </w:rPr>
        <w:t xml:space="preserve"> </w:t>
      </w:r>
      <w:r>
        <w:rPr>
          <w:rFonts w:hint="default"/>
          <w:spacing w:val="-1"/>
          <w:lang w:val="tr-TR"/>
        </w:rPr>
        <w:t>ve</w:t>
      </w:r>
      <w:r>
        <w:rPr>
          <w:spacing w:val="-2"/>
        </w:rPr>
        <w:t xml:space="preserve"> </w:t>
      </w:r>
      <w:r>
        <w:t>Keyes,</w:t>
      </w:r>
      <w:r>
        <w:rPr>
          <w:spacing w:val="-2"/>
        </w:rPr>
        <w:t xml:space="preserve"> </w:t>
      </w:r>
      <w:r>
        <w:t>1995:145 Lazarus</w:t>
      </w:r>
      <w:r>
        <w:rPr>
          <w:spacing w:val="-1"/>
        </w:rPr>
        <w:t xml:space="preserve"> </w:t>
      </w:r>
      <w:r>
        <w:rPr>
          <w:rFonts w:hint="default"/>
          <w:spacing w:val="-1"/>
          <w:lang w:val="tr-TR"/>
        </w:rPr>
        <w:t>ve</w:t>
      </w:r>
      <w:r>
        <w:rPr>
          <w:spacing w:val="-2"/>
        </w:rPr>
        <w:t xml:space="preserve"> </w:t>
      </w:r>
      <w:r>
        <w:t>Folkman,</w:t>
      </w:r>
      <w:r>
        <w:rPr>
          <w:spacing w:val="-1"/>
        </w:rPr>
        <w:t xml:space="preserve"> </w:t>
      </w:r>
      <w:r>
        <w:rPr>
          <w:spacing w:val="-2"/>
        </w:rPr>
        <w:t>1984:126).</w:t>
      </w:r>
    </w:p>
    <w:p w14:paraId="7C2CFD69">
      <w:pPr>
        <w:pStyle w:val="5"/>
        <w:spacing w:before="240" w:after="240" w:line="360" w:lineRule="auto"/>
        <w:rPr>
          <w:rFonts w:ascii="Times New Roman" w:hAnsi="Times New Roman" w:cs="Times New Roman"/>
          <w:b/>
          <w:i w:val="0"/>
          <w:color w:val="auto"/>
          <w:sz w:val="24"/>
          <w:szCs w:val="24"/>
        </w:rPr>
      </w:pPr>
      <w:bookmarkStart w:id="134" w:name="_Toc195877803"/>
      <w:bookmarkStart w:id="135" w:name="_Toc197351256"/>
      <w:bookmarkStart w:id="136" w:name="_Toc195875818"/>
      <w:r>
        <w:rPr>
          <w:rFonts w:ascii="Times New Roman" w:hAnsi="Times New Roman" w:cs="Times New Roman"/>
          <w:b/>
          <w:i w:val="0"/>
          <w:color w:val="auto"/>
          <w:sz w:val="24"/>
          <w:szCs w:val="24"/>
        </w:rPr>
        <w:t>2.4.2.3. Sosyal Boyut</w:t>
      </w:r>
      <w:bookmarkEnd w:id="134"/>
      <w:bookmarkEnd w:id="135"/>
      <w:bookmarkEnd w:id="136"/>
    </w:p>
    <w:p w14:paraId="1804A0E2">
      <w:pPr>
        <w:pStyle w:val="9"/>
        <w:spacing w:before="120" w:after="120" w:line="360" w:lineRule="auto"/>
        <w:ind w:left="0" w:firstLine="567"/>
      </w:pPr>
      <w:r>
        <w:t>Yaşam kalitesinin sosyal alanı, bireylerin sosyal ilişkileri ve toplumsal katılımları ile ilgili bileşenleri</w:t>
      </w:r>
      <w:r>
        <w:rPr>
          <w:spacing w:val="-6"/>
        </w:rPr>
        <w:t xml:space="preserve"> </w:t>
      </w:r>
      <w:r>
        <w:t>kapsayan</w:t>
      </w:r>
      <w:r>
        <w:rPr>
          <w:spacing w:val="-7"/>
        </w:rPr>
        <w:t xml:space="preserve"> </w:t>
      </w:r>
      <w:r>
        <w:t>önemli</w:t>
      </w:r>
      <w:r>
        <w:rPr>
          <w:spacing w:val="-6"/>
        </w:rPr>
        <w:t xml:space="preserve"> </w:t>
      </w:r>
      <w:r>
        <w:t>bir</w:t>
      </w:r>
      <w:r>
        <w:rPr>
          <w:spacing w:val="-6"/>
        </w:rPr>
        <w:t xml:space="preserve"> </w:t>
      </w:r>
      <w:r>
        <w:t>kavramdır.</w:t>
      </w:r>
      <w:r>
        <w:rPr>
          <w:spacing w:val="-8"/>
        </w:rPr>
        <w:t xml:space="preserve"> </w:t>
      </w:r>
      <w:r>
        <w:t>Bu</w:t>
      </w:r>
      <w:r>
        <w:rPr>
          <w:spacing w:val="-7"/>
        </w:rPr>
        <w:t xml:space="preserve"> </w:t>
      </w:r>
      <w:r>
        <w:t>alan,</w:t>
      </w:r>
      <w:r>
        <w:rPr>
          <w:spacing w:val="-7"/>
        </w:rPr>
        <w:t xml:space="preserve"> </w:t>
      </w:r>
      <w:r>
        <w:t>sosyal</w:t>
      </w:r>
      <w:r>
        <w:rPr>
          <w:spacing w:val="-6"/>
        </w:rPr>
        <w:t xml:space="preserve"> </w:t>
      </w:r>
      <w:r>
        <w:t>destek,</w:t>
      </w:r>
      <w:r>
        <w:rPr>
          <w:spacing w:val="-7"/>
        </w:rPr>
        <w:t xml:space="preserve"> </w:t>
      </w:r>
      <w:r>
        <w:t>sosyal</w:t>
      </w:r>
      <w:r>
        <w:rPr>
          <w:spacing w:val="-6"/>
        </w:rPr>
        <w:t xml:space="preserve"> </w:t>
      </w:r>
      <w:r>
        <w:t>ilişkilerin</w:t>
      </w:r>
      <w:r>
        <w:rPr>
          <w:spacing w:val="-6"/>
        </w:rPr>
        <w:t xml:space="preserve"> </w:t>
      </w:r>
      <w:r>
        <w:t xml:space="preserve">kalitesi, sosyal katılım ve yalnızlık gibi çeşitli faktörleri içerir (Felce </w:t>
      </w:r>
      <w:r>
        <w:rPr>
          <w:rFonts w:hint="default"/>
          <w:lang w:val="tr-TR"/>
        </w:rPr>
        <w:t>ve</w:t>
      </w:r>
      <w:r>
        <w:rPr>
          <w:spacing w:val="-1"/>
        </w:rPr>
        <w:t xml:space="preserve"> </w:t>
      </w:r>
      <w:r>
        <w:t>Perry, 1995: 69-70). Sosyal destek, bireylerin aile, arkadaşlar ve topluluk tarafından sağlanan duygusal ve maddi yardımları ifade eder (Helgeson, 2003:26-27). Güçlü sosyal destek ağlarına</w:t>
      </w:r>
      <w:r>
        <w:rPr>
          <w:spacing w:val="-1"/>
        </w:rPr>
        <w:t xml:space="preserve"> </w:t>
      </w:r>
      <w:r>
        <w:t>sahip bireyler, stresle daha iyi başa çıkabilir, sağlık sorunlarıyla daha etkili mücadele edebilir ve genel olarak</w:t>
      </w:r>
      <w:r>
        <w:rPr>
          <w:spacing w:val="-15"/>
        </w:rPr>
        <w:t xml:space="preserve"> </w:t>
      </w:r>
      <w:r>
        <w:t>daha</w:t>
      </w:r>
      <w:r>
        <w:rPr>
          <w:spacing w:val="-15"/>
        </w:rPr>
        <w:t xml:space="preserve"> </w:t>
      </w:r>
      <w:r>
        <w:t>yüksek</w:t>
      </w:r>
      <w:r>
        <w:rPr>
          <w:spacing w:val="-15"/>
        </w:rPr>
        <w:t xml:space="preserve"> </w:t>
      </w:r>
      <w:r>
        <w:t>bir</w:t>
      </w:r>
      <w:r>
        <w:rPr>
          <w:spacing w:val="-15"/>
        </w:rPr>
        <w:t xml:space="preserve"> </w:t>
      </w:r>
      <w:r>
        <w:t>yaşam</w:t>
      </w:r>
      <w:r>
        <w:rPr>
          <w:spacing w:val="-15"/>
        </w:rPr>
        <w:t xml:space="preserve"> </w:t>
      </w:r>
      <w:r>
        <w:t>memnuniyeti</w:t>
      </w:r>
      <w:r>
        <w:rPr>
          <w:spacing w:val="-15"/>
        </w:rPr>
        <w:t xml:space="preserve"> </w:t>
      </w:r>
      <w:r>
        <w:t>deneyimleyebilirler</w:t>
      </w:r>
      <w:r>
        <w:rPr>
          <w:spacing w:val="-15"/>
        </w:rPr>
        <w:t xml:space="preserve"> </w:t>
      </w:r>
      <w:r>
        <w:t>(Cohen</w:t>
      </w:r>
      <w:r>
        <w:rPr>
          <w:spacing w:val="-15"/>
        </w:rPr>
        <w:t xml:space="preserve"> </w:t>
      </w:r>
      <w:r>
        <w:rPr>
          <w:rFonts w:hint="default"/>
          <w:spacing w:val="-15"/>
          <w:lang w:val="tr-TR"/>
        </w:rPr>
        <w:t>ve</w:t>
      </w:r>
      <w:r>
        <w:rPr>
          <w:spacing w:val="-15"/>
        </w:rPr>
        <w:t xml:space="preserve"> </w:t>
      </w:r>
      <w:r>
        <w:t>Wills,</w:t>
      </w:r>
      <w:r>
        <w:rPr>
          <w:spacing w:val="-15"/>
        </w:rPr>
        <w:t xml:space="preserve"> </w:t>
      </w:r>
      <w:r>
        <w:t>1985:</w:t>
      </w:r>
      <w:r>
        <w:rPr>
          <w:spacing w:val="-15"/>
        </w:rPr>
        <w:t xml:space="preserve"> </w:t>
      </w:r>
      <w:r>
        <w:t>315). Sosyal destek, aynı zamanda bireylerin kendilerini değerli ve önemli hissetmelerine de katkıda bulunur (Helgeson, 2003:26-27). Bu durum, bireylerin ruhsal ve duygusal sağlıklarını olumlu yönde etkiler ve genel yaşam kalitesini artırabilmektedir.</w:t>
      </w:r>
    </w:p>
    <w:p w14:paraId="1928B5DF">
      <w:pPr>
        <w:pStyle w:val="9"/>
        <w:spacing w:before="120" w:after="120" w:line="360" w:lineRule="auto"/>
        <w:ind w:left="0" w:firstLine="567"/>
      </w:pPr>
      <w:r>
        <w:t>Sosyal ilişkilerin kalitesi, bireylerin sosyal etkileşimlerinde hissettikleri tatmin ve güven duygusunu</w:t>
      </w:r>
      <w:r>
        <w:rPr>
          <w:spacing w:val="-13"/>
        </w:rPr>
        <w:t xml:space="preserve"> </w:t>
      </w:r>
      <w:r>
        <w:t>ifade</w:t>
      </w:r>
      <w:r>
        <w:rPr>
          <w:spacing w:val="-12"/>
        </w:rPr>
        <w:t xml:space="preserve"> </w:t>
      </w:r>
      <w:r>
        <w:t>etmektedir</w:t>
      </w:r>
      <w:r>
        <w:rPr>
          <w:spacing w:val="-13"/>
        </w:rPr>
        <w:t xml:space="preserve"> </w:t>
      </w:r>
      <w:r>
        <w:t>(Felce</w:t>
      </w:r>
      <w:r>
        <w:rPr>
          <w:spacing w:val="-12"/>
        </w:rPr>
        <w:t xml:space="preserve"> </w:t>
      </w:r>
      <w:r>
        <w:t>&amp;</w:t>
      </w:r>
      <w:r>
        <w:rPr>
          <w:spacing w:val="-13"/>
        </w:rPr>
        <w:t xml:space="preserve"> </w:t>
      </w:r>
      <w:r>
        <w:t>Perry,</w:t>
      </w:r>
      <w:r>
        <w:rPr>
          <w:spacing w:val="-11"/>
        </w:rPr>
        <w:t xml:space="preserve"> </w:t>
      </w:r>
      <w:r>
        <w:t>1995:</w:t>
      </w:r>
      <w:r>
        <w:rPr>
          <w:spacing w:val="-10"/>
        </w:rPr>
        <w:t xml:space="preserve"> </w:t>
      </w:r>
      <w:r>
        <w:t>69-70).</w:t>
      </w:r>
      <w:r>
        <w:rPr>
          <w:spacing w:val="-14"/>
        </w:rPr>
        <w:t xml:space="preserve"> </w:t>
      </w:r>
      <w:r>
        <w:t>Kaliteli</w:t>
      </w:r>
      <w:r>
        <w:rPr>
          <w:spacing w:val="-13"/>
        </w:rPr>
        <w:t xml:space="preserve"> </w:t>
      </w:r>
      <w:r>
        <w:t>sosyal</w:t>
      </w:r>
      <w:r>
        <w:rPr>
          <w:spacing w:val="-10"/>
        </w:rPr>
        <w:t xml:space="preserve"> </w:t>
      </w:r>
      <w:r>
        <w:t>ilişkiler,</w:t>
      </w:r>
      <w:r>
        <w:rPr>
          <w:spacing w:val="-13"/>
        </w:rPr>
        <w:t xml:space="preserve"> </w:t>
      </w:r>
      <w:r>
        <w:t xml:space="preserve">bireylerin duygusal iyilik hallerini artırır ve yaşamdan aldıkları tatmini yükseltir. Sosyal ilişkilerin kalitesinin yüksek olması, bireylerin kendilerini güvende ve desteklenmiş hissetmelerine yardımcı olabilmektedir. Bu tür ilişkiler, bireylerin zor zamanlarda duygusal destek bulmalarını sağlar ve genel yaşam memnuniyetlerini artırır. Ayrıca, sosyal ilişkilerin kalitesi, bireylerin kendilerini ifade etme ve anlama kapasitelerini de geliştirir, bu da bireylerin kişisel gelişimine katkıda bulunur (Berkman </w:t>
      </w:r>
      <w:r>
        <w:rPr>
          <w:rFonts w:hint="default"/>
          <w:lang w:val="tr-TR"/>
        </w:rPr>
        <w:t xml:space="preserve">ve </w:t>
      </w:r>
      <w:r>
        <w:t xml:space="preserve"> Glass, 2000: 139).</w:t>
      </w:r>
    </w:p>
    <w:p w14:paraId="5B4FB0D0">
      <w:pPr>
        <w:pStyle w:val="9"/>
        <w:spacing w:before="120" w:after="120" w:line="360" w:lineRule="auto"/>
        <w:ind w:left="0" w:firstLine="567"/>
      </w:pPr>
      <w:r>
        <w:t>Sosyal katılım, bireylerin toplumsal etkinliklere ve sosyal faaliyetlere aktif olarak katılma düzeylerini</w:t>
      </w:r>
      <w:r>
        <w:rPr>
          <w:spacing w:val="-13"/>
        </w:rPr>
        <w:t xml:space="preserve"> </w:t>
      </w:r>
      <w:r>
        <w:t>belirtmektedir.</w:t>
      </w:r>
      <w:r>
        <w:rPr>
          <w:spacing w:val="-12"/>
        </w:rPr>
        <w:t xml:space="preserve"> </w:t>
      </w:r>
      <w:r>
        <w:t>Toplumsal</w:t>
      </w:r>
      <w:r>
        <w:rPr>
          <w:spacing w:val="-11"/>
        </w:rPr>
        <w:t xml:space="preserve"> </w:t>
      </w:r>
      <w:r>
        <w:t>katılım,</w:t>
      </w:r>
      <w:r>
        <w:rPr>
          <w:spacing w:val="-12"/>
        </w:rPr>
        <w:t xml:space="preserve"> </w:t>
      </w:r>
      <w:r>
        <w:t>bireylerin</w:t>
      </w:r>
      <w:r>
        <w:rPr>
          <w:spacing w:val="-10"/>
        </w:rPr>
        <w:t xml:space="preserve"> </w:t>
      </w:r>
      <w:r>
        <w:t>toplumla</w:t>
      </w:r>
      <w:r>
        <w:rPr>
          <w:spacing w:val="-12"/>
        </w:rPr>
        <w:t xml:space="preserve"> </w:t>
      </w:r>
      <w:r>
        <w:t>olan</w:t>
      </w:r>
      <w:r>
        <w:rPr>
          <w:spacing w:val="-13"/>
        </w:rPr>
        <w:t xml:space="preserve"> </w:t>
      </w:r>
      <w:r>
        <w:t>bağlarını</w:t>
      </w:r>
      <w:r>
        <w:rPr>
          <w:spacing w:val="-8"/>
        </w:rPr>
        <w:t xml:space="preserve"> </w:t>
      </w:r>
      <w:r>
        <w:rPr>
          <w:spacing w:val="-2"/>
        </w:rPr>
        <w:t>güçlendirir</w:t>
      </w:r>
      <w:r>
        <w:t xml:space="preserve"> ve aidiyet duygusunu pekiştirir. Sosyal katılımın yüksek olduğu bireyler, genellikle daha mutlu ve memnun hissederler (Putnam, 2000:95). Toplumsal katılım, aynı zamanda bireylerin sosyal ağlarını genişletmelerine ve yeni ilişkiler kurmalarına olanak tanır. Bu durum, bireylerin sosyal desteğe erişimini artırır ve genel yaşam kalitesini olumlu yönde etkiler. Toplumsal katılımın düşük olması ise bireylerin yalnızlık ve izolasyon hissetmelerine yol açabilir, bu da yaşam kalitesini olumsuz etkileyebilir.</w:t>
      </w:r>
    </w:p>
    <w:p w14:paraId="23D1D56A">
      <w:pPr>
        <w:pStyle w:val="9"/>
        <w:spacing w:before="120" w:after="120" w:line="360" w:lineRule="auto"/>
        <w:ind w:left="0" w:firstLine="567"/>
      </w:pPr>
      <w:r>
        <w:t>Yalnızlık, bireylerin sosyal ilişkilerdeki yetersizlik veya kopukluk nedeniyle hissettikleri olumsuz duygudur. Yalnızlık, bireylerin yaşam kalitesini olumsuz etkileyen önemli bir faktördür</w:t>
      </w:r>
      <w:r>
        <w:rPr>
          <w:spacing w:val="-10"/>
        </w:rPr>
        <w:t xml:space="preserve"> </w:t>
      </w:r>
      <w:r>
        <w:t>ve</w:t>
      </w:r>
      <w:r>
        <w:rPr>
          <w:spacing w:val="-10"/>
        </w:rPr>
        <w:t xml:space="preserve"> </w:t>
      </w:r>
      <w:r>
        <w:t>uzun</w:t>
      </w:r>
      <w:r>
        <w:rPr>
          <w:spacing w:val="-9"/>
        </w:rPr>
        <w:t xml:space="preserve"> </w:t>
      </w:r>
      <w:r>
        <w:t>vadede</w:t>
      </w:r>
      <w:r>
        <w:rPr>
          <w:spacing w:val="-8"/>
        </w:rPr>
        <w:t xml:space="preserve"> </w:t>
      </w:r>
      <w:r>
        <w:t>ciddi</w:t>
      </w:r>
      <w:r>
        <w:rPr>
          <w:spacing w:val="-9"/>
        </w:rPr>
        <w:t xml:space="preserve"> </w:t>
      </w:r>
      <w:r>
        <w:t>ruhsal</w:t>
      </w:r>
      <w:r>
        <w:rPr>
          <w:spacing w:val="-9"/>
        </w:rPr>
        <w:t xml:space="preserve"> </w:t>
      </w:r>
      <w:r>
        <w:t>ve</w:t>
      </w:r>
      <w:r>
        <w:rPr>
          <w:spacing w:val="-10"/>
        </w:rPr>
        <w:t xml:space="preserve"> </w:t>
      </w:r>
      <w:r>
        <w:t>fiziksel</w:t>
      </w:r>
      <w:r>
        <w:rPr>
          <w:spacing w:val="-9"/>
        </w:rPr>
        <w:t xml:space="preserve"> </w:t>
      </w:r>
      <w:r>
        <w:t>sağlık</w:t>
      </w:r>
      <w:r>
        <w:rPr>
          <w:spacing w:val="-9"/>
        </w:rPr>
        <w:t xml:space="preserve"> </w:t>
      </w:r>
      <w:r>
        <w:t>sorunlarına</w:t>
      </w:r>
      <w:r>
        <w:rPr>
          <w:spacing w:val="-6"/>
        </w:rPr>
        <w:t xml:space="preserve"> </w:t>
      </w:r>
      <w:r>
        <w:t>yol</w:t>
      </w:r>
      <w:r>
        <w:rPr>
          <w:spacing w:val="-9"/>
        </w:rPr>
        <w:t xml:space="preserve"> </w:t>
      </w:r>
      <w:r>
        <w:t>açabilir</w:t>
      </w:r>
      <w:r>
        <w:rPr>
          <w:spacing w:val="-10"/>
        </w:rPr>
        <w:t xml:space="preserve"> </w:t>
      </w:r>
      <w:r>
        <w:t>(Hawkley</w:t>
      </w:r>
      <w:r>
        <w:rPr>
          <w:spacing w:val="-13"/>
        </w:rPr>
        <w:t xml:space="preserve"> </w:t>
      </w:r>
      <w:r>
        <w:rPr>
          <w:rFonts w:hint="default"/>
          <w:spacing w:val="-13"/>
          <w:lang w:val="tr-TR"/>
        </w:rPr>
        <w:t>ve</w:t>
      </w:r>
      <w:r>
        <w:t xml:space="preserve"> Cacioppo, 2010:224). Yalnızlık, bireylerin depresyon, anksiyete ve stres seviyelerini artırabilir</w:t>
      </w:r>
      <w:r>
        <w:rPr>
          <w:spacing w:val="-2"/>
        </w:rPr>
        <w:t xml:space="preserve"> </w:t>
      </w:r>
      <w:r>
        <w:t>ve genel yaşam memnuniyetlerini</w:t>
      </w:r>
      <w:r>
        <w:rPr>
          <w:spacing w:val="-2"/>
        </w:rPr>
        <w:t xml:space="preserve"> </w:t>
      </w:r>
      <w:r>
        <w:t>azaltabilir.</w:t>
      </w:r>
      <w:r>
        <w:rPr>
          <w:spacing w:val="-2"/>
        </w:rPr>
        <w:t xml:space="preserve"> </w:t>
      </w:r>
      <w:r>
        <w:t>Yalnızlıkla</w:t>
      </w:r>
      <w:r>
        <w:rPr>
          <w:spacing w:val="-2"/>
        </w:rPr>
        <w:t xml:space="preserve"> </w:t>
      </w:r>
      <w:r>
        <w:t>başa</w:t>
      </w:r>
      <w:r>
        <w:rPr>
          <w:spacing w:val="-2"/>
        </w:rPr>
        <w:t xml:space="preserve"> </w:t>
      </w:r>
      <w:r>
        <w:t>çıkmak</w:t>
      </w:r>
      <w:r>
        <w:rPr>
          <w:spacing w:val="-2"/>
        </w:rPr>
        <w:t xml:space="preserve"> </w:t>
      </w:r>
      <w:r>
        <w:t>için</w:t>
      </w:r>
      <w:r>
        <w:rPr>
          <w:spacing w:val="-2"/>
        </w:rPr>
        <w:t xml:space="preserve"> </w:t>
      </w:r>
      <w:r>
        <w:t xml:space="preserve">sosyal ilişkilerin güçlendirilmesi ve sosyal destek ağlarının genişletilmesi önemlidir. Sosyal bağlantıların artırılması, bireylerin yalnızlık duygusunu azaltır ve genel yaşam kalitesini </w:t>
      </w:r>
      <w:r>
        <w:rPr>
          <w:spacing w:val="-2"/>
        </w:rPr>
        <w:t>artırır.</w:t>
      </w:r>
    </w:p>
    <w:p w14:paraId="17DF0E57">
      <w:pPr>
        <w:pStyle w:val="9"/>
        <w:spacing w:before="120" w:after="120" w:line="360" w:lineRule="auto"/>
        <w:ind w:left="0" w:firstLine="567"/>
      </w:pPr>
      <w:r>
        <w:t>Sonuç</w:t>
      </w:r>
      <w:r>
        <w:rPr>
          <w:spacing w:val="-13"/>
        </w:rPr>
        <w:t xml:space="preserve"> </w:t>
      </w:r>
      <w:r>
        <w:t>olarak,</w:t>
      </w:r>
      <w:r>
        <w:rPr>
          <w:spacing w:val="-10"/>
        </w:rPr>
        <w:t xml:space="preserve"> </w:t>
      </w:r>
      <w:r>
        <w:t>yaşam</w:t>
      </w:r>
      <w:r>
        <w:rPr>
          <w:spacing w:val="-12"/>
        </w:rPr>
        <w:t xml:space="preserve"> </w:t>
      </w:r>
      <w:r>
        <w:t>kalitesinin</w:t>
      </w:r>
      <w:r>
        <w:rPr>
          <w:spacing w:val="-12"/>
        </w:rPr>
        <w:t xml:space="preserve"> </w:t>
      </w:r>
      <w:r>
        <w:t>sosyal</w:t>
      </w:r>
      <w:r>
        <w:rPr>
          <w:spacing w:val="-12"/>
        </w:rPr>
        <w:t xml:space="preserve"> </w:t>
      </w:r>
      <w:r>
        <w:t>alanı,</w:t>
      </w:r>
      <w:r>
        <w:rPr>
          <w:spacing w:val="-13"/>
        </w:rPr>
        <w:t xml:space="preserve"> </w:t>
      </w:r>
      <w:r>
        <w:t>bireylerin</w:t>
      </w:r>
      <w:r>
        <w:rPr>
          <w:spacing w:val="-13"/>
        </w:rPr>
        <w:t xml:space="preserve"> </w:t>
      </w:r>
      <w:r>
        <w:t>sosyal</w:t>
      </w:r>
      <w:r>
        <w:rPr>
          <w:spacing w:val="-12"/>
        </w:rPr>
        <w:t xml:space="preserve"> </w:t>
      </w:r>
      <w:r>
        <w:t>ilişkileri,</w:t>
      </w:r>
      <w:r>
        <w:rPr>
          <w:spacing w:val="-12"/>
        </w:rPr>
        <w:t xml:space="preserve"> </w:t>
      </w:r>
      <w:r>
        <w:t>sosyal</w:t>
      </w:r>
      <w:r>
        <w:rPr>
          <w:spacing w:val="-12"/>
        </w:rPr>
        <w:t xml:space="preserve"> </w:t>
      </w:r>
      <w:r>
        <w:t>destek</w:t>
      </w:r>
      <w:r>
        <w:rPr>
          <w:spacing w:val="-13"/>
        </w:rPr>
        <w:t xml:space="preserve"> </w:t>
      </w:r>
      <w:r>
        <w:t>ağları, toplumsal katılımları ve yalnızlık duyguları gibi bileşenleri içerir. Bu bileşenlerin her biri, bireylerin genel yaşam memnuniyetini ve refahını doğrudan etkiler. Sosyal sağlığın korunması ve iyileştirilmesi, bireylerin genel yaşam kalitesinin artırılmasında kritik bir öneme sahiptir. Güçlü sosyal ilişkiler kurmak, toplumsal etkinliklere katılmak ve sosyal destek ağlarını güçlendirmek, bireylerin sosyal sağlığını ve dolayısıyla genel yaşam kalitesini</w:t>
      </w:r>
      <w:r>
        <w:rPr>
          <w:spacing w:val="-15"/>
        </w:rPr>
        <w:t xml:space="preserve"> </w:t>
      </w:r>
      <w:r>
        <w:t>önemli</w:t>
      </w:r>
      <w:r>
        <w:rPr>
          <w:spacing w:val="-15"/>
        </w:rPr>
        <w:t xml:space="preserve"> </w:t>
      </w:r>
      <w:r>
        <w:t>ölçüde</w:t>
      </w:r>
      <w:r>
        <w:rPr>
          <w:spacing w:val="-15"/>
        </w:rPr>
        <w:t xml:space="preserve"> </w:t>
      </w:r>
      <w:r>
        <w:t>artırabilir.</w:t>
      </w:r>
      <w:r>
        <w:rPr>
          <w:spacing w:val="-15"/>
        </w:rPr>
        <w:t xml:space="preserve"> </w:t>
      </w:r>
      <w:r>
        <w:t>Ayrıca,</w:t>
      </w:r>
      <w:r>
        <w:rPr>
          <w:spacing w:val="-15"/>
        </w:rPr>
        <w:t xml:space="preserve"> </w:t>
      </w:r>
      <w:r>
        <w:t>sosyal</w:t>
      </w:r>
      <w:r>
        <w:rPr>
          <w:spacing w:val="-15"/>
        </w:rPr>
        <w:t xml:space="preserve"> </w:t>
      </w:r>
      <w:r>
        <w:t>ilişkilerin</w:t>
      </w:r>
      <w:r>
        <w:rPr>
          <w:spacing w:val="-15"/>
        </w:rPr>
        <w:t xml:space="preserve"> </w:t>
      </w:r>
      <w:r>
        <w:t>kalitesini</w:t>
      </w:r>
      <w:r>
        <w:rPr>
          <w:spacing w:val="-15"/>
        </w:rPr>
        <w:t xml:space="preserve"> </w:t>
      </w:r>
      <w:r>
        <w:t>artırmak</w:t>
      </w:r>
      <w:r>
        <w:rPr>
          <w:spacing w:val="-15"/>
        </w:rPr>
        <w:t xml:space="preserve"> </w:t>
      </w:r>
      <w:r>
        <w:t>ve</w:t>
      </w:r>
      <w:r>
        <w:rPr>
          <w:spacing w:val="-15"/>
        </w:rPr>
        <w:t xml:space="preserve"> </w:t>
      </w:r>
      <w:r>
        <w:t xml:space="preserve">yalnızlıkla mücadele etmek, bireylerin genel ruhsal ve duygusal sağlıklarını olumlu yönde etkiler (Cohen &amp; Wills, 1985:42; Berkman </w:t>
      </w:r>
      <w:r>
        <w:rPr>
          <w:rFonts w:hint="default"/>
          <w:lang w:val="tr-TR"/>
        </w:rPr>
        <w:t>ve</w:t>
      </w:r>
      <w:r>
        <w:t xml:space="preserve"> Glass, 2000:38; Putnam, 2000:23; Hawkley </w:t>
      </w:r>
      <w:r>
        <w:rPr>
          <w:rFonts w:hint="default"/>
          <w:lang w:val="tr-TR"/>
        </w:rPr>
        <w:t>ve</w:t>
      </w:r>
      <w:bookmarkStart w:id="278" w:name="_GoBack"/>
      <w:bookmarkEnd w:id="278"/>
      <w:r>
        <w:t xml:space="preserve"> Cacioppo, </w:t>
      </w:r>
      <w:r>
        <w:rPr>
          <w:spacing w:val="-2"/>
        </w:rPr>
        <w:t>2010:89).</w:t>
      </w:r>
    </w:p>
    <w:p w14:paraId="3E72DC4C">
      <w:pPr>
        <w:pStyle w:val="5"/>
        <w:spacing w:before="240" w:after="240" w:line="360" w:lineRule="auto"/>
        <w:ind w:left="567"/>
        <w:rPr>
          <w:rFonts w:ascii="Times New Roman" w:hAnsi="Times New Roman" w:cs="Times New Roman"/>
          <w:b/>
          <w:i w:val="0"/>
          <w:color w:val="auto"/>
          <w:sz w:val="24"/>
          <w:szCs w:val="24"/>
        </w:rPr>
      </w:pPr>
      <w:bookmarkStart w:id="137" w:name="_Toc195877804"/>
      <w:bookmarkStart w:id="138" w:name="_Toc195875819"/>
      <w:bookmarkStart w:id="139" w:name="_Toc197351257"/>
      <w:r>
        <w:rPr>
          <w:rFonts w:ascii="Times New Roman" w:hAnsi="Times New Roman" w:cs="Times New Roman"/>
          <w:b/>
          <w:i w:val="0"/>
          <w:color w:val="auto"/>
          <w:sz w:val="24"/>
          <w:szCs w:val="24"/>
        </w:rPr>
        <w:t>2.4.2.3. Çevresel Boyut</w:t>
      </w:r>
      <w:bookmarkEnd w:id="137"/>
      <w:bookmarkEnd w:id="138"/>
      <w:bookmarkEnd w:id="139"/>
    </w:p>
    <w:p w14:paraId="3E1D0A7A">
      <w:pPr>
        <w:pStyle w:val="9"/>
        <w:spacing w:before="120" w:after="120" w:line="360" w:lineRule="auto"/>
        <w:ind w:left="0" w:firstLine="567"/>
      </w:pPr>
      <w:r>
        <w:t>Yaşam kalitesinin çevresel alanı, bireylerin fiziksel ve sosyal çevrelerinin yaşam kaliteleri üzerindeki etkilerini kapsayan bir kavramdır (Van Kamp, vs., 2003:6). Bu alan, fiziksel çevrenin kalitesi, güvenlik, erişim ve ulaşılabilirlik, çevresel temizlik ve estetik, konut durumu,</w:t>
      </w:r>
      <w:r>
        <w:rPr>
          <w:spacing w:val="5"/>
        </w:rPr>
        <w:t xml:space="preserve"> </w:t>
      </w:r>
      <w:r>
        <w:t>ulaşım</w:t>
      </w:r>
      <w:r>
        <w:rPr>
          <w:spacing w:val="9"/>
        </w:rPr>
        <w:t xml:space="preserve"> </w:t>
      </w:r>
      <w:r>
        <w:t>imkanları,</w:t>
      </w:r>
      <w:r>
        <w:rPr>
          <w:spacing w:val="7"/>
        </w:rPr>
        <w:t xml:space="preserve"> </w:t>
      </w:r>
      <w:r>
        <w:t>doğal</w:t>
      </w:r>
      <w:r>
        <w:rPr>
          <w:spacing w:val="8"/>
        </w:rPr>
        <w:t xml:space="preserve"> </w:t>
      </w:r>
      <w:r>
        <w:t>çevre</w:t>
      </w:r>
      <w:r>
        <w:rPr>
          <w:spacing w:val="6"/>
        </w:rPr>
        <w:t xml:space="preserve"> </w:t>
      </w:r>
      <w:r>
        <w:t>ve</w:t>
      </w:r>
      <w:r>
        <w:rPr>
          <w:spacing w:val="7"/>
        </w:rPr>
        <w:t xml:space="preserve"> </w:t>
      </w:r>
      <w:r>
        <w:t>sağlık</w:t>
      </w:r>
      <w:r>
        <w:rPr>
          <w:spacing w:val="7"/>
        </w:rPr>
        <w:t xml:space="preserve"> </w:t>
      </w:r>
      <w:r>
        <w:t>hizmetlerine</w:t>
      </w:r>
      <w:r>
        <w:rPr>
          <w:spacing w:val="7"/>
        </w:rPr>
        <w:t xml:space="preserve"> </w:t>
      </w:r>
      <w:r>
        <w:t>erişim</w:t>
      </w:r>
      <w:r>
        <w:rPr>
          <w:spacing w:val="8"/>
        </w:rPr>
        <w:t xml:space="preserve"> </w:t>
      </w:r>
      <w:r>
        <w:t>gibi</w:t>
      </w:r>
      <w:r>
        <w:rPr>
          <w:spacing w:val="9"/>
        </w:rPr>
        <w:t xml:space="preserve"> </w:t>
      </w:r>
      <w:r>
        <w:t>çeşitli</w:t>
      </w:r>
      <w:r>
        <w:rPr>
          <w:spacing w:val="9"/>
        </w:rPr>
        <w:t xml:space="preserve"> </w:t>
      </w:r>
      <w:r>
        <w:rPr>
          <w:spacing w:val="-2"/>
        </w:rPr>
        <w:t>bileşenleri</w:t>
      </w:r>
      <w:r>
        <w:t xml:space="preserve"> içermektedir (Van Kamp, vd., 2003:7). Fiziksel çevrenin kalitesi, bireylerin yaşadıkları ortamın</w:t>
      </w:r>
      <w:r>
        <w:rPr>
          <w:spacing w:val="-12"/>
        </w:rPr>
        <w:t xml:space="preserve"> </w:t>
      </w:r>
      <w:r>
        <w:t>sağlık</w:t>
      </w:r>
      <w:r>
        <w:rPr>
          <w:spacing w:val="-12"/>
        </w:rPr>
        <w:t xml:space="preserve"> </w:t>
      </w:r>
      <w:r>
        <w:t>ve</w:t>
      </w:r>
      <w:r>
        <w:rPr>
          <w:spacing w:val="-13"/>
        </w:rPr>
        <w:t xml:space="preserve"> </w:t>
      </w:r>
      <w:r>
        <w:t>refahları</w:t>
      </w:r>
      <w:r>
        <w:rPr>
          <w:spacing w:val="-11"/>
        </w:rPr>
        <w:t xml:space="preserve"> </w:t>
      </w:r>
      <w:r>
        <w:t>üzerindeki</w:t>
      </w:r>
      <w:r>
        <w:rPr>
          <w:spacing w:val="-11"/>
        </w:rPr>
        <w:t xml:space="preserve"> </w:t>
      </w:r>
      <w:r>
        <w:t>etkilerini</w:t>
      </w:r>
      <w:r>
        <w:rPr>
          <w:spacing w:val="-13"/>
        </w:rPr>
        <w:t xml:space="preserve"> </w:t>
      </w:r>
      <w:r>
        <w:t>belirler.</w:t>
      </w:r>
      <w:r>
        <w:rPr>
          <w:spacing w:val="-12"/>
        </w:rPr>
        <w:t xml:space="preserve"> </w:t>
      </w:r>
      <w:r>
        <w:t>Temiz</w:t>
      </w:r>
      <w:r>
        <w:rPr>
          <w:spacing w:val="-10"/>
        </w:rPr>
        <w:t xml:space="preserve"> </w:t>
      </w:r>
      <w:r>
        <w:t>hava,</w:t>
      </w:r>
      <w:r>
        <w:rPr>
          <w:spacing w:val="-12"/>
        </w:rPr>
        <w:t xml:space="preserve"> </w:t>
      </w:r>
      <w:r>
        <w:t>su</w:t>
      </w:r>
      <w:r>
        <w:rPr>
          <w:spacing w:val="-11"/>
        </w:rPr>
        <w:t xml:space="preserve"> </w:t>
      </w:r>
      <w:r>
        <w:t>ve</w:t>
      </w:r>
      <w:r>
        <w:rPr>
          <w:spacing w:val="-13"/>
        </w:rPr>
        <w:t xml:space="preserve"> </w:t>
      </w:r>
      <w:r>
        <w:t>sağlıklı</w:t>
      </w:r>
      <w:r>
        <w:rPr>
          <w:spacing w:val="-11"/>
        </w:rPr>
        <w:t xml:space="preserve"> </w:t>
      </w:r>
      <w:r>
        <w:t>bir</w:t>
      </w:r>
      <w:r>
        <w:rPr>
          <w:spacing w:val="-12"/>
        </w:rPr>
        <w:t xml:space="preserve"> </w:t>
      </w:r>
      <w:r>
        <w:t>çevre, bireylerin fiziksel ve ruhsal sağlıklarını olumlu yönde etkilerken, kirlilik ve kötü çevre koşulları sağlık sorunlarına yol açabilmektedir bu durum bireylerin yaşam kaliteleri ile doğrudan ilişkilidir (Evans, 2003: 542).</w:t>
      </w:r>
    </w:p>
    <w:p w14:paraId="5B7DC3D2">
      <w:pPr>
        <w:pStyle w:val="9"/>
        <w:spacing w:before="120" w:after="120" w:line="360" w:lineRule="auto"/>
        <w:ind w:left="0" w:firstLine="567"/>
      </w:pPr>
      <w:r>
        <w:t>Güvenlik,</w:t>
      </w:r>
      <w:r>
        <w:rPr>
          <w:spacing w:val="-15"/>
        </w:rPr>
        <w:t xml:space="preserve"> </w:t>
      </w:r>
      <w:r>
        <w:t>bireylerin</w:t>
      </w:r>
      <w:r>
        <w:rPr>
          <w:spacing w:val="-15"/>
        </w:rPr>
        <w:t xml:space="preserve"> </w:t>
      </w:r>
      <w:r>
        <w:t>kendilerini</w:t>
      </w:r>
      <w:r>
        <w:rPr>
          <w:spacing w:val="-15"/>
        </w:rPr>
        <w:t xml:space="preserve"> </w:t>
      </w:r>
      <w:r>
        <w:t>güvende</w:t>
      </w:r>
      <w:r>
        <w:rPr>
          <w:spacing w:val="-15"/>
        </w:rPr>
        <w:t xml:space="preserve"> </w:t>
      </w:r>
      <w:r>
        <w:t>hissettikleri</w:t>
      </w:r>
      <w:r>
        <w:rPr>
          <w:spacing w:val="-15"/>
        </w:rPr>
        <w:t xml:space="preserve"> </w:t>
      </w:r>
      <w:r>
        <w:t>ve</w:t>
      </w:r>
      <w:r>
        <w:rPr>
          <w:spacing w:val="-11"/>
        </w:rPr>
        <w:t xml:space="preserve"> </w:t>
      </w:r>
      <w:r>
        <w:t>yaşadıkları</w:t>
      </w:r>
      <w:r>
        <w:rPr>
          <w:spacing w:val="-15"/>
        </w:rPr>
        <w:t xml:space="preserve"> </w:t>
      </w:r>
      <w:r>
        <w:t>çevrede</w:t>
      </w:r>
      <w:r>
        <w:rPr>
          <w:spacing w:val="-14"/>
        </w:rPr>
        <w:t xml:space="preserve"> </w:t>
      </w:r>
      <w:r>
        <w:t>şiddet,</w:t>
      </w:r>
      <w:r>
        <w:rPr>
          <w:spacing w:val="-15"/>
        </w:rPr>
        <w:t xml:space="preserve"> </w:t>
      </w:r>
      <w:r>
        <w:t>suç</w:t>
      </w:r>
      <w:r>
        <w:rPr>
          <w:spacing w:val="-14"/>
        </w:rPr>
        <w:t xml:space="preserve"> </w:t>
      </w:r>
      <w:r>
        <w:t>veya diğer tehlikelerle karşılaşma olasılıklarının düşük olduğu bir ortamı ifade etmektedir (Williamson, 1987:221-223). Güvenli bir çevrede yaşamak, bireylerin stres seviyelerini düşürür ve genel yaşam memnuniyetlerini artırır. Erişim ve ulaşılabilirlik,</w:t>
      </w:r>
      <w:r>
        <w:rPr>
          <w:spacing w:val="-2"/>
        </w:rPr>
        <w:t xml:space="preserve"> </w:t>
      </w:r>
      <w:r>
        <w:t xml:space="preserve">bireylerin sağlık hizmetlerine, eğitim olanaklarına, iş fırsatlarına ve diğer temel hizmetlere kolayca ulaşabilmelerini ifade etmektedir (Doi, vd., 2008:1100-1101). Bu olanaklara kolay erişim, </w:t>
      </w:r>
      <w:r>
        <w:rPr>
          <w:spacing w:val="-2"/>
        </w:rPr>
        <w:t>bireylerin yaşam</w:t>
      </w:r>
      <w:r>
        <w:rPr>
          <w:spacing w:val="-3"/>
        </w:rPr>
        <w:t xml:space="preserve"> </w:t>
      </w:r>
      <w:r>
        <w:rPr>
          <w:spacing w:val="-2"/>
        </w:rPr>
        <w:t>kalitelerini</w:t>
      </w:r>
      <w:r>
        <w:rPr>
          <w:spacing w:val="-3"/>
        </w:rPr>
        <w:t xml:space="preserve"> </w:t>
      </w:r>
      <w:r>
        <w:rPr>
          <w:spacing w:val="-2"/>
        </w:rPr>
        <w:t>ve</w:t>
      </w:r>
      <w:r>
        <w:rPr>
          <w:spacing w:val="-5"/>
        </w:rPr>
        <w:t xml:space="preserve"> </w:t>
      </w:r>
      <w:r>
        <w:rPr>
          <w:spacing w:val="-2"/>
        </w:rPr>
        <w:t>genel</w:t>
      </w:r>
      <w:r>
        <w:rPr>
          <w:spacing w:val="-3"/>
        </w:rPr>
        <w:t xml:space="preserve"> </w:t>
      </w:r>
      <w:r>
        <w:rPr>
          <w:spacing w:val="-2"/>
        </w:rPr>
        <w:t>refahlarını</w:t>
      </w:r>
      <w:r>
        <w:rPr>
          <w:spacing w:val="-3"/>
        </w:rPr>
        <w:t xml:space="preserve"> </w:t>
      </w:r>
      <w:r>
        <w:rPr>
          <w:spacing w:val="-2"/>
        </w:rPr>
        <w:t>önemli</w:t>
      </w:r>
      <w:r>
        <w:rPr>
          <w:spacing w:val="-3"/>
        </w:rPr>
        <w:t xml:space="preserve"> </w:t>
      </w:r>
      <w:r>
        <w:rPr>
          <w:spacing w:val="-2"/>
        </w:rPr>
        <w:t>ölçüde</w:t>
      </w:r>
      <w:r>
        <w:rPr>
          <w:spacing w:val="-5"/>
        </w:rPr>
        <w:t xml:space="preserve"> </w:t>
      </w:r>
      <w:r>
        <w:rPr>
          <w:spacing w:val="-2"/>
        </w:rPr>
        <w:t>artırır</w:t>
      </w:r>
      <w:r>
        <w:rPr>
          <w:spacing w:val="-5"/>
        </w:rPr>
        <w:t xml:space="preserve"> </w:t>
      </w:r>
      <w:r>
        <w:rPr>
          <w:spacing w:val="-2"/>
        </w:rPr>
        <w:t>(Wilkinson</w:t>
      </w:r>
      <w:r>
        <w:rPr>
          <w:spacing w:val="-4"/>
        </w:rPr>
        <w:t xml:space="preserve"> </w:t>
      </w:r>
      <w:r>
        <w:rPr>
          <w:spacing w:val="-2"/>
        </w:rPr>
        <w:t>&amp;</w:t>
      </w:r>
      <w:r>
        <w:rPr>
          <w:spacing w:val="-7"/>
        </w:rPr>
        <w:t xml:space="preserve"> </w:t>
      </w:r>
      <w:r>
        <w:rPr>
          <w:spacing w:val="-2"/>
        </w:rPr>
        <w:t xml:space="preserve">Marmot, </w:t>
      </w:r>
      <w:r>
        <w:t>2003: 28).</w:t>
      </w:r>
    </w:p>
    <w:p w14:paraId="2AFF1A91">
      <w:pPr>
        <w:pStyle w:val="9"/>
        <w:spacing w:before="120" w:after="120" w:line="360" w:lineRule="auto"/>
        <w:ind w:left="0" w:firstLine="567"/>
      </w:pPr>
      <w:r>
        <w:t>Çevresel</w:t>
      </w:r>
      <w:r>
        <w:rPr>
          <w:spacing w:val="-2"/>
        </w:rPr>
        <w:t xml:space="preserve"> </w:t>
      </w:r>
      <w:r>
        <w:t>temizlik</w:t>
      </w:r>
      <w:r>
        <w:rPr>
          <w:spacing w:val="-2"/>
        </w:rPr>
        <w:t xml:space="preserve"> </w:t>
      </w:r>
      <w:r>
        <w:t>ve</w:t>
      </w:r>
      <w:r>
        <w:rPr>
          <w:spacing w:val="-3"/>
        </w:rPr>
        <w:t xml:space="preserve"> </w:t>
      </w:r>
      <w:r>
        <w:t>estetik,</w:t>
      </w:r>
      <w:r>
        <w:rPr>
          <w:spacing w:val="-2"/>
        </w:rPr>
        <w:t xml:space="preserve"> </w:t>
      </w:r>
      <w:r>
        <w:t>bireylerin yaşadıkları çevrenin</w:t>
      </w:r>
      <w:r>
        <w:rPr>
          <w:spacing w:val="-2"/>
        </w:rPr>
        <w:t xml:space="preserve"> </w:t>
      </w:r>
      <w:r>
        <w:t>temiz,</w:t>
      </w:r>
      <w:r>
        <w:rPr>
          <w:spacing w:val="-2"/>
        </w:rPr>
        <w:t xml:space="preserve"> </w:t>
      </w:r>
      <w:r>
        <w:t>düzenli</w:t>
      </w:r>
      <w:r>
        <w:rPr>
          <w:spacing w:val="-4"/>
        </w:rPr>
        <w:t xml:space="preserve"> </w:t>
      </w:r>
      <w:r>
        <w:t>ve</w:t>
      </w:r>
      <w:r>
        <w:rPr>
          <w:spacing w:val="-3"/>
        </w:rPr>
        <w:t xml:space="preserve"> </w:t>
      </w:r>
      <w:r>
        <w:t>estetik</w:t>
      </w:r>
      <w:r>
        <w:rPr>
          <w:spacing w:val="-2"/>
        </w:rPr>
        <w:t xml:space="preserve"> </w:t>
      </w:r>
      <w:r>
        <w:t>olarak hoş</w:t>
      </w:r>
      <w:r>
        <w:rPr>
          <w:spacing w:val="-11"/>
        </w:rPr>
        <w:t xml:space="preserve"> </w:t>
      </w:r>
      <w:r>
        <w:t>olmasını</w:t>
      </w:r>
      <w:r>
        <w:rPr>
          <w:spacing w:val="-11"/>
        </w:rPr>
        <w:t xml:space="preserve"> </w:t>
      </w:r>
      <w:r>
        <w:t>kapsamaktadır.</w:t>
      </w:r>
      <w:r>
        <w:rPr>
          <w:spacing w:val="-12"/>
        </w:rPr>
        <w:t xml:space="preserve"> </w:t>
      </w:r>
      <w:r>
        <w:t>Temiz</w:t>
      </w:r>
      <w:r>
        <w:rPr>
          <w:spacing w:val="-11"/>
        </w:rPr>
        <w:t xml:space="preserve"> </w:t>
      </w:r>
      <w:r>
        <w:t>ve</w:t>
      </w:r>
      <w:r>
        <w:rPr>
          <w:spacing w:val="-13"/>
        </w:rPr>
        <w:t xml:space="preserve"> </w:t>
      </w:r>
      <w:r>
        <w:t>estetik</w:t>
      </w:r>
      <w:r>
        <w:rPr>
          <w:spacing w:val="-11"/>
        </w:rPr>
        <w:t xml:space="preserve"> </w:t>
      </w:r>
      <w:r>
        <w:t>bir</w:t>
      </w:r>
      <w:r>
        <w:rPr>
          <w:spacing w:val="-12"/>
        </w:rPr>
        <w:t xml:space="preserve"> </w:t>
      </w:r>
      <w:r>
        <w:t>çevre,</w:t>
      </w:r>
      <w:r>
        <w:rPr>
          <w:spacing w:val="-12"/>
        </w:rPr>
        <w:t xml:space="preserve"> </w:t>
      </w:r>
      <w:r>
        <w:t>bireylerin</w:t>
      </w:r>
      <w:r>
        <w:rPr>
          <w:spacing w:val="-12"/>
        </w:rPr>
        <w:t xml:space="preserve"> </w:t>
      </w:r>
      <w:r>
        <w:t>ruhsal</w:t>
      </w:r>
      <w:r>
        <w:rPr>
          <w:spacing w:val="-11"/>
        </w:rPr>
        <w:t xml:space="preserve"> </w:t>
      </w:r>
      <w:r>
        <w:t>sağlıklarını</w:t>
      </w:r>
      <w:r>
        <w:rPr>
          <w:spacing w:val="-11"/>
        </w:rPr>
        <w:t xml:space="preserve"> </w:t>
      </w:r>
      <w:r>
        <w:t>olumlu yönde</w:t>
      </w:r>
      <w:r>
        <w:rPr>
          <w:spacing w:val="-14"/>
        </w:rPr>
        <w:t xml:space="preserve"> </w:t>
      </w:r>
      <w:r>
        <w:t>etkiler</w:t>
      </w:r>
      <w:r>
        <w:rPr>
          <w:spacing w:val="-14"/>
        </w:rPr>
        <w:t xml:space="preserve"> </w:t>
      </w:r>
      <w:r>
        <w:t>ve</w:t>
      </w:r>
      <w:r>
        <w:rPr>
          <w:spacing w:val="-11"/>
        </w:rPr>
        <w:t xml:space="preserve"> </w:t>
      </w:r>
      <w:r>
        <w:t>genel</w:t>
      </w:r>
      <w:r>
        <w:rPr>
          <w:spacing w:val="-10"/>
        </w:rPr>
        <w:t xml:space="preserve"> </w:t>
      </w:r>
      <w:r>
        <w:t>yaşam</w:t>
      </w:r>
      <w:r>
        <w:rPr>
          <w:spacing w:val="-12"/>
        </w:rPr>
        <w:t xml:space="preserve"> </w:t>
      </w:r>
      <w:r>
        <w:t>memnuniyetlerini</w:t>
      </w:r>
      <w:r>
        <w:rPr>
          <w:spacing w:val="-12"/>
        </w:rPr>
        <w:t xml:space="preserve"> </w:t>
      </w:r>
      <w:r>
        <w:t>artırır.</w:t>
      </w:r>
      <w:r>
        <w:rPr>
          <w:spacing w:val="-13"/>
        </w:rPr>
        <w:t xml:space="preserve"> </w:t>
      </w:r>
      <w:r>
        <w:t>Konut</w:t>
      </w:r>
      <w:r>
        <w:rPr>
          <w:spacing w:val="-13"/>
        </w:rPr>
        <w:t xml:space="preserve"> </w:t>
      </w:r>
      <w:r>
        <w:t>durumu,</w:t>
      </w:r>
      <w:r>
        <w:rPr>
          <w:spacing w:val="-13"/>
        </w:rPr>
        <w:t xml:space="preserve"> </w:t>
      </w:r>
      <w:r>
        <w:t>bireylerin</w:t>
      </w:r>
      <w:r>
        <w:rPr>
          <w:spacing w:val="-10"/>
        </w:rPr>
        <w:t xml:space="preserve"> </w:t>
      </w:r>
      <w:r>
        <w:t>yaşadıkları evin fiziksel durumu ve yaşam koşullarını ifade eder. Güvenli, rahat ve uygun maliyetli konutlar, bireylerin genel refahını artırır ve yaşam kalitelerini yükseltir (Dunn, 2002: 672).</w:t>
      </w:r>
    </w:p>
    <w:p w14:paraId="4E179B0F">
      <w:pPr>
        <w:pStyle w:val="9"/>
        <w:spacing w:before="120" w:after="120" w:line="360" w:lineRule="auto"/>
        <w:ind w:left="0" w:firstLine="567"/>
      </w:pPr>
      <w:r>
        <w:t>Ulaşım imkanları, bireylerin işe, okula, sağlık hizmetlerine ve diğer önemli yerlere ulaşım kolaylığını ifade etmektedir (Steg &amp; Gifford, 2005: 62). İyi bir ulaşım altyapısı, bireylerin günlük yaşam aktivitelerini daha rahat ve stressiz bir şekilde gerçekleştirmelerini sağlar. Doğal çevre, bireylerin doğa ile olan etkileşimlerini ve doğal kaynaklara erişimlerini kapsamaktadır. Yeşil alanlar, parklar ve doğal güzellikler, bireylerin ruhsal ve fiziksel sağlıklarını olumlu yönde etkiler (Pretty et al., 2007: 320). Son olarak, sağlık hizmetlerine erişim, bireylerin ihtiyaç duyduklarında sağlık hizmetlerine kolayca ulaşabilmelerini ifade etmektedır (Liang &amp; Guo, 2015: 289-291). Kolay erişilebilir ve kaliteli sağlık hizmetleri, bireylerin sağlıklarını korumalarına ve iyileştirmelerine yardımcı olur, bu da genel yaşam kalitelerini artırır (Gulliford et al., 2002: 188).</w:t>
      </w:r>
    </w:p>
    <w:p w14:paraId="5D9888D1">
      <w:pPr>
        <w:pStyle w:val="9"/>
        <w:spacing w:before="120" w:after="120" w:line="360" w:lineRule="auto"/>
        <w:ind w:left="0" w:firstLine="567"/>
      </w:pPr>
      <w:r>
        <w:t>Sonuç olarak, yaşam kalitesinin çevresel alanı, bireylerin fiziksel ve sosyal çevrelerinin yaşam kaliteleri üzerindeki etkilerini kapsamaktadır. Fiziksel çevrenin kalitesi, güvenlik, erişim</w:t>
      </w:r>
      <w:r>
        <w:rPr>
          <w:spacing w:val="-6"/>
        </w:rPr>
        <w:t xml:space="preserve"> </w:t>
      </w:r>
      <w:r>
        <w:t>ve</w:t>
      </w:r>
      <w:r>
        <w:rPr>
          <w:spacing w:val="-8"/>
        </w:rPr>
        <w:t xml:space="preserve"> </w:t>
      </w:r>
      <w:r>
        <w:t>ulaşılabilirlik,</w:t>
      </w:r>
      <w:r>
        <w:rPr>
          <w:spacing w:val="-6"/>
        </w:rPr>
        <w:t xml:space="preserve"> </w:t>
      </w:r>
      <w:r>
        <w:t>çevresel</w:t>
      </w:r>
      <w:r>
        <w:rPr>
          <w:spacing w:val="-6"/>
        </w:rPr>
        <w:t xml:space="preserve"> </w:t>
      </w:r>
      <w:r>
        <w:t>temizlik</w:t>
      </w:r>
      <w:r>
        <w:rPr>
          <w:spacing w:val="-7"/>
        </w:rPr>
        <w:t xml:space="preserve"> </w:t>
      </w:r>
      <w:r>
        <w:t>ve</w:t>
      </w:r>
      <w:r>
        <w:rPr>
          <w:spacing w:val="-8"/>
        </w:rPr>
        <w:t xml:space="preserve"> </w:t>
      </w:r>
      <w:r>
        <w:t>estetik,</w:t>
      </w:r>
      <w:r>
        <w:rPr>
          <w:spacing w:val="-7"/>
        </w:rPr>
        <w:t xml:space="preserve"> </w:t>
      </w:r>
      <w:r>
        <w:t>konut</w:t>
      </w:r>
      <w:r>
        <w:rPr>
          <w:spacing w:val="-5"/>
        </w:rPr>
        <w:t xml:space="preserve"> </w:t>
      </w:r>
      <w:r>
        <w:t>durumu,</w:t>
      </w:r>
      <w:r>
        <w:rPr>
          <w:spacing w:val="-7"/>
        </w:rPr>
        <w:t xml:space="preserve"> </w:t>
      </w:r>
      <w:r>
        <w:t>ulaşım</w:t>
      </w:r>
      <w:r>
        <w:rPr>
          <w:spacing w:val="-11"/>
        </w:rPr>
        <w:t xml:space="preserve"> </w:t>
      </w:r>
      <w:r>
        <w:t>imkanları,</w:t>
      </w:r>
      <w:r>
        <w:rPr>
          <w:spacing w:val="-6"/>
        </w:rPr>
        <w:t xml:space="preserve"> </w:t>
      </w:r>
      <w:r>
        <w:t>doğal çevre</w:t>
      </w:r>
      <w:r>
        <w:rPr>
          <w:spacing w:val="-14"/>
        </w:rPr>
        <w:t xml:space="preserve"> </w:t>
      </w:r>
      <w:r>
        <w:t>ve</w:t>
      </w:r>
      <w:r>
        <w:rPr>
          <w:spacing w:val="-14"/>
        </w:rPr>
        <w:t xml:space="preserve"> </w:t>
      </w:r>
      <w:r>
        <w:t>sağlık</w:t>
      </w:r>
      <w:r>
        <w:rPr>
          <w:spacing w:val="-13"/>
        </w:rPr>
        <w:t xml:space="preserve"> </w:t>
      </w:r>
      <w:r>
        <w:t>hizmetlerine</w:t>
      </w:r>
      <w:r>
        <w:rPr>
          <w:spacing w:val="-13"/>
        </w:rPr>
        <w:t xml:space="preserve"> </w:t>
      </w:r>
      <w:r>
        <w:t>erişim</w:t>
      </w:r>
      <w:r>
        <w:rPr>
          <w:spacing w:val="-12"/>
        </w:rPr>
        <w:t xml:space="preserve"> </w:t>
      </w:r>
      <w:r>
        <w:t>gibi</w:t>
      </w:r>
      <w:r>
        <w:rPr>
          <w:spacing w:val="-12"/>
        </w:rPr>
        <w:t xml:space="preserve"> </w:t>
      </w:r>
      <w:r>
        <w:t>bileşenler,</w:t>
      </w:r>
      <w:r>
        <w:rPr>
          <w:spacing w:val="-10"/>
        </w:rPr>
        <w:t xml:space="preserve"> </w:t>
      </w:r>
      <w:r>
        <w:t>bireylerin</w:t>
      </w:r>
      <w:r>
        <w:rPr>
          <w:spacing w:val="-11"/>
        </w:rPr>
        <w:t xml:space="preserve"> </w:t>
      </w:r>
      <w:r>
        <w:t>genel</w:t>
      </w:r>
      <w:r>
        <w:rPr>
          <w:spacing w:val="-7"/>
        </w:rPr>
        <w:t xml:space="preserve"> </w:t>
      </w:r>
      <w:r>
        <w:t>yaşam</w:t>
      </w:r>
      <w:r>
        <w:rPr>
          <w:spacing w:val="-12"/>
        </w:rPr>
        <w:t xml:space="preserve"> </w:t>
      </w:r>
      <w:r>
        <w:t>memnuniyetlerini ve refahlarını doğrudan etkiler. Çevresel sağlığın korunması ve iyileştirilmesi, bireylerin genel yaşam kalitesinin artırılmasında kritik bir öneme sahiptir (Evans, 2003:23 Wilkinson &amp; Marmot, 2003:89, Pretty et al., 2007:45).</w:t>
      </w:r>
    </w:p>
    <w:p w14:paraId="61ED2C23">
      <w:pPr>
        <w:pStyle w:val="4"/>
        <w:spacing w:before="240" w:after="240" w:line="360" w:lineRule="auto"/>
        <w:ind w:left="567" w:firstLine="0"/>
        <w:rPr>
          <w:i w:val="0"/>
        </w:rPr>
      </w:pPr>
      <w:bookmarkStart w:id="140" w:name="_Toc195875820"/>
      <w:bookmarkStart w:id="141" w:name="_Toc197351258"/>
      <w:bookmarkStart w:id="142" w:name="_Toc195877805"/>
      <w:r>
        <w:rPr>
          <w:i w:val="0"/>
        </w:rPr>
        <w:t>2.4.3. Yaşam Kalitesinin Göstergeleri</w:t>
      </w:r>
      <w:bookmarkEnd w:id="140"/>
      <w:bookmarkEnd w:id="141"/>
      <w:bookmarkEnd w:id="142"/>
    </w:p>
    <w:p w14:paraId="4909EC06">
      <w:pPr>
        <w:pStyle w:val="9"/>
        <w:spacing w:before="120" w:after="120" w:line="360" w:lineRule="auto"/>
        <w:ind w:left="0" w:firstLine="567"/>
      </w:pPr>
      <w:r>
        <w:t>Yaşam kalitesinin evrensel bir amaç olmasının nedeni Maslow'un gereksinimler hiyerarşisine</w:t>
      </w:r>
      <w:r>
        <w:rPr>
          <w:spacing w:val="-9"/>
        </w:rPr>
        <w:t xml:space="preserve"> </w:t>
      </w:r>
      <w:r>
        <w:t>dayanmaktadır.</w:t>
      </w:r>
      <w:r>
        <w:rPr>
          <w:spacing w:val="-8"/>
        </w:rPr>
        <w:t xml:space="preserve"> </w:t>
      </w:r>
      <w:r>
        <w:t>Bu</w:t>
      </w:r>
      <w:r>
        <w:rPr>
          <w:spacing w:val="-6"/>
        </w:rPr>
        <w:t xml:space="preserve"> </w:t>
      </w:r>
      <w:r>
        <w:t>yaklaşıma</w:t>
      </w:r>
      <w:r>
        <w:rPr>
          <w:spacing w:val="-8"/>
        </w:rPr>
        <w:t xml:space="preserve"> </w:t>
      </w:r>
      <w:r>
        <w:t>göre</w:t>
      </w:r>
      <w:r>
        <w:rPr>
          <w:spacing w:val="-8"/>
        </w:rPr>
        <w:t xml:space="preserve"> </w:t>
      </w:r>
      <w:r>
        <w:t>insanın</w:t>
      </w:r>
      <w:r>
        <w:rPr>
          <w:spacing w:val="-8"/>
        </w:rPr>
        <w:t xml:space="preserve"> </w:t>
      </w:r>
      <w:r>
        <w:t>temel</w:t>
      </w:r>
      <w:r>
        <w:rPr>
          <w:spacing w:val="-8"/>
        </w:rPr>
        <w:t xml:space="preserve"> </w:t>
      </w:r>
      <w:r>
        <w:t>ihtiyaçları</w:t>
      </w:r>
      <w:r>
        <w:rPr>
          <w:spacing w:val="-8"/>
        </w:rPr>
        <w:t xml:space="preserve"> </w:t>
      </w:r>
      <w:r>
        <w:t>önceliklerine</w:t>
      </w:r>
      <w:r>
        <w:rPr>
          <w:spacing w:val="-6"/>
        </w:rPr>
        <w:t xml:space="preserve"> </w:t>
      </w:r>
      <w:r>
        <w:t>göre beş başlık altında sıralanmaktadır:</w:t>
      </w:r>
    </w:p>
    <w:p w14:paraId="34B890BA">
      <w:pPr>
        <w:pStyle w:val="28"/>
        <w:numPr>
          <w:ilvl w:val="0"/>
          <w:numId w:val="12"/>
        </w:numPr>
        <w:tabs>
          <w:tab w:val="left" w:pos="879"/>
        </w:tabs>
        <w:spacing w:before="120" w:after="120" w:line="360" w:lineRule="auto"/>
        <w:ind w:left="0" w:firstLine="567"/>
        <w:jc w:val="both"/>
        <w:rPr>
          <w:sz w:val="24"/>
        </w:rPr>
      </w:pPr>
      <w:r>
        <w:rPr>
          <w:sz w:val="24"/>
        </w:rPr>
        <w:t>Fiziki</w:t>
      </w:r>
      <w:r>
        <w:rPr>
          <w:spacing w:val="-2"/>
          <w:sz w:val="24"/>
        </w:rPr>
        <w:t xml:space="preserve"> </w:t>
      </w:r>
      <w:r>
        <w:rPr>
          <w:sz w:val="24"/>
        </w:rPr>
        <w:t>gereksinimler</w:t>
      </w:r>
      <w:r>
        <w:rPr>
          <w:spacing w:val="-2"/>
          <w:sz w:val="24"/>
        </w:rPr>
        <w:t xml:space="preserve"> </w:t>
      </w:r>
      <w:r>
        <w:rPr>
          <w:sz w:val="24"/>
        </w:rPr>
        <w:t>(Yemek,</w:t>
      </w:r>
      <w:r>
        <w:rPr>
          <w:spacing w:val="-2"/>
          <w:sz w:val="24"/>
        </w:rPr>
        <w:t xml:space="preserve"> </w:t>
      </w:r>
      <w:r>
        <w:rPr>
          <w:sz w:val="24"/>
        </w:rPr>
        <w:t>su</w:t>
      </w:r>
      <w:r>
        <w:rPr>
          <w:spacing w:val="-2"/>
          <w:sz w:val="24"/>
        </w:rPr>
        <w:t xml:space="preserve"> </w:t>
      </w:r>
      <w:r>
        <w:rPr>
          <w:sz w:val="24"/>
        </w:rPr>
        <w:t>ve</w:t>
      </w:r>
      <w:r>
        <w:rPr>
          <w:spacing w:val="-3"/>
          <w:sz w:val="24"/>
        </w:rPr>
        <w:t xml:space="preserve"> </w:t>
      </w:r>
      <w:r>
        <w:rPr>
          <w:sz w:val="24"/>
        </w:rPr>
        <w:t xml:space="preserve">barınak </w:t>
      </w:r>
      <w:r>
        <w:rPr>
          <w:spacing w:val="-2"/>
          <w:sz w:val="24"/>
        </w:rPr>
        <w:t>gibi)</w:t>
      </w:r>
    </w:p>
    <w:p w14:paraId="30C2430E">
      <w:pPr>
        <w:pStyle w:val="28"/>
        <w:numPr>
          <w:ilvl w:val="0"/>
          <w:numId w:val="12"/>
        </w:numPr>
        <w:tabs>
          <w:tab w:val="left" w:pos="879"/>
        </w:tabs>
        <w:spacing w:before="120" w:after="120" w:line="360" w:lineRule="auto"/>
        <w:ind w:left="0" w:firstLine="567"/>
        <w:jc w:val="both"/>
        <w:rPr>
          <w:sz w:val="24"/>
        </w:rPr>
      </w:pPr>
      <w:r>
        <w:rPr>
          <w:sz w:val="24"/>
        </w:rPr>
        <w:t>Güvenlikgereksinimi</w:t>
      </w:r>
      <w:r>
        <w:rPr>
          <w:spacing w:val="-2"/>
          <w:sz w:val="24"/>
        </w:rPr>
        <w:t xml:space="preserve"> </w:t>
      </w:r>
      <w:r>
        <w:rPr>
          <w:sz w:val="24"/>
        </w:rPr>
        <w:t>(Güvenlik,</w:t>
      </w:r>
      <w:r>
        <w:rPr>
          <w:spacing w:val="-1"/>
          <w:sz w:val="24"/>
        </w:rPr>
        <w:t xml:space="preserve"> </w:t>
      </w:r>
      <w:r>
        <w:rPr>
          <w:sz w:val="24"/>
        </w:rPr>
        <w:t>koruma</w:t>
      </w:r>
      <w:r>
        <w:rPr>
          <w:spacing w:val="-1"/>
          <w:sz w:val="24"/>
        </w:rPr>
        <w:t xml:space="preserve"> </w:t>
      </w:r>
      <w:r>
        <w:rPr>
          <w:sz w:val="24"/>
        </w:rPr>
        <w:t>ve</w:t>
      </w:r>
      <w:r>
        <w:rPr>
          <w:spacing w:val="-3"/>
          <w:sz w:val="24"/>
        </w:rPr>
        <w:t xml:space="preserve"> </w:t>
      </w:r>
      <w:r>
        <w:rPr>
          <w:sz w:val="24"/>
        </w:rPr>
        <w:t>sağlık</w:t>
      </w:r>
      <w:r>
        <w:rPr>
          <w:spacing w:val="-1"/>
          <w:sz w:val="24"/>
        </w:rPr>
        <w:t xml:space="preserve"> </w:t>
      </w:r>
      <w:r>
        <w:rPr>
          <w:spacing w:val="-2"/>
          <w:sz w:val="24"/>
        </w:rPr>
        <w:t>gibi)</w:t>
      </w:r>
    </w:p>
    <w:p w14:paraId="01FC7B61">
      <w:pPr>
        <w:pStyle w:val="28"/>
        <w:numPr>
          <w:ilvl w:val="0"/>
          <w:numId w:val="12"/>
        </w:numPr>
        <w:tabs>
          <w:tab w:val="left" w:pos="880"/>
        </w:tabs>
        <w:spacing w:before="120" w:after="120" w:line="360" w:lineRule="auto"/>
        <w:ind w:left="0" w:firstLine="567"/>
        <w:rPr>
          <w:sz w:val="24"/>
        </w:rPr>
      </w:pPr>
      <w:r>
        <w:rPr>
          <w:sz w:val="24"/>
        </w:rPr>
        <w:t xml:space="preserve">Toplumsal/Sosyal gereksinimler (Bir camiaya ait olma hissi, saygı ve sevgi görme </w:t>
      </w:r>
      <w:r>
        <w:rPr>
          <w:spacing w:val="-2"/>
          <w:sz w:val="24"/>
        </w:rPr>
        <w:t>ihtiyacı)</w:t>
      </w:r>
    </w:p>
    <w:p w14:paraId="0916FC24">
      <w:pPr>
        <w:pStyle w:val="28"/>
        <w:numPr>
          <w:ilvl w:val="0"/>
          <w:numId w:val="12"/>
        </w:numPr>
        <w:tabs>
          <w:tab w:val="left" w:pos="880"/>
        </w:tabs>
        <w:spacing w:before="120" w:after="120" w:line="360" w:lineRule="auto"/>
        <w:ind w:left="0" w:firstLine="567"/>
        <w:rPr>
          <w:sz w:val="24"/>
        </w:rPr>
      </w:pPr>
      <w:r>
        <w:rPr>
          <w:sz w:val="24"/>
        </w:rPr>
        <w:t>Saygı görme gereksinimi</w:t>
      </w:r>
      <w:r>
        <w:rPr>
          <w:spacing w:val="-1"/>
          <w:sz w:val="24"/>
        </w:rPr>
        <w:t xml:space="preserve"> </w:t>
      </w:r>
      <w:r>
        <w:rPr>
          <w:sz w:val="24"/>
        </w:rPr>
        <w:t>(Toplumda</w:t>
      </w:r>
      <w:r>
        <w:rPr>
          <w:spacing w:val="-3"/>
          <w:sz w:val="24"/>
        </w:rPr>
        <w:t xml:space="preserve"> </w:t>
      </w:r>
      <w:r>
        <w:rPr>
          <w:sz w:val="24"/>
        </w:rPr>
        <w:t>tanınma</w:t>
      </w:r>
      <w:r>
        <w:rPr>
          <w:spacing w:val="-1"/>
          <w:sz w:val="24"/>
        </w:rPr>
        <w:t xml:space="preserve"> </w:t>
      </w:r>
      <w:r>
        <w:rPr>
          <w:sz w:val="24"/>
        </w:rPr>
        <w:t>ve</w:t>
      </w:r>
      <w:r>
        <w:rPr>
          <w:spacing w:val="-3"/>
          <w:sz w:val="24"/>
        </w:rPr>
        <w:t xml:space="preserve"> </w:t>
      </w:r>
      <w:r>
        <w:rPr>
          <w:sz w:val="24"/>
        </w:rPr>
        <w:t>sosyal</w:t>
      </w:r>
      <w:r>
        <w:rPr>
          <w:spacing w:val="-2"/>
          <w:sz w:val="24"/>
        </w:rPr>
        <w:t xml:space="preserve"> </w:t>
      </w:r>
      <w:r>
        <w:rPr>
          <w:sz w:val="24"/>
        </w:rPr>
        <w:t>statü</w:t>
      </w:r>
      <w:r>
        <w:rPr>
          <w:spacing w:val="-1"/>
          <w:sz w:val="24"/>
        </w:rPr>
        <w:t xml:space="preserve"> </w:t>
      </w:r>
      <w:r>
        <w:rPr>
          <w:sz w:val="24"/>
        </w:rPr>
        <w:t>sahibi</w:t>
      </w:r>
      <w:r>
        <w:rPr>
          <w:spacing w:val="-1"/>
          <w:sz w:val="24"/>
        </w:rPr>
        <w:t xml:space="preserve"> </w:t>
      </w:r>
      <w:r>
        <w:rPr>
          <w:sz w:val="24"/>
        </w:rPr>
        <w:t xml:space="preserve">olma </w:t>
      </w:r>
      <w:r>
        <w:rPr>
          <w:spacing w:val="-2"/>
          <w:sz w:val="24"/>
        </w:rPr>
        <w:t>gibi)</w:t>
      </w:r>
    </w:p>
    <w:p w14:paraId="5EE1915A">
      <w:pPr>
        <w:pStyle w:val="28"/>
        <w:numPr>
          <w:ilvl w:val="0"/>
          <w:numId w:val="12"/>
        </w:numPr>
        <w:tabs>
          <w:tab w:val="left" w:pos="880"/>
        </w:tabs>
        <w:spacing w:before="120" w:after="120" w:line="360" w:lineRule="auto"/>
        <w:ind w:left="0" w:firstLine="567"/>
        <w:rPr>
          <w:sz w:val="24"/>
        </w:rPr>
      </w:pPr>
      <w:r>
        <w:rPr>
          <w:sz w:val="24"/>
        </w:rPr>
        <w:t>Bireysel</w:t>
      </w:r>
      <w:r>
        <w:rPr>
          <w:spacing w:val="80"/>
          <w:sz w:val="24"/>
        </w:rPr>
        <w:t xml:space="preserve"> </w:t>
      </w:r>
      <w:r>
        <w:rPr>
          <w:sz w:val="24"/>
        </w:rPr>
        <w:t>ilgi</w:t>
      </w:r>
      <w:r>
        <w:rPr>
          <w:spacing w:val="80"/>
          <w:sz w:val="24"/>
        </w:rPr>
        <w:t xml:space="preserve"> </w:t>
      </w:r>
      <w:r>
        <w:rPr>
          <w:sz w:val="24"/>
        </w:rPr>
        <w:t>alanlarını/fikirlerini/ideallerini</w:t>
      </w:r>
      <w:r>
        <w:rPr>
          <w:spacing w:val="80"/>
          <w:sz w:val="24"/>
        </w:rPr>
        <w:t xml:space="preserve"> </w:t>
      </w:r>
      <w:r>
        <w:rPr>
          <w:sz w:val="24"/>
        </w:rPr>
        <w:t>ifade</w:t>
      </w:r>
      <w:r>
        <w:rPr>
          <w:spacing w:val="80"/>
          <w:sz w:val="24"/>
        </w:rPr>
        <w:t xml:space="preserve"> </w:t>
      </w:r>
      <w:r>
        <w:rPr>
          <w:sz w:val="24"/>
        </w:rPr>
        <w:t>etme</w:t>
      </w:r>
      <w:r>
        <w:rPr>
          <w:spacing w:val="80"/>
          <w:sz w:val="24"/>
        </w:rPr>
        <w:t xml:space="preserve"> </w:t>
      </w:r>
      <w:r>
        <w:rPr>
          <w:sz w:val="24"/>
        </w:rPr>
        <w:t>gereksinimi</w:t>
      </w:r>
      <w:r>
        <w:rPr>
          <w:spacing w:val="80"/>
          <w:sz w:val="24"/>
        </w:rPr>
        <w:t xml:space="preserve"> </w:t>
      </w:r>
      <w:r>
        <w:rPr>
          <w:sz w:val="24"/>
        </w:rPr>
        <w:t>(Kendini</w:t>
      </w:r>
      <w:r>
        <w:rPr>
          <w:spacing w:val="40"/>
          <w:sz w:val="24"/>
        </w:rPr>
        <w:t xml:space="preserve"> </w:t>
      </w:r>
      <w:r>
        <w:rPr>
          <w:sz w:val="24"/>
        </w:rPr>
        <w:t>geliştirme, kişisel yaşamı zenginleştirme ve kişisel hedefleri gerçekleştirme gibi)</w:t>
      </w:r>
    </w:p>
    <w:p w14:paraId="146FF256">
      <w:pPr>
        <w:pStyle w:val="9"/>
        <w:spacing w:before="120" w:after="120" w:line="360" w:lineRule="auto"/>
        <w:ind w:left="0" w:firstLine="567"/>
      </w:pPr>
      <w:r>
        <w:t>Maslow'un gereksinimler kuramı, insan yaşamının her döneminde karşılanması gereken temel</w:t>
      </w:r>
      <w:r>
        <w:rPr>
          <w:spacing w:val="-14"/>
        </w:rPr>
        <w:t xml:space="preserve"> </w:t>
      </w:r>
      <w:r>
        <w:t>gereksinimleri</w:t>
      </w:r>
      <w:r>
        <w:rPr>
          <w:spacing w:val="-14"/>
        </w:rPr>
        <w:t xml:space="preserve"> </w:t>
      </w:r>
      <w:r>
        <w:t>sıralarken,</w:t>
      </w:r>
      <w:r>
        <w:rPr>
          <w:spacing w:val="-14"/>
        </w:rPr>
        <w:t xml:space="preserve"> </w:t>
      </w:r>
      <w:r>
        <w:t>bu</w:t>
      </w:r>
      <w:r>
        <w:rPr>
          <w:spacing w:val="-10"/>
        </w:rPr>
        <w:t xml:space="preserve"> </w:t>
      </w:r>
      <w:r>
        <w:t>gereksinimlerin</w:t>
      </w:r>
      <w:r>
        <w:rPr>
          <w:spacing w:val="-14"/>
        </w:rPr>
        <w:t xml:space="preserve"> </w:t>
      </w:r>
      <w:r>
        <w:t>miktarının</w:t>
      </w:r>
      <w:r>
        <w:rPr>
          <w:spacing w:val="-12"/>
        </w:rPr>
        <w:t xml:space="preserve"> </w:t>
      </w:r>
      <w:r>
        <w:t>yanı</w:t>
      </w:r>
      <w:r>
        <w:rPr>
          <w:spacing w:val="-14"/>
        </w:rPr>
        <w:t xml:space="preserve"> </w:t>
      </w:r>
      <w:r>
        <w:t>sıra</w:t>
      </w:r>
      <w:r>
        <w:rPr>
          <w:spacing w:val="-10"/>
        </w:rPr>
        <w:t xml:space="preserve"> </w:t>
      </w:r>
      <w:r>
        <w:t>yaşam</w:t>
      </w:r>
      <w:r>
        <w:rPr>
          <w:spacing w:val="-14"/>
        </w:rPr>
        <w:t xml:space="preserve"> </w:t>
      </w:r>
      <w:r>
        <w:t>kalitesinin</w:t>
      </w:r>
      <w:r>
        <w:rPr>
          <w:spacing w:val="-13"/>
        </w:rPr>
        <w:t xml:space="preserve"> </w:t>
      </w:r>
      <w:r>
        <w:t>de önemli olduğunun altını çizmektedir. Örneğin, yaşam süresinin uzunluğundan çok kalitesi, gelirin</w:t>
      </w:r>
      <w:r>
        <w:rPr>
          <w:spacing w:val="-1"/>
        </w:rPr>
        <w:t xml:space="preserve"> </w:t>
      </w:r>
      <w:r>
        <w:t>yüksek</w:t>
      </w:r>
      <w:r>
        <w:rPr>
          <w:spacing w:val="-4"/>
        </w:rPr>
        <w:t xml:space="preserve"> </w:t>
      </w:r>
      <w:r>
        <w:t>olmasından</w:t>
      </w:r>
      <w:r>
        <w:rPr>
          <w:spacing w:val="-4"/>
        </w:rPr>
        <w:t xml:space="preserve"> </w:t>
      </w:r>
      <w:r>
        <w:t>ziyade</w:t>
      </w:r>
      <w:r>
        <w:rPr>
          <w:spacing w:val="-5"/>
        </w:rPr>
        <w:t xml:space="preserve"> </w:t>
      </w:r>
      <w:r>
        <w:t>tatmin</w:t>
      </w:r>
      <w:r>
        <w:rPr>
          <w:spacing w:val="-4"/>
        </w:rPr>
        <w:t xml:space="preserve"> </w:t>
      </w:r>
      <w:r>
        <w:t>edici</w:t>
      </w:r>
      <w:r>
        <w:rPr>
          <w:spacing w:val="-4"/>
        </w:rPr>
        <w:t xml:space="preserve"> </w:t>
      </w:r>
      <w:r>
        <w:t>olup</w:t>
      </w:r>
      <w:r>
        <w:rPr>
          <w:spacing w:val="-4"/>
        </w:rPr>
        <w:t xml:space="preserve"> </w:t>
      </w:r>
      <w:r>
        <w:t>olmadığı</w:t>
      </w:r>
      <w:r>
        <w:rPr>
          <w:spacing w:val="-4"/>
        </w:rPr>
        <w:t xml:space="preserve"> </w:t>
      </w:r>
      <w:r>
        <w:t>gibi</w:t>
      </w:r>
      <w:r>
        <w:rPr>
          <w:spacing w:val="-4"/>
        </w:rPr>
        <w:t xml:space="preserve"> </w:t>
      </w:r>
      <w:r>
        <w:t>hususlar</w:t>
      </w:r>
      <w:r>
        <w:rPr>
          <w:spacing w:val="-3"/>
        </w:rPr>
        <w:t xml:space="preserve"> </w:t>
      </w:r>
      <w:r>
        <w:t>ele</w:t>
      </w:r>
      <w:r>
        <w:rPr>
          <w:spacing w:val="-4"/>
        </w:rPr>
        <w:t xml:space="preserve"> </w:t>
      </w:r>
      <w:r>
        <w:t>alınmaktadır. Bu</w:t>
      </w:r>
      <w:r>
        <w:rPr>
          <w:spacing w:val="-11"/>
        </w:rPr>
        <w:t xml:space="preserve"> </w:t>
      </w:r>
      <w:r>
        <w:t>çerçevede,</w:t>
      </w:r>
      <w:r>
        <w:rPr>
          <w:spacing w:val="-11"/>
        </w:rPr>
        <w:t xml:space="preserve"> </w:t>
      </w:r>
      <w:r>
        <w:t>kalite</w:t>
      </w:r>
      <w:r>
        <w:rPr>
          <w:spacing w:val="-11"/>
        </w:rPr>
        <w:t xml:space="preserve"> </w:t>
      </w:r>
      <w:r>
        <w:t>bir</w:t>
      </w:r>
      <w:r>
        <w:rPr>
          <w:spacing w:val="-11"/>
        </w:rPr>
        <w:t xml:space="preserve"> </w:t>
      </w:r>
      <w:r>
        <w:t>farkındalık</w:t>
      </w:r>
      <w:r>
        <w:rPr>
          <w:spacing w:val="-11"/>
        </w:rPr>
        <w:t xml:space="preserve"> </w:t>
      </w:r>
      <w:r>
        <w:t>süreci</w:t>
      </w:r>
      <w:r>
        <w:rPr>
          <w:spacing w:val="-10"/>
        </w:rPr>
        <w:t xml:space="preserve"> </w:t>
      </w:r>
      <w:r>
        <w:t>olarak</w:t>
      </w:r>
      <w:r>
        <w:rPr>
          <w:spacing w:val="-11"/>
        </w:rPr>
        <w:t xml:space="preserve"> </w:t>
      </w:r>
      <w:r>
        <w:t>değerlendirilmeli</w:t>
      </w:r>
      <w:r>
        <w:rPr>
          <w:spacing w:val="-10"/>
        </w:rPr>
        <w:t xml:space="preserve"> </w:t>
      </w:r>
      <w:r>
        <w:t>ve</w:t>
      </w:r>
      <w:r>
        <w:rPr>
          <w:spacing w:val="-12"/>
        </w:rPr>
        <w:t xml:space="preserve"> </w:t>
      </w:r>
      <w:r>
        <w:t>her</w:t>
      </w:r>
      <w:r>
        <w:rPr>
          <w:spacing w:val="-11"/>
        </w:rPr>
        <w:t xml:space="preserve"> </w:t>
      </w:r>
      <w:r>
        <w:t>zaman</w:t>
      </w:r>
      <w:r>
        <w:rPr>
          <w:spacing w:val="-11"/>
        </w:rPr>
        <w:t xml:space="preserve"> </w:t>
      </w:r>
      <w:r>
        <w:t>hayatın</w:t>
      </w:r>
      <w:r>
        <w:rPr>
          <w:spacing w:val="-11"/>
        </w:rPr>
        <w:t xml:space="preserve"> </w:t>
      </w:r>
      <w:r>
        <w:t>her alanında ulaşılmak istenen mükemmellik düzeyi olmalıdır (Aksungur, 2009:11).</w:t>
      </w:r>
    </w:p>
    <w:p w14:paraId="62602192">
      <w:pPr>
        <w:pStyle w:val="9"/>
        <w:spacing w:before="120" w:after="120" w:line="360" w:lineRule="auto"/>
        <w:ind w:left="0" w:firstLine="567"/>
      </w:pPr>
      <w:r>
        <w:t>Yaşam kalitesinin tanımları genel olarak “kişinin yaşamı öznel olarak algılaması” kapsamında ele alınsa da yaşam kalitesi nesnel ve öznel olmak üzere iki açıdan incelenmektedir</w:t>
      </w:r>
      <w:r>
        <w:rPr>
          <w:spacing w:val="-1"/>
        </w:rPr>
        <w:t xml:space="preserve"> </w:t>
      </w:r>
      <w:r>
        <w:t>(Aydıner</w:t>
      </w:r>
      <w:r>
        <w:rPr>
          <w:spacing w:val="-1"/>
        </w:rPr>
        <w:t xml:space="preserve"> </w:t>
      </w:r>
      <w:r>
        <w:t>Boylu, 2007:</w:t>
      </w:r>
      <w:r>
        <w:rPr>
          <w:spacing w:val="2"/>
        </w:rPr>
        <w:t xml:space="preserve"> </w:t>
      </w:r>
      <w:r>
        <w:t>2).</w:t>
      </w:r>
      <w:r>
        <w:rPr>
          <w:spacing w:val="1"/>
        </w:rPr>
        <w:t xml:space="preserve"> </w:t>
      </w:r>
      <w:r>
        <w:t>Bu</w:t>
      </w:r>
      <w:r>
        <w:rPr>
          <w:spacing w:val="2"/>
        </w:rPr>
        <w:t xml:space="preserve"> </w:t>
      </w:r>
      <w:r>
        <w:t>çerçevede,</w:t>
      </w:r>
      <w:r>
        <w:rPr>
          <w:spacing w:val="4"/>
        </w:rPr>
        <w:t xml:space="preserve"> </w:t>
      </w:r>
      <w:r>
        <w:t>objektif</w:t>
      </w:r>
      <w:r>
        <w:rPr>
          <w:spacing w:val="1"/>
        </w:rPr>
        <w:t xml:space="preserve"> </w:t>
      </w:r>
      <w:r>
        <w:t>göstergeler</w:t>
      </w:r>
      <w:r>
        <w:rPr>
          <w:spacing w:val="2"/>
        </w:rPr>
        <w:t xml:space="preserve"> </w:t>
      </w:r>
      <w:r>
        <w:t>gelir,</w:t>
      </w:r>
      <w:r>
        <w:rPr>
          <w:spacing w:val="1"/>
        </w:rPr>
        <w:t xml:space="preserve"> </w:t>
      </w:r>
      <w:r>
        <w:rPr>
          <w:spacing w:val="-2"/>
        </w:rPr>
        <w:t>eğitim,</w:t>
      </w:r>
      <w:r>
        <w:t xml:space="preserve"> meslek,</w:t>
      </w:r>
      <w:r>
        <w:rPr>
          <w:spacing w:val="-12"/>
        </w:rPr>
        <w:t xml:space="preserve"> </w:t>
      </w:r>
      <w:r>
        <w:t>sağlık</w:t>
      </w:r>
      <w:r>
        <w:rPr>
          <w:spacing w:val="-12"/>
        </w:rPr>
        <w:t xml:space="preserve"> </w:t>
      </w:r>
      <w:r>
        <w:t>ve</w:t>
      </w:r>
      <w:r>
        <w:rPr>
          <w:spacing w:val="-13"/>
        </w:rPr>
        <w:t xml:space="preserve"> </w:t>
      </w:r>
      <w:r>
        <w:t>ikamet</w:t>
      </w:r>
      <w:r>
        <w:rPr>
          <w:spacing w:val="-11"/>
        </w:rPr>
        <w:t xml:space="preserve"> </w:t>
      </w:r>
      <w:r>
        <w:t>durumu</w:t>
      </w:r>
      <w:r>
        <w:rPr>
          <w:spacing w:val="-12"/>
        </w:rPr>
        <w:t xml:space="preserve"> </w:t>
      </w:r>
      <w:r>
        <w:t>gibi</w:t>
      </w:r>
      <w:r>
        <w:rPr>
          <w:spacing w:val="-11"/>
        </w:rPr>
        <w:t xml:space="preserve"> </w:t>
      </w:r>
      <w:r>
        <w:t>unsurlar</w:t>
      </w:r>
      <w:r>
        <w:rPr>
          <w:spacing w:val="-12"/>
        </w:rPr>
        <w:t xml:space="preserve"> </w:t>
      </w:r>
      <w:r>
        <w:t>olurken,</w:t>
      </w:r>
      <w:r>
        <w:rPr>
          <w:spacing w:val="-12"/>
        </w:rPr>
        <w:t xml:space="preserve"> </w:t>
      </w:r>
      <w:r>
        <w:t>kişinin</w:t>
      </w:r>
      <w:r>
        <w:rPr>
          <w:spacing w:val="-11"/>
        </w:rPr>
        <w:t xml:space="preserve"> </w:t>
      </w:r>
      <w:r>
        <w:t>sahip</w:t>
      </w:r>
      <w:r>
        <w:rPr>
          <w:spacing w:val="-11"/>
        </w:rPr>
        <w:t xml:space="preserve"> </w:t>
      </w:r>
      <w:r>
        <w:t>olduğu</w:t>
      </w:r>
      <w:r>
        <w:rPr>
          <w:spacing w:val="-14"/>
        </w:rPr>
        <w:t xml:space="preserve"> </w:t>
      </w:r>
      <w:r>
        <w:t>bu</w:t>
      </w:r>
      <w:r>
        <w:rPr>
          <w:spacing w:val="-12"/>
        </w:rPr>
        <w:t xml:space="preserve"> </w:t>
      </w:r>
      <w:r>
        <w:t>imkanlardan duyduğu memnuniyet ise yaşam kalitesinin öznel göstergeleri olarak tanımlanmaktadır (Torlak ve Yavuzçehre, 2008:30). Bazı araştırmacılar objektif göstergelerin daha önemli olduğunu (Kaya, İpekçi Çetin ve Kuruüzüm, 2011:85), bazı araştırmacılara göre ise subjektif göstergelerin daha önemli olduğunu değerlendirilse de (Aksungur, 2009:12) herhangi bir evrensel sistem ya da sübjektif göstergeler için evrensel bir sistem ve standart bulunmamaktadır (Demirkaya, 2010:16).</w:t>
      </w:r>
    </w:p>
    <w:p w14:paraId="16E89E74">
      <w:pPr>
        <w:pStyle w:val="9"/>
        <w:spacing w:before="120" w:after="120" w:line="360" w:lineRule="auto"/>
        <w:ind w:left="0" w:firstLine="567"/>
      </w:pPr>
      <w:r>
        <w:t>Konuya ilişkin yapılan araştırmalar yaşam kalitesi göstergelerini cinsiyet, yaş, medeni durum,</w:t>
      </w:r>
      <w:r>
        <w:rPr>
          <w:spacing w:val="-11"/>
        </w:rPr>
        <w:t xml:space="preserve"> </w:t>
      </w:r>
      <w:r>
        <w:t>sosyal</w:t>
      </w:r>
      <w:r>
        <w:rPr>
          <w:spacing w:val="-10"/>
        </w:rPr>
        <w:t xml:space="preserve"> </w:t>
      </w:r>
      <w:r>
        <w:t>destek,</w:t>
      </w:r>
      <w:r>
        <w:rPr>
          <w:spacing w:val="-11"/>
        </w:rPr>
        <w:t xml:space="preserve"> </w:t>
      </w:r>
      <w:r>
        <w:t>barınma</w:t>
      </w:r>
      <w:r>
        <w:rPr>
          <w:spacing w:val="-12"/>
        </w:rPr>
        <w:t xml:space="preserve"> </w:t>
      </w:r>
      <w:r>
        <w:t>ve</w:t>
      </w:r>
      <w:r>
        <w:rPr>
          <w:spacing w:val="-12"/>
        </w:rPr>
        <w:t xml:space="preserve"> </w:t>
      </w:r>
      <w:r>
        <w:t>özellikleri,</w:t>
      </w:r>
      <w:r>
        <w:rPr>
          <w:spacing w:val="-11"/>
        </w:rPr>
        <w:t xml:space="preserve"> </w:t>
      </w:r>
      <w:r>
        <w:t>sağlık,</w:t>
      </w:r>
      <w:r>
        <w:rPr>
          <w:spacing w:val="-11"/>
        </w:rPr>
        <w:t xml:space="preserve"> </w:t>
      </w:r>
      <w:r>
        <w:t>eğitim,</w:t>
      </w:r>
      <w:r>
        <w:rPr>
          <w:spacing w:val="-11"/>
        </w:rPr>
        <w:t xml:space="preserve"> </w:t>
      </w:r>
      <w:r>
        <w:t>gelir,</w:t>
      </w:r>
      <w:r>
        <w:rPr>
          <w:spacing w:val="-11"/>
        </w:rPr>
        <w:t xml:space="preserve"> </w:t>
      </w:r>
      <w:r>
        <w:t>çalışma</w:t>
      </w:r>
      <w:r>
        <w:rPr>
          <w:spacing w:val="-11"/>
        </w:rPr>
        <w:t xml:space="preserve"> </w:t>
      </w:r>
      <w:r>
        <w:t>hayatı,</w:t>
      </w:r>
      <w:r>
        <w:rPr>
          <w:spacing w:val="-11"/>
        </w:rPr>
        <w:t xml:space="preserve"> </w:t>
      </w:r>
      <w:r>
        <w:t>boş</w:t>
      </w:r>
      <w:r>
        <w:rPr>
          <w:spacing w:val="-10"/>
        </w:rPr>
        <w:t xml:space="preserve"> </w:t>
      </w:r>
      <w:r>
        <w:t>zaman etkinlikleri olarak sıralamaktadır (Torlak ve Yavuzçehre, 2008:34). Bu çerçevede, yaşam kalitesine ilişkin yaklaşım ve göstergeler cinsiyet, yaş, medeni durum, gelir, eğitim, sağlık, sosyal</w:t>
      </w:r>
      <w:r>
        <w:rPr>
          <w:spacing w:val="-3"/>
        </w:rPr>
        <w:t xml:space="preserve"> </w:t>
      </w:r>
      <w:r>
        <w:t>çevre,</w:t>
      </w:r>
      <w:r>
        <w:rPr>
          <w:spacing w:val="-6"/>
        </w:rPr>
        <w:t xml:space="preserve"> </w:t>
      </w:r>
      <w:r>
        <w:t>barınma</w:t>
      </w:r>
      <w:r>
        <w:rPr>
          <w:spacing w:val="-7"/>
        </w:rPr>
        <w:t xml:space="preserve"> </w:t>
      </w:r>
      <w:r>
        <w:t>ve</w:t>
      </w:r>
      <w:r>
        <w:rPr>
          <w:spacing w:val="-4"/>
        </w:rPr>
        <w:t xml:space="preserve"> </w:t>
      </w:r>
      <w:r>
        <w:t>özellikleri,</w:t>
      </w:r>
      <w:r>
        <w:rPr>
          <w:spacing w:val="-6"/>
        </w:rPr>
        <w:t xml:space="preserve"> </w:t>
      </w:r>
      <w:r>
        <w:t>iş</w:t>
      </w:r>
      <w:r>
        <w:rPr>
          <w:spacing w:val="-5"/>
        </w:rPr>
        <w:t xml:space="preserve"> </w:t>
      </w:r>
      <w:r>
        <w:t>hayatı</w:t>
      </w:r>
      <w:r>
        <w:rPr>
          <w:spacing w:val="-5"/>
        </w:rPr>
        <w:t xml:space="preserve"> </w:t>
      </w:r>
      <w:r>
        <w:t>ve</w:t>
      </w:r>
      <w:r>
        <w:rPr>
          <w:spacing w:val="-5"/>
        </w:rPr>
        <w:t xml:space="preserve"> </w:t>
      </w:r>
      <w:r>
        <w:t>boş</w:t>
      </w:r>
      <w:r>
        <w:rPr>
          <w:spacing w:val="-6"/>
        </w:rPr>
        <w:t xml:space="preserve"> </w:t>
      </w:r>
      <w:r>
        <w:t>zaman</w:t>
      </w:r>
      <w:r>
        <w:rPr>
          <w:spacing w:val="-6"/>
        </w:rPr>
        <w:t xml:space="preserve"> </w:t>
      </w:r>
      <w:r>
        <w:t>aktiviteleriyle</w:t>
      </w:r>
      <w:r>
        <w:rPr>
          <w:spacing w:val="-2"/>
        </w:rPr>
        <w:t xml:space="preserve"> </w:t>
      </w:r>
      <w:r>
        <w:t>belirlenmektedir. Bu faaliyetler ele alınmak gerekirse özetle şöyle ifade edilebilmektedir; cinsiyet ile yaşam kalitesi arasında güçlü bir ilişki mevcuttur. Bu ilişki özellikle objektif yaşam kalitesi ölçümlerinde görülmekte olup, örneğin az gelişmiş ve gelişmekte olan ülkelerde başta istihdam ve eğitim olmak üzere cinsiyet açısından büyük farklılıklar bulunmaktadır. Bu ülkelerde yaşayan ve çalışmayan, çalışmasına izin verilmeyen, muhafazakâr,</w:t>
      </w:r>
      <w:r>
        <w:rPr>
          <w:spacing w:val="-1"/>
        </w:rPr>
        <w:t xml:space="preserve"> </w:t>
      </w:r>
      <w:r>
        <w:t>ataerkil</w:t>
      </w:r>
      <w:r>
        <w:rPr>
          <w:spacing w:val="-2"/>
        </w:rPr>
        <w:t xml:space="preserve"> </w:t>
      </w:r>
      <w:r>
        <w:t>ve</w:t>
      </w:r>
      <w:r>
        <w:rPr>
          <w:spacing w:val="-1"/>
        </w:rPr>
        <w:t xml:space="preserve"> </w:t>
      </w:r>
      <w:r>
        <w:t>geleneksel</w:t>
      </w:r>
      <w:r>
        <w:rPr>
          <w:spacing w:val="-2"/>
        </w:rPr>
        <w:t xml:space="preserve"> </w:t>
      </w:r>
      <w:r>
        <w:t>aile</w:t>
      </w:r>
      <w:r>
        <w:rPr>
          <w:spacing w:val="-3"/>
        </w:rPr>
        <w:t xml:space="preserve"> </w:t>
      </w:r>
      <w:r>
        <w:t>çevrelerinden</w:t>
      </w:r>
      <w:r>
        <w:rPr>
          <w:spacing w:val="-2"/>
        </w:rPr>
        <w:t xml:space="preserve"> </w:t>
      </w:r>
      <w:r>
        <w:t>gelen</w:t>
      </w:r>
      <w:r>
        <w:rPr>
          <w:spacing w:val="-2"/>
        </w:rPr>
        <w:t xml:space="preserve"> </w:t>
      </w:r>
      <w:r>
        <w:t>kadınlar</w:t>
      </w:r>
      <w:r>
        <w:rPr>
          <w:spacing w:val="-3"/>
        </w:rPr>
        <w:t xml:space="preserve"> </w:t>
      </w:r>
      <w:r>
        <w:t>arasında</w:t>
      </w:r>
      <w:r>
        <w:rPr>
          <w:spacing w:val="-3"/>
        </w:rPr>
        <w:t xml:space="preserve"> </w:t>
      </w:r>
      <w:r>
        <w:t>ev</w:t>
      </w:r>
      <w:r>
        <w:rPr>
          <w:spacing w:val="-2"/>
        </w:rPr>
        <w:t xml:space="preserve"> </w:t>
      </w:r>
      <w:r>
        <w:t>hanımlığı yaygındır.</w:t>
      </w:r>
      <w:r>
        <w:rPr>
          <w:spacing w:val="-5"/>
        </w:rPr>
        <w:t xml:space="preserve"> </w:t>
      </w:r>
      <w:r>
        <w:t>Bu</w:t>
      </w:r>
      <w:r>
        <w:rPr>
          <w:spacing w:val="-8"/>
        </w:rPr>
        <w:t xml:space="preserve"> </w:t>
      </w:r>
      <w:r>
        <w:t>anlamda</w:t>
      </w:r>
      <w:r>
        <w:rPr>
          <w:spacing w:val="-9"/>
        </w:rPr>
        <w:t xml:space="preserve"> </w:t>
      </w:r>
      <w:r>
        <w:t>kadınların</w:t>
      </w:r>
      <w:r>
        <w:rPr>
          <w:spacing w:val="-5"/>
        </w:rPr>
        <w:t xml:space="preserve"> </w:t>
      </w:r>
      <w:r>
        <w:t>yaşam</w:t>
      </w:r>
      <w:r>
        <w:rPr>
          <w:spacing w:val="-7"/>
        </w:rPr>
        <w:t xml:space="preserve"> </w:t>
      </w:r>
      <w:r>
        <w:t>kalitesi</w:t>
      </w:r>
      <w:r>
        <w:rPr>
          <w:spacing w:val="-8"/>
        </w:rPr>
        <w:t xml:space="preserve"> </w:t>
      </w:r>
      <w:r>
        <w:t>eşlerinin</w:t>
      </w:r>
      <w:r>
        <w:rPr>
          <w:spacing w:val="-5"/>
        </w:rPr>
        <w:t xml:space="preserve"> </w:t>
      </w:r>
      <w:r>
        <w:t>yaşam</w:t>
      </w:r>
      <w:r>
        <w:rPr>
          <w:spacing w:val="-7"/>
        </w:rPr>
        <w:t xml:space="preserve"> </w:t>
      </w:r>
      <w:r>
        <w:t>kalitesi</w:t>
      </w:r>
      <w:r>
        <w:rPr>
          <w:spacing w:val="-8"/>
        </w:rPr>
        <w:t xml:space="preserve"> </w:t>
      </w:r>
      <w:r>
        <w:t>ve</w:t>
      </w:r>
      <w:r>
        <w:rPr>
          <w:spacing w:val="-9"/>
        </w:rPr>
        <w:t xml:space="preserve"> </w:t>
      </w:r>
      <w:r>
        <w:t>sosyal</w:t>
      </w:r>
      <w:r>
        <w:rPr>
          <w:spacing w:val="-5"/>
        </w:rPr>
        <w:t xml:space="preserve"> </w:t>
      </w:r>
      <w:r>
        <w:t>güvenlik imkanlarıyla doğru orantılıdır (Torlak ve Yavuzçehre, 2008: 34).</w:t>
      </w:r>
    </w:p>
    <w:p w14:paraId="588E8DC5">
      <w:pPr>
        <w:pStyle w:val="9"/>
        <w:spacing w:before="120" w:after="120" w:line="360" w:lineRule="auto"/>
        <w:ind w:left="0" w:firstLine="567"/>
      </w:pPr>
      <w:r>
        <w:t>Çalışan kadınların tatmin edici bir iş-yaşam dengesi kurmakta erkeklere göre daha fazla zorlandıkları görülmektedir. Bu durumun hayata geçmesinde toplumun kadından beklediği roller önemli bir yer işgal etmektedir. Öte yandan, az gelişmiş ülkelerdeki kadınların yaşadığı eğitim düzeyinin düşük olması, sosyal, ekonomik, kültürel ve sağlık alanlarında kadının aleyhine bir farklılık oluşması gibi olumsuzluklar kadınların yaşam kalitesini derinden etkilemektedir (Aslan, 2009:2). Az gelişmiş veya gelişmekte olan toplumların kadınlara dayattığı ev işleri, çocuk bakımı ve diğer aile üyelerine destek olma zorunluluğu gibi toplumsal cinsiyet rollerinin yol açtığı farklı beklenti ve sorumluluklar (Sabbah vd., 2003: 11) kadınların yaşam kalitesini erkeklere göre önemli ölçüde düşürmektedir.</w:t>
      </w:r>
    </w:p>
    <w:p w14:paraId="3E434B23">
      <w:pPr>
        <w:pStyle w:val="9"/>
        <w:spacing w:before="120" w:after="120" w:line="360" w:lineRule="auto"/>
        <w:ind w:left="0" w:firstLine="567"/>
      </w:pPr>
      <w:r>
        <w:t>Bu</w:t>
      </w:r>
      <w:r>
        <w:rPr>
          <w:spacing w:val="-15"/>
        </w:rPr>
        <w:t xml:space="preserve"> </w:t>
      </w:r>
      <w:r>
        <w:t>çerçevede</w:t>
      </w:r>
      <w:r>
        <w:rPr>
          <w:spacing w:val="-15"/>
        </w:rPr>
        <w:t xml:space="preserve"> </w:t>
      </w:r>
      <w:r>
        <w:t>yapılan</w:t>
      </w:r>
      <w:r>
        <w:rPr>
          <w:spacing w:val="-15"/>
        </w:rPr>
        <w:t xml:space="preserve"> </w:t>
      </w:r>
      <w:r>
        <w:t>araştırmalar,</w:t>
      </w:r>
      <w:r>
        <w:rPr>
          <w:spacing w:val="-15"/>
        </w:rPr>
        <w:t xml:space="preserve"> </w:t>
      </w:r>
      <w:r>
        <w:t>kadınların</w:t>
      </w:r>
      <w:r>
        <w:rPr>
          <w:spacing w:val="-15"/>
        </w:rPr>
        <w:t xml:space="preserve"> </w:t>
      </w:r>
      <w:r>
        <w:t>yaşam</w:t>
      </w:r>
      <w:r>
        <w:rPr>
          <w:spacing w:val="-15"/>
        </w:rPr>
        <w:t xml:space="preserve"> </w:t>
      </w:r>
      <w:r>
        <w:t>kalitesinin</w:t>
      </w:r>
      <w:r>
        <w:rPr>
          <w:spacing w:val="-15"/>
        </w:rPr>
        <w:t xml:space="preserve"> </w:t>
      </w:r>
      <w:r>
        <w:t>erkeklerden</w:t>
      </w:r>
      <w:r>
        <w:rPr>
          <w:spacing w:val="-15"/>
        </w:rPr>
        <w:t xml:space="preserve"> </w:t>
      </w:r>
      <w:r>
        <w:t>istatistiki</w:t>
      </w:r>
      <w:r>
        <w:rPr>
          <w:spacing w:val="-15"/>
        </w:rPr>
        <w:t xml:space="preserve"> </w:t>
      </w:r>
      <w:r>
        <w:t>olarak anlamlı düzeyde düşük olduğunu ortaya koymuş (Koçoğlu ve Akın, 2009: 149; Torlak ve Yavuzçehre,</w:t>
      </w:r>
      <w:r>
        <w:rPr>
          <w:spacing w:val="-4"/>
        </w:rPr>
        <w:t xml:space="preserve"> </w:t>
      </w:r>
      <w:r>
        <w:t>2008:</w:t>
      </w:r>
      <w:r>
        <w:rPr>
          <w:spacing w:val="-5"/>
        </w:rPr>
        <w:t xml:space="preserve"> </w:t>
      </w:r>
      <w:r>
        <w:t>34),</w:t>
      </w:r>
      <w:r>
        <w:rPr>
          <w:spacing w:val="-4"/>
        </w:rPr>
        <w:t xml:space="preserve"> </w:t>
      </w:r>
      <w:r>
        <w:t>bazı</w:t>
      </w:r>
      <w:r>
        <w:rPr>
          <w:spacing w:val="-5"/>
        </w:rPr>
        <w:t xml:space="preserve"> </w:t>
      </w:r>
      <w:r>
        <w:t>araştırmalar</w:t>
      </w:r>
      <w:r>
        <w:rPr>
          <w:spacing w:val="-7"/>
        </w:rPr>
        <w:t xml:space="preserve"> </w:t>
      </w:r>
      <w:r>
        <w:t>ise</w:t>
      </w:r>
      <w:r>
        <w:rPr>
          <w:spacing w:val="-6"/>
        </w:rPr>
        <w:t xml:space="preserve"> </w:t>
      </w:r>
      <w:r>
        <w:t>daha</w:t>
      </w:r>
      <w:r>
        <w:rPr>
          <w:spacing w:val="-2"/>
        </w:rPr>
        <w:t xml:space="preserve"> </w:t>
      </w:r>
      <w:r>
        <w:t>yüksek</w:t>
      </w:r>
      <w:r>
        <w:rPr>
          <w:spacing w:val="-4"/>
        </w:rPr>
        <w:t xml:space="preserve"> </w:t>
      </w:r>
      <w:r>
        <w:t>olduğunu</w:t>
      </w:r>
      <w:r>
        <w:rPr>
          <w:spacing w:val="-6"/>
        </w:rPr>
        <w:t xml:space="preserve"> </w:t>
      </w:r>
      <w:r>
        <w:t>tespit</w:t>
      </w:r>
      <w:r>
        <w:rPr>
          <w:spacing w:val="-5"/>
        </w:rPr>
        <w:t xml:space="preserve"> </w:t>
      </w:r>
      <w:r>
        <w:t>etmiştir</w:t>
      </w:r>
      <w:r>
        <w:rPr>
          <w:spacing w:val="-7"/>
        </w:rPr>
        <w:t xml:space="preserve"> </w:t>
      </w:r>
      <w:r>
        <w:t>(Gülmez, 2013:</w:t>
      </w:r>
      <w:r>
        <w:rPr>
          <w:spacing w:val="-4"/>
        </w:rPr>
        <w:t xml:space="preserve"> </w:t>
      </w:r>
      <w:r>
        <w:t>80;</w:t>
      </w:r>
      <w:r>
        <w:rPr>
          <w:spacing w:val="-4"/>
        </w:rPr>
        <w:t xml:space="preserve"> </w:t>
      </w:r>
      <w:r>
        <w:t>Eriş,</w:t>
      </w:r>
      <w:r>
        <w:rPr>
          <w:spacing w:val="-4"/>
        </w:rPr>
        <w:t xml:space="preserve"> </w:t>
      </w:r>
      <w:r>
        <w:t>2012:</w:t>
      </w:r>
      <w:r>
        <w:rPr>
          <w:spacing w:val="-5"/>
        </w:rPr>
        <w:t xml:space="preserve"> </w:t>
      </w:r>
      <w:r>
        <w:t>46).</w:t>
      </w:r>
      <w:r>
        <w:rPr>
          <w:spacing w:val="-4"/>
        </w:rPr>
        <w:t xml:space="preserve"> </w:t>
      </w:r>
      <w:r>
        <w:t>Bazı</w:t>
      </w:r>
      <w:r>
        <w:rPr>
          <w:spacing w:val="-4"/>
        </w:rPr>
        <w:t xml:space="preserve"> </w:t>
      </w:r>
      <w:r>
        <w:t>araştırmalar</w:t>
      </w:r>
      <w:r>
        <w:rPr>
          <w:spacing w:val="-5"/>
        </w:rPr>
        <w:t xml:space="preserve"> </w:t>
      </w:r>
      <w:r>
        <w:t>da</w:t>
      </w:r>
      <w:r>
        <w:rPr>
          <w:spacing w:val="-4"/>
        </w:rPr>
        <w:t xml:space="preserve"> </w:t>
      </w:r>
      <w:r>
        <w:t>cinsiyet</w:t>
      </w:r>
      <w:r>
        <w:rPr>
          <w:spacing w:val="-4"/>
        </w:rPr>
        <w:t xml:space="preserve"> </w:t>
      </w:r>
      <w:r>
        <w:t>ile</w:t>
      </w:r>
      <w:r>
        <w:rPr>
          <w:spacing w:val="-3"/>
        </w:rPr>
        <w:t xml:space="preserve"> </w:t>
      </w:r>
      <w:r>
        <w:t>yaşam</w:t>
      </w:r>
      <w:r>
        <w:rPr>
          <w:spacing w:val="-4"/>
        </w:rPr>
        <w:t xml:space="preserve"> </w:t>
      </w:r>
      <w:r>
        <w:t>kalitesi</w:t>
      </w:r>
      <w:r>
        <w:rPr>
          <w:spacing w:val="-4"/>
        </w:rPr>
        <w:t xml:space="preserve"> </w:t>
      </w:r>
      <w:r>
        <w:t>arasında</w:t>
      </w:r>
      <w:r>
        <w:rPr>
          <w:spacing w:val="-4"/>
        </w:rPr>
        <w:t xml:space="preserve"> </w:t>
      </w:r>
      <w:r>
        <w:t>istatistiki olarak</w:t>
      </w:r>
      <w:r>
        <w:rPr>
          <w:spacing w:val="-7"/>
        </w:rPr>
        <w:t xml:space="preserve"> </w:t>
      </w:r>
      <w:r>
        <w:t>anlamlı</w:t>
      </w:r>
      <w:r>
        <w:rPr>
          <w:spacing w:val="-7"/>
        </w:rPr>
        <w:t xml:space="preserve"> </w:t>
      </w:r>
      <w:r>
        <w:t>bir</w:t>
      </w:r>
      <w:r>
        <w:rPr>
          <w:spacing w:val="-7"/>
        </w:rPr>
        <w:t xml:space="preserve"> </w:t>
      </w:r>
      <w:r>
        <w:t>fark</w:t>
      </w:r>
      <w:r>
        <w:rPr>
          <w:spacing w:val="-7"/>
        </w:rPr>
        <w:t xml:space="preserve"> </w:t>
      </w:r>
      <w:r>
        <w:t>olmadığını</w:t>
      </w:r>
      <w:r>
        <w:rPr>
          <w:spacing w:val="-7"/>
        </w:rPr>
        <w:t xml:space="preserve"> </w:t>
      </w:r>
      <w:r>
        <w:t>saptamıştır</w:t>
      </w:r>
      <w:r>
        <w:rPr>
          <w:spacing w:val="-7"/>
        </w:rPr>
        <w:t xml:space="preserve"> </w:t>
      </w:r>
      <w:r>
        <w:t>(Ergen</w:t>
      </w:r>
      <w:r>
        <w:rPr>
          <w:spacing w:val="-7"/>
        </w:rPr>
        <w:t xml:space="preserve"> </w:t>
      </w:r>
      <w:r>
        <w:t>vd.,</w:t>
      </w:r>
      <w:r>
        <w:rPr>
          <w:spacing w:val="-7"/>
        </w:rPr>
        <w:t xml:space="preserve"> </w:t>
      </w:r>
      <w:r>
        <w:t>2011:</w:t>
      </w:r>
      <w:r>
        <w:rPr>
          <w:spacing w:val="-6"/>
        </w:rPr>
        <w:t xml:space="preserve"> </w:t>
      </w:r>
      <w:r>
        <w:t>14;</w:t>
      </w:r>
      <w:r>
        <w:rPr>
          <w:spacing w:val="-8"/>
        </w:rPr>
        <w:t xml:space="preserve"> </w:t>
      </w:r>
      <w:r>
        <w:t>Avcı</w:t>
      </w:r>
      <w:r>
        <w:rPr>
          <w:spacing w:val="-7"/>
        </w:rPr>
        <w:t xml:space="preserve"> </w:t>
      </w:r>
      <w:r>
        <w:t>ve</w:t>
      </w:r>
      <w:r>
        <w:rPr>
          <w:spacing w:val="-7"/>
        </w:rPr>
        <w:t xml:space="preserve"> </w:t>
      </w:r>
      <w:r>
        <w:t>Pala,</w:t>
      </w:r>
      <w:r>
        <w:rPr>
          <w:spacing w:val="-8"/>
        </w:rPr>
        <w:t xml:space="preserve"> </w:t>
      </w:r>
      <w:r>
        <w:t>2004:</w:t>
      </w:r>
      <w:r>
        <w:rPr>
          <w:spacing w:val="-6"/>
        </w:rPr>
        <w:t xml:space="preserve"> </w:t>
      </w:r>
      <w:r>
        <w:rPr>
          <w:spacing w:val="-4"/>
        </w:rPr>
        <w:t>83).</w:t>
      </w:r>
    </w:p>
    <w:p w14:paraId="356A7D87">
      <w:pPr>
        <w:pStyle w:val="9"/>
        <w:spacing w:before="120" w:after="120" w:line="360" w:lineRule="auto"/>
        <w:ind w:left="0" w:firstLine="567"/>
      </w:pPr>
      <w:r>
        <w:t>Yaşam kalitesi ile yaş arasındaki ilişkide, ergenlik ve yaşlılık gibi belirli bir yaş dönemini ele alarak yapılan çalışmaların çokluğu, yaşın yaşam kalitesi açısından önemli göstergelerden</w:t>
      </w:r>
      <w:r>
        <w:rPr>
          <w:spacing w:val="-6"/>
        </w:rPr>
        <w:t xml:space="preserve"> </w:t>
      </w:r>
      <w:r>
        <w:t>biri</w:t>
      </w:r>
      <w:r>
        <w:rPr>
          <w:spacing w:val="-6"/>
        </w:rPr>
        <w:t xml:space="preserve"> </w:t>
      </w:r>
      <w:r>
        <w:t>olduğunu</w:t>
      </w:r>
      <w:r>
        <w:rPr>
          <w:spacing w:val="-6"/>
        </w:rPr>
        <w:t xml:space="preserve"> </w:t>
      </w:r>
      <w:r>
        <w:t>ortaya</w:t>
      </w:r>
      <w:r>
        <w:rPr>
          <w:spacing w:val="-6"/>
        </w:rPr>
        <w:t xml:space="preserve"> </w:t>
      </w:r>
      <w:r>
        <w:t>koymaktadır</w:t>
      </w:r>
      <w:r>
        <w:rPr>
          <w:spacing w:val="-7"/>
        </w:rPr>
        <w:t xml:space="preserve"> </w:t>
      </w:r>
      <w:r>
        <w:t>(Öztop</w:t>
      </w:r>
      <w:r>
        <w:rPr>
          <w:spacing w:val="-6"/>
        </w:rPr>
        <w:t xml:space="preserve"> </w:t>
      </w:r>
      <w:r>
        <w:t>vd.,</w:t>
      </w:r>
      <w:r>
        <w:rPr>
          <w:spacing w:val="-6"/>
        </w:rPr>
        <w:t xml:space="preserve"> </w:t>
      </w:r>
      <w:r>
        <w:t>2009:957;</w:t>
      </w:r>
      <w:r>
        <w:rPr>
          <w:spacing w:val="-6"/>
        </w:rPr>
        <w:t xml:space="preserve"> </w:t>
      </w:r>
      <w:r>
        <w:t>Memik</w:t>
      </w:r>
      <w:r>
        <w:rPr>
          <w:spacing w:val="-8"/>
        </w:rPr>
        <w:t xml:space="preserve"> </w:t>
      </w:r>
      <w:r>
        <w:t>vd.,</w:t>
      </w:r>
      <w:r>
        <w:rPr>
          <w:spacing w:val="-6"/>
        </w:rPr>
        <w:t xml:space="preserve"> </w:t>
      </w:r>
      <w:r>
        <w:t>2007:353).</w:t>
      </w:r>
      <w:r>
        <w:rPr>
          <w:spacing w:val="-6"/>
        </w:rPr>
        <w:t xml:space="preserve"> </w:t>
      </w:r>
      <w:r>
        <w:t>Bazı yaşam</w:t>
      </w:r>
      <w:r>
        <w:rPr>
          <w:spacing w:val="-15"/>
        </w:rPr>
        <w:t xml:space="preserve"> </w:t>
      </w:r>
      <w:r>
        <w:t>kalitesi</w:t>
      </w:r>
      <w:r>
        <w:rPr>
          <w:spacing w:val="-15"/>
        </w:rPr>
        <w:t xml:space="preserve"> </w:t>
      </w:r>
      <w:r>
        <w:t>göstergelerinin</w:t>
      </w:r>
      <w:r>
        <w:rPr>
          <w:spacing w:val="-15"/>
        </w:rPr>
        <w:t xml:space="preserve"> </w:t>
      </w:r>
      <w:r>
        <w:t>her</w:t>
      </w:r>
      <w:r>
        <w:rPr>
          <w:spacing w:val="-15"/>
        </w:rPr>
        <w:t xml:space="preserve"> </w:t>
      </w:r>
      <w:r>
        <w:t>yaş</w:t>
      </w:r>
      <w:r>
        <w:rPr>
          <w:spacing w:val="-15"/>
        </w:rPr>
        <w:t xml:space="preserve"> </w:t>
      </w:r>
      <w:r>
        <w:t>döneminde</w:t>
      </w:r>
      <w:r>
        <w:rPr>
          <w:spacing w:val="-15"/>
        </w:rPr>
        <w:t xml:space="preserve"> </w:t>
      </w:r>
      <w:r>
        <w:t>ölçü</w:t>
      </w:r>
      <w:r>
        <w:rPr>
          <w:spacing w:val="-15"/>
        </w:rPr>
        <w:t xml:space="preserve"> </w:t>
      </w:r>
      <w:r>
        <w:t>olarak</w:t>
      </w:r>
      <w:r>
        <w:rPr>
          <w:spacing w:val="-15"/>
        </w:rPr>
        <w:t xml:space="preserve"> </w:t>
      </w:r>
      <w:r>
        <w:t>alınamaması</w:t>
      </w:r>
      <w:r>
        <w:rPr>
          <w:spacing w:val="-14"/>
        </w:rPr>
        <w:t xml:space="preserve"> </w:t>
      </w:r>
      <w:r>
        <w:t>da</w:t>
      </w:r>
      <w:r>
        <w:rPr>
          <w:spacing w:val="-15"/>
        </w:rPr>
        <w:t xml:space="preserve"> </w:t>
      </w:r>
      <w:r>
        <w:t>elzemdir.</w:t>
      </w:r>
      <w:r>
        <w:rPr>
          <w:spacing w:val="-15"/>
        </w:rPr>
        <w:t xml:space="preserve"> </w:t>
      </w:r>
      <w:r>
        <w:t>Zira, kaliteli</w:t>
      </w:r>
      <w:r>
        <w:rPr>
          <w:spacing w:val="-11"/>
        </w:rPr>
        <w:t xml:space="preserve"> </w:t>
      </w:r>
      <w:r>
        <w:t>bir</w:t>
      </w:r>
      <w:r>
        <w:rPr>
          <w:spacing w:val="-12"/>
        </w:rPr>
        <w:t xml:space="preserve"> </w:t>
      </w:r>
      <w:r>
        <w:t>emeklilik</w:t>
      </w:r>
      <w:r>
        <w:rPr>
          <w:spacing w:val="-9"/>
        </w:rPr>
        <w:t xml:space="preserve"> </w:t>
      </w:r>
      <w:r>
        <w:t>yaşlılar</w:t>
      </w:r>
      <w:r>
        <w:rPr>
          <w:spacing w:val="-13"/>
        </w:rPr>
        <w:t xml:space="preserve"> </w:t>
      </w:r>
      <w:r>
        <w:t>için</w:t>
      </w:r>
      <w:r>
        <w:rPr>
          <w:spacing w:val="-12"/>
        </w:rPr>
        <w:t xml:space="preserve"> </w:t>
      </w:r>
      <w:r>
        <w:t>önemli</w:t>
      </w:r>
      <w:r>
        <w:rPr>
          <w:spacing w:val="-11"/>
        </w:rPr>
        <w:t xml:space="preserve"> </w:t>
      </w:r>
      <w:r>
        <w:t>bir</w:t>
      </w:r>
      <w:r>
        <w:rPr>
          <w:spacing w:val="-10"/>
        </w:rPr>
        <w:t xml:space="preserve"> </w:t>
      </w:r>
      <w:r>
        <w:t>yaşam</w:t>
      </w:r>
      <w:r>
        <w:rPr>
          <w:spacing w:val="-11"/>
        </w:rPr>
        <w:t xml:space="preserve"> </w:t>
      </w:r>
      <w:r>
        <w:t>kalitesi</w:t>
      </w:r>
      <w:r>
        <w:rPr>
          <w:spacing w:val="-11"/>
        </w:rPr>
        <w:t xml:space="preserve"> </w:t>
      </w:r>
      <w:r>
        <w:t>göstergesiyken</w:t>
      </w:r>
      <w:r>
        <w:rPr>
          <w:spacing w:val="-12"/>
        </w:rPr>
        <w:t xml:space="preserve"> </w:t>
      </w:r>
      <w:r>
        <w:t>diğer</w:t>
      </w:r>
      <w:r>
        <w:rPr>
          <w:spacing w:val="-10"/>
        </w:rPr>
        <w:t xml:space="preserve"> </w:t>
      </w:r>
      <w:r>
        <w:t>yaş</w:t>
      </w:r>
      <w:r>
        <w:rPr>
          <w:spacing w:val="-11"/>
        </w:rPr>
        <w:t xml:space="preserve"> </w:t>
      </w:r>
      <w:r>
        <w:t>grupları için herhangi bir anlam ihtiva etmemektedir.</w:t>
      </w:r>
    </w:p>
    <w:p w14:paraId="4F06E8DB">
      <w:pPr>
        <w:pStyle w:val="9"/>
        <w:spacing w:before="120" w:after="120" w:line="360" w:lineRule="auto"/>
        <w:ind w:left="0" w:firstLine="567"/>
      </w:pPr>
      <w:r>
        <w:t>Yaşam kalitesinin her yaş döneminde önemli olduğu yapılan çalışmalarla analiz edilse de yaşam kalitesi açısından genellikle yaşlılık dönemi daha çok araştırılmaktadır (Bilir vd., 2005:663; Sabbah vd., 2003:10). Buna rastlanılmasında yaşlılık döneminin genellikle yaşam kalitesindeki düşüşün en fazla olduğu dönem olması önemli bir rol oynamaktadır. Bu dönemde artan sağlık sorunları, emeklilik sonrası gelirde azalma, rol ve statü kaybı, evden ayrılan çocuklar, eşin ölümü, anne babanın ölümü gibi yalnızlığı artırıcı hususlar, bilişsel becerilerde azalma ve sosyal hayattan kopukluk gibi konular yaşam kalitesini derinden etkilemektedir (Güven ve Şener, 2010: 180; Aslan, 2009: 3). Öte yandan, Bakar (2012:61) tarafından</w:t>
      </w:r>
      <w:r>
        <w:rPr>
          <w:spacing w:val="-11"/>
        </w:rPr>
        <w:t xml:space="preserve"> </w:t>
      </w:r>
      <w:r>
        <w:t>yapılan</w:t>
      </w:r>
      <w:r>
        <w:rPr>
          <w:spacing w:val="-15"/>
        </w:rPr>
        <w:t xml:space="preserve"> </w:t>
      </w:r>
      <w:r>
        <w:t>araştırmada,</w:t>
      </w:r>
      <w:r>
        <w:rPr>
          <w:spacing w:val="-15"/>
        </w:rPr>
        <w:t xml:space="preserve"> </w:t>
      </w:r>
      <w:r>
        <w:t>65</w:t>
      </w:r>
      <w:r>
        <w:rPr>
          <w:spacing w:val="-13"/>
        </w:rPr>
        <w:t xml:space="preserve"> </w:t>
      </w:r>
      <w:r>
        <w:t>yaş</w:t>
      </w:r>
      <w:r>
        <w:rPr>
          <w:spacing w:val="-15"/>
        </w:rPr>
        <w:t xml:space="preserve"> </w:t>
      </w:r>
      <w:r>
        <w:t>üstü</w:t>
      </w:r>
      <w:r>
        <w:rPr>
          <w:spacing w:val="-14"/>
        </w:rPr>
        <w:t xml:space="preserve"> </w:t>
      </w:r>
      <w:r>
        <w:t>bireylerde</w:t>
      </w:r>
      <w:r>
        <w:rPr>
          <w:spacing w:val="-15"/>
        </w:rPr>
        <w:t xml:space="preserve"> </w:t>
      </w:r>
      <w:r>
        <w:t>kadın</w:t>
      </w:r>
      <w:r>
        <w:rPr>
          <w:spacing w:val="-15"/>
        </w:rPr>
        <w:t xml:space="preserve"> </w:t>
      </w:r>
      <w:r>
        <w:t>olmanın,</w:t>
      </w:r>
      <w:r>
        <w:rPr>
          <w:spacing w:val="-15"/>
        </w:rPr>
        <w:t xml:space="preserve"> </w:t>
      </w:r>
      <w:r>
        <w:t>eğitim</w:t>
      </w:r>
      <w:r>
        <w:rPr>
          <w:spacing w:val="-14"/>
        </w:rPr>
        <w:t xml:space="preserve"> </w:t>
      </w:r>
      <w:r>
        <w:t>düzeyinin,</w:t>
      </w:r>
      <w:r>
        <w:rPr>
          <w:spacing w:val="-13"/>
        </w:rPr>
        <w:t xml:space="preserve"> </w:t>
      </w:r>
      <w:r>
        <w:t>gelir düzeyinin</w:t>
      </w:r>
      <w:r>
        <w:rPr>
          <w:spacing w:val="-3"/>
        </w:rPr>
        <w:t xml:space="preserve"> </w:t>
      </w:r>
      <w:r>
        <w:t>düşük</w:t>
      </w:r>
      <w:r>
        <w:rPr>
          <w:spacing w:val="-3"/>
        </w:rPr>
        <w:t xml:space="preserve"> </w:t>
      </w:r>
      <w:r>
        <w:t>olması,</w:t>
      </w:r>
      <w:r>
        <w:rPr>
          <w:spacing w:val="-3"/>
        </w:rPr>
        <w:t xml:space="preserve"> </w:t>
      </w:r>
      <w:r>
        <w:t>sağlık</w:t>
      </w:r>
      <w:r>
        <w:rPr>
          <w:spacing w:val="-3"/>
        </w:rPr>
        <w:t xml:space="preserve"> </w:t>
      </w:r>
      <w:r>
        <w:t>algısının</w:t>
      </w:r>
      <w:r>
        <w:rPr>
          <w:spacing w:val="-3"/>
        </w:rPr>
        <w:t xml:space="preserve"> </w:t>
      </w:r>
      <w:r>
        <w:t>zayıf</w:t>
      </w:r>
      <w:r>
        <w:rPr>
          <w:spacing w:val="-2"/>
        </w:rPr>
        <w:t xml:space="preserve"> </w:t>
      </w:r>
      <w:r>
        <w:t>olması</w:t>
      </w:r>
      <w:r>
        <w:rPr>
          <w:spacing w:val="-3"/>
        </w:rPr>
        <w:t xml:space="preserve"> </w:t>
      </w:r>
      <w:r>
        <w:t>ve</w:t>
      </w:r>
      <w:r>
        <w:rPr>
          <w:spacing w:val="-3"/>
        </w:rPr>
        <w:t xml:space="preserve"> </w:t>
      </w:r>
      <w:r>
        <w:t>herhangi</w:t>
      </w:r>
      <w:r>
        <w:rPr>
          <w:spacing w:val="-3"/>
        </w:rPr>
        <w:t xml:space="preserve"> </w:t>
      </w:r>
      <w:r>
        <w:t>bir</w:t>
      </w:r>
      <w:r>
        <w:rPr>
          <w:spacing w:val="-3"/>
        </w:rPr>
        <w:t xml:space="preserve"> </w:t>
      </w:r>
      <w:r>
        <w:t>kronik</w:t>
      </w:r>
      <w:r>
        <w:rPr>
          <w:spacing w:val="-3"/>
        </w:rPr>
        <w:t xml:space="preserve"> </w:t>
      </w:r>
      <w:r>
        <w:t>hastalığa</w:t>
      </w:r>
      <w:r>
        <w:rPr>
          <w:spacing w:val="-4"/>
        </w:rPr>
        <w:t xml:space="preserve"> </w:t>
      </w:r>
      <w:r>
        <w:t>sahip olmanın yaşam kalitesini olumsuz etkilediği belirlenmiştir.</w:t>
      </w:r>
    </w:p>
    <w:p w14:paraId="7DCD6C4A">
      <w:pPr>
        <w:pStyle w:val="9"/>
        <w:spacing w:before="120" w:after="120" w:line="360" w:lineRule="auto"/>
        <w:ind w:left="0" w:firstLine="567"/>
      </w:pPr>
      <w:r>
        <w:t>Yaşam kalitesini etkileyen bir diğer faktör ise medeni durumdur. Bu bağlamda, en önemli hususların</w:t>
      </w:r>
      <w:r>
        <w:rPr>
          <w:spacing w:val="-15"/>
        </w:rPr>
        <w:t xml:space="preserve"> </w:t>
      </w:r>
      <w:r>
        <w:t>başında</w:t>
      </w:r>
      <w:r>
        <w:rPr>
          <w:spacing w:val="-15"/>
        </w:rPr>
        <w:t xml:space="preserve"> </w:t>
      </w:r>
      <w:r>
        <w:t>kişinin</w:t>
      </w:r>
      <w:r>
        <w:rPr>
          <w:spacing w:val="-15"/>
        </w:rPr>
        <w:t xml:space="preserve"> </w:t>
      </w:r>
      <w:r>
        <w:t>dul</w:t>
      </w:r>
      <w:r>
        <w:rPr>
          <w:spacing w:val="-15"/>
        </w:rPr>
        <w:t xml:space="preserve"> </w:t>
      </w:r>
      <w:r>
        <w:t>veya</w:t>
      </w:r>
      <w:r>
        <w:rPr>
          <w:spacing w:val="-15"/>
        </w:rPr>
        <w:t xml:space="preserve"> </w:t>
      </w:r>
      <w:r>
        <w:t>boşanmış</w:t>
      </w:r>
      <w:r>
        <w:rPr>
          <w:spacing w:val="-15"/>
        </w:rPr>
        <w:t xml:space="preserve"> </w:t>
      </w:r>
      <w:r>
        <w:t>olması</w:t>
      </w:r>
      <w:r>
        <w:rPr>
          <w:spacing w:val="-15"/>
        </w:rPr>
        <w:t xml:space="preserve"> </w:t>
      </w:r>
      <w:r>
        <w:t>hali</w:t>
      </w:r>
      <w:r>
        <w:rPr>
          <w:spacing w:val="-15"/>
        </w:rPr>
        <w:t xml:space="preserve"> </w:t>
      </w:r>
      <w:r>
        <w:t>gelmektedir.</w:t>
      </w:r>
      <w:r>
        <w:rPr>
          <w:spacing w:val="-15"/>
        </w:rPr>
        <w:t xml:space="preserve"> </w:t>
      </w:r>
      <w:r>
        <w:t>Bekar</w:t>
      </w:r>
      <w:r>
        <w:rPr>
          <w:spacing w:val="-15"/>
        </w:rPr>
        <w:t xml:space="preserve"> </w:t>
      </w:r>
      <w:r>
        <w:t>veya</w:t>
      </w:r>
      <w:r>
        <w:rPr>
          <w:spacing w:val="-15"/>
        </w:rPr>
        <w:t xml:space="preserve"> </w:t>
      </w:r>
      <w:r>
        <w:t>evli</w:t>
      </w:r>
      <w:r>
        <w:rPr>
          <w:spacing w:val="-15"/>
        </w:rPr>
        <w:t xml:space="preserve"> </w:t>
      </w:r>
      <w:r>
        <w:t>olmak gelişmiş toplumlarda doğal karşılanan bir durumken, özellikle az gelişmiş ve gelişmekte olan toplumlarda dul veya boşanmış olmak kolaylıkla kabul görmemekle birlikte yaşam kalitesinin düşüklüğünün de en önemli göstergelerinden biri olarak değerlendirilmektedir. Aynı</w:t>
      </w:r>
      <w:r>
        <w:rPr>
          <w:spacing w:val="-2"/>
        </w:rPr>
        <w:t xml:space="preserve"> </w:t>
      </w:r>
      <w:r>
        <w:t>zamanda</w:t>
      </w:r>
      <w:r>
        <w:rPr>
          <w:spacing w:val="-1"/>
        </w:rPr>
        <w:t xml:space="preserve"> </w:t>
      </w:r>
      <w:r>
        <w:t>cinsiyet eşitsizliği</w:t>
      </w:r>
      <w:r>
        <w:rPr>
          <w:spacing w:val="-2"/>
        </w:rPr>
        <w:t xml:space="preserve"> </w:t>
      </w:r>
      <w:r>
        <w:t>ve</w:t>
      </w:r>
      <w:r>
        <w:rPr>
          <w:spacing w:val="-3"/>
        </w:rPr>
        <w:t xml:space="preserve"> </w:t>
      </w:r>
      <w:r>
        <w:t>kadının</w:t>
      </w:r>
      <w:r>
        <w:rPr>
          <w:spacing w:val="-2"/>
        </w:rPr>
        <w:t xml:space="preserve"> </w:t>
      </w:r>
      <w:r>
        <w:t>namus</w:t>
      </w:r>
      <w:r>
        <w:rPr>
          <w:spacing w:val="-2"/>
        </w:rPr>
        <w:t xml:space="preserve"> </w:t>
      </w:r>
      <w:r>
        <w:t>kavramıyla</w:t>
      </w:r>
      <w:r>
        <w:rPr>
          <w:spacing w:val="-3"/>
        </w:rPr>
        <w:t xml:space="preserve"> </w:t>
      </w:r>
      <w:r>
        <w:t>bütünleşmesi</w:t>
      </w:r>
      <w:r>
        <w:rPr>
          <w:spacing w:val="-2"/>
        </w:rPr>
        <w:t xml:space="preserve"> </w:t>
      </w:r>
      <w:r>
        <w:t>nedeniyle</w:t>
      </w:r>
      <w:r>
        <w:rPr>
          <w:spacing w:val="-3"/>
        </w:rPr>
        <w:t xml:space="preserve"> </w:t>
      </w:r>
      <w:r>
        <w:t>dul ya</w:t>
      </w:r>
      <w:r>
        <w:rPr>
          <w:spacing w:val="61"/>
        </w:rPr>
        <w:t xml:space="preserve"> </w:t>
      </w:r>
      <w:r>
        <w:t>da</w:t>
      </w:r>
      <w:r>
        <w:rPr>
          <w:spacing w:val="61"/>
        </w:rPr>
        <w:t xml:space="preserve"> </w:t>
      </w:r>
      <w:r>
        <w:t>boşanmış</w:t>
      </w:r>
      <w:r>
        <w:rPr>
          <w:spacing w:val="61"/>
        </w:rPr>
        <w:t xml:space="preserve"> </w:t>
      </w:r>
      <w:r>
        <w:t>kadınların,</w:t>
      </w:r>
      <w:r>
        <w:rPr>
          <w:spacing w:val="60"/>
        </w:rPr>
        <w:t xml:space="preserve"> </w:t>
      </w:r>
      <w:r>
        <w:t>dul</w:t>
      </w:r>
      <w:r>
        <w:rPr>
          <w:spacing w:val="65"/>
        </w:rPr>
        <w:t xml:space="preserve"> </w:t>
      </w:r>
      <w:r>
        <w:t>ya</w:t>
      </w:r>
      <w:r>
        <w:rPr>
          <w:spacing w:val="60"/>
        </w:rPr>
        <w:t xml:space="preserve"> </w:t>
      </w:r>
      <w:r>
        <w:t>da</w:t>
      </w:r>
      <w:r>
        <w:rPr>
          <w:spacing w:val="61"/>
        </w:rPr>
        <w:t xml:space="preserve"> </w:t>
      </w:r>
      <w:r>
        <w:t>boşanmış</w:t>
      </w:r>
      <w:r>
        <w:rPr>
          <w:spacing w:val="61"/>
        </w:rPr>
        <w:t xml:space="preserve"> </w:t>
      </w:r>
      <w:r>
        <w:t>erkeklere</w:t>
      </w:r>
      <w:r>
        <w:rPr>
          <w:spacing w:val="63"/>
        </w:rPr>
        <w:t xml:space="preserve"> </w:t>
      </w:r>
      <w:r>
        <w:t>göre</w:t>
      </w:r>
      <w:r>
        <w:rPr>
          <w:spacing w:val="62"/>
        </w:rPr>
        <w:t xml:space="preserve"> </w:t>
      </w:r>
      <w:r>
        <w:t>daha</w:t>
      </w:r>
      <w:r>
        <w:rPr>
          <w:spacing w:val="61"/>
        </w:rPr>
        <w:t xml:space="preserve"> </w:t>
      </w:r>
      <w:r>
        <w:t>fazla</w:t>
      </w:r>
      <w:r>
        <w:rPr>
          <w:spacing w:val="61"/>
        </w:rPr>
        <w:t xml:space="preserve"> </w:t>
      </w:r>
      <w:r>
        <w:rPr>
          <w:spacing w:val="-2"/>
        </w:rPr>
        <w:t>dışlandığı,</w:t>
      </w:r>
      <w:r>
        <w:t xml:space="preserve"> yoksulluk riskiyle karşı karşıya kaldıkları, sorumluluklarının arttığı ve yaşam kalitelerinin azaldığı görülmektedir (Aydıner Boylu ve Öztop, 2013:19; Akgül Sarpkaya, 2012:50).</w:t>
      </w:r>
    </w:p>
    <w:p w14:paraId="0FD81914">
      <w:pPr>
        <w:pStyle w:val="9"/>
        <w:spacing w:before="120" w:after="120" w:line="360" w:lineRule="auto"/>
        <w:ind w:left="0" w:firstLine="567"/>
      </w:pPr>
      <w:r>
        <w:t>Bu kapsamda, dul ya da boşanmış olmak sadece cinsiyet açısından yaşam kalitesini farklılaştırmamakta,</w:t>
      </w:r>
      <w:r>
        <w:rPr>
          <w:spacing w:val="-15"/>
        </w:rPr>
        <w:t xml:space="preserve"> </w:t>
      </w:r>
      <w:r>
        <w:t>aynı</w:t>
      </w:r>
      <w:r>
        <w:rPr>
          <w:spacing w:val="-15"/>
        </w:rPr>
        <w:t xml:space="preserve"> </w:t>
      </w:r>
      <w:r>
        <w:t>zamanda</w:t>
      </w:r>
      <w:r>
        <w:rPr>
          <w:spacing w:val="-15"/>
        </w:rPr>
        <w:t xml:space="preserve"> </w:t>
      </w:r>
      <w:r>
        <w:t>yaş</w:t>
      </w:r>
      <w:r>
        <w:rPr>
          <w:spacing w:val="-15"/>
        </w:rPr>
        <w:t xml:space="preserve"> </w:t>
      </w:r>
      <w:r>
        <w:t>açısından</w:t>
      </w:r>
      <w:r>
        <w:rPr>
          <w:spacing w:val="-15"/>
        </w:rPr>
        <w:t xml:space="preserve"> </w:t>
      </w:r>
      <w:r>
        <w:t>da</w:t>
      </w:r>
      <w:r>
        <w:rPr>
          <w:spacing w:val="-15"/>
        </w:rPr>
        <w:t xml:space="preserve"> </w:t>
      </w:r>
      <w:r>
        <w:t>yaşam</w:t>
      </w:r>
      <w:r>
        <w:rPr>
          <w:spacing w:val="-15"/>
        </w:rPr>
        <w:t xml:space="preserve"> </w:t>
      </w:r>
      <w:r>
        <w:t>kalitesini</w:t>
      </w:r>
      <w:r>
        <w:rPr>
          <w:spacing w:val="-15"/>
        </w:rPr>
        <w:t xml:space="preserve"> </w:t>
      </w:r>
      <w:r>
        <w:t>etkilemektedir.</w:t>
      </w:r>
      <w:r>
        <w:rPr>
          <w:spacing w:val="-15"/>
        </w:rPr>
        <w:t xml:space="preserve"> </w:t>
      </w:r>
      <w:r>
        <w:t>Yaşlılar arasında yapılan bir çalışmada cinsiyete bakılmaksızın dul ya da bekar olmanın yaşam kalitesini önemli ölçüde azalttığı ve bu sonucun tamamen yaş faktöründen kaynaklanabileceği bildirilmiştir (Bakar, 2012:60).</w:t>
      </w:r>
    </w:p>
    <w:p w14:paraId="63C5D45F">
      <w:pPr>
        <w:pStyle w:val="9"/>
        <w:spacing w:before="120" w:after="120" w:line="360" w:lineRule="auto"/>
        <w:ind w:left="0" w:firstLine="567"/>
      </w:pPr>
      <w:r>
        <w:t>Medeni durum ile yaşam kalitesi arasındaki ilişkinin bir başka yönü de evli olmak veya bir eşle</w:t>
      </w:r>
      <w:r>
        <w:rPr>
          <w:spacing w:val="-12"/>
        </w:rPr>
        <w:t xml:space="preserve"> </w:t>
      </w:r>
      <w:r>
        <w:t>birlikte</w:t>
      </w:r>
      <w:r>
        <w:rPr>
          <w:spacing w:val="-10"/>
        </w:rPr>
        <w:t xml:space="preserve"> </w:t>
      </w:r>
      <w:r>
        <w:t>yaşamaktır.</w:t>
      </w:r>
      <w:r>
        <w:rPr>
          <w:spacing w:val="-10"/>
        </w:rPr>
        <w:t xml:space="preserve"> </w:t>
      </w:r>
      <w:r>
        <w:t>Araştırmalar</w:t>
      </w:r>
      <w:r>
        <w:rPr>
          <w:spacing w:val="-10"/>
        </w:rPr>
        <w:t xml:space="preserve"> </w:t>
      </w:r>
      <w:r>
        <w:t>evli</w:t>
      </w:r>
      <w:r>
        <w:rPr>
          <w:spacing w:val="-11"/>
        </w:rPr>
        <w:t xml:space="preserve"> </w:t>
      </w:r>
      <w:r>
        <w:t>olmanın</w:t>
      </w:r>
      <w:r>
        <w:rPr>
          <w:spacing w:val="-9"/>
        </w:rPr>
        <w:t xml:space="preserve"> </w:t>
      </w:r>
      <w:r>
        <w:t>ya</w:t>
      </w:r>
      <w:r>
        <w:rPr>
          <w:spacing w:val="-13"/>
        </w:rPr>
        <w:t xml:space="preserve"> </w:t>
      </w:r>
      <w:r>
        <w:t>da</w:t>
      </w:r>
      <w:r>
        <w:rPr>
          <w:spacing w:val="-13"/>
        </w:rPr>
        <w:t xml:space="preserve"> </w:t>
      </w:r>
      <w:r>
        <w:t>bir</w:t>
      </w:r>
      <w:r>
        <w:rPr>
          <w:spacing w:val="-12"/>
        </w:rPr>
        <w:t xml:space="preserve"> </w:t>
      </w:r>
      <w:r>
        <w:t>eşle</w:t>
      </w:r>
      <w:r>
        <w:rPr>
          <w:spacing w:val="-8"/>
        </w:rPr>
        <w:t xml:space="preserve"> </w:t>
      </w:r>
      <w:r>
        <w:t>yaşamanın</w:t>
      </w:r>
      <w:r>
        <w:rPr>
          <w:spacing w:val="-9"/>
        </w:rPr>
        <w:t xml:space="preserve"> </w:t>
      </w:r>
      <w:r>
        <w:t>yaşam</w:t>
      </w:r>
      <w:r>
        <w:rPr>
          <w:spacing w:val="-11"/>
        </w:rPr>
        <w:t xml:space="preserve"> </w:t>
      </w:r>
      <w:r>
        <w:t xml:space="preserve">kalitesini önemli ölçüde artırdığını göstermektedir (Avcı ve Pala, 2004: 83). Bunun nedeni evliliğin veya çok eşliliğin birey için birincil ve sürekli bir sosyal destek sistemi oluşturması, bireyi ekonomik olarak güçlendirmesi ve yalnızlık algısını ortadan kaldırması olarak ele </w:t>
      </w:r>
      <w:r>
        <w:rPr>
          <w:spacing w:val="-2"/>
        </w:rPr>
        <w:t>alınabilecektir.</w:t>
      </w:r>
    </w:p>
    <w:p w14:paraId="13945504">
      <w:pPr>
        <w:pStyle w:val="9"/>
        <w:spacing w:before="120" w:after="120" w:line="360" w:lineRule="auto"/>
        <w:ind w:left="0" w:firstLine="567"/>
      </w:pPr>
      <w:r>
        <w:t>Yaşam kalitesini etkileyen en önemli göstergelerden diğeri de eğitimdir. Eğitimin kişisel gelişim, işin kalitesi ve kişinin istihdamı üzerinde doğrudan etkisi bulunmaktadır (Fahey vd.,</w:t>
      </w:r>
      <w:r>
        <w:rPr>
          <w:spacing w:val="-14"/>
        </w:rPr>
        <w:t xml:space="preserve"> </w:t>
      </w:r>
      <w:r>
        <w:t>2003:</w:t>
      </w:r>
      <w:r>
        <w:rPr>
          <w:spacing w:val="-14"/>
        </w:rPr>
        <w:t xml:space="preserve"> </w:t>
      </w:r>
      <w:r>
        <w:t>23).</w:t>
      </w:r>
      <w:r>
        <w:rPr>
          <w:spacing w:val="-15"/>
        </w:rPr>
        <w:t xml:space="preserve"> </w:t>
      </w:r>
      <w:r>
        <w:t>Genel</w:t>
      </w:r>
      <w:r>
        <w:rPr>
          <w:spacing w:val="-14"/>
        </w:rPr>
        <w:t xml:space="preserve"> </w:t>
      </w:r>
      <w:r>
        <w:t>olarak,</w:t>
      </w:r>
      <w:r>
        <w:rPr>
          <w:spacing w:val="-14"/>
        </w:rPr>
        <w:t xml:space="preserve"> </w:t>
      </w:r>
      <w:r>
        <w:t>daha</w:t>
      </w:r>
      <w:r>
        <w:rPr>
          <w:spacing w:val="-13"/>
        </w:rPr>
        <w:t xml:space="preserve"> </w:t>
      </w:r>
      <w:r>
        <w:t>yüksek</w:t>
      </w:r>
      <w:r>
        <w:rPr>
          <w:spacing w:val="-14"/>
        </w:rPr>
        <w:t xml:space="preserve"> </w:t>
      </w:r>
      <w:r>
        <w:t>eğitim düzeyine</w:t>
      </w:r>
      <w:r>
        <w:rPr>
          <w:spacing w:val="-15"/>
        </w:rPr>
        <w:t xml:space="preserve"> </w:t>
      </w:r>
      <w:r>
        <w:t>sahip</w:t>
      </w:r>
      <w:r>
        <w:rPr>
          <w:spacing w:val="-15"/>
        </w:rPr>
        <w:t xml:space="preserve"> </w:t>
      </w:r>
      <w:r>
        <w:t>olanların</w:t>
      </w:r>
      <w:r>
        <w:rPr>
          <w:spacing w:val="-15"/>
        </w:rPr>
        <w:t xml:space="preserve"> </w:t>
      </w:r>
      <w:r>
        <w:t>daha</w:t>
      </w:r>
      <w:r>
        <w:rPr>
          <w:spacing w:val="-13"/>
        </w:rPr>
        <w:t xml:space="preserve"> </w:t>
      </w:r>
      <w:r>
        <w:t>yüksek</w:t>
      </w:r>
      <w:r>
        <w:rPr>
          <w:spacing w:val="-11"/>
        </w:rPr>
        <w:t xml:space="preserve"> </w:t>
      </w:r>
      <w:r>
        <w:t>gelirleri</w:t>
      </w:r>
      <w:r>
        <w:rPr>
          <w:spacing w:val="-15"/>
        </w:rPr>
        <w:t xml:space="preserve"> </w:t>
      </w:r>
      <w:r>
        <w:t>ve</w:t>
      </w:r>
      <w:r>
        <w:rPr>
          <w:spacing w:val="-15"/>
        </w:rPr>
        <w:t xml:space="preserve"> </w:t>
      </w:r>
      <w:r>
        <w:t>nitelikli</w:t>
      </w:r>
      <w:r>
        <w:rPr>
          <w:spacing w:val="-15"/>
        </w:rPr>
        <w:t xml:space="preserve"> </w:t>
      </w:r>
      <w:r>
        <w:t>işleri,</w:t>
      </w:r>
      <w:r>
        <w:rPr>
          <w:spacing w:val="-13"/>
        </w:rPr>
        <w:t xml:space="preserve"> </w:t>
      </w:r>
      <w:r>
        <w:t>daha</w:t>
      </w:r>
      <w:r>
        <w:rPr>
          <w:spacing w:val="-15"/>
        </w:rPr>
        <w:t xml:space="preserve"> </w:t>
      </w:r>
      <w:r>
        <w:t>iyi</w:t>
      </w:r>
      <w:r>
        <w:rPr>
          <w:spacing w:val="-15"/>
        </w:rPr>
        <w:t xml:space="preserve"> </w:t>
      </w:r>
      <w:r>
        <w:t>sosyal</w:t>
      </w:r>
      <w:r>
        <w:rPr>
          <w:spacing w:val="-13"/>
        </w:rPr>
        <w:t xml:space="preserve"> </w:t>
      </w:r>
      <w:r>
        <w:t>fırsatları</w:t>
      </w:r>
      <w:r>
        <w:rPr>
          <w:spacing w:val="-13"/>
        </w:rPr>
        <w:t xml:space="preserve"> </w:t>
      </w:r>
      <w:r>
        <w:t>elde etmekte ve dolayısıyla daha yüksek yaşam kalitesine sahip olmaktadır. Öte yandan eğitim düzeyi</w:t>
      </w:r>
      <w:r>
        <w:rPr>
          <w:spacing w:val="-11"/>
        </w:rPr>
        <w:t xml:space="preserve"> </w:t>
      </w:r>
      <w:r>
        <w:t>düşük</w:t>
      </w:r>
      <w:r>
        <w:rPr>
          <w:spacing w:val="-11"/>
        </w:rPr>
        <w:t xml:space="preserve"> </w:t>
      </w:r>
      <w:r>
        <w:t>olanların</w:t>
      </w:r>
      <w:r>
        <w:rPr>
          <w:spacing w:val="-12"/>
        </w:rPr>
        <w:t xml:space="preserve"> </w:t>
      </w:r>
      <w:r>
        <w:t>işsizlik,</w:t>
      </w:r>
      <w:r>
        <w:rPr>
          <w:spacing w:val="-12"/>
        </w:rPr>
        <w:t xml:space="preserve"> </w:t>
      </w:r>
      <w:r>
        <w:t>kötü</w:t>
      </w:r>
      <w:r>
        <w:rPr>
          <w:spacing w:val="-11"/>
        </w:rPr>
        <w:t xml:space="preserve"> </w:t>
      </w:r>
      <w:r>
        <w:t>çalışma</w:t>
      </w:r>
      <w:r>
        <w:rPr>
          <w:spacing w:val="-12"/>
        </w:rPr>
        <w:t xml:space="preserve"> </w:t>
      </w:r>
      <w:r>
        <w:t>koşulları,</w:t>
      </w:r>
      <w:r>
        <w:rPr>
          <w:spacing w:val="-11"/>
        </w:rPr>
        <w:t xml:space="preserve"> </w:t>
      </w:r>
      <w:r>
        <w:t>düşük</w:t>
      </w:r>
      <w:r>
        <w:rPr>
          <w:spacing w:val="-11"/>
        </w:rPr>
        <w:t xml:space="preserve"> </w:t>
      </w:r>
      <w:r>
        <w:t>ücretler,</w:t>
      </w:r>
      <w:r>
        <w:rPr>
          <w:spacing w:val="-12"/>
        </w:rPr>
        <w:t xml:space="preserve"> </w:t>
      </w:r>
      <w:r>
        <w:t>ekonomik</w:t>
      </w:r>
      <w:r>
        <w:rPr>
          <w:spacing w:val="-9"/>
        </w:rPr>
        <w:t xml:space="preserve"> </w:t>
      </w:r>
      <w:r>
        <w:t>yoksunluk, sosyal</w:t>
      </w:r>
      <w:r>
        <w:rPr>
          <w:spacing w:val="-7"/>
        </w:rPr>
        <w:t xml:space="preserve"> </w:t>
      </w:r>
      <w:r>
        <w:t>imkanlardan</w:t>
      </w:r>
      <w:r>
        <w:rPr>
          <w:spacing w:val="-5"/>
        </w:rPr>
        <w:t xml:space="preserve"> </w:t>
      </w:r>
      <w:r>
        <w:t>yararlanamama,</w:t>
      </w:r>
      <w:r>
        <w:rPr>
          <w:spacing w:val="-8"/>
        </w:rPr>
        <w:t xml:space="preserve"> </w:t>
      </w:r>
      <w:r>
        <w:t>sürekli</w:t>
      </w:r>
      <w:r>
        <w:rPr>
          <w:spacing w:val="-5"/>
        </w:rPr>
        <w:t xml:space="preserve"> </w:t>
      </w:r>
      <w:r>
        <w:t>maddi,</w:t>
      </w:r>
      <w:r>
        <w:rPr>
          <w:spacing w:val="-8"/>
        </w:rPr>
        <w:t xml:space="preserve"> </w:t>
      </w:r>
      <w:r>
        <w:t>sosyal</w:t>
      </w:r>
      <w:r>
        <w:rPr>
          <w:spacing w:val="-7"/>
        </w:rPr>
        <w:t xml:space="preserve"> </w:t>
      </w:r>
      <w:r>
        <w:t>ve</w:t>
      </w:r>
      <w:r>
        <w:rPr>
          <w:spacing w:val="-9"/>
        </w:rPr>
        <w:t xml:space="preserve"> </w:t>
      </w:r>
      <w:r>
        <w:t>psikolojik</w:t>
      </w:r>
      <w:r>
        <w:rPr>
          <w:spacing w:val="-7"/>
        </w:rPr>
        <w:t xml:space="preserve"> </w:t>
      </w:r>
      <w:r>
        <w:t>kaygılar</w:t>
      </w:r>
      <w:r>
        <w:rPr>
          <w:spacing w:val="-9"/>
        </w:rPr>
        <w:t xml:space="preserve"> </w:t>
      </w:r>
      <w:r>
        <w:t>ile</w:t>
      </w:r>
      <w:r>
        <w:rPr>
          <w:spacing w:val="-4"/>
        </w:rPr>
        <w:t xml:space="preserve"> </w:t>
      </w:r>
      <w:r>
        <w:t>yetersiz beslenme</w:t>
      </w:r>
      <w:r>
        <w:rPr>
          <w:spacing w:val="-11"/>
        </w:rPr>
        <w:t xml:space="preserve"> </w:t>
      </w:r>
      <w:r>
        <w:t>nedeniyle</w:t>
      </w:r>
      <w:r>
        <w:rPr>
          <w:spacing w:val="-8"/>
        </w:rPr>
        <w:t xml:space="preserve"> </w:t>
      </w:r>
      <w:r>
        <w:t>yaşam</w:t>
      </w:r>
      <w:r>
        <w:rPr>
          <w:spacing w:val="-11"/>
        </w:rPr>
        <w:t xml:space="preserve"> </w:t>
      </w:r>
      <w:r>
        <w:t>kalitelerinin</w:t>
      </w:r>
      <w:r>
        <w:rPr>
          <w:spacing w:val="-11"/>
        </w:rPr>
        <w:t xml:space="preserve"> </w:t>
      </w:r>
      <w:r>
        <w:t>düşük</w:t>
      </w:r>
      <w:r>
        <w:rPr>
          <w:spacing w:val="-11"/>
        </w:rPr>
        <w:t xml:space="preserve"> </w:t>
      </w:r>
      <w:r>
        <w:t>olduğu</w:t>
      </w:r>
      <w:r>
        <w:rPr>
          <w:spacing w:val="-11"/>
        </w:rPr>
        <w:t xml:space="preserve"> </w:t>
      </w:r>
      <w:r>
        <w:t>bilinmektedir</w:t>
      </w:r>
      <w:r>
        <w:rPr>
          <w:spacing w:val="-10"/>
        </w:rPr>
        <w:t xml:space="preserve"> </w:t>
      </w:r>
      <w:r>
        <w:t>(Torlak</w:t>
      </w:r>
      <w:r>
        <w:rPr>
          <w:spacing w:val="-11"/>
        </w:rPr>
        <w:t xml:space="preserve"> </w:t>
      </w:r>
      <w:r>
        <w:t>ve</w:t>
      </w:r>
      <w:r>
        <w:rPr>
          <w:spacing w:val="-10"/>
        </w:rPr>
        <w:t xml:space="preserve"> </w:t>
      </w:r>
      <w:r>
        <w:t>Yavuzçehre, 2008:23; Avrupa Yaşam ve Çalışma Koşullarını İyileştirme Vakfı, 2004:3). Torlak ve Yavuzçehre (2008:23) tarafından yapılan çalışmada eğitim düzeyi yükseldikçe yaşam kalitesinin arttığı belirlenmiştir.</w:t>
      </w:r>
    </w:p>
    <w:p w14:paraId="54D925B5">
      <w:pPr>
        <w:pStyle w:val="9"/>
        <w:spacing w:before="120" w:after="120" w:line="360" w:lineRule="auto"/>
        <w:ind w:left="0" w:firstLine="567"/>
      </w:pPr>
      <w:r>
        <w:t>Yapılan çalışmalarda ekonomik koşulların en önemli sağlayıcısı olan gelir; bireylerin fiziksel, duygusal, sosyal sağlıklarının, iş ve sosyal yaşamlarındaki başarı ve memnuniyetlerinin, dolayısıyla yaşam kalitelerinin en önemli göstergesi olduğunu ortaya koymaktadır</w:t>
      </w:r>
      <w:r>
        <w:rPr>
          <w:spacing w:val="-10"/>
        </w:rPr>
        <w:t xml:space="preserve"> </w:t>
      </w:r>
      <w:r>
        <w:t>(Koçoğlu</w:t>
      </w:r>
      <w:r>
        <w:rPr>
          <w:spacing w:val="-8"/>
        </w:rPr>
        <w:t xml:space="preserve"> </w:t>
      </w:r>
      <w:r>
        <w:t>ve</w:t>
      </w:r>
      <w:r>
        <w:rPr>
          <w:spacing w:val="-7"/>
        </w:rPr>
        <w:t xml:space="preserve"> </w:t>
      </w:r>
      <w:r>
        <w:t>Akın,</w:t>
      </w:r>
      <w:r>
        <w:rPr>
          <w:spacing w:val="-9"/>
        </w:rPr>
        <w:t xml:space="preserve"> </w:t>
      </w:r>
      <w:r>
        <w:t>2009:</w:t>
      </w:r>
      <w:r>
        <w:rPr>
          <w:spacing w:val="-8"/>
        </w:rPr>
        <w:t xml:space="preserve"> </w:t>
      </w:r>
      <w:r>
        <w:t>150;</w:t>
      </w:r>
      <w:r>
        <w:rPr>
          <w:spacing w:val="-8"/>
        </w:rPr>
        <w:t xml:space="preserve"> </w:t>
      </w:r>
      <w:r>
        <w:t>Torlak</w:t>
      </w:r>
      <w:r>
        <w:rPr>
          <w:spacing w:val="-9"/>
        </w:rPr>
        <w:t xml:space="preserve"> </w:t>
      </w:r>
      <w:r>
        <w:t>ve</w:t>
      </w:r>
      <w:r>
        <w:rPr>
          <w:spacing w:val="-10"/>
        </w:rPr>
        <w:t xml:space="preserve"> </w:t>
      </w:r>
      <w:r>
        <w:t>Yavuzçehre,</w:t>
      </w:r>
      <w:r>
        <w:rPr>
          <w:spacing w:val="-9"/>
        </w:rPr>
        <w:t xml:space="preserve"> </w:t>
      </w:r>
      <w:r>
        <w:t>2008:</w:t>
      </w:r>
      <w:r>
        <w:rPr>
          <w:spacing w:val="-8"/>
        </w:rPr>
        <w:t xml:space="preserve"> 24</w:t>
      </w:r>
      <w:r>
        <w:t>).</w:t>
      </w:r>
      <w:r>
        <w:rPr>
          <w:spacing w:val="-9"/>
        </w:rPr>
        <w:t xml:space="preserve"> </w:t>
      </w:r>
      <w:r>
        <w:t>Yoksul</w:t>
      </w:r>
      <w:r>
        <w:rPr>
          <w:spacing w:val="-8"/>
        </w:rPr>
        <w:t xml:space="preserve"> </w:t>
      </w:r>
      <w:r>
        <w:rPr>
          <w:spacing w:val="-2"/>
        </w:rPr>
        <w:t>olarak</w:t>
      </w:r>
      <w:r>
        <w:t xml:space="preserve"> nitelendirilen bireylerin yaşam kalitelerinin yoksul olmayanlara göre daha düşük olduğu düşüncesi</w:t>
      </w:r>
      <w:r>
        <w:rPr>
          <w:spacing w:val="-11"/>
        </w:rPr>
        <w:t xml:space="preserve"> </w:t>
      </w:r>
      <w:r>
        <w:t>her</w:t>
      </w:r>
      <w:r>
        <w:rPr>
          <w:spacing w:val="-12"/>
        </w:rPr>
        <w:t xml:space="preserve"> </w:t>
      </w:r>
      <w:r>
        <w:t>zaman</w:t>
      </w:r>
      <w:r>
        <w:rPr>
          <w:spacing w:val="-12"/>
        </w:rPr>
        <w:t xml:space="preserve"> </w:t>
      </w:r>
      <w:r>
        <w:t>kabul</w:t>
      </w:r>
      <w:r>
        <w:rPr>
          <w:spacing w:val="-11"/>
        </w:rPr>
        <w:t xml:space="preserve"> </w:t>
      </w:r>
      <w:r>
        <w:t>edilen</w:t>
      </w:r>
      <w:r>
        <w:rPr>
          <w:spacing w:val="-12"/>
        </w:rPr>
        <w:t xml:space="preserve"> </w:t>
      </w:r>
      <w:r>
        <w:t>bir</w:t>
      </w:r>
      <w:r>
        <w:rPr>
          <w:spacing w:val="-12"/>
        </w:rPr>
        <w:t xml:space="preserve"> </w:t>
      </w:r>
      <w:r>
        <w:t>gerçektir.</w:t>
      </w:r>
      <w:r>
        <w:rPr>
          <w:spacing w:val="-12"/>
        </w:rPr>
        <w:t xml:space="preserve"> </w:t>
      </w:r>
      <w:r>
        <w:t>Ancak,</w:t>
      </w:r>
      <w:r>
        <w:rPr>
          <w:spacing w:val="-12"/>
        </w:rPr>
        <w:t xml:space="preserve"> </w:t>
      </w:r>
      <w:r>
        <w:t>bu</w:t>
      </w:r>
      <w:r>
        <w:rPr>
          <w:spacing w:val="-12"/>
        </w:rPr>
        <w:t xml:space="preserve"> </w:t>
      </w:r>
      <w:r>
        <w:t>bulgular,</w:t>
      </w:r>
      <w:r>
        <w:rPr>
          <w:spacing w:val="-9"/>
        </w:rPr>
        <w:t xml:space="preserve"> </w:t>
      </w:r>
      <w:r>
        <w:t>gelirin</w:t>
      </w:r>
      <w:r>
        <w:rPr>
          <w:spacing w:val="-12"/>
        </w:rPr>
        <w:t xml:space="preserve"> </w:t>
      </w:r>
      <w:r>
        <w:t>tek</w:t>
      </w:r>
      <w:r>
        <w:rPr>
          <w:spacing w:val="-12"/>
        </w:rPr>
        <w:t xml:space="preserve"> </w:t>
      </w:r>
      <w:r>
        <w:t>başına</w:t>
      </w:r>
      <w:r>
        <w:rPr>
          <w:spacing w:val="-9"/>
        </w:rPr>
        <w:t xml:space="preserve"> </w:t>
      </w:r>
      <w:r>
        <w:t>yaşam kalitesi</w:t>
      </w:r>
      <w:r>
        <w:rPr>
          <w:spacing w:val="-9"/>
        </w:rPr>
        <w:t xml:space="preserve"> </w:t>
      </w:r>
      <w:r>
        <w:t>için</w:t>
      </w:r>
      <w:r>
        <w:rPr>
          <w:spacing w:val="-4"/>
        </w:rPr>
        <w:t xml:space="preserve"> </w:t>
      </w:r>
      <w:r>
        <w:t>yeterli</w:t>
      </w:r>
      <w:r>
        <w:rPr>
          <w:spacing w:val="-9"/>
        </w:rPr>
        <w:t xml:space="preserve"> </w:t>
      </w:r>
      <w:r>
        <w:t>bir</w:t>
      </w:r>
      <w:r>
        <w:rPr>
          <w:spacing w:val="-7"/>
        </w:rPr>
        <w:t xml:space="preserve"> </w:t>
      </w:r>
      <w:r>
        <w:t>gösterge</w:t>
      </w:r>
      <w:r>
        <w:rPr>
          <w:spacing w:val="-10"/>
        </w:rPr>
        <w:t xml:space="preserve"> </w:t>
      </w:r>
      <w:r>
        <w:t>olduğu</w:t>
      </w:r>
      <w:r>
        <w:rPr>
          <w:spacing w:val="-7"/>
        </w:rPr>
        <w:t xml:space="preserve"> </w:t>
      </w:r>
      <w:r>
        <w:t>anlamına</w:t>
      </w:r>
      <w:r>
        <w:rPr>
          <w:spacing w:val="-7"/>
        </w:rPr>
        <w:t xml:space="preserve"> </w:t>
      </w:r>
      <w:r>
        <w:t>gelmemektedir.</w:t>
      </w:r>
      <w:r>
        <w:rPr>
          <w:spacing w:val="-10"/>
        </w:rPr>
        <w:t xml:space="preserve"> </w:t>
      </w:r>
      <w:r>
        <w:t>Gelir</w:t>
      </w:r>
      <w:r>
        <w:rPr>
          <w:spacing w:val="-10"/>
        </w:rPr>
        <w:t xml:space="preserve"> </w:t>
      </w:r>
      <w:r>
        <w:t>düzeyi</w:t>
      </w:r>
      <w:r>
        <w:rPr>
          <w:spacing w:val="-2"/>
        </w:rPr>
        <w:t xml:space="preserve"> </w:t>
      </w:r>
      <w:r>
        <w:t>yüksek</w:t>
      </w:r>
      <w:r>
        <w:rPr>
          <w:spacing w:val="-9"/>
        </w:rPr>
        <w:t xml:space="preserve"> </w:t>
      </w:r>
      <w:r>
        <w:t>ancak zamanı, isteği ve enerjisi olmayan bireyin yaşam kalitesi yüksek olmayabilecektir (Demirkıran, 2012: 54). Ye1tersiz eğitim, sağlık ve güvenlik hizmetleri, yüksek suç oranı, kişi başına düşen yeşil alanın düşük olması, çevre kirliliği, trafik ve kalabalık gibi sorunlar gelirden bağımsız olarak yaşam kalitesini düşürmektedir (Demirkıran, 2012:55).</w:t>
      </w:r>
    </w:p>
    <w:p w14:paraId="535E366B">
      <w:pPr>
        <w:pStyle w:val="9"/>
        <w:spacing w:before="120" w:after="120" w:line="360" w:lineRule="auto"/>
        <w:ind w:left="0" w:firstLine="567"/>
      </w:pPr>
      <w:r>
        <w:t>Yaşam</w:t>
      </w:r>
      <w:r>
        <w:rPr>
          <w:spacing w:val="-12"/>
        </w:rPr>
        <w:t xml:space="preserve"> </w:t>
      </w:r>
      <w:r>
        <w:t>kalitesi,</w:t>
      </w:r>
      <w:r>
        <w:rPr>
          <w:spacing w:val="-12"/>
        </w:rPr>
        <w:t xml:space="preserve"> </w:t>
      </w:r>
      <w:r>
        <w:t>insanların</w:t>
      </w:r>
      <w:r>
        <w:rPr>
          <w:spacing w:val="-13"/>
        </w:rPr>
        <w:t xml:space="preserve"> </w:t>
      </w:r>
      <w:r>
        <w:t>duygusal,</w:t>
      </w:r>
      <w:r>
        <w:rPr>
          <w:spacing w:val="-12"/>
        </w:rPr>
        <w:t xml:space="preserve"> </w:t>
      </w:r>
      <w:r>
        <w:t>sosyal</w:t>
      </w:r>
      <w:r>
        <w:rPr>
          <w:spacing w:val="-12"/>
        </w:rPr>
        <w:t xml:space="preserve"> </w:t>
      </w:r>
      <w:r>
        <w:t>ve</w:t>
      </w:r>
      <w:r>
        <w:rPr>
          <w:spacing w:val="-14"/>
        </w:rPr>
        <w:t xml:space="preserve"> </w:t>
      </w:r>
      <w:r>
        <w:t>fiziksel</w:t>
      </w:r>
      <w:r>
        <w:rPr>
          <w:spacing w:val="-12"/>
        </w:rPr>
        <w:t xml:space="preserve"> </w:t>
      </w:r>
      <w:r>
        <w:t>doyumlarını</w:t>
      </w:r>
      <w:r>
        <w:rPr>
          <w:spacing w:val="-12"/>
        </w:rPr>
        <w:t xml:space="preserve"> </w:t>
      </w:r>
      <w:r>
        <w:t>ve</w:t>
      </w:r>
      <w:r>
        <w:rPr>
          <w:spacing w:val="-14"/>
        </w:rPr>
        <w:t xml:space="preserve"> </w:t>
      </w:r>
      <w:r>
        <w:t>hayatlarındaki</w:t>
      </w:r>
      <w:r>
        <w:rPr>
          <w:spacing w:val="-12"/>
        </w:rPr>
        <w:t xml:space="preserve"> </w:t>
      </w:r>
      <w:r>
        <w:t>günlük işlerini kendi başlarına yapabilmelerini ifade eden tanımlayıcı bir kavramdır (Demirkaya, 2010:92).</w:t>
      </w:r>
      <w:r>
        <w:rPr>
          <w:spacing w:val="-14"/>
        </w:rPr>
        <w:t xml:space="preserve"> </w:t>
      </w:r>
      <w:r>
        <w:t>Bu</w:t>
      </w:r>
      <w:r>
        <w:rPr>
          <w:spacing w:val="-14"/>
        </w:rPr>
        <w:t xml:space="preserve"> </w:t>
      </w:r>
      <w:r>
        <w:t>nedenle,</w:t>
      </w:r>
      <w:r>
        <w:rPr>
          <w:spacing w:val="-15"/>
        </w:rPr>
        <w:t xml:space="preserve"> </w:t>
      </w:r>
      <w:r>
        <w:t>bireyin</w:t>
      </w:r>
      <w:r>
        <w:rPr>
          <w:spacing w:val="-11"/>
        </w:rPr>
        <w:t xml:space="preserve"> </w:t>
      </w:r>
      <w:r>
        <w:t>fiziksel,</w:t>
      </w:r>
      <w:r>
        <w:rPr>
          <w:spacing w:val="-14"/>
        </w:rPr>
        <w:t xml:space="preserve"> </w:t>
      </w:r>
      <w:r>
        <w:t>psikolojik</w:t>
      </w:r>
      <w:r>
        <w:rPr>
          <w:spacing w:val="-14"/>
        </w:rPr>
        <w:t xml:space="preserve"> </w:t>
      </w:r>
      <w:r>
        <w:t>ve</w:t>
      </w:r>
      <w:r>
        <w:rPr>
          <w:spacing w:val="-15"/>
        </w:rPr>
        <w:t xml:space="preserve"> </w:t>
      </w:r>
      <w:r>
        <w:t>sosyal</w:t>
      </w:r>
      <w:r>
        <w:rPr>
          <w:spacing w:val="-11"/>
        </w:rPr>
        <w:t xml:space="preserve"> </w:t>
      </w:r>
      <w:r>
        <w:t>sağlığı,</w:t>
      </w:r>
      <w:r>
        <w:rPr>
          <w:spacing w:val="-9"/>
        </w:rPr>
        <w:t xml:space="preserve"> </w:t>
      </w:r>
      <w:r>
        <w:t>yaşam</w:t>
      </w:r>
      <w:r>
        <w:rPr>
          <w:spacing w:val="-14"/>
        </w:rPr>
        <w:t xml:space="preserve"> </w:t>
      </w:r>
      <w:r>
        <w:t>kalitesinin</w:t>
      </w:r>
      <w:r>
        <w:rPr>
          <w:spacing w:val="-13"/>
        </w:rPr>
        <w:t xml:space="preserve"> </w:t>
      </w:r>
      <w:r>
        <w:t>önemli bir göstergesidir (Aghaei vd., 2013: 572).</w:t>
      </w:r>
    </w:p>
    <w:p w14:paraId="7735A435">
      <w:pPr>
        <w:pStyle w:val="9"/>
        <w:spacing w:before="120" w:after="120" w:line="360" w:lineRule="auto"/>
        <w:ind w:left="0" w:firstLine="567"/>
      </w:pPr>
      <w:r>
        <w:t>Diğer</w:t>
      </w:r>
      <w:r>
        <w:rPr>
          <w:spacing w:val="-4"/>
        </w:rPr>
        <w:t xml:space="preserve"> </w:t>
      </w:r>
      <w:r>
        <w:t>yandan,</w:t>
      </w:r>
      <w:r>
        <w:rPr>
          <w:spacing w:val="-9"/>
        </w:rPr>
        <w:t xml:space="preserve"> </w:t>
      </w:r>
      <w:r>
        <w:t>sağlığa</w:t>
      </w:r>
      <w:r>
        <w:rPr>
          <w:spacing w:val="-10"/>
        </w:rPr>
        <w:t xml:space="preserve"> </w:t>
      </w:r>
      <w:r>
        <w:t>ilişkin</w:t>
      </w:r>
      <w:r>
        <w:rPr>
          <w:spacing w:val="-7"/>
        </w:rPr>
        <w:t xml:space="preserve"> </w:t>
      </w:r>
      <w:r>
        <w:t>yaşam</w:t>
      </w:r>
      <w:r>
        <w:rPr>
          <w:spacing w:val="-9"/>
        </w:rPr>
        <w:t xml:space="preserve"> </w:t>
      </w:r>
      <w:r>
        <w:t>kalitesi,</w:t>
      </w:r>
      <w:r>
        <w:rPr>
          <w:spacing w:val="-9"/>
        </w:rPr>
        <w:t xml:space="preserve"> </w:t>
      </w:r>
      <w:r>
        <w:t>sağlıkla</w:t>
      </w:r>
      <w:r>
        <w:rPr>
          <w:spacing w:val="-10"/>
        </w:rPr>
        <w:t xml:space="preserve"> </w:t>
      </w:r>
      <w:r>
        <w:t>doğrudan</w:t>
      </w:r>
      <w:r>
        <w:rPr>
          <w:spacing w:val="-9"/>
        </w:rPr>
        <w:t xml:space="preserve"> </w:t>
      </w:r>
      <w:r>
        <w:t>veya</w:t>
      </w:r>
      <w:r>
        <w:rPr>
          <w:spacing w:val="-8"/>
        </w:rPr>
        <w:t xml:space="preserve"> </w:t>
      </w:r>
      <w:r>
        <w:t>dolaylı</w:t>
      </w:r>
      <w:r>
        <w:rPr>
          <w:spacing w:val="-6"/>
        </w:rPr>
        <w:t xml:space="preserve"> </w:t>
      </w:r>
      <w:r>
        <w:t>bir</w:t>
      </w:r>
      <w:r>
        <w:rPr>
          <w:spacing w:val="-10"/>
        </w:rPr>
        <w:t xml:space="preserve"> </w:t>
      </w:r>
      <w:r>
        <w:t>şekilde</w:t>
      </w:r>
      <w:r>
        <w:rPr>
          <w:spacing w:val="-10"/>
        </w:rPr>
        <w:t xml:space="preserve"> </w:t>
      </w:r>
      <w:r>
        <w:t>ilgili birçok faktörü de kapsayan geniş bir kavram olarak literatürde önemli bir yer bulmaktadır. Genel yaşam kalitesi kavramında olduğu gibi sağlığa ilişkin yaşam kalitesinin de evrensel olarak</w:t>
      </w:r>
      <w:r>
        <w:rPr>
          <w:spacing w:val="-15"/>
        </w:rPr>
        <w:t xml:space="preserve"> </w:t>
      </w:r>
      <w:r>
        <w:t>kabul</w:t>
      </w:r>
      <w:r>
        <w:rPr>
          <w:spacing w:val="-15"/>
        </w:rPr>
        <w:t xml:space="preserve"> </w:t>
      </w:r>
      <w:r>
        <w:t>edilmiş</w:t>
      </w:r>
      <w:r>
        <w:rPr>
          <w:spacing w:val="-15"/>
        </w:rPr>
        <w:t xml:space="preserve"> </w:t>
      </w:r>
      <w:r>
        <w:t>bir</w:t>
      </w:r>
      <w:r>
        <w:rPr>
          <w:spacing w:val="-15"/>
        </w:rPr>
        <w:t xml:space="preserve"> </w:t>
      </w:r>
      <w:r>
        <w:t>tanımı</w:t>
      </w:r>
      <w:r>
        <w:rPr>
          <w:spacing w:val="-15"/>
        </w:rPr>
        <w:t xml:space="preserve"> </w:t>
      </w:r>
      <w:r>
        <w:t>bulunmamaktadır</w:t>
      </w:r>
      <w:r>
        <w:rPr>
          <w:spacing w:val="-15"/>
        </w:rPr>
        <w:t xml:space="preserve"> </w:t>
      </w:r>
      <w:r>
        <w:t>(Tüzün</w:t>
      </w:r>
      <w:r>
        <w:rPr>
          <w:spacing w:val="-15"/>
        </w:rPr>
        <w:t xml:space="preserve"> </w:t>
      </w:r>
      <w:r>
        <w:t>ve</w:t>
      </w:r>
      <w:r>
        <w:rPr>
          <w:spacing w:val="-15"/>
        </w:rPr>
        <w:t xml:space="preserve"> </w:t>
      </w:r>
      <w:r>
        <w:t>Eker,</w:t>
      </w:r>
      <w:r>
        <w:rPr>
          <w:spacing w:val="-15"/>
        </w:rPr>
        <w:t xml:space="preserve"> </w:t>
      </w:r>
      <w:r>
        <w:t>2003:</w:t>
      </w:r>
      <w:r>
        <w:rPr>
          <w:spacing w:val="-15"/>
        </w:rPr>
        <w:t xml:space="preserve"> </w:t>
      </w:r>
      <w:r>
        <w:t>4).</w:t>
      </w:r>
      <w:r>
        <w:rPr>
          <w:spacing w:val="-15"/>
        </w:rPr>
        <w:t xml:space="preserve"> </w:t>
      </w:r>
      <w:r>
        <w:t>Sübjektif</w:t>
      </w:r>
      <w:r>
        <w:rPr>
          <w:spacing w:val="-15"/>
        </w:rPr>
        <w:t xml:space="preserve"> </w:t>
      </w:r>
      <w:r>
        <w:t>sağlığa ilişkin yaşam kalitesi göstergeleri bireyin fiziki, ruhi ve sosyal sağlığına ilişkin öznel görüşleridir (Aksungur, 2009: 13; Üstündağ vd., 2007: 118). Sağlığa ilişkin yaşam kalitesi ölçümlerinin yapıldığı çalışmalarda çeşitli fiziksel rahatsızlıklar, ürtiker ve kronik hastalıkların</w:t>
      </w:r>
      <w:r>
        <w:rPr>
          <w:spacing w:val="-15"/>
        </w:rPr>
        <w:t xml:space="preserve"> </w:t>
      </w:r>
      <w:r>
        <w:t>(Sabbah</w:t>
      </w:r>
      <w:r>
        <w:rPr>
          <w:spacing w:val="-15"/>
        </w:rPr>
        <w:t xml:space="preserve"> </w:t>
      </w:r>
      <w:r>
        <w:t>vd.,</w:t>
      </w:r>
      <w:r>
        <w:rPr>
          <w:spacing w:val="-15"/>
        </w:rPr>
        <w:t xml:space="preserve"> </w:t>
      </w:r>
      <w:r>
        <w:t>2003:</w:t>
      </w:r>
      <w:r>
        <w:rPr>
          <w:spacing w:val="-15"/>
        </w:rPr>
        <w:t xml:space="preserve"> </w:t>
      </w:r>
      <w:r>
        <w:t>8)</w:t>
      </w:r>
      <w:r>
        <w:rPr>
          <w:spacing w:val="-15"/>
        </w:rPr>
        <w:t xml:space="preserve"> </w:t>
      </w:r>
      <w:r>
        <w:t>yaşam</w:t>
      </w:r>
      <w:r>
        <w:rPr>
          <w:spacing w:val="-15"/>
        </w:rPr>
        <w:t xml:space="preserve"> </w:t>
      </w:r>
      <w:r>
        <w:t>kalitesini</w:t>
      </w:r>
      <w:r>
        <w:rPr>
          <w:spacing w:val="-15"/>
        </w:rPr>
        <w:t xml:space="preserve"> </w:t>
      </w:r>
      <w:r>
        <w:t>düşürdüğü</w:t>
      </w:r>
      <w:r>
        <w:rPr>
          <w:spacing w:val="-15"/>
        </w:rPr>
        <w:t xml:space="preserve"> </w:t>
      </w:r>
      <w:r>
        <w:t>saptanmıştır.</w:t>
      </w:r>
      <w:r>
        <w:rPr>
          <w:spacing w:val="-15"/>
        </w:rPr>
        <w:t xml:space="preserve"> </w:t>
      </w:r>
      <w:r>
        <w:t>Ayrıca,</w:t>
      </w:r>
      <w:r>
        <w:rPr>
          <w:spacing w:val="-15"/>
        </w:rPr>
        <w:t xml:space="preserve"> </w:t>
      </w:r>
      <w:r>
        <w:t>konuyla ilgili yapılan sübjektif yaşam kalitesi ölçümlerinde farklı sonuçlar ortaya çıkmaktadır. Örneğin Demirkıran (2012:41-44) tarafından yapılan çalışmada sağlıklı beslenme alışkanlıklarının yaşam kalitesini artırdığı tespit edilmiştir.</w:t>
      </w:r>
    </w:p>
    <w:p w14:paraId="7FFFA9B0">
      <w:pPr>
        <w:pStyle w:val="9"/>
        <w:spacing w:before="120" w:after="120" w:line="360" w:lineRule="auto"/>
        <w:ind w:left="0" w:firstLine="567"/>
      </w:pPr>
      <w:r>
        <w:t>Yaşam kalitesi açısından bir diğer önemli gösterge ise bireyin sosyal çevresi ve çevresiyle olan ilişkisidir. Toplumsal bir varlık olan insan için aile son derece önemlidir. Bireyin var olabileceği, kendisini ait hissedebileceği ve kendisini gerçekleştirebildiği destekleyici bir aile</w:t>
      </w:r>
      <w:r>
        <w:rPr>
          <w:spacing w:val="-15"/>
        </w:rPr>
        <w:t xml:space="preserve"> </w:t>
      </w:r>
      <w:r>
        <w:t>ortamı,</w:t>
      </w:r>
      <w:r>
        <w:rPr>
          <w:spacing w:val="-15"/>
        </w:rPr>
        <w:t xml:space="preserve"> </w:t>
      </w:r>
      <w:r>
        <w:t>yaşam</w:t>
      </w:r>
      <w:r>
        <w:rPr>
          <w:spacing w:val="-15"/>
        </w:rPr>
        <w:t xml:space="preserve"> </w:t>
      </w:r>
      <w:r>
        <w:t>kalitesinin</w:t>
      </w:r>
      <w:r>
        <w:rPr>
          <w:spacing w:val="-15"/>
        </w:rPr>
        <w:t xml:space="preserve"> </w:t>
      </w:r>
      <w:r>
        <w:t>gelişmesinde</w:t>
      </w:r>
      <w:r>
        <w:rPr>
          <w:spacing w:val="-15"/>
        </w:rPr>
        <w:t xml:space="preserve"> </w:t>
      </w:r>
      <w:r>
        <w:t>son</w:t>
      </w:r>
      <w:r>
        <w:rPr>
          <w:spacing w:val="-15"/>
        </w:rPr>
        <w:t xml:space="preserve"> </w:t>
      </w:r>
      <w:r>
        <w:t>derece</w:t>
      </w:r>
      <w:r>
        <w:rPr>
          <w:spacing w:val="-15"/>
        </w:rPr>
        <w:t xml:space="preserve"> </w:t>
      </w:r>
      <w:r>
        <w:t>önemli</w:t>
      </w:r>
      <w:r>
        <w:rPr>
          <w:spacing w:val="-15"/>
        </w:rPr>
        <w:t xml:space="preserve"> </w:t>
      </w:r>
      <w:r>
        <w:t>bir</w:t>
      </w:r>
      <w:r>
        <w:rPr>
          <w:spacing w:val="-15"/>
        </w:rPr>
        <w:t xml:space="preserve"> </w:t>
      </w:r>
      <w:r>
        <w:t>rol</w:t>
      </w:r>
      <w:r>
        <w:rPr>
          <w:spacing w:val="-15"/>
        </w:rPr>
        <w:t xml:space="preserve"> </w:t>
      </w:r>
      <w:r>
        <w:t>oynamaktadır</w:t>
      </w:r>
      <w:r>
        <w:rPr>
          <w:spacing w:val="-15"/>
        </w:rPr>
        <w:t xml:space="preserve"> </w:t>
      </w:r>
      <w:r>
        <w:t>(Özmete, 2010: 456).</w:t>
      </w:r>
      <w:r>
        <w:rPr>
          <w:spacing w:val="-1"/>
        </w:rPr>
        <w:t xml:space="preserve"> </w:t>
      </w:r>
      <w:r>
        <w:t>Bu bağlamda, yaşam kalitesi toplumsal kaliteyle gelişen bir kavram olarak öne çıkmaktadır (Hollar, 2003: 96).</w:t>
      </w:r>
    </w:p>
    <w:p w14:paraId="0176153C">
      <w:pPr>
        <w:pStyle w:val="9"/>
        <w:spacing w:before="120" w:after="120" w:line="360" w:lineRule="auto"/>
        <w:ind w:left="0" w:firstLine="567"/>
      </w:pPr>
      <w:r>
        <w:t xml:space="preserve">Özmete (2010: 459) tarafından yapılan çalışmada, aile içi iletişimin güçlü olması ve ailede herkesin birbiriyle her şeyi açık bir şekilde konuşabilmesinin aile yaşam kalitesi açısından önemli olduğu saptanmıştır. Bireyin arkadaşları, komşuları ve akrabaları da yaşam kalitesi açısından önemli sosyal destek sağlayıcılarıdır (Hollar, 2003: 100). Kabasakal ve Uz Baş (2013:32) tarafından yapılan bir araştırmada, arkadaş sahibi olmanın ve etkinliklerde bulunmanın yaşam doyumunu ve dolayısıyla yaşam kalitesini artırdığı, Eriş’in (2012:9) yaptığı bir çalışmada ise, üniversite öğrencileri arasında herhangi bir öğrenci topluluğunun üyelerinin topluluk üyesi olmayanlara göre yaşam kalitelerinin oldukça yüksek olduğu </w:t>
      </w:r>
      <w:r>
        <w:rPr>
          <w:spacing w:val="-2"/>
        </w:rPr>
        <w:t>saptanmıştır.</w:t>
      </w:r>
    </w:p>
    <w:p w14:paraId="58D235FE">
      <w:pPr>
        <w:pStyle w:val="9"/>
        <w:spacing w:before="120" w:after="120" w:line="360" w:lineRule="auto"/>
        <w:ind w:left="0" w:firstLine="567"/>
      </w:pPr>
      <w:r>
        <w:t>Bireylerin barınma hali, yaşadıkları yer ve özellikleri de yaşam kalitesi açısından oldukça önemlidir.</w:t>
      </w:r>
      <w:r>
        <w:rPr>
          <w:spacing w:val="-1"/>
        </w:rPr>
        <w:t xml:space="preserve"> </w:t>
      </w:r>
      <w:r>
        <w:t>Güvenli ve</w:t>
      </w:r>
      <w:r>
        <w:rPr>
          <w:spacing w:val="-1"/>
        </w:rPr>
        <w:t xml:space="preserve"> </w:t>
      </w:r>
      <w:r>
        <w:t>konforlu bir konut, bireyin temel gereksinimlerin olup, konutun türü ve özellikleri güvenli ve konforlu bir konutun önemli göstergelerinden kabul edilmektedir. Ayrıca, gelişen ve değişen teknolojik imkanlar sayesinde mobilya ve beyaz eşya gibi dayanıklı tüketim malları ve diğer ev aletlerinin varlığı da yaşam kalitesi üzerinde önemli bir etkiye sahiptir. Yeterli ve faydalı ürünler, ailelerin ev işlerini daha etkin, kolay ve kısa sürede yapmalarını sağlamakta ve aynı zamanda hayatlarını kolaylaştırmaktadır. Aydıner Boylu, (2007:106) tarafından yapılan araştırmada, aylık gelir düzeyi arttıkça konut tipi ve özelliklerinin</w:t>
      </w:r>
      <w:r>
        <w:rPr>
          <w:spacing w:val="-15"/>
        </w:rPr>
        <w:t xml:space="preserve"> </w:t>
      </w:r>
      <w:r>
        <w:t>iyileştiği</w:t>
      </w:r>
      <w:r>
        <w:rPr>
          <w:spacing w:val="-15"/>
        </w:rPr>
        <w:t xml:space="preserve"> </w:t>
      </w:r>
      <w:r>
        <w:t>ve</w:t>
      </w:r>
      <w:r>
        <w:rPr>
          <w:spacing w:val="-15"/>
        </w:rPr>
        <w:t xml:space="preserve"> </w:t>
      </w:r>
      <w:r>
        <w:t>dolayısıyla</w:t>
      </w:r>
      <w:r>
        <w:rPr>
          <w:spacing w:val="-15"/>
        </w:rPr>
        <w:t xml:space="preserve"> </w:t>
      </w:r>
      <w:r>
        <w:t>yaşam</w:t>
      </w:r>
      <w:r>
        <w:rPr>
          <w:spacing w:val="-15"/>
        </w:rPr>
        <w:t xml:space="preserve"> </w:t>
      </w:r>
      <w:r>
        <w:t>kalitesinin</w:t>
      </w:r>
      <w:r>
        <w:rPr>
          <w:spacing w:val="-15"/>
        </w:rPr>
        <w:t xml:space="preserve"> </w:t>
      </w:r>
      <w:r>
        <w:t>arttığı</w:t>
      </w:r>
      <w:r>
        <w:rPr>
          <w:spacing w:val="-15"/>
        </w:rPr>
        <w:t xml:space="preserve"> </w:t>
      </w:r>
      <w:r>
        <w:t>tespit</w:t>
      </w:r>
      <w:r>
        <w:rPr>
          <w:spacing w:val="-15"/>
        </w:rPr>
        <w:t xml:space="preserve"> </w:t>
      </w:r>
      <w:r>
        <w:t>edilmiştir.</w:t>
      </w:r>
      <w:r>
        <w:rPr>
          <w:spacing w:val="-15"/>
        </w:rPr>
        <w:t xml:space="preserve"> </w:t>
      </w:r>
      <w:r>
        <w:t>Kowaltowski ve arkadaşlarınca (2006: 1109) yürütülen bir araştırmada, müstakil bir evde oturmak, evin veya</w:t>
      </w:r>
      <w:r>
        <w:rPr>
          <w:spacing w:val="-10"/>
        </w:rPr>
        <w:t xml:space="preserve"> </w:t>
      </w:r>
      <w:r>
        <w:t>binanın</w:t>
      </w:r>
      <w:r>
        <w:rPr>
          <w:spacing w:val="-12"/>
        </w:rPr>
        <w:t xml:space="preserve"> </w:t>
      </w:r>
      <w:r>
        <w:t>estetik</w:t>
      </w:r>
      <w:r>
        <w:rPr>
          <w:spacing w:val="-11"/>
        </w:rPr>
        <w:t xml:space="preserve"> </w:t>
      </w:r>
      <w:r>
        <w:t>olması</w:t>
      </w:r>
      <w:r>
        <w:rPr>
          <w:spacing w:val="-11"/>
        </w:rPr>
        <w:t xml:space="preserve"> </w:t>
      </w:r>
      <w:r>
        <w:t>ve</w:t>
      </w:r>
      <w:r>
        <w:rPr>
          <w:spacing w:val="-13"/>
        </w:rPr>
        <w:t xml:space="preserve"> </w:t>
      </w:r>
      <w:r>
        <w:t>evin</w:t>
      </w:r>
      <w:r>
        <w:rPr>
          <w:spacing w:val="-11"/>
        </w:rPr>
        <w:t xml:space="preserve"> </w:t>
      </w:r>
      <w:r>
        <w:t>önünde</w:t>
      </w:r>
      <w:r>
        <w:rPr>
          <w:spacing w:val="-13"/>
        </w:rPr>
        <w:t xml:space="preserve"> </w:t>
      </w:r>
      <w:r>
        <w:t>veya</w:t>
      </w:r>
      <w:r>
        <w:rPr>
          <w:spacing w:val="-8"/>
        </w:rPr>
        <w:t xml:space="preserve"> </w:t>
      </w:r>
      <w:r>
        <w:t>yanında</w:t>
      </w:r>
      <w:r>
        <w:rPr>
          <w:spacing w:val="-12"/>
        </w:rPr>
        <w:t xml:space="preserve"> </w:t>
      </w:r>
      <w:r>
        <w:t>olması</w:t>
      </w:r>
      <w:r>
        <w:rPr>
          <w:spacing w:val="-11"/>
        </w:rPr>
        <w:t xml:space="preserve"> </w:t>
      </w:r>
      <w:r>
        <w:t>ile</w:t>
      </w:r>
      <w:r>
        <w:rPr>
          <w:spacing w:val="-10"/>
        </w:rPr>
        <w:t xml:space="preserve"> </w:t>
      </w:r>
      <w:r>
        <w:t>yeşil</w:t>
      </w:r>
      <w:r>
        <w:rPr>
          <w:spacing w:val="-11"/>
        </w:rPr>
        <w:t xml:space="preserve"> </w:t>
      </w:r>
      <w:r>
        <w:t>alanların</w:t>
      </w:r>
      <w:r>
        <w:rPr>
          <w:spacing w:val="-11"/>
        </w:rPr>
        <w:t xml:space="preserve"> </w:t>
      </w:r>
      <w:r>
        <w:t>varlığının da</w:t>
      </w:r>
      <w:r>
        <w:rPr>
          <w:spacing w:val="-15"/>
        </w:rPr>
        <w:t xml:space="preserve"> </w:t>
      </w:r>
      <w:r>
        <w:t>yaşam</w:t>
      </w:r>
      <w:r>
        <w:rPr>
          <w:spacing w:val="-15"/>
        </w:rPr>
        <w:t xml:space="preserve"> </w:t>
      </w:r>
      <w:r>
        <w:t>kalitesini</w:t>
      </w:r>
      <w:r>
        <w:rPr>
          <w:spacing w:val="-15"/>
        </w:rPr>
        <w:t xml:space="preserve"> </w:t>
      </w:r>
      <w:r>
        <w:t>arttırdığı</w:t>
      </w:r>
      <w:r>
        <w:rPr>
          <w:spacing w:val="-15"/>
        </w:rPr>
        <w:t xml:space="preserve"> </w:t>
      </w:r>
      <w:r>
        <w:t>tespit</w:t>
      </w:r>
      <w:r>
        <w:rPr>
          <w:spacing w:val="-15"/>
        </w:rPr>
        <w:t xml:space="preserve"> </w:t>
      </w:r>
      <w:r>
        <w:t>edilmiştir.</w:t>
      </w:r>
      <w:r>
        <w:rPr>
          <w:spacing w:val="-15"/>
        </w:rPr>
        <w:t xml:space="preserve"> </w:t>
      </w:r>
      <w:r>
        <w:t>Hollar</w:t>
      </w:r>
      <w:r>
        <w:rPr>
          <w:spacing w:val="-15"/>
        </w:rPr>
        <w:t xml:space="preserve"> </w:t>
      </w:r>
      <w:r>
        <w:t>(2003:</w:t>
      </w:r>
      <w:r>
        <w:rPr>
          <w:spacing w:val="-15"/>
        </w:rPr>
        <w:t xml:space="preserve"> </w:t>
      </w:r>
      <w:r>
        <w:t>99)</w:t>
      </w:r>
      <w:r>
        <w:rPr>
          <w:spacing w:val="-15"/>
        </w:rPr>
        <w:t xml:space="preserve"> </w:t>
      </w:r>
      <w:r>
        <w:t>tarafından</w:t>
      </w:r>
      <w:r>
        <w:rPr>
          <w:spacing w:val="-15"/>
        </w:rPr>
        <w:t xml:space="preserve"> </w:t>
      </w:r>
      <w:r>
        <w:t>yapılan</w:t>
      </w:r>
      <w:r>
        <w:rPr>
          <w:spacing w:val="-15"/>
        </w:rPr>
        <w:t xml:space="preserve"> </w:t>
      </w:r>
      <w:r>
        <w:t>çalışmada evin işlevsel ve güvenli olması gibi fiziksel özelliklerinin aile yaşam kalitesi için önemli olduğu vurgulanmıştır.</w:t>
      </w:r>
    </w:p>
    <w:p w14:paraId="78C72AE4">
      <w:pPr>
        <w:pStyle w:val="9"/>
        <w:spacing w:before="120" w:after="120" w:line="360" w:lineRule="auto"/>
        <w:ind w:left="0" w:firstLine="567"/>
      </w:pPr>
      <w:r>
        <w:t>Günlük</w:t>
      </w:r>
      <w:r>
        <w:rPr>
          <w:spacing w:val="-15"/>
        </w:rPr>
        <w:t xml:space="preserve"> </w:t>
      </w:r>
      <w:r>
        <w:t>hayatta</w:t>
      </w:r>
      <w:r>
        <w:rPr>
          <w:spacing w:val="-15"/>
        </w:rPr>
        <w:t xml:space="preserve"> </w:t>
      </w:r>
      <w:r>
        <w:t>çalışma</w:t>
      </w:r>
      <w:r>
        <w:rPr>
          <w:spacing w:val="-15"/>
        </w:rPr>
        <w:t xml:space="preserve"> </w:t>
      </w:r>
      <w:r>
        <w:t>saatleri</w:t>
      </w:r>
      <w:r>
        <w:rPr>
          <w:spacing w:val="-15"/>
        </w:rPr>
        <w:t xml:space="preserve"> </w:t>
      </w:r>
      <w:r>
        <w:t>günün</w:t>
      </w:r>
      <w:r>
        <w:rPr>
          <w:spacing w:val="-15"/>
        </w:rPr>
        <w:t xml:space="preserve"> </w:t>
      </w:r>
      <w:r>
        <w:t>büyük</w:t>
      </w:r>
      <w:r>
        <w:rPr>
          <w:spacing w:val="-15"/>
        </w:rPr>
        <w:t xml:space="preserve"> </w:t>
      </w:r>
      <w:r>
        <w:t>bir</w:t>
      </w:r>
      <w:r>
        <w:rPr>
          <w:spacing w:val="-15"/>
        </w:rPr>
        <w:t xml:space="preserve"> </w:t>
      </w:r>
      <w:r>
        <w:t>bölümünü</w:t>
      </w:r>
      <w:r>
        <w:rPr>
          <w:spacing w:val="-15"/>
        </w:rPr>
        <w:t xml:space="preserve"> </w:t>
      </w:r>
      <w:r>
        <w:t>almaktadır.</w:t>
      </w:r>
      <w:r>
        <w:rPr>
          <w:spacing w:val="-15"/>
        </w:rPr>
        <w:t xml:space="preserve"> </w:t>
      </w:r>
      <w:r>
        <w:t>Dolayısıyla</w:t>
      </w:r>
      <w:r>
        <w:rPr>
          <w:spacing w:val="-15"/>
        </w:rPr>
        <w:t xml:space="preserve"> </w:t>
      </w:r>
      <w:r>
        <w:t>iş</w:t>
      </w:r>
      <w:r>
        <w:rPr>
          <w:spacing w:val="-15"/>
        </w:rPr>
        <w:t xml:space="preserve"> </w:t>
      </w:r>
      <w:r>
        <w:t>hayatı, hayatın ayrılmaz bir parçasıdır (DeCoster, 2004:125). İş hayatında karşılaşılan olumlu ya da olumsuz durumlar, başarı ya da başarısızlık, toplumsal katılım ya da dışlanma, yaşam kalitesini doğrudan etkilemektedir (Saldamlı, 2008: 716).</w:t>
      </w:r>
    </w:p>
    <w:p w14:paraId="1FE8C25A">
      <w:pPr>
        <w:pStyle w:val="9"/>
        <w:spacing w:before="120" w:after="120" w:line="360" w:lineRule="auto"/>
        <w:ind w:left="0" w:firstLine="567"/>
      </w:pPr>
      <w:r>
        <w:t>İş</w:t>
      </w:r>
      <w:r>
        <w:rPr>
          <w:spacing w:val="-1"/>
        </w:rPr>
        <w:t xml:space="preserve"> </w:t>
      </w:r>
      <w:r>
        <w:t>yaşamı</w:t>
      </w:r>
      <w:r>
        <w:rPr>
          <w:spacing w:val="-5"/>
        </w:rPr>
        <w:t xml:space="preserve"> </w:t>
      </w:r>
      <w:r>
        <w:t>ile</w:t>
      </w:r>
      <w:r>
        <w:rPr>
          <w:spacing w:val="-4"/>
        </w:rPr>
        <w:t xml:space="preserve"> </w:t>
      </w:r>
      <w:r>
        <w:t>yaşam</w:t>
      </w:r>
      <w:r>
        <w:rPr>
          <w:spacing w:val="-5"/>
        </w:rPr>
        <w:t xml:space="preserve"> </w:t>
      </w:r>
      <w:r>
        <w:t>kalitesi</w:t>
      </w:r>
      <w:r>
        <w:rPr>
          <w:spacing w:val="-5"/>
        </w:rPr>
        <w:t xml:space="preserve"> </w:t>
      </w:r>
      <w:r>
        <w:t>arasındaki</w:t>
      </w:r>
      <w:r>
        <w:rPr>
          <w:spacing w:val="-5"/>
        </w:rPr>
        <w:t xml:space="preserve"> </w:t>
      </w:r>
      <w:r>
        <w:t>ilişkiyi</w:t>
      </w:r>
      <w:r>
        <w:rPr>
          <w:spacing w:val="-5"/>
        </w:rPr>
        <w:t xml:space="preserve"> </w:t>
      </w:r>
      <w:r>
        <w:t>inceleyen</w:t>
      </w:r>
      <w:r>
        <w:rPr>
          <w:spacing w:val="-5"/>
        </w:rPr>
        <w:t xml:space="preserve"> </w:t>
      </w:r>
      <w:r>
        <w:t>araştırmalar</w:t>
      </w:r>
      <w:r>
        <w:rPr>
          <w:spacing w:val="-7"/>
        </w:rPr>
        <w:t xml:space="preserve"> </w:t>
      </w:r>
      <w:r>
        <w:t>çoğunlukla</w:t>
      </w:r>
      <w:r>
        <w:rPr>
          <w:spacing w:val="-6"/>
        </w:rPr>
        <w:t xml:space="preserve"> </w:t>
      </w:r>
      <w:r>
        <w:t>iş</w:t>
      </w:r>
      <w:r>
        <w:rPr>
          <w:spacing w:val="-6"/>
        </w:rPr>
        <w:t xml:space="preserve"> </w:t>
      </w:r>
      <w:r>
        <w:t>doyumu ile</w:t>
      </w:r>
      <w:r>
        <w:rPr>
          <w:spacing w:val="39"/>
        </w:rPr>
        <w:t xml:space="preserve"> </w:t>
      </w:r>
      <w:r>
        <w:t>yaşam</w:t>
      </w:r>
      <w:r>
        <w:rPr>
          <w:spacing w:val="41"/>
        </w:rPr>
        <w:t xml:space="preserve"> </w:t>
      </w:r>
      <w:r>
        <w:t>doyumu</w:t>
      </w:r>
      <w:r>
        <w:rPr>
          <w:spacing w:val="41"/>
        </w:rPr>
        <w:t xml:space="preserve"> </w:t>
      </w:r>
      <w:r>
        <w:t>arasındaki</w:t>
      </w:r>
      <w:r>
        <w:rPr>
          <w:spacing w:val="41"/>
        </w:rPr>
        <w:t xml:space="preserve"> </w:t>
      </w:r>
      <w:r>
        <w:t>ilişkiye</w:t>
      </w:r>
      <w:r>
        <w:rPr>
          <w:spacing w:val="40"/>
        </w:rPr>
        <w:t xml:space="preserve"> </w:t>
      </w:r>
      <w:r>
        <w:t>odaklanmaktadır.</w:t>
      </w:r>
      <w:r>
        <w:rPr>
          <w:spacing w:val="40"/>
        </w:rPr>
        <w:t xml:space="preserve"> </w:t>
      </w:r>
      <w:r>
        <w:t>Bu</w:t>
      </w:r>
      <w:r>
        <w:rPr>
          <w:spacing w:val="40"/>
        </w:rPr>
        <w:t xml:space="preserve"> </w:t>
      </w:r>
      <w:r>
        <w:t>çalışmaların</w:t>
      </w:r>
      <w:r>
        <w:rPr>
          <w:spacing w:val="42"/>
        </w:rPr>
        <w:t xml:space="preserve"> </w:t>
      </w:r>
      <w:r>
        <w:t>sonuçları</w:t>
      </w:r>
      <w:r>
        <w:rPr>
          <w:spacing w:val="41"/>
        </w:rPr>
        <w:t xml:space="preserve"> </w:t>
      </w:r>
      <w:r>
        <w:rPr>
          <w:spacing w:val="-2"/>
        </w:rPr>
        <w:t>genel</w:t>
      </w:r>
      <w:r>
        <w:t xml:space="preserve"> olarak iş doyumu ile yaşam doyumu arasında pozitif ve güçlü bir ilişki olduğunu göstermektedir (Akgündüz, 2013:197; Gülmez, 2013:76).</w:t>
      </w:r>
    </w:p>
    <w:p w14:paraId="345BF401">
      <w:pPr>
        <w:pStyle w:val="9"/>
        <w:spacing w:before="120" w:after="120" w:line="360" w:lineRule="auto"/>
        <w:ind w:left="0" w:firstLine="567"/>
      </w:pPr>
      <w:r>
        <w:t>Bir</w:t>
      </w:r>
      <w:r>
        <w:rPr>
          <w:spacing w:val="-12"/>
        </w:rPr>
        <w:t xml:space="preserve"> </w:t>
      </w:r>
      <w:r>
        <w:t>diğer</w:t>
      </w:r>
      <w:r>
        <w:rPr>
          <w:spacing w:val="-10"/>
        </w:rPr>
        <w:t xml:space="preserve"> </w:t>
      </w:r>
      <w:r>
        <w:t>ilgili</w:t>
      </w:r>
      <w:r>
        <w:rPr>
          <w:spacing w:val="-11"/>
        </w:rPr>
        <w:t xml:space="preserve"> </w:t>
      </w:r>
      <w:r>
        <w:t>faktör,</w:t>
      </w:r>
      <w:r>
        <w:rPr>
          <w:spacing w:val="-10"/>
        </w:rPr>
        <w:t xml:space="preserve"> </w:t>
      </w:r>
      <w:r>
        <w:t>bireyin</w:t>
      </w:r>
      <w:r>
        <w:rPr>
          <w:spacing w:val="-11"/>
        </w:rPr>
        <w:t xml:space="preserve"> </w:t>
      </w:r>
      <w:r>
        <w:t>iş</w:t>
      </w:r>
      <w:r>
        <w:rPr>
          <w:spacing w:val="-11"/>
        </w:rPr>
        <w:t xml:space="preserve"> </w:t>
      </w:r>
      <w:r>
        <w:t>statüsüdür.</w:t>
      </w:r>
      <w:r>
        <w:rPr>
          <w:spacing w:val="-10"/>
        </w:rPr>
        <w:t xml:space="preserve"> </w:t>
      </w:r>
      <w:r>
        <w:t>Demiral</w:t>
      </w:r>
      <w:r>
        <w:rPr>
          <w:spacing w:val="-11"/>
        </w:rPr>
        <w:t xml:space="preserve"> </w:t>
      </w:r>
      <w:r>
        <w:t>(2001:</w:t>
      </w:r>
      <w:r>
        <w:rPr>
          <w:spacing w:val="-11"/>
        </w:rPr>
        <w:t xml:space="preserve"> </w:t>
      </w:r>
      <w:r>
        <w:t>69)</w:t>
      </w:r>
      <w:r>
        <w:rPr>
          <w:spacing w:val="-12"/>
        </w:rPr>
        <w:t xml:space="preserve"> </w:t>
      </w:r>
      <w:r>
        <w:t>tarafından</w:t>
      </w:r>
      <w:r>
        <w:rPr>
          <w:spacing w:val="-6"/>
        </w:rPr>
        <w:t xml:space="preserve"> </w:t>
      </w:r>
      <w:r>
        <w:t>yapılan</w:t>
      </w:r>
      <w:r>
        <w:rPr>
          <w:spacing w:val="-12"/>
        </w:rPr>
        <w:t xml:space="preserve"> </w:t>
      </w:r>
      <w:r>
        <w:t>çalışmada uzun süreli işsizliğin ve iş aramanın ruh sağlığını olumsuz etkilediği, dolayısıyla yaşam kalitesini düşürdüğü saptanmıştır.</w:t>
      </w:r>
    </w:p>
    <w:p w14:paraId="6F940D8C">
      <w:pPr>
        <w:pStyle w:val="9"/>
        <w:spacing w:before="120" w:after="120" w:line="360" w:lineRule="auto"/>
        <w:ind w:left="0" w:firstLine="567"/>
      </w:pPr>
      <w:r>
        <w:t>Yaşam kalitesinin bir diğer önemli göstergesi boş zaman etkinlikleridir. Zorunlu çaba ve eylemlerin dışında, bireylerin kendi isteklerine göre değerlendirmekte özgür oldukları dönemlerde</w:t>
      </w:r>
      <w:r>
        <w:rPr>
          <w:spacing w:val="-11"/>
        </w:rPr>
        <w:t xml:space="preserve"> </w:t>
      </w:r>
      <w:r>
        <w:t>(Mansuroğlu,</w:t>
      </w:r>
      <w:r>
        <w:rPr>
          <w:spacing w:val="-8"/>
        </w:rPr>
        <w:t xml:space="preserve"> </w:t>
      </w:r>
      <w:r>
        <w:t>2002:53)</w:t>
      </w:r>
      <w:r>
        <w:rPr>
          <w:spacing w:val="-9"/>
        </w:rPr>
        <w:t xml:space="preserve"> </w:t>
      </w:r>
      <w:r>
        <w:t>gerçekleştirilen</w:t>
      </w:r>
      <w:r>
        <w:rPr>
          <w:spacing w:val="-9"/>
        </w:rPr>
        <w:t xml:space="preserve"> </w:t>
      </w:r>
      <w:r>
        <w:t>serbest</w:t>
      </w:r>
      <w:r>
        <w:rPr>
          <w:spacing w:val="-8"/>
        </w:rPr>
        <w:t xml:space="preserve"> </w:t>
      </w:r>
      <w:r>
        <w:t>zaman</w:t>
      </w:r>
      <w:r>
        <w:rPr>
          <w:spacing w:val="-9"/>
        </w:rPr>
        <w:t xml:space="preserve"> </w:t>
      </w:r>
      <w:r>
        <w:t>etkinliklerinin</w:t>
      </w:r>
      <w:r>
        <w:rPr>
          <w:spacing w:val="-6"/>
        </w:rPr>
        <w:t xml:space="preserve"> </w:t>
      </w:r>
      <w:r>
        <w:t>dinlenme, eğlenme ve kendini geliştirme gibi üç önemli işlevi bulunmaktadır (Zorba, 2007: 52). Serbest zaman etkinlikleri, bireyin yaşam kalitesini yükselten, geliştiren, bireyin keşfetmesine, yenilenmesine ve tezahür etmesine katkı sağlayan en önemli unsurlardan biridir (Aslan ve Arslan Cansever, 2012: 24).</w:t>
      </w:r>
    </w:p>
    <w:p w14:paraId="0F2A37ED">
      <w:pPr>
        <w:pStyle w:val="9"/>
        <w:spacing w:before="120" w:after="120" w:line="360" w:lineRule="auto"/>
        <w:ind w:left="0" w:firstLine="567"/>
      </w:pPr>
      <w:r>
        <w:t>Serbest zaman etkinlikleri ülkeden ülkeye ve kültürden kültüre farklılık gösterse de Türkiye’de yapılan araştırmalar</w:t>
      </w:r>
      <w:r>
        <w:rPr>
          <w:spacing w:val="-1"/>
        </w:rPr>
        <w:t xml:space="preserve"> </w:t>
      </w:r>
      <w:r>
        <w:t>ergenlerin bu zamanlarını daha</w:t>
      </w:r>
      <w:r>
        <w:rPr>
          <w:spacing w:val="-1"/>
        </w:rPr>
        <w:t xml:space="preserve"> </w:t>
      </w:r>
      <w:r>
        <w:t>çok bilgisayar</w:t>
      </w:r>
      <w:r>
        <w:rPr>
          <w:spacing w:val="-1"/>
        </w:rPr>
        <w:t xml:space="preserve"> </w:t>
      </w:r>
      <w:r>
        <w:t>ve</w:t>
      </w:r>
      <w:r>
        <w:rPr>
          <w:spacing w:val="-1"/>
        </w:rPr>
        <w:t xml:space="preserve"> </w:t>
      </w:r>
      <w:r>
        <w:t>internette geçirdiklerini</w:t>
      </w:r>
      <w:r>
        <w:rPr>
          <w:spacing w:val="-11"/>
        </w:rPr>
        <w:t xml:space="preserve"> </w:t>
      </w:r>
      <w:r>
        <w:t>veya</w:t>
      </w:r>
      <w:r>
        <w:rPr>
          <w:spacing w:val="-11"/>
        </w:rPr>
        <w:t xml:space="preserve"> </w:t>
      </w:r>
      <w:r>
        <w:t>en</w:t>
      </w:r>
      <w:r>
        <w:rPr>
          <w:spacing w:val="-10"/>
        </w:rPr>
        <w:t xml:space="preserve"> </w:t>
      </w:r>
      <w:r>
        <w:t>azından</w:t>
      </w:r>
      <w:r>
        <w:rPr>
          <w:spacing w:val="-12"/>
        </w:rPr>
        <w:t xml:space="preserve"> </w:t>
      </w:r>
      <w:r>
        <w:t>kitap</w:t>
      </w:r>
      <w:r>
        <w:rPr>
          <w:spacing w:val="-12"/>
        </w:rPr>
        <w:t xml:space="preserve"> </w:t>
      </w:r>
      <w:r>
        <w:t>okuyarak</w:t>
      </w:r>
      <w:r>
        <w:rPr>
          <w:spacing w:val="-12"/>
        </w:rPr>
        <w:t xml:space="preserve"> </w:t>
      </w:r>
      <w:r>
        <w:t>değerlendirdiklerini</w:t>
      </w:r>
      <w:r>
        <w:rPr>
          <w:spacing w:val="-10"/>
        </w:rPr>
        <w:t xml:space="preserve"> </w:t>
      </w:r>
      <w:r>
        <w:t>göstermektedir</w:t>
      </w:r>
      <w:r>
        <w:rPr>
          <w:spacing w:val="-12"/>
        </w:rPr>
        <w:t xml:space="preserve"> </w:t>
      </w:r>
      <w:r>
        <w:t>(Aslan</w:t>
      </w:r>
      <w:r>
        <w:rPr>
          <w:spacing w:val="-12"/>
        </w:rPr>
        <w:t xml:space="preserve"> </w:t>
      </w:r>
      <w:r>
        <w:t>ve Arslan Cansever, 2012: 29; Aksaçlıoğlu ve Yılmaz, 2007: 17). Yaşlı bireylerde yapılan bir çalışmada televizyon seyretmek, radyo dinlemek, kitap okumak, internet kullanmak, hobilerle ilgilenmek, bahçe işleri yapmak, seyahat etmek, spor yapmak, arkadaş/akraba/komşu ziyareti, sinema/tiyatro/müze/konser gibi serbest zaman etkinliklerinin yaşam kalitesini önemli ölçüde artırdığı belirlenmiştir (Aksaçlıoğlu ve Yılmaz, 2007: 17).</w:t>
      </w:r>
    </w:p>
    <w:p w14:paraId="0A846953">
      <w:pPr>
        <w:pStyle w:val="9"/>
        <w:spacing w:before="120" w:after="120" w:line="360" w:lineRule="auto"/>
        <w:ind w:left="0" w:firstLine="567"/>
      </w:pPr>
      <w:r>
        <w:t>Öte yandan,</w:t>
      </w:r>
      <w:r>
        <w:rPr>
          <w:spacing w:val="-3"/>
        </w:rPr>
        <w:t xml:space="preserve"> </w:t>
      </w:r>
      <w:r>
        <w:t>boş</w:t>
      </w:r>
      <w:r>
        <w:rPr>
          <w:spacing w:val="-4"/>
        </w:rPr>
        <w:t xml:space="preserve"> </w:t>
      </w:r>
      <w:r>
        <w:t>zaman</w:t>
      </w:r>
      <w:r>
        <w:rPr>
          <w:spacing w:val="-2"/>
        </w:rPr>
        <w:t xml:space="preserve"> </w:t>
      </w:r>
      <w:r>
        <w:t>aktiviteleri</w:t>
      </w:r>
      <w:r>
        <w:rPr>
          <w:spacing w:val="-3"/>
        </w:rPr>
        <w:t xml:space="preserve"> </w:t>
      </w:r>
      <w:r>
        <w:t>ile</w:t>
      </w:r>
      <w:r>
        <w:rPr>
          <w:spacing w:val="-2"/>
        </w:rPr>
        <w:t xml:space="preserve"> </w:t>
      </w:r>
      <w:r>
        <w:t>gelir</w:t>
      </w:r>
      <w:r>
        <w:rPr>
          <w:spacing w:val="-3"/>
        </w:rPr>
        <w:t xml:space="preserve"> </w:t>
      </w:r>
      <w:r>
        <w:t>düzeyi</w:t>
      </w:r>
      <w:r>
        <w:rPr>
          <w:spacing w:val="-1"/>
        </w:rPr>
        <w:t xml:space="preserve"> </w:t>
      </w:r>
      <w:r>
        <w:t>arasında</w:t>
      </w:r>
      <w:r>
        <w:rPr>
          <w:spacing w:val="-4"/>
        </w:rPr>
        <w:t xml:space="preserve"> </w:t>
      </w:r>
      <w:r>
        <w:t>pozitif</w:t>
      </w:r>
      <w:r>
        <w:rPr>
          <w:spacing w:val="-3"/>
        </w:rPr>
        <w:t xml:space="preserve"> </w:t>
      </w:r>
      <w:r>
        <w:t>bir</w:t>
      </w:r>
      <w:r>
        <w:rPr>
          <w:spacing w:val="-3"/>
        </w:rPr>
        <w:t xml:space="preserve"> </w:t>
      </w:r>
      <w:r>
        <w:t>ilişki</w:t>
      </w:r>
      <w:r>
        <w:rPr>
          <w:spacing w:val="-3"/>
        </w:rPr>
        <w:t xml:space="preserve"> </w:t>
      </w:r>
      <w:r>
        <w:t>bulunmaktadır. Düşük</w:t>
      </w:r>
      <w:r>
        <w:rPr>
          <w:spacing w:val="-8"/>
        </w:rPr>
        <w:t xml:space="preserve"> </w:t>
      </w:r>
      <w:r>
        <w:t>gelir</w:t>
      </w:r>
      <w:r>
        <w:rPr>
          <w:spacing w:val="-8"/>
        </w:rPr>
        <w:t xml:space="preserve"> </w:t>
      </w:r>
      <w:r>
        <w:t>düzeyi,</w:t>
      </w:r>
      <w:r>
        <w:rPr>
          <w:spacing w:val="-5"/>
        </w:rPr>
        <w:t xml:space="preserve"> </w:t>
      </w:r>
      <w:r>
        <w:t>sinema,</w:t>
      </w:r>
      <w:r>
        <w:rPr>
          <w:spacing w:val="-8"/>
        </w:rPr>
        <w:t xml:space="preserve"> </w:t>
      </w:r>
      <w:r>
        <w:t>tiyatro,</w:t>
      </w:r>
      <w:r>
        <w:rPr>
          <w:spacing w:val="-4"/>
        </w:rPr>
        <w:t xml:space="preserve"> </w:t>
      </w:r>
      <w:r>
        <w:t>gezi</w:t>
      </w:r>
      <w:r>
        <w:rPr>
          <w:spacing w:val="-7"/>
        </w:rPr>
        <w:t xml:space="preserve"> </w:t>
      </w:r>
      <w:r>
        <w:t>ve</w:t>
      </w:r>
      <w:r>
        <w:rPr>
          <w:spacing w:val="-8"/>
        </w:rPr>
        <w:t xml:space="preserve"> </w:t>
      </w:r>
      <w:r>
        <w:t>alışveriş</w:t>
      </w:r>
      <w:r>
        <w:rPr>
          <w:spacing w:val="-7"/>
        </w:rPr>
        <w:t xml:space="preserve"> </w:t>
      </w:r>
      <w:r>
        <w:t>gibi</w:t>
      </w:r>
      <w:r>
        <w:rPr>
          <w:spacing w:val="-7"/>
        </w:rPr>
        <w:t xml:space="preserve"> </w:t>
      </w:r>
      <w:r>
        <w:t>maddi</w:t>
      </w:r>
      <w:r>
        <w:rPr>
          <w:spacing w:val="-7"/>
        </w:rPr>
        <w:t xml:space="preserve"> </w:t>
      </w:r>
      <w:r>
        <w:t>imkana</w:t>
      </w:r>
      <w:r>
        <w:rPr>
          <w:spacing w:val="-8"/>
        </w:rPr>
        <w:t xml:space="preserve"> </w:t>
      </w:r>
      <w:r>
        <w:t>dayanan</w:t>
      </w:r>
      <w:r>
        <w:rPr>
          <w:spacing w:val="-7"/>
        </w:rPr>
        <w:t xml:space="preserve"> </w:t>
      </w:r>
      <w:r>
        <w:t>boş</w:t>
      </w:r>
      <w:r>
        <w:rPr>
          <w:spacing w:val="-7"/>
        </w:rPr>
        <w:t xml:space="preserve"> </w:t>
      </w:r>
      <w:r>
        <w:t>zaman etkinliklerine katılımı kısıtlamakta ve dolayısıyla yaşam kalitesini olumsuz etkilemektedir (Sabbağ ve Aksoy, 2011: 16; Aydıner Boylu, 2007: 116).</w:t>
      </w:r>
    </w:p>
    <w:p w14:paraId="71BB4621">
      <w:pPr>
        <w:pStyle w:val="4"/>
        <w:spacing w:before="240" w:after="240" w:line="360" w:lineRule="auto"/>
        <w:ind w:left="567" w:firstLine="0"/>
        <w:rPr>
          <w:i w:val="0"/>
        </w:rPr>
      </w:pPr>
      <w:bookmarkStart w:id="143" w:name="_Toc195877806"/>
      <w:bookmarkStart w:id="144" w:name="_Toc195875821"/>
      <w:bookmarkStart w:id="145" w:name="_Toc197351259"/>
      <w:r>
        <w:rPr>
          <w:i w:val="0"/>
        </w:rPr>
        <w:t>2.4.4. Yaşam Kalitesi Araştırmaları</w:t>
      </w:r>
      <w:bookmarkEnd w:id="143"/>
      <w:bookmarkEnd w:id="144"/>
      <w:bookmarkEnd w:id="145"/>
    </w:p>
    <w:p w14:paraId="7762DEA2">
      <w:pPr>
        <w:pStyle w:val="9"/>
        <w:spacing w:before="120" w:after="120" w:line="360" w:lineRule="auto"/>
        <w:ind w:left="0" w:firstLine="567"/>
      </w:pPr>
      <w:r>
        <w:t>Yaşam kalitesi üzerine yapılan araştırmalar, çeşitli disiplinler arasında geniş bir yelpazede incelenmekte</w:t>
      </w:r>
      <w:r>
        <w:rPr>
          <w:spacing w:val="6"/>
        </w:rPr>
        <w:t xml:space="preserve"> </w:t>
      </w:r>
      <w:r>
        <w:t>ve</w:t>
      </w:r>
      <w:r>
        <w:rPr>
          <w:spacing w:val="7"/>
        </w:rPr>
        <w:t xml:space="preserve"> </w:t>
      </w:r>
      <w:r>
        <w:t>bu</w:t>
      </w:r>
      <w:r>
        <w:rPr>
          <w:spacing w:val="8"/>
        </w:rPr>
        <w:t xml:space="preserve"> </w:t>
      </w:r>
      <w:r>
        <w:t>konu</w:t>
      </w:r>
      <w:r>
        <w:rPr>
          <w:spacing w:val="9"/>
        </w:rPr>
        <w:t xml:space="preserve"> </w:t>
      </w:r>
      <w:r>
        <w:t>üzerine</w:t>
      </w:r>
      <w:r>
        <w:rPr>
          <w:spacing w:val="7"/>
        </w:rPr>
        <w:t xml:space="preserve"> </w:t>
      </w:r>
      <w:r>
        <w:t>birçok</w:t>
      </w:r>
      <w:r>
        <w:rPr>
          <w:spacing w:val="10"/>
        </w:rPr>
        <w:t xml:space="preserve"> </w:t>
      </w:r>
      <w:r>
        <w:t>farklı</w:t>
      </w:r>
      <w:r>
        <w:rPr>
          <w:spacing w:val="7"/>
        </w:rPr>
        <w:t xml:space="preserve"> </w:t>
      </w:r>
      <w:r>
        <w:t>perspektiften</w:t>
      </w:r>
      <w:r>
        <w:rPr>
          <w:spacing w:val="13"/>
        </w:rPr>
        <w:t xml:space="preserve"> </w:t>
      </w:r>
      <w:r>
        <w:t>yaklaşımlar</w:t>
      </w:r>
      <w:r>
        <w:rPr>
          <w:spacing w:val="10"/>
        </w:rPr>
        <w:t xml:space="preserve"> </w:t>
      </w:r>
      <w:r>
        <w:rPr>
          <w:spacing w:val="-2"/>
        </w:rPr>
        <w:t>geliştirilmektedir.</w:t>
      </w:r>
    </w:p>
    <w:p w14:paraId="2261121B">
      <w:pPr>
        <w:pStyle w:val="9"/>
        <w:spacing w:before="120" w:after="120" w:line="360" w:lineRule="auto"/>
        <w:ind w:left="0" w:firstLine="567"/>
      </w:pPr>
      <w:r>
        <w:t>Literatür, sağlık ve tıp başta olmak üzere, psikoloji, sosyal bilimler, çevre bilimleri ve ekonomi gibi alanlarda derinlemesine analizler sunar. Bu çalışmalar, bireylerin yaşam kalitesini etkileyen faktörleri ve bu faktörlerin insan sağlığı ve refahı üzerindeki etkilerini ortaya koymaktadır.</w:t>
      </w:r>
    </w:p>
    <w:p w14:paraId="20E0916F">
      <w:pPr>
        <w:pStyle w:val="9"/>
        <w:spacing w:before="120" w:after="120" w:line="360" w:lineRule="auto"/>
        <w:ind w:left="0" w:firstLine="567"/>
      </w:pPr>
      <w:r>
        <w:t>Sağlık</w:t>
      </w:r>
      <w:r>
        <w:rPr>
          <w:spacing w:val="-11"/>
        </w:rPr>
        <w:t xml:space="preserve"> </w:t>
      </w:r>
      <w:r>
        <w:t>ve</w:t>
      </w:r>
      <w:r>
        <w:rPr>
          <w:spacing w:val="-13"/>
        </w:rPr>
        <w:t xml:space="preserve"> </w:t>
      </w:r>
      <w:r>
        <w:t>Tıp</w:t>
      </w:r>
      <w:r>
        <w:rPr>
          <w:spacing w:val="-11"/>
        </w:rPr>
        <w:t xml:space="preserve"> </w:t>
      </w:r>
      <w:r>
        <w:t>Alanında</w:t>
      </w:r>
      <w:r>
        <w:rPr>
          <w:spacing w:val="-14"/>
        </w:rPr>
        <w:t xml:space="preserve"> </w:t>
      </w:r>
      <w:r>
        <w:t>Yaşam</w:t>
      </w:r>
      <w:r>
        <w:rPr>
          <w:spacing w:val="-8"/>
        </w:rPr>
        <w:t xml:space="preserve"> </w:t>
      </w:r>
      <w:r>
        <w:t>Kalitesi</w:t>
      </w:r>
      <w:r>
        <w:rPr>
          <w:spacing w:val="-11"/>
        </w:rPr>
        <w:t xml:space="preserve"> </w:t>
      </w:r>
      <w:r>
        <w:t>Araştırmaları,</w:t>
      </w:r>
      <w:r>
        <w:rPr>
          <w:spacing w:val="-10"/>
        </w:rPr>
        <w:t xml:space="preserve"> </w:t>
      </w:r>
      <w:r>
        <w:t>genellikle kronik hastalıkların yönetimi, tedavi yöntemlerinin yaşam kalitesi üzerindeki etkileri ve hastalık önleme stratejileri gibi konulara odaklanır. Örneğin, kanser, diyabet, kalp hastalıkları gibi kronik durumların tedavisinde kullanılan yöntemlerin hasta yaşam kalitesi üzerindeki</w:t>
      </w:r>
      <w:r>
        <w:rPr>
          <w:spacing w:val="-15"/>
        </w:rPr>
        <w:t xml:space="preserve"> </w:t>
      </w:r>
      <w:r>
        <w:t>etkileri,</w:t>
      </w:r>
      <w:r>
        <w:rPr>
          <w:spacing w:val="-15"/>
        </w:rPr>
        <w:t xml:space="preserve"> </w:t>
      </w:r>
      <w:r>
        <w:t>hastaların</w:t>
      </w:r>
      <w:r>
        <w:rPr>
          <w:spacing w:val="-15"/>
        </w:rPr>
        <w:t xml:space="preserve"> </w:t>
      </w:r>
      <w:r>
        <w:t>fiziksel,</w:t>
      </w:r>
      <w:r>
        <w:rPr>
          <w:spacing w:val="-15"/>
        </w:rPr>
        <w:t xml:space="preserve"> </w:t>
      </w:r>
      <w:r>
        <w:t>psikolojik</w:t>
      </w:r>
      <w:r>
        <w:rPr>
          <w:spacing w:val="-15"/>
        </w:rPr>
        <w:t xml:space="preserve"> </w:t>
      </w:r>
      <w:r>
        <w:t>ve</w:t>
      </w:r>
      <w:r>
        <w:rPr>
          <w:spacing w:val="-15"/>
        </w:rPr>
        <w:t xml:space="preserve"> </w:t>
      </w:r>
      <w:r>
        <w:t>sosyal</w:t>
      </w:r>
      <w:r>
        <w:rPr>
          <w:spacing w:val="-15"/>
        </w:rPr>
        <w:t xml:space="preserve"> </w:t>
      </w:r>
      <w:r>
        <w:t>işlevsellikleri</w:t>
      </w:r>
      <w:r>
        <w:rPr>
          <w:spacing w:val="-15"/>
        </w:rPr>
        <w:t xml:space="preserve"> </w:t>
      </w:r>
      <w:r>
        <w:t>üzerindeki</w:t>
      </w:r>
      <w:r>
        <w:rPr>
          <w:spacing w:val="-15"/>
        </w:rPr>
        <w:t xml:space="preserve"> </w:t>
      </w:r>
      <w:r>
        <w:t>sonuçlar incelenir.</w:t>
      </w:r>
      <w:r>
        <w:rPr>
          <w:spacing w:val="-13"/>
        </w:rPr>
        <w:t xml:space="preserve"> </w:t>
      </w:r>
      <w:r>
        <w:t>Ayrıca,</w:t>
      </w:r>
      <w:r>
        <w:rPr>
          <w:spacing w:val="-13"/>
        </w:rPr>
        <w:t xml:space="preserve"> </w:t>
      </w:r>
      <w:r>
        <w:t>rehabilitasyon</w:t>
      </w:r>
      <w:r>
        <w:rPr>
          <w:spacing w:val="-13"/>
        </w:rPr>
        <w:t xml:space="preserve"> </w:t>
      </w:r>
      <w:r>
        <w:t>programlarının</w:t>
      </w:r>
      <w:r>
        <w:rPr>
          <w:spacing w:val="-12"/>
        </w:rPr>
        <w:t xml:space="preserve"> </w:t>
      </w:r>
      <w:r>
        <w:t>ve</w:t>
      </w:r>
      <w:r>
        <w:rPr>
          <w:spacing w:val="-14"/>
        </w:rPr>
        <w:t xml:space="preserve"> </w:t>
      </w:r>
      <w:r>
        <w:t>uzun</w:t>
      </w:r>
      <w:r>
        <w:rPr>
          <w:spacing w:val="-13"/>
        </w:rPr>
        <w:t xml:space="preserve"> </w:t>
      </w:r>
      <w:r>
        <w:t>süreli</w:t>
      </w:r>
      <w:r>
        <w:rPr>
          <w:spacing w:val="-12"/>
        </w:rPr>
        <w:t xml:space="preserve"> </w:t>
      </w:r>
      <w:r>
        <w:t>bakım</w:t>
      </w:r>
      <w:r>
        <w:rPr>
          <w:spacing w:val="-14"/>
        </w:rPr>
        <w:t xml:space="preserve"> </w:t>
      </w:r>
      <w:r>
        <w:t>hizmetlerinin</w:t>
      </w:r>
      <w:r>
        <w:rPr>
          <w:spacing w:val="-13"/>
        </w:rPr>
        <w:t xml:space="preserve"> </w:t>
      </w:r>
      <w:r>
        <w:t>etkinliği de bu tür araştırmaların temel konularındandır (Altay vd.,: 2016:182)</w:t>
      </w:r>
    </w:p>
    <w:p w14:paraId="638B844D">
      <w:pPr>
        <w:pStyle w:val="9"/>
        <w:spacing w:before="120" w:after="120" w:line="360" w:lineRule="auto"/>
        <w:ind w:left="0" w:firstLine="567"/>
      </w:pPr>
      <w:r>
        <w:t>Psikolojik</w:t>
      </w:r>
      <w:r>
        <w:rPr>
          <w:spacing w:val="-15"/>
        </w:rPr>
        <w:t xml:space="preserve"> açıdan düşünüldüğünde</w:t>
      </w:r>
      <w:r>
        <w:t>,</w:t>
      </w:r>
      <w:r>
        <w:rPr>
          <w:spacing w:val="-15"/>
        </w:rPr>
        <w:t xml:space="preserve"> </w:t>
      </w:r>
      <w:r>
        <w:t>bireylerin</w:t>
      </w:r>
      <w:r>
        <w:rPr>
          <w:spacing w:val="-15"/>
        </w:rPr>
        <w:t xml:space="preserve"> </w:t>
      </w:r>
      <w:r>
        <w:t>yaşam</w:t>
      </w:r>
      <w:r>
        <w:rPr>
          <w:spacing w:val="-15"/>
        </w:rPr>
        <w:t xml:space="preserve"> </w:t>
      </w:r>
      <w:r>
        <w:t>kalitesini</w:t>
      </w:r>
      <w:r>
        <w:rPr>
          <w:spacing w:val="-15"/>
        </w:rPr>
        <w:t xml:space="preserve"> </w:t>
      </w:r>
      <w:r>
        <w:t>etkileyen</w:t>
      </w:r>
      <w:r>
        <w:rPr>
          <w:spacing w:val="-15"/>
        </w:rPr>
        <w:t xml:space="preserve"> </w:t>
      </w:r>
      <w:r>
        <w:t>psikolojik faktörler ve stres yönetimi teknikleri, mutluluk ve refah hissi, aile ve sosyal ilişkiler gibi temalar üzerine yoğunlaşır. Bu çalışmalar, bireylerin zihinsel sağlıklarını nasıl iyileştirebilecekleri</w:t>
      </w:r>
      <w:r>
        <w:rPr>
          <w:spacing w:val="-5"/>
        </w:rPr>
        <w:t xml:space="preserve"> </w:t>
      </w:r>
      <w:r>
        <w:t>ve</w:t>
      </w:r>
      <w:r>
        <w:rPr>
          <w:spacing w:val="-5"/>
        </w:rPr>
        <w:t xml:space="preserve"> </w:t>
      </w:r>
      <w:r>
        <w:t>daha</w:t>
      </w:r>
      <w:r>
        <w:rPr>
          <w:spacing w:val="-6"/>
        </w:rPr>
        <w:t xml:space="preserve"> </w:t>
      </w:r>
      <w:r>
        <w:t>tatmin</w:t>
      </w:r>
      <w:r>
        <w:rPr>
          <w:spacing w:val="-5"/>
        </w:rPr>
        <w:t xml:space="preserve"> </w:t>
      </w:r>
      <w:r>
        <w:t>edici</w:t>
      </w:r>
      <w:r>
        <w:rPr>
          <w:spacing w:val="-5"/>
        </w:rPr>
        <w:t xml:space="preserve"> </w:t>
      </w:r>
      <w:r>
        <w:t>bir</w:t>
      </w:r>
      <w:r>
        <w:rPr>
          <w:spacing w:val="-4"/>
        </w:rPr>
        <w:t xml:space="preserve"> </w:t>
      </w:r>
      <w:r>
        <w:t>yaşam</w:t>
      </w:r>
      <w:r>
        <w:rPr>
          <w:spacing w:val="-3"/>
        </w:rPr>
        <w:t xml:space="preserve"> </w:t>
      </w:r>
      <w:r>
        <w:t>sürdürebilmek</w:t>
      </w:r>
      <w:r>
        <w:rPr>
          <w:spacing w:val="-5"/>
        </w:rPr>
        <w:t xml:space="preserve"> </w:t>
      </w:r>
      <w:r>
        <w:t>için</w:t>
      </w:r>
      <w:r>
        <w:rPr>
          <w:spacing w:val="-5"/>
        </w:rPr>
        <w:t xml:space="preserve"> </w:t>
      </w:r>
      <w:r>
        <w:t>neler</w:t>
      </w:r>
      <w:r>
        <w:rPr>
          <w:spacing w:val="-2"/>
        </w:rPr>
        <w:t xml:space="preserve"> </w:t>
      </w:r>
      <w:r>
        <w:t>yapabilecekleri üzerine önerilerde bulunur(Demir vd.,2021:193)</w:t>
      </w:r>
    </w:p>
    <w:p w14:paraId="2AF4D658">
      <w:pPr>
        <w:pStyle w:val="9"/>
        <w:spacing w:before="120" w:after="120" w:line="360" w:lineRule="auto"/>
        <w:ind w:left="0" w:firstLine="567"/>
      </w:pPr>
      <w:r>
        <w:t>Sosyal bilimler alanındaki araştırmalar, yaşam kalitesi üzerinde sosyoekonomik statünün, eğitim düzeyinin ve çalışma koşullarının etkilerini inceler. Bu tür çalışmalar, farklı gelir grupları ve toplumsal sınıflar arasında yaşam kalitesi farklılıklarını</w:t>
      </w:r>
      <w:r>
        <w:rPr>
          <w:spacing w:val="-15"/>
        </w:rPr>
        <w:t xml:space="preserve"> </w:t>
      </w:r>
      <w:r>
        <w:t>belirlemeye</w:t>
      </w:r>
      <w:r>
        <w:rPr>
          <w:spacing w:val="-15"/>
        </w:rPr>
        <w:t xml:space="preserve"> </w:t>
      </w:r>
      <w:r>
        <w:t>çalışır</w:t>
      </w:r>
      <w:r>
        <w:rPr>
          <w:spacing w:val="-15"/>
        </w:rPr>
        <w:t xml:space="preserve"> </w:t>
      </w:r>
      <w:r>
        <w:t>ve</w:t>
      </w:r>
      <w:r>
        <w:rPr>
          <w:spacing w:val="-15"/>
        </w:rPr>
        <w:t xml:space="preserve"> </w:t>
      </w:r>
      <w:r>
        <w:t>sosyal</w:t>
      </w:r>
      <w:r>
        <w:rPr>
          <w:spacing w:val="-15"/>
        </w:rPr>
        <w:t xml:space="preserve"> </w:t>
      </w:r>
      <w:r>
        <w:t>politikaların</w:t>
      </w:r>
      <w:r>
        <w:rPr>
          <w:spacing w:val="-15"/>
        </w:rPr>
        <w:t xml:space="preserve"> </w:t>
      </w:r>
      <w:r>
        <w:t>bu</w:t>
      </w:r>
      <w:r>
        <w:rPr>
          <w:spacing w:val="-15"/>
        </w:rPr>
        <w:t xml:space="preserve"> </w:t>
      </w:r>
      <w:r>
        <w:t>farklılıkları</w:t>
      </w:r>
      <w:r>
        <w:rPr>
          <w:spacing w:val="-15"/>
        </w:rPr>
        <w:t xml:space="preserve"> </w:t>
      </w:r>
      <w:r>
        <w:t>nasıl</w:t>
      </w:r>
      <w:r>
        <w:rPr>
          <w:spacing w:val="-14"/>
        </w:rPr>
        <w:t xml:space="preserve"> </w:t>
      </w:r>
      <w:r>
        <w:t>etkilediğine</w:t>
      </w:r>
      <w:r>
        <w:rPr>
          <w:spacing w:val="-14"/>
        </w:rPr>
        <w:t xml:space="preserve"> </w:t>
      </w:r>
      <w:r>
        <w:t>dair değerlendirmeler yapar(Çalışkan vd.,2015:28).</w:t>
      </w:r>
    </w:p>
    <w:p w14:paraId="59C3A43B">
      <w:pPr>
        <w:pStyle w:val="9"/>
        <w:spacing w:before="120" w:after="120" w:line="360" w:lineRule="auto"/>
        <w:ind w:left="0" w:firstLine="567"/>
      </w:pPr>
      <w:r>
        <w:rPr>
          <w:spacing w:val="-7"/>
        </w:rPr>
        <w:t xml:space="preserve"> </w:t>
      </w:r>
      <w:r>
        <w:t>Çevre</w:t>
      </w:r>
      <w:r>
        <w:rPr>
          <w:spacing w:val="-6"/>
        </w:rPr>
        <w:t xml:space="preserve"> </w:t>
      </w:r>
      <w:r>
        <w:t>bilimleri,</w:t>
      </w:r>
      <w:r>
        <w:rPr>
          <w:spacing w:val="-7"/>
        </w:rPr>
        <w:t xml:space="preserve"> </w:t>
      </w:r>
      <w:r>
        <w:t>bireylerin</w:t>
      </w:r>
      <w:r>
        <w:rPr>
          <w:spacing w:val="-4"/>
        </w:rPr>
        <w:t xml:space="preserve"> </w:t>
      </w:r>
      <w:r>
        <w:t>yaşadıkları</w:t>
      </w:r>
      <w:r>
        <w:rPr>
          <w:spacing w:val="-8"/>
        </w:rPr>
        <w:t xml:space="preserve"> </w:t>
      </w:r>
      <w:r>
        <w:t>çevrenin</w:t>
      </w:r>
      <w:r>
        <w:rPr>
          <w:spacing w:val="-3"/>
        </w:rPr>
        <w:t xml:space="preserve"> </w:t>
      </w:r>
      <w:r>
        <w:t>yaşam</w:t>
      </w:r>
      <w:r>
        <w:rPr>
          <w:spacing w:val="-7"/>
        </w:rPr>
        <w:t xml:space="preserve"> </w:t>
      </w:r>
      <w:r>
        <w:t>kalitesi</w:t>
      </w:r>
      <w:r>
        <w:rPr>
          <w:spacing w:val="-8"/>
        </w:rPr>
        <w:t xml:space="preserve"> </w:t>
      </w:r>
      <w:r>
        <w:t>üzerindeki etkilerini araştırır. Bu çalışmalar, hava ve su kalitesi, yeşil alanların erişilebilirliği, kentsel tasarım</w:t>
      </w:r>
      <w:r>
        <w:rPr>
          <w:spacing w:val="-17"/>
        </w:rPr>
        <w:t xml:space="preserve"> </w:t>
      </w:r>
      <w:r>
        <w:t>ve</w:t>
      </w:r>
      <w:r>
        <w:rPr>
          <w:spacing w:val="-15"/>
        </w:rPr>
        <w:t xml:space="preserve"> </w:t>
      </w:r>
      <w:r>
        <w:t>altyapı</w:t>
      </w:r>
      <w:r>
        <w:rPr>
          <w:spacing w:val="-15"/>
        </w:rPr>
        <w:t xml:space="preserve"> </w:t>
      </w:r>
      <w:r>
        <w:t>gibi</w:t>
      </w:r>
      <w:r>
        <w:rPr>
          <w:spacing w:val="-15"/>
        </w:rPr>
        <w:t xml:space="preserve"> </w:t>
      </w:r>
      <w:r>
        <w:t>faktörlerin</w:t>
      </w:r>
      <w:r>
        <w:rPr>
          <w:spacing w:val="-15"/>
        </w:rPr>
        <w:t xml:space="preserve"> </w:t>
      </w:r>
      <w:r>
        <w:t>insan</w:t>
      </w:r>
      <w:r>
        <w:rPr>
          <w:spacing w:val="-15"/>
        </w:rPr>
        <w:t xml:space="preserve"> </w:t>
      </w:r>
      <w:r>
        <w:t>sağlığı</w:t>
      </w:r>
      <w:r>
        <w:rPr>
          <w:spacing w:val="-15"/>
        </w:rPr>
        <w:t xml:space="preserve"> </w:t>
      </w:r>
      <w:r>
        <w:t>ve</w:t>
      </w:r>
      <w:r>
        <w:rPr>
          <w:spacing w:val="-16"/>
        </w:rPr>
        <w:t xml:space="preserve"> </w:t>
      </w:r>
      <w:r>
        <w:t>mutluluğu</w:t>
      </w:r>
      <w:r>
        <w:rPr>
          <w:spacing w:val="-15"/>
        </w:rPr>
        <w:t xml:space="preserve"> </w:t>
      </w:r>
      <w:r>
        <w:t>üzerindeki</w:t>
      </w:r>
      <w:r>
        <w:rPr>
          <w:spacing w:val="-14"/>
        </w:rPr>
        <w:t xml:space="preserve"> </w:t>
      </w:r>
      <w:r>
        <w:t>rolünü</w:t>
      </w:r>
      <w:r>
        <w:rPr>
          <w:spacing w:val="-15"/>
        </w:rPr>
        <w:t xml:space="preserve"> </w:t>
      </w:r>
      <w:r>
        <w:rPr>
          <w:spacing w:val="-2"/>
        </w:rPr>
        <w:t>değerlendirir (Akın,2013:17)</w:t>
      </w:r>
    </w:p>
    <w:p w14:paraId="62FE0D7B">
      <w:pPr>
        <w:pStyle w:val="9"/>
        <w:spacing w:before="120" w:after="120" w:line="360" w:lineRule="auto"/>
        <w:ind w:left="0" w:firstLine="567"/>
      </w:pPr>
      <w:r>
        <w:t>Bu çeşitlilik gösteren araştırmalar, yaşam kalitesini çok boyutlu bir kavram olarak ele alır ve bireylerin yaşamlarını iyileştirmek için kapsamlı stratejiler geliştirilmesine katkıda bulunur. Yaşam kalitesi üzerine yapılan çalışmalar, toplumsal politikaların ve sağlık hizmetlerinin</w:t>
      </w:r>
      <w:r>
        <w:rPr>
          <w:spacing w:val="25"/>
        </w:rPr>
        <w:t xml:space="preserve"> </w:t>
      </w:r>
      <w:r>
        <w:t>tasarımında</w:t>
      </w:r>
      <w:r>
        <w:rPr>
          <w:spacing w:val="26"/>
        </w:rPr>
        <w:t xml:space="preserve"> </w:t>
      </w:r>
      <w:r>
        <w:t>önemli</w:t>
      </w:r>
      <w:r>
        <w:rPr>
          <w:spacing w:val="28"/>
        </w:rPr>
        <w:t xml:space="preserve"> </w:t>
      </w:r>
      <w:r>
        <w:t>bir</w:t>
      </w:r>
      <w:r>
        <w:rPr>
          <w:spacing w:val="27"/>
        </w:rPr>
        <w:t xml:space="preserve"> </w:t>
      </w:r>
      <w:r>
        <w:t>rol</w:t>
      </w:r>
      <w:r>
        <w:rPr>
          <w:spacing w:val="27"/>
        </w:rPr>
        <w:t xml:space="preserve"> </w:t>
      </w:r>
      <w:r>
        <w:t>oynayarak,</w:t>
      </w:r>
      <w:r>
        <w:rPr>
          <w:spacing w:val="27"/>
        </w:rPr>
        <w:t xml:space="preserve"> </w:t>
      </w:r>
      <w:r>
        <w:t>bireylerin</w:t>
      </w:r>
      <w:r>
        <w:rPr>
          <w:spacing w:val="28"/>
        </w:rPr>
        <w:t xml:space="preserve"> </w:t>
      </w:r>
      <w:r>
        <w:t>daha</w:t>
      </w:r>
      <w:r>
        <w:rPr>
          <w:spacing w:val="26"/>
        </w:rPr>
        <w:t xml:space="preserve"> </w:t>
      </w:r>
      <w:r>
        <w:t>sağlıklı</w:t>
      </w:r>
      <w:r>
        <w:rPr>
          <w:spacing w:val="28"/>
        </w:rPr>
        <w:t xml:space="preserve"> </w:t>
      </w:r>
      <w:r>
        <w:t>ve</w:t>
      </w:r>
      <w:r>
        <w:rPr>
          <w:spacing w:val="26"/>
        </w:rPr>
        <w:t xml:space="preserve"> </w:t>
      </w:r>
      <w:r>
        <w:t>mutlu</w:t>
      </w:r>
      <w:r>
        <w:rPr>
          <w:spacing w:val="28"/>
        </w:rPr>
        <w:t xml:space="preserve"> </w:t>
      </w:r>
      <w:r>
        <w:rPr>
          <w:spacing w:val="-5"/>
        </w:rPr>
        <w:t>bir</w:t>
      </w:r>
      <w:r>
        <w:t xml:space="preserve"> yaşam sürdürmelerine olanak tanıyan bilgiler sunmaktadır (Satılmış vd.,2022:770).</w:t>
      </w:r>
    </w:p>
    <w:p w14:paraId="1CA5D311">
      <w:pPr>
        <w:pStyle w:val="9"/>
        <w:spacing w:before="120" w:after="120" w:line="360" w:lineRule="auto"/>
        <w:ind w:left="0" w:firstLine="567"/>
      </w:pPr>
      <w:r>
        <w:t>Üniversite yaşam kalitesinin yükseltilmesi,</w:t>
      </w:r>
      <w:r>
        <w:rPr>
          <w:spacing w:val="-11"/>
        </w:rPr>
        <w:t xml:space="preserve"> </w:t>
      </w:r>
      <w:r>
        <w:t>gençlerin</w:t>
      </w:r>
      <w:r>
        <w:rPr>
          <w:spacing w:val="-9"/>
        </w:rPr>
        <w:t xml:space="preserve"> </w:t>
      </w:r>
      <w:r>
        <w:t>mutlu,</w:t>
      </w:r>
      <w:r>
        <w:rPr>
          <w:spacing w:val="-11"/>
        </w:rPr>
        <w:t xml:space="preserve"> </w:t>
      </w:r>
      <w:r>
        <w:t>huzurlu</w:t>
      </w:r>
      <w:r>
        <w:rPr>
          <w:spacing w:val="-14"/>
        </w:rPr>
        <w:t xml:space="preserve"> </w:t>
      </w:r>
      <w:r>
        <w:t>ve</w:t>
      </w:r>
      <w:r>
        <w:rPr>
          <w:spacing w:val="-13"/>
        </w:rPr>
        <w:t xml:space="preserve"> </w:t>
      </w:r>
      <w:r>
        <w:t>umutlu</w:t>
      </w:r>
      <w:r>
        <w:rPr>
          <w:spacing w:val="-14"/>
        </w:rPr>
        <w:t xml:space="preserve"> </w:t>
      </w:r>
      <w:r>
        <w:t>olmalarına</w:t>
      </w:r>
      <w:r>
        <w:rPr>
          <w:spacing w:val="-12"/>
        </w:rPr>
        <w:t xml:space="preserve"> </w:t>
      </w:r>
      <w:r>
        <w:t>doğrudan</w:t>
      </w:r>
      <w:r>
        <w:rPr>
          <w:spacing w:val="-12"/>
        </w:rPr>
        <w:t xml:space="preserve"> </w:t>
      </w:r>
      <w:r>
        <w:t>katkı</w:t>
      </w:r>
      <w:r>
        <w:rPr>
          <w:spacing w:val="-11"/>
        </w:rPr>
        <w:t xml:space="preserve"> </w:t>
      </w:r>
      <w:r>
        <w:t>sağlamaktadır. Bu bağlamda, Türkiye'deki yeni açılan üniversiteler, öğrenci sayısını artırma potansiyeline sahipken, aynı zamanda çeşitli zorluklarla da karşı karşıya kalabilmektedirler. Ekonomik problemler, fiziksel altyapı eksiklikleri ve öğretim elemanı yetersizliği gibi sorunlar, bu kurumların kalitesini ve dolayısıyla öğrencilerin yaşam kalitesini olumsuz yönde etkileyebilir. Yeni üniversitelerin karşılaştığı bu sorunlar, öğrencilerin akademik ve sosyal deneyimlerini doğrudan etkiler. Ekonomik problemler, üniversitelerin modern öğretim araçlarına</w:t>
      </w:r>
      <w:r>
        <w:rPr>
          <w:spacing w:val="-15"/>
        </w:rPr>
        <w:t xml:space="preserve"> </w:t>
      </w:r>
      <w:r>
        <w:t>ve</w:t>
      </w:r>
      <w:r>
        <w:rPr>
          <w:spacing w:val="-15"/>
        </w:rPr>
        <w:t xml:space="preserve"> </w:t>
      </w:r>
      <w:r>
        <w:t>kaynaklarına</w:t>
      </w:r>
      <w:r>
        <w:rPr>
          <w:spacing w:val="-15"/>
        </w:rPr>
        <w:t xml:space="preserve"> </w:t>
      </w:r>
      <w:r>
        <w:t>yeterince</w:t>
      </w:r>
      <w:r>
        <w:rPr>
          <w:spacing w:val="-15"/>
        </w:rPr>
        <w:t xml:space="preserve"> </w:t>
      </w:r>
      <w:r>
        <w:t>yatırım</w:t>
      </w:r>
      <w:r>
        <w:rPr>
          <w:spacing w:val="-15"/>
        </w:rPr>
        <w:t xml:space="preserve"> </w:t>
      </w:r>
      <w:r>
        <w:t>yapamamasına</w:t>
      </w:r>
      <w:r>
        <w:rPr>
          <w:spacing w:val="-15"/>
        </w:rPr>
        <w:t xml:space="preserve"> </w:t>
      </w:r>
      <w:r>
        <w:t>yol</w:t>
      </w:r>
      <w:r>
        <w:rPr>
          <w:spacing w:val="-15"/>
        </w:rPr>
        <w:t xml:space="preserve"> </w:t>
      </w:r>
      <w:r>
        <w:t>açabilir.</w:t>
      </w:r>
      <w:r>
        <w:rPr>
          <w:spacing w:val="-15"/>
        </w:rPr>
        <w:t xml:space="preserve"> </w:t>
      </w:r>
      <w:r>
        <w:t>Bu</w:t>
      </w:r>
      <w:r>
        <w:rPr>
          <w:spacing w:val="-15"/>
        </w:rPr>
        <w:t xml:space="preserve"> </w:t>
      </w:r>
      <w:r>
        <w:t>durum,</w:t>
      </w:r>
      <w:r>
        <w:rPr>
          <w:spacing w:val="-15"/>
        </w:rPr>
        <w:t xml:space="preserve"> </w:t>
      </w:r>
      <w:r>
        <w:t>öğrenme ortamlarının kalitesini düşürür ve öğrenci başarısını olumsuz yönde etkiler. Fiziksel eksiklikler, yetersiz derslikler, kütüphane, laboratuvar gibi öğrenme alanlarının yanı sıra yurt, spor salonu gibi sosyal tesislerin eksikliği, öğrencilerin hem akademik hem de sosyal yaşamını zorlaştırır. Öğretim elemanı sıkıntısı ise, ders kalitesinin düşmesine, öğrenci- öğretmen etkileşiminin azalmasına ve akademik destek hizmetlerinin yetersiz kalmasına neden olabilir. Yüksel Oktay ve diğerleri (2019:17) tarafından yapılan çalışmada Yalova Üniversitesi örneğinde olduğu gibi, bu tür sorunlarla boğuşan üniversitelerde yapılan araştırmalar, öğrencilerin yaşam kalitesine ilişkin algılarını detaylı bir şekilde incelemeyi amaçlamaktadır.</w:t>
      </w:r>
      <w:r>
        <w:rPr>
          <w:spacing w:val="-12"/>
        </w:rPr>
        <w:t xml:space="preserve"> </w:t>
      </w:r>
      <w:r>
        <w:t>Bu</w:t>
      </w:r>
      <w:r>
        <w:rPr>
          <w:spacing w:val="-12"/>
        </w:rPr>
        <w:t xml:space="preserve"> </w:t>
      </w:r>
      <w:r>
        <w:t>çalışma,</w:t>
      </w:r>
      <w:r>
        <w:rPr>
          <w:spacing w:val="-12"/>
        </w:rPr>
        <w:t xml:space="preserve"> </w:t>
      </w:r>
      <w:r>
        <w:t>bu</w:t>
      </w:r>
      <w:r>
        <w:rPr>
          <w:spacing w:val="-12"/>
        </w:rPr>
        <w:t xml:space="preserve"> </w:t>
      </w:r>
      <w:r>
        <w:t>tür</w:t>
      </w:r>
      <w:r>
        <w:rPr>
          <w:spacing w:val="-12"/>
        </w:rPr>
        <w:t xml:space="preserve"> </w:t>
      </w:r>
      <w:r>
        <w:t>sorunların</w:t>
      </w:r>
      <w:r>
        <w:rPr>
          <w:spacing w:val="-12"/>
        </w:rPr>
        <w:t xml:space="preserve"> </w:t>
      </w:r>
      <w:r>
        <w:t>öğrencilerin</w:t>
      </w:r>
      <w:r>
        <w:rPr>
          <w:spacing w:val="-12"/>
        </w:rPr>
        <w:t xml:space="preserve"> </w:t>
      </w:r>
      <w:r>
        <w:t>genel</w:t>
      </w:r>
      <w:r>
        <w:rPr>
          <w:spacing w:val="-11"/>
        </w:rPr>
        <w:t xml:space="preserve"> </w:t>
      </w:r>
      <w:r>
        <w:t>refahı</w:t>
      </w:r>
      <w:r>
        <w:rPr>
          <w:spacing w:val="-11"/>
        </w:rPr>
        <w:t xml:space="preserve"> </w:t>
      </w:r>
      <w:r>
        <w:t>üzerindeki</w:t>
      </w:r>
      <w:r>
        <w:rPr>
          <w:spacing w:val="-12"/>
        </w:rPr>
        <w:t xml:space="preserve"> </w:t>
      </w:r>
      <w:r>
        <w:t>etkilerini belgelemeyi</w:t>
      </w:r>
      <w:r>
        <w:rPr>
          <w:spacing w:val="-4"/>
        </w:rPr>
        <w:t xml:space="preserve"> </w:t>
      </w:r>
      <w:r>
        <w:t>ve</w:t>
      </w:r>
      <w:r>
        <w:rPr>
          <w:spacing w:val="-1"/>
        </w:rPr>
        <w:t xml:space="preserve"> </w:t>
      </w:r>
      <w:r>
        <w:t>yaşam</w:t>
      </w:r>
      <w:r>
        <w:rPr>
          <w:spacing w:val="-4"/>
        </w:rPr>
        <w:t xml:space="preserve"> </w:t>
      </w:r>
      <w:r>
        <w:t>kalitesini</w:t>
      </w:r>
      <w:r>
        <w:rPr>
          <w:spacing w:val="-4"/>
        </w:rPr>
        <w:t xml:space="preserve"> </w:t>
      </w:r>
      <w:r>
        <w:t>artırmak</w:t>
      </w:r>
      <w:r>
        <w:rPr>
          <w:spacing w:val="-4"/>
        </w:rPr>
        <w:t xml:space="preserve"> </w:t>
      </w:r>
      <w:r>
        <w:t>için</w:t>
      </w:r>
      <w:r>
        <w:rPr>
          <w:spacing w:val="-4"/>
        </w:rPr>
        <w:t xml:space="preserve"> </w:t>
      </w:r>
      <w:r>
        <w:t>gerekli</w:t>
      </w:r>
      <w:r>
        <w:rPr>
          <w:spacing w:val="-4"/>
        </w:rPr>
        <w:t xml:space="preserve"> </w:t>
      </w:r>
      <w:r>
        <w:t>alanlarda</w:t>
      </w:r>
      <w:r>
        <w:rPr>
          <w:spacing w:val="-6"/>
        </w:rPr>
        <w:t xml:space="preserve"> </w:t>
      </w:r>
      <w:r>
        <w:t>iyileştirmeler</w:t>
      </w:r>
      <w:r>
        <w:rPr>
          <w:spacing w:val="-3"/>
        </w:rPr>
        <w:t xml:space="preserve"> </w:t>
      </w:r>
      <w:r>
        <w:t>yapılması</w:t>
      </w:r>
      <w:r>
        <w:rPr>
          <w:spacing w:val="-4"/>
        </w:rPr>
        <w:t xml:space="preserve"> </w:t>
      </w:r>
      <w:r>
        <w:t>için bilgi sağlamayı hedefler. Çalışma, üniversite yönetimlerine ve politika yapıcılara, öğrenci deneyimini iyileştirmek ve daha destekleyici bir öğrenme ortamı oluşturmak için gereken stratejik yönlendirmelerde bulunabilir. Üniversitelerde yaşam kalitesinin yükseltilmesi, sadece fiziksel ve ekonomik yatırımlarla değil, aynı zamanda öğretim kalitesini artırma, öğrenci destek hizmetlerini güçlendirme ve kapsayıcı bir kampüs kültürü oluşturma çabalarıyla da mümkündür. Bu kapsamlı yaklaşım, üniversite topluluklarının tüm üyeleri için daha olumlu ve üretken bir akademik ve sosyal ortam sağlayacaktır.</w:t>
      </w:r>
    </w:p>
    <w:p w14:paraId="759E0345">
      <w:pPr>
        <w:pStyle w:val="9"/>
        <w:spacing w:before="120" w:after="120" w:line="360" w:lineRule="auto"/>
        <w:ind w:left="0" w:firstLine="567"/>
      </w:pPr>
      <w:r>
        <w:t>Türker</w:t>
      </w:r>
      <w:r>
        <w:rPr>
          <w:spacing w:val="-4"/>
        </w:rPr>
        <w:t xml:space="preserve"> </w:t>
      </w:r>
      <w:r>
        <w:t>ve</w:t>
      </w:r>
      <w:r>
        <w:rPr>
          <w:spacing w:val="-6"/>
        </w:rPr>
        <w:t xml:space="preserve"> </w:t>
      </w:r>
      <w:r>
        <w:t>diğerleri</w:t>
      </w:r>
      <w:r>
        <w:rPr>
          <w:spacing w:val="-4"/>
        </w:rPr>
        <w:t xml:space="preserve"> </w:t>
      </w:r>
      <w:r>
        <w:t>tarafından</w:t>
      </w:r>
      <w:r>
        <w:rPr>
          <w:spacing w:val="-4"/>
        </w:rPr>
        <w:t xml:space="preserve"> </w:t>
      </w:r>
      <w:r>
        <w:t>(2016:1)</w:t>
      </w:r>
      <w:r>
        <w:rPr>
          <w:spacing w:val="-3"/>
        </w:rPr>
        <w:t xml:space="preserve"> </w:t>
      </w:r>
      <w:r>
        <w:t>yapılan</w:t>
      </w:r>
      <w:r>
        <w:rPr>
          <w:spacing w:val="-4"/>
        </w:rPr>
        <w:t xml:space="preserve"> </w:t>
      </w:r>
      <w:r>
        <w:t>bir</w:t>
      </w:r>
      <w:r>
        <w:rPr>
          <w:spacing w:val="-4"/>
        </w:rPr>
        <w:t xml:space="preserve"> </w:t>
      </w:r>
      <w:r>
        <w:t>çalışmada</w:t>
      </w:r>
      <w:r>
        <w:rPr>
          <w:spacing w:val="-6"/>
        </w:rPr>
        <w:t xml:space="preserve"> </w:t>
      </w:r>
      <w:r>
        <w:t>ele</w:t>
      </w:r>
      <w:r>
        <w:rPr>
          <w:spacing w:val="-4"/>
        </w:rPr>
        <w:t xml:space="preserve"> </w:t>
      </w:r>
      <w:r>
        <w:t>alınan</w:t>
      </w:r>
      <w:r>
        <w:rPr>
          <w:spacing w:val="-4"/>
        </w:rPr>
        <w:t xml:space="preserve"> </w:t>
      </w:r>
      <w:r>
        <w:t>Safranbolu</w:t>
      </w:r>
      <w:r>
        <w:rPr>
          <w:spacing w:val="-4"/>
        </w:rPr>
        <w:t xml:space="preserve"> </w:t>
      </w:r>
      <w:r>
        <w:t>halkının yaşam kalitesi, sosyal, kültürel, ekonomik ve çevresel açılardan kapsamlı bir şekilde değerlendirilmiştir. Araştırma, turizmin bölge halkı üzerindeki algıları ve yaşam kalitesine olan</w:t>
      </w:r>
      <w:r>
        <w:rPr>
          <w:spacing w:val="73"/>
        </w:rPr>
        <w:t xml:space="preserve"> </w:t>
      </w:r>
      <w:r>
        <w:t>etkilerini</w:t>
      </w:r>
      <w:r>
        <w:rPr>
          <w:spacing w:val="76"/>
        </w:rPr>
        <w:t xml:space="preserve"> </w:t>
      </w:r>
      <w:r>
        <w:t>derinlemesine</w:t>
      </w:r>
      <w:r>
        <w:rPr>
          <w:spacing w:val="74"/>
        </w:rPr>
        <w:t xml:space="preserve"> </w:t>
      </w:r>
      <w:r>
        <w:t>incelemek</w:t>
      </w:r>
      <w:r>
        <w:rPr>
          <w:spacing w:val="75"/>
        </w:rPr>
        <w:t xml:space="preserve"> </w:t>
      </w:r>
      <w:r>
        <w:t>amacıyla</w:t>
      </w:r>
      <w:r>
        <w:rPr>
          <w:spacing w:val="50"/>
          <w:w w:val="150"/>
        </w:rPr>
        <w:t xml:space="preserve"> </w:t>
      </w:r>
      <w:r>
        <w:t>yapısal</w:t>
      </w:r>
      <w:r>
        <w:rPr>
          <w:spacing w:val="75"/>
        </w:rPr>
        <w:t xml:space="preserve"> </w:t>
      </w:r>
      <w:r>
        <w:t>bir</w:t>
      </w:r>
      <w:r>
        <w:rPr>
          <w:spacing w:val="77"/>
        </w:rPr>
        <w:t xml:space="preserve"> </w:t>
      </w:r>
      <w:r>
        <w:t>anket</w:t>
      </w:r>
      <w:r>
        <w:rPr>
          <w:spacing w:val="78"/>
        </w:rPr>
        <w:t xml:space="preserve"> </w:t>
      </w:r>
      <w:r>
        <w:t>formu</w:t>
      </w:r>
      <w:r>
        <w:rPr>
          <w:spacing w:val="76"/>
        </w:rPr>
        <w:t xml:space="preserve"> </w:t>
      </w:r>
      <w:r>
        <w:rPr>
          <w:spacing w:val="-2"/>
        </w:rPr>
        <w:t>kullanarak</w:t>
      </w:r>
      <w:r>
        <w:t xml:space="preserve"> gerçekleştirilmiştir.</w:t>
      </w:r>
      <w:r>
        <w:rPr>
          <w:spacing w:val="-1"/>
        </w:rPr>
        <w:t xml:space="preserve"> </w:t>
      </w:r>
      <w:r>
        <w:t>Bu anket, halkın turizme bakış açılarını, turizmin ekonomik getirilerini nasıl değerlendirdiklerini, kültürel değişimleri ve çevresel etkileri algılama biçimlerini ortaya koymak için tasarlanmıştır. Bu çalışmada, turizmin Safranbolu halkının yaşam kalitesine</w:t>
      </w:r>
      <w:r>
        <w:rPr>
          <w:spacing w:val="-7"/>
        </w:rPr>
        <w:t xml:space="preserve"> </w:t>
      </w:r>
      <w:r>
        <w:t>genel</w:t>
      </w:r>
      <w:r>
        <w:rPr>
          <w:spacing w:val="-6"/>
        </w:rPr>
        <w:t xml:space="preserve"> </w:t>
      </w:r>
      <w:r>
        <w:t>olarak</w:t>
      </w:r>
      <w:r>
        <w:rPr>
          <w:spacing w:val="-6"/>
        </w:rPr>
        <w:t xml:space="preserve"> </w:t>
      </w:r>
      <w:r>
        <w:t>olumlu</w:t>
      </w:r>
      <w:r>
        <w:rPr>
          <w:spacing w:val="-8"/>
        </w:rPr>
        <w:t xml:space="preserve"> </w:t>
      </w:r>
      <w:r>
        <w:t>bir</w:t>
      </w:r>
      <w:r>
        <w:rPr>
          <w:spacing w:val="-9"/>
        </w:rPr>
        <w:t xml:space="preserve"> </w:t>
      </w:r>
      <w:r>
        <w:t>etki</w:t>
      </w:r>
      <w:r>
        <w:rPr>
          <w:spacing w:val="-3"/>
        </w:rPr>
        <w:t xml:space="preserve"> </w:t>
      </w:r>
      <w:r>
        <w:t>yaptığı</w:t>
      </w:r>
      <w:r>
        <w:rPr>
          <w:spacing w:val="-8"/>
        </w:rPr>
        <w:t xml:space="preserve"> </w:t>
      </w:r>
      <w:r>
        <w:t>tespit</w:t>
      </w:r>
      <w:r>
        <w:rPr>
          <w:spacing w:val="-8"/>
        </w:rPr>
        <w:t xml:space="preserve"> </w:t>
      </w:r>
      <w:r>
        <w:t>edilmiştir.</w:t>
      </w:r>
      <w:r>
        <w:rPr>
          <w:spacing w:val="-9"/>
        </w:rPr>
        <w:t xml:space="preserve"> </w:t>
      </w:r>
      <w:r>
        <w:t>Özellikle</w:t>
      </w:r>
      <w:r>
        <w:rPr>
          <w:spacing w:val="-9"/>
        </w:rPr>
        <w:t xml:space="preserve"> </w:t>
      </w:r>
      <w:r>
        <w:t>turizmin</w:t>
      </w:r>
      <w:r>
        <w:rPr>
          <w:spacing w:val="-8"/>
        </w:rPr>
        <w:t xml:space="preserve"> </w:t>
      </w:r>
      <w:r>
        <w:t>ekonomik boyutu,</w:t>
      </w:r>
      <w:r>
        <w:rPr>
          <w:spacing w:val="-11"/>
        </w:rPr>
        <w:t xml:space="preserve"> </w:t>
      </w:r>
      <w:r>
        <w:t>bölge</w:t>
      </w:r>
      <w:r>
        <w:rPr>
          <w:spacing w:val="-12"/>
        </w:rPr>
        <w:t xml:space="preserve"> </w:t>
      </w:r>
      <w:r>
        <w:t>halkının</w:t>
      </w:r>
      <w:r>
        <w:rPr>
          <w:spacing w:val="-11"/>
        </w:rPr>
        <w:t xml:space="preserve"> </w:t>
      </w:r>
      <w:r>
        <w:t>gelir</w:t>
      </w:r>
      <w:r>
        <w:rPr>
          <w:spacing w:val="-12"/>
        </w:rPr>
        <w:t xml:space="preserve"> </w:t>
      </w:r>
      <w:r>
        <w:t>seviyelerini</w:t>
      </w:r>
      <w:r>
        <w:rPr>
          <w:spacing w:val="-11"/>
        </w:rPr>
        <w:t xml:space="preserve"> </w:t>
      </w:r>
      <w:r>
        <w:t>artırarak,</w:t>
      </w:r>
      <w:r>
        <w:rPr>
          <w:spacing w:val="-12"/>
        </w:rPr>
        <w:t xml:space="preserve"> </w:t>
      </w:r>
      <w:r>
        <w:t>istihdam</w:t>
      </w:r>
      <w:r>
        <w:rPr>
          <w:spacing w:val="-11"/>
        </w:rPr>
        <w:t xml:space="preserve"> </w:t>
      </w:r>
      <w:r>
        <w:t>olanaklarını</w:t>
      </w:r>
      <w:r>
        <w:rPr>
          <w:spacing w:val="-9"/>
        </w:rPr>
        <w:t xml:space="preserve"> </w:t>
      </w:r>
      <w:r>
        <w:t>genişletmiş</w:t>
      </w:r>
      <w:r>
        <w:rPr>
          <w:spacing w:val="-11"/>
        </w:rPr>
        <w:t xml:space="preserve"> </w:t>
      </w:r>
      <w:r>
        <w:t>ve</w:t>
      </w:r>
      <w:r>
        <w:rPr>
          <w:spacing w:val="-10"/>
        </w:rPr>
        <w:t xml:space="preserve"> </w:t>
      </w:r>
      <w:r>
        <w:t>yerel ekonomiye canlılık getirmiştir. Kültürel açıdan, turizm sayesinde Safranbolu'nun zengin tarihi ve kültürel mirası daha fazla tanıtılmış, bu durum yerel halkın kültürel gururunu pekiştirmiş</w:t>
      </w:r>
      <w:r>
        <w:rPr>
          <w:spacing w:val="-9"/>
        </w:rPr>
        <w:t xml:space="preserve"> </w:t>
      </w:r>
      <w:r>
        <w:t>ve</w:t>
      </w:r>
      <w:r>
        <w:rPr>
          <w:spacing w:val="-10"/>
        </w:rPr>
        <w:t xml:space="preserve"> </w:t>
      </w:r>
      <w:r>
        <w:t>kültürel</w:t>
      </w:r>
      <w:r>
        <w:rPr>
          <w:spacing w:val="-9"/>
        </w:rPr>
        <w:t xml:space="preserve"> </w:t>
      </w:r>
      <w:r>
        <w:t>bilinç</w:t>
      </w:r>
      <w:r>
        <w:rPr>
          <w:spacing w:val="-10"/>
        </w:rPr>
        <w:t xml:space="preserve"> </w:t>
      </w:r>
      <w:r>
        <w:t>düzeyini</w:t>
      </w:r>
      <w:r>
        <w:rPr>
          <w:spacing w:val="-9"/>
        </w:rPr>
        <w:t xml:space="preserve"> </w:t>
      </w:r>
      <w:r>
        <w:t>artırmıştır.</w:t>
      </w:r>
      <w:r>
        <w:rPr>
          <w:spacing w:val="-10"/>
        </w:rPr>
        <w:t xml:space="preserve"> </w:t>
      </w:r>
      <w:r>
        <w:t>Çevresel</w:t>
      </w:r>
      <w:r>
        <w:rPr>
          <w:spacing w:val="-9"/>
        </w:rPr>
        <w:t xml:space="preserve"> </w:t>
      </w:r>
      <w:r>
        <w:t>etkiler</w:t>
      </w:r>
      <w:r>
        <w:rPr>
          <w:spacing w:val="-10"/>
        </w:rPr>
        <w:t xml:space="preserve"> </w:t>
      </w:r>
      <w:r>
        <w:t>açısından,</w:t>
      </w:r>
      <w:r>
        <w:rPr>
          <w:spacing w:val="-9"/>
        </w:rPr>
        <w:t xml:space="preserve"> </w:t>
      </w:r>
      <w:r>
        <w:t>turizmin</w:t>
      </w:r>
      <w:r>
        <w:rPr>
          <w:spacing w:val="-11"/>
        </w:rPr>
        <w:t xml:space="preserve"> </w:t>
      </w:r>
      <w:r>
        <w:t>teşvik ettiği altyapı gelişmeleri ve çevre düzenlemeleri, bölgenin doğal ve tarihi güzelliklerinin korunmasına yardımcı olmuş, aynı zamanda daha temiz ve düzenli bir çevre sağlamıştır. Ancak, turizmin sosyal etkileri konusunda bazı olumsuz sonuçlar da gözlemlenmiştir. Araştırma, turizm nedeniyle yaşanan yoğunluk ve kalabalıklaşmanın, halk arasında sosyal gerginliklere ve geleneksel yaşam tarzlarında değişikliklere yol açtığını belirlemiştir. Ayrıca, turistik sezonda yaşanan artışlar yerel halkın günlük yaşamlarını olumsuz yönde etkileyebilmekte,</w:t>
      </w:r>
      <w:r>
        <w:rPr>
          <w:spacing w:val="-3"/>
        </w:rPr>
        <w:t xml:space="preserve"> </w:t>
      </w:r>
      <w:r>
        <w:t>gürültü</w:t>
      </w:r>
      <w:r>
        <w:rPr>
          <w:spacing w:val="-3"/>
        </w:rPr>
        <w:t xml:space="preserve"> </w:t>
      </w:r>
      <w:r>
        <w:t>ve</w:t>
      </w:r>
      <w:r>
        <w:rPr>
          <w:spacing w:val="-6"/>
        </w:rPr>
        <w:t xml:space="preserve"> </w:t>
      </w:r>
      <w:r>
        <w:t>kalabalık</w:t>
      </w:r>
      <w:r>
        <w:rPr>
          <w:spacing w:val="-3"/>
        </w:rPr>
        <w:t xml:space="preserve"> </w:t>
      </w:r>
      <w:r>
        <w:t>gibi</w:t>
      </w:r>
      <w:r>
        <w:rPr>
          <w:spacing w:val="-5"/>
        </w:rPr>
        <w:t xml:space="preserve"> </w:t>
      </w:r>
      <w:r>
        <w:t>faktörler</w:t>
      </w:r>
      <w:r>
        <w:rPr>
          <w:spacing w:val="-2"/>
        </w:rPr>
        <w:t xml:space="preserve"> </w:t>
      </w:r>
      <w:r>
        <w:t>yaşam</w:t>
      </w:r>
      <w:r>
        <w:rPr>
          <w:spacing w:val="-5"/>
        </w:rPr>
        <w:t xml:space="preserve"> </w:t>
      </w:r>
      <w:r>
        <w:t>kalitesini</w:t>
      </w:r>
      <w:r>
        <w:rPr>
          <w:spacing w:val="-4"/>
        </w:rPr>
        <w:t xml:space="preserve"> </w:t>
      </w:r>
      <w:r>
        <w:t>düşürebilmektedir.</w:t>
      </w:r>
      <w:r>
        <w:rPr>
          <w:spacing w:val="-5"/>
        </w:rPr>
        <w:t xml:space="preserve"> </w:t>
      </w:r>
      <w:r>
        <w:t>Bu çalışma, Safranbolu gibi turizm açısından zengin bölgelerde yaşayan halkın yaşam kalitesi üzerinde turizmin çeşitli etkilerini belgelemekte ve bu tür bölgelerde turizm politikaları oluşturulurken sosyoekonomik dengelerin korunması gerektiğini vurgulamaktadır. Aynı zamanda,</w:t>
      </w:r>
      <w:r>
        <w:rPr>
          <w:spacing w:val="-15"/>
        </w:rPr>
        <w:t xml:space="preserve"> </w:t>
      </w:r>
      <w:r>
        <w:t>turizmin</w:t>
      </w:r>
      <w:r>
        <w:rPr>
          <w:spacing w:val="-15"/>
        </w:rPr>
        <w:t xml:space="preserve"> </w:t>
      </w:r>
      <w:r>
        <w:t>olumlu</w:t>
      </w:r>
      <w:r>
        <w:rPr>
          <w:spacing w:val="-15"/>
        </w:rPr>
        <w:t xml:space="preserve"> </w:t>
      </w:r>
      <w:r>
        <w:t>etkilerini</w:t>
      </w:r>
      <w:r>
        <w:rPr>
          <w:spacing w:val="-15"/>
        </w:rPr>
        <w:t xml:space="preserve"> </w:t>
      </w:r>
      <w:r>
        <w:t>maksimize</w:t>
      </w:r>
      <w:r>
        <w:rPr>
          <w:spacing w:val="-15"/>
        </w:rPr>
        <w:t xml:space="preserve"> </w:t>
      </w:r>
      <w:r>
        <w:t>etmek</w:t>
      </w:r>
      <w:r>
        <w:rPr>
          <w:spacing w:val="-15"/>
        </w:rPr>
        <w:t xml:space="preserve"> </w:t>
      </w:r>
      <w:r>
        <w:t>ve</w:t>
      </w:r>
      <w:r>
        <w:rPr>
          <w:spacing w:val="-15"/>
        </w:rPr>
        <w:t xml:space="preserve"> </w:t>
      </w:r>
      <w:r>
        <w:t>olumsuz</w:t>
      </w:r>
      <w:r>
        <w:rPr>
          <w:spacing w:val="-14"/>
        </w:rPr>
        <w:t xml:space="preserve"> </w:t>
      </w:r>
      <w:r>
        <w:t>etkilerini</w:t>
      </w:r>
      <w:r>
        <w:rPr>
          <w:spacing w:val="-15"/>
        </w:rPr>
        <w:t xml:space="preserve"> </w:t>
      </w:r>
      <w:r>
        <w:t>minimize</w:t>
      </w:r>
      <w:r>
        <w:rPr>
          <w:spacing w:val="-15"/>
        </w:rPr>
        <w:t xml:space="preserve"> </w:t>
      </w:r>
      <w:r>
        <w:t>etmek için yerel yönetimlerin ve turizm işletmecilerinin birlikte çalışması gerektiğini ortaya koymaktadır. Bu işbirliği, Safranbolu gibi tarihi ve kültürel mirasa sahip yerlerde sürdürülebilir turizm uygulamalarının geliştirilmesine önemli katkılar sağlayabilir.</w:t>
      </w:r>
    </w:p>
    <w:p w14:paraId="7759F41A">
      <w:pPr>
        <w:pStyle w:val="9"/>
        <w:spacing w:before="120" w:after="120" w:line="360" w:lineRule="auto"/>
        <w:ind w:left="0" w:firstLine="567"/>
      </w:pPr>
      <w:r>
        <w:t>Çağlayan</w:t>
      </w:r>
      <w:r>
        <w:rPr>
          <w:spacing w:val="-2"/>
        </w:rPr>
        <w:t xml:space="preserve"> </w:t>
      </w:r>
      <w:r>
        <w:t>Tunç</w:t>
      </w:r>
      <w:r>
        <w:rPr>
          <w:spacing w:val="-3"/>
        </w:rPr>
        <w:t xml:space="preserve"> </w:t>
      </w:r>
      <w:r>
        <w:t>ve</w:t>
      </w:r>
      <w:r>
        <w:rPr>
          <w:spacing w:val="-3"/>
        </w:rPr>
        <w:t xml:space="preserve"> </w:t>
      </w:r>
      <w:r>
        <w:t>diğerleri</w:t>
      </w:r>
      <w:r>
        <w:rPr>
          <w:spacing w:val="-3"/>
        </w:rPr>
        <w:t xml:space="preserve"> </w:t>
      </w:r>
      <w:r>
        <w:t>(2020:127)</w:t>
      </w:r>
      <w:r>
        <w:rPr>
          <w:spacing w:val="-1"/>
        </w:rPr>
        <w:t xml:space="preserve"> </w:t>
      </w:r>
      <w:r>
        <w:t>tarafından yürütülen</w:t>
      </w:r>
      <w:r>
        <w:rPr>
          <w:spacing w:val="-3"/>
        </w:rPr>
        <w:t xml:space="preserve"> </w:t>
      </w:r>
      <w:r>
        <w:t>bir</w:t>
      </w:r>
      <w:r>
        <w:rPr>
          <w:spacing w:val="-3"/>
        </w:rPr>
        <w:t xml:space="preserve"> </w:t>
      </w:r>
      <w:r>
        <w:t>araştırma,</w:t>
      </w:r>
      <w:r>
        <w:rPr>
          <w:spacing w:val="-2"/>
        </w:rPr>
        <w:t xml:space="preserve"> </w:t>
      </w:r>
      <w:r>
        <w:t>Covid-19</w:t>
      </w:r>
      <w:r>
        <w:rPr>
          <w:spacing w:val="-2"/>
        </w:rPr>
        <w:t xml:space="preserve"> </w:t>
      </w:r>
      <w:r>
        <w:t>salgını süresince</w:t>
      </w:r>
      <w:r>
        <w:rPr>
          <w:spacing w:val="-15"/>
        </w:rPr>
        <w:t xml:space="preserve"> </w:t>
      </w:r>
      <w:r>
        <w:t>bireylerin</w:t>
      </w:r>
      <w:r>
        <w:rPr>
          <w:spacing w:val="-15"/>
        </w:rPr>
        <w:t xml:space="preserve"> </w:t>
      </w:r>
      <w:r>
        <w:t>egzersiz</w:t>
      </w:r>
      <w:r>
        <w:rPr>
          <w:spacing w:val="-15"/>
        </w:rPr>
        <w:t xml:space="preserve"> </w:t>
      </w:r>
      <w:r>
        <w:t>alışkanlıkları</w:t>
      </w:r>
      <w:r>
        <w:rPr>
          <w:spacing w:val="-15"/>
        </w:rPr>
        <w:t xml:space="preserve"> </w:t>
      </w:r>
      <w:r>
        <w:t>ve</w:t>
      </w:r>
      <w:r>
        <w:rPr>
          <w:spacing w:val="-15"/>
        </w:rPr>
        <w:t xml:space="preserve"> </w:t>
      </w:r>
      <w:r>
        <w:t>bu</w:t>
      </w:r>
      <w:r>
        <w:rPr>
          <w:spacing w:val="-15"/>
        </w:rPr>
        <w:t xml:space="preserve"> </w:t>
      </w:r>
      <w:r>
        <w:t>alışkanlıkların</w:t>
      </w:r>
      <w:r>
        <w:rPr>
          <w:spacing w:val="-15"/>
        </w:rPr>
        <w:t xml:space="preserve"> </w:t>
      </w:r>
      <w:r>
        <w:t>cinsiyet,</w:t>
      </w:r>
      <w:r>
        <w:rPr>
          <w:spacing w:val="-15"/>
        </w:rPr>
        <w:t xml:space="preserve"> </w:t>
      </w:r>
      <w:r>
        <w:t>yaş</w:t>
      </w:r>
      <w:r>
        <w:rPr>
          <w:spacing w:val="-15"/>
        </w:rPr>
        <w:t xml:space="preserve"> </w:t>
      </w:r>
      <w:r>
        <w:t>gibi</w:t>
      </w:r>
      <w:r>
        <w:rPr>
          <w:spacing w:val="-15"/>
        </w:rPr>
        <w:t xml:space="preserve"> </w:t>
      </w:r>
      <w:r>
        <w:t>demografik değişkenlerle</w:t>
      </w:r>
      <w:r>
        <w:rPr>
          <w:spacing w:val="-13"/>
        </w:rPr>
        <w:t xml:space="preserve"> </w:t>
      </w:r>
      <w:r>
        <w:t>ilişkisi</w:t>
      </w:r>
      <w:r>
        <w:rPr>
          <w:spacing w:val="-11"/>
        </w:rPr>
        <w:t xml:space="preserve"> </w:t>
      </w:r>
      <w:r>
        <w:t>üzerine</w:t>
      </w:r>
      <w:r>
        <w:rPr>
          <w:spacing w:val="-13"/>
        </w:rPr>
        <w:t xml:space="preserve"> </w:t>
      </w:r>
      <w:r>
        <w:t>odaklanmaktadır</w:t>
      </w:r>
      <w:r>
        <w:rPr>
          <w:spacing w:val="-12"/>
        </w:rPr>
        <w:t xml:space="preserve"> </w:t>
      </w:r>
      <w:r>
        <w:t>ve</w:t>
      </w:r>
      <w:r>
        <w:rPr>
          <w:spacing w:val="-13"/>
        </w:rPr>
        <w:t xml:space="preserve"> </w:t>
      </w:r>
      <w:r>
        <w:t>bulgular</w:t>
      </w:r>
      <w:r>
        <w:rPr>
          <w:spacing w:val="-10"/>
        </w:rPr>
        <w:t xml:space="preserve"> </w:t>
      </w:r>
      <w:r>
        <w:t>egzersiz</w:t>
      </w:r>
      <w:r>
        <w:rPr>
          <w:spacing w:val="-8"/>
        </w:rPr>
        <w:t xml:space="preserve"> </w:t>
      </w:r>
      <w:r>
        <w:t>yapmanın</w:t>
      </w:r>
      <w:r>
        <w:rPr>
          <w:spacing w:val="-9"/>
        </w:rPr>
        <w:t xml:space="preserve"> </w:t>
      </w:r>
      <w:r>
        <w:t>yaşam</w:t>
      </w:r>
      <w:r>
        <w:rPr>
          <w:spacing w:val="-11"/>
        </w:rPr>
        <w:t xml:space="preserve"> </w:t>
      </w:r>
      <w:r>
        <w:t>kalitesi üzerindeki olumlu etkilerini göstermektedir. Araştırmanın sonuçlarına göre, erkek katılımcılar egzersiz yapan grupta kadınlara göre daha yüksek puanlar almışlardır, bu da egzersiz</w:t>
      </w:r>
      <w:r>
        <w:rPr>
          <w:spacing w:val="-15"/>
        </w:rPr>
        <w:t xml:space="preserve"> </w:t>
      </w:r>
      <w:r>
        <w:t>alışkanlıklarının</w:t>
      </w:r>
      <w:r>
        <w:rPr>
          <w:spacing w:val="-15"/>
        </w:rPr>
        <w:t xml:space="preserve"> </w:t>
      </w:r>
      <w:r>
        <w:t>cinsiyetle</w:t>
      </w:r>
      <w:r>
        <w:rPr>
          <w:spacing w:val="-15"/>
        </w:rPr>
        <w:t xml:space="preserve"> </w:t>
      </w:r>
      <w:r>
        <w:t>nasıl</w:t>
      </w:r>
      <w:r>
        <w:rPr>
          <w:spacing w:val="-15"/>
        </w:rPr>
        <w:t xml:space="preserve"> </w:t>
      </w:r>
      <w:r>
        <w:t>farklılaşabileceğine</w:t>
      </w:r>
      <w:r>
        <w:rPr>
          <w:spacing w:val="-15"/>
        </w:rPr>
        <w:t xml:space="preserve"> </w:t>
      </w:r>
      <w:r>
        <w:t>dair</w:t>
      </w:r>
      <w:r>
        <w:rPr>
          <w:spacing w:val="-15"/>
        </w:rPr>
        <w:t xml:space="preserve"> </w:t>
      </w:r>
      <w:r>
        <w:t>ilginç</w:t>
      </w:r>
      <w:r>
        <w:rPr>
          <w:spacing w:val="-15"/>
        </w:rPr>
        <w:t xml:space="preserve"> </w:t>
      </w:r>
      <w:r>
        <w:t>veriler</w:t>
      </w:r>
      <w:r>
        <w:rPr>
          <w:spacing w:val="-15"/>
        </w:rPr>
        <w:t xml:space="preserve"> </w:t>
      </w:r>
      <w:r>
        <w:t>sunmaktadır. Yaş değişkenine bakıldığında, düzenli egzersiz yapanlar arasında yaşam kalitesi açısından anlamlı</w:t>
      </w:r>
      <w:r>
        <w:rPr>
          <w:spacing w:val="65"/>
        </w:rPr>
        <w:t xml:space="preserve"> </w:t>
      </w:r>
      <w:r>
        <w:t>bir</w:t>
      </w:r>
      <w:r>
        <w:rPr>
          <w:spacing w:val="66"/>
        </w:rPr>
        <w:t xml:space="preserve"> </w:t>
      </w:r>
      <w:r>
        <w:t>fark</w:t>
      </w:r>
      <w:r>
        <w:rPr>
          <w:spacing w:val="65"/>
        </w:rPr>
        <w:t xml:space="preserve"> </w:t>
      </w:r>
      <w:r>
        <w:t>bulunmazken,</w:t>
      </w:r>
      <w:r>
        <w:rPr>
          <w:spacing w:val="67"/>
        </w:rPr>
        <w:t xml:space="preserve"> </w:t>
      </w:r>
      <w:r>
        <w:t>egzersiz</w:t>
      </w:r>
      <w:r>
        <w:rPr>
          <w:spacing w:val="70"/>
        </w:rPr>
        <w:t xml:space="preserve"> </w:t>
      </w:r>
      <w:r>
        <w:t>yapmayanlarda</w:t>
      </w:r>
      <w:r>
        <w:rPr>
          <w:spacing w:val="70"/>
        </w:rPr>
        <w:t xml:space="preserve"> </w:t>
      </w:r>
      <w:r>
        <w:t>yaşın</w:t>
      </w:r>
      <w:r>
        <w:rPr>
          <w:spacing w:val="71"/>
        </w:rPr>
        <w:t xml:space="preserve"> </w:t>
      </w:r>
      <w:r>
        <w:t>yaşam</w:t>
      </w:r>
      <w:r>
        <w:rPr>
          <w:spacing w:val="69"/>
        </w:rPr>
        <w:t xml:space="preserve"> </w:t>
      </w:r>
      <w:r>
        <w:t>kalitesi</w:t>
      </w:r>
      <w:r>
        <w:rPr>
          <w:spacing w:val="67"/>
        </w:rPr>
        <w:t xml:space="preserve"> </w:t>
      </w:r>
      <w:r>
        <w:rPr>
          <w:spacing w:val="-2"/>
        </w:rPr>
        <w:t>üzerinde</w:t>
      </w:r>
      <w:r>
        <w:t xml:space="preserve"> belirgin bir etkisi olduğu görülmüştür. Özellikle, genel sağlık, sosyal ilişkiler ve çevre gibi yaşam</w:t>
      </w:r>
      <w:r>
        <w:rPr>
          <w:spacing w:val="-5"/>
        </w:rPr>
        <w:t xml:space="preserve"> </w:t>
      </w:r>
      <w:r>
        <w:t>kalitesi</w:t>
      </w:r>
      <w:r>
        <w:rPr>
          <w:spacing w:val="-6"/>
        </w:rPr>
        <w:t xml:space="preserve"> </w:t>
      </w:r>
      <w:r>
        <w:t>alt</w:t>
      </w:r>
      <w:r>
        <w:rPr>
          <w:spacing w:val="-5"/>
        </w:rPr>
        <w:t xml:space="preserve"> </w:t>
      </w:r>
      <w:r>
        <w:t>boyutlarında</w:t>
      </w:r>
      <w:r>
        <w:rPr>
          <w:spacing w:val="-5"/>
        </w:rPr>
        <w:t xml:space="preserve"> </w:t>
      </w:r>
      <w:r>
        <w:t>yaş</w:t>
      </w:r>
      <w:r>
        <w:rPr>
          <w:spacing w:val="-6"/>
        </w:rPr>
        <w:t xml:space="preserve"> </w:t>
      </w:r>
      <w:r>
        <w:t>ile</w:t>
      </w:r>
      <w:r>
        <w:rPr>
          <w:spacing w:val="-7"/>
        </w:rPr>
        <w:t xml:space="preserve"> </w:t>
      </w:r>
      <w:r>
        <w:t>ters</w:t>
      </w:r>
      <w:r>
        <w:rPr>
          <w:spacing w:val="-6"/>
        </w:rPr>
        <w:t xml:space="preserve"> </w:t>
      </w:r>
      <w:r>
        <w:t>orantılı</w:t>
      </w:r>
      <w:r>
        <w:rPr>
          <w:spacing w:val="-5"/>
        </w:rPr>
        <w:t xml:space="preserve"> </w:t>
      </w:r>
      <w:r>
        <w:t>bir</w:t>
      </w:r>
      <w:r>
        <w:rPr>
          <w:spacing w:val="-6"/>
        </w:rPr>
        <w:t xml:space="preserve"> </w:t>
      </w:r>
      <w:r>
        <w:t>ilişki</w:t>
      </w:r>
      <w:r>
        <w:rPr>
          <w:spacing w:val="-5"/>
        </w:rPr>
        <w:t xml:space="preserve"> </w:t>
      </w:r>
      <w:r>
        <w:t>tespit</w:t>
      </w:r>
      <w:r>
        <w:rPr>
          <w:spacing w:val="-5"/>
        </w:rPr>
        <w:t xml:space="preserve"> </w:t>
      </w:r>
      <w:r>
        <w:t>edilmiştir.</w:t>
      </w:r>
      <w:r>
        <w:rPr>
          <w:spacing w:val="-9"/>
        </w:rPr>
        <w:t xml:space="preserve"> </w:t>
      </w:r>
      <w:r>
        <w:t>Genel</w:t>
      </w:r>
      <w:r>
        <w:rPr>
          <w:spacing w:val="-5"/>
        </w:rPr>
        <w:t xml:space="preserve"> </w:t>
      </w:r>
      <w:r>
        <w:t>sağlık</w:t>
      </w:r>
      <w:r>
        <w:rPr>
          <w:spacing w:val="-6"/>
        </w:rPr>
        <w:t xml:space="preserve"> </w:t>
      </w:r>
      <w:r>
        <w:t>ve çevre boyutlarında yaş arttıkça bir düşüş gözlenirken, sosyal ilişkiler boyutunda bir artış saptanmıştır.</w:t>
      </w:r>
      <w:r>
        <w:rPr>
          <w:spacing w:val="-1"/>
        </w:rPr>
        <w:t xml:space="preserve"> </w:t>
      </w:r>
      <w:r>
        <w:t>Bu bulgular, yaşlı bireylerin sosyal ilişkilerden aldıkları desteğin genel sağlık ve çevresel koşulların olumsuz etkilerini dengede tutmaya yardımcı olabileceğini öne sürmektedir. Araştırmanın genel sonucu, Covid-19 salgını süresince egzersiz yapan bireylerin, yapmayanlara kıyasla yaşam kalitesinin daha yüksek olduğunu göstermektedir. Bu sonuç, pandemi gibi stresli ve belirsiz dönemlerde fiziksel aktivitenin sadece fiziksel sağlık üzerinde değil, aynı zamanda bireylerin genel yaşam kalitesi üzerinde de olumlu etkiler</w:t>
      </w:r>
      <w:r>
        <w:rPr>
          <w:spacing w:val="-4"/>
        </w:rPr>
        <w:t xml:space="preserve"> </w:t>
      </w:r>
      <w:r>
        <w:t>yaratabileceğinin</w:t>
      </w:r>
      <w:r>
        <w:rPr>
          <w:spacing w:val="-4"/>
        </w:rPr>
        <w:t xml:space="preserve"> </w:t>
      </w:r>
      <w:r>
        <w:t>altını</w:t>
      </w:r>
      <w:r>
        <w:rPr>
          <w:spacing w:val="-6"/>
        </w:rPr>
        <w:t xml:space="preserve"> </w:t>
      </w:r>
      <w:r>
        <w:t>çizer.</w:t>
      </w:r>
      <w:r>
        <w:rPr>
          <w:spacing w:val="-8"/>
        </w:rPr>
        <w:t xml:space="preserve"> </w:t>
      </w:r>
      <w:r>
        <w:t>Egzersiz</w:t>
      </w:r>
      <w:r>
        <w:rPr>
          <w:spacing w:val="-3"/>
        </w:rPr>
        <w:t xml:space="preserve"> </w:t>
      </w:r>
      <w:r>
        <w:t>yapmanın</w:t>
      </w:r>
      <w:r>
        <w:rPr>
          <w:spacing w:val="-7"/>
        </w:rPr>
        <w:t xml:space="preserve"> </w:t>
      </w:r>
      <w:r>
        <w:t>stres</w:t>
      </w:r>
      <w:r>
        <w:rPr>
          <w:spacing w:val="-7"/>
        </w:rPr>
        <w:t xml:space="preserve"> </w:t>
      </w:r>
      <w:r>
        <w:t>azaltma,</w:t>
      </w:r>
      <w:r>
        <w:rPr>
          <w:spacing w:val="-4"/>
        </w:rPr>
        <w:t xml:space="preserve"> </w:t>
      </w:r>
      <w:r>
        <w:t>ruh</w:t>
      </w:r>
      <w:r>
        <w:rPr>
          <w:spacing w:val="-4"/>
        </w:rPr>
        <w:t xml:space="preserve"> </w:t>
      </w:r>
      <w:r>
        <w:t>halini</w:t>
      </w:r>
      <w:r>
        <w:rPr>
          <w:spacing w:val="-6"/>
        </w:rPr>
        <w:t xml:space="preserve"> </w:t>
      </w:r>
      <w:r>
        <w:t>iyileştirme ve sosyal bağları güçlendirme gibi ek faydaları da göz önünde bulundurulduğunda, bu tür faaliyetlerin</w:t>
      </w:r>
      <w:r>
        <w:rPr>
          <w:spacing w:val="-15"/>
        </w:rPr>
        <w:t xml:space="preserve"> </w:t>
      </w:r>
      <w:r>
        <w:t>özellikle</w:t>
      </w:r>
      <w:r>
        <w:rPr>
          <w:spacing w:val="-15"/>
        </w:rPr>
        <w:t xml:space="preserve"> </w:t>
      </w:r>
      <w:r>
        <w:t>zorlayıcı</w:t>
      </w:r>
      <w:r>
        <w:rPr>
          <w:spacing w:val="-15"/>
        </w:rPr>
        <w:t xml:space="preserve"> </w:t>
      </w:r>
      <w:r>
        <w:t>zamanlarda</w:t>
      </w:r>
      <w:r>
        <w:rPr>
          <w:spacing w:val="-15"/>
        </w:rPr>
        <w:t xml:space="preserve"> </w:t>
      </w:r>
      <w:r>
        <w:t>teşvik</w:t>
      </w:r>
      <w:r>
        <w:rPr>
          <w:spacing w:val="-15"/>
        </w:rPr>
        <w:t xml:space="preserve"> </w:t>
      </w:r>
      <w:r>
        <w:t>edilmesi</w:t>
      </w:r>
      <w:r>
        <w:rPr>
          <w:spacing w:val="-15"/>
        </w:rPr>
        <w:t xml:space="preserve"> </w:t>
      </w:r>
      <w:r>
        <w:t>büyük</w:t>
      </w:r>
      <w:r>
        <w:rPr>
          <w:spacing w:val="-15"/>
        </w:rPr>
        <w:t xml:space="preserve"> </w:t>
      </w:r>
      <w:r>
        <w:t>önem</w:t>
      </w:r>
      <w:r>
        <w:rPr>
          <w:spacing w:val="-15"/>
        </w:rPr>
        <w:t xml:space="preserve"> </w:t>
      </w:r>
      <w:r>
        <w:t>taşır.</w:t>
      </w:r>
      <w:r>
        <w:rPr>
          <w:spacing w:val="-15"/>
        </w:rPr>
        <w:t xml:space="preserve"> </w:t>
      </w:r>
      <w:r>
        <w:t>Çağlayan</w:t>
      </w:r>
      <w:r>
        <w:rPr>
          <w:spacing w:val="-15"/>
        </w:rPr>
        <w:t xml:space="preserve"> </w:t>
      </w:r>
      <w:r>
        <w:t xml:space="preserve">Tunç ve diğerleri tarafından (2020:127) yapılan bu çalışma, pandemi döneminde toplum sağlığı politikaları ve bireysel sağlık stratejileri geliştirirken egzersizin entegrasyonunun önemini vurgulamaktadır. Bu tür araştırmalar, sağlık profesyonellerine, politika yapıcılara ve bireylere pandemi gibi kriz dönemlerinde yaşam kalitesini koruma ve artırma yolları </w:t>
      </w:r>
      <w:r>
        <w:rPr>
          <w:spacing w:val="-2"/>
        </w:rPr>
        <w:t>sunmaktadır.</w:t>
      </w:r>
    </w:p>
    <w:p w14:paraId="04386657">
      <w:pPr>
        <w:pStyle w:val="9"/>
        <w:spacing w:before="120" w:after="120" w:line="360" w:lineRule="auto"/>
        <w:ind w:left="0" w:firstLine="567"/>
      </w:pPr>
      <w:r>
        <w:t xml:space="preserve">Araştırmalar, çalışan kadınların iş-yaşam dengesi kurma konusunda erkeklere kıyasla daha </w:t>
      </w:r>
      <w:r>
        <w:rPr>
          <w:spacing w:val="-2"/>
        </w:rPr>
        <w:t>fazla</w:t>
      </w:r>
      <w:r>
        <w:rPr>
          <w:spacing w:val="-3"/>
        </w:rPr>
        <w:t xml:space="preserve"> </w:t>
      </w:r>
      <w:r>
        <w:rPr>
          <w:spacing w:val="-2"/>
        </w:rPr>
        <w:t>zorlandıklarını</w:t>
      </w:r>
      <w:r>
        <w:rPr>
          <w:spacing w:val="-3"/>
        </w:rPr>
        <w:t xml:space="preserve"> </w:t>
      </w:r>
      <w:r>
        <w:rPr>
          <w:spacing w:val="-2"/>
        </w:rPr>
        <w:t>ortaya koymaktadır.</w:t>
      </w:r>
      <w:r>
        <w:rPr>
          <w:spacing w:val="-3"/>
        </w:rPr>
        <w:t xml:space="preserve"> </w:t>
      </w:r>
      <w:r>
        <w:rPr>
          <w:spacing w:val="-2"/>
        </w:rPr>
        <w:t>Bu</w:t>
      </w:r>
      <w:r>
        <w:rPr>
          <w:spacing w:val="-3"/>
        </w:rPr>
        <w:t xml:space="preserve"> </w:t>
      </w:r>
      <w:r>
        <w:rPr>
          <w:spacing w:val="-2"/>
        </w:rPr>
        <w:t>zorluk,</w:t>
      </w:r>
      <w:r>
        <w:rPr>
          <w:spacing w:val="-3"/>
        </w:rPr>
        <w:t xml:space="preserve"> </w:t>
      </w:r>
      <w:r>
        <w:rPr>
          <w:spacing w:val="-2"/>
        </w:rPr>
        <w:t>özellikle</w:t>
      </w:r>
      <w:r>
        <w:rPr>
          <w:spacing w:val="-5"/>
        </w:rPr>
        <w:t xml:space="preserve"> </w:t>
      </w:r>
      <w:r>
        <w:rPr>
          <w:spacing w:val="-2"/>
        </w:rPr>
        <w:t>eğitim düzeyinin düşük</w:t>
      </w:r>
      <w:r>
        <w:rPr>
          <w:spacing w:val="-3"/>
        </w:rPr>
        <w:t xml:space="preserve"> </w:t>
      </w:r>
      <w:r>
        <w:rPr>
          <w:spacing w:val="-2"/>
        </w:rPr>
        <w:t xml:space="preserve">olduğu </w:t>
      </w:r>
      <w:r>
        <w:t>geri</w:t>
      </w:r>
      <w:r>
        <w:rPr>
          <w:spacing w:val="-12"/>
        </w:rPr>
        <w:t xml:space="preserve"> </w:t>
      </w:r>
      <w:r>
        <w:t>kalmış</w:t>
      </w:r>
      <w:r>
        <w:rPr>
          <w:spacing w:val="-11"/>
        </w:rPr>
        <w:t xml:space="preserve"> </w:t>
      </w:r>
      <w:r>
        <w:t>ülkelerde</w:t>
      </w:r>
      <w:r>
        <w:rPr>
          <w:spacing w:val="-13"/>
        </w:rPr>
        <w:t xml:space="preserve"> </w:t>
      </w:r>
      <w:r>
        <w:t>daha</w:t>
      </w:r>
      <w:r>
        <w:rPr>
          <w:spacing w:val="-13"/>
        </w:rPr>
        <w:t xml:space="preserve"> </w:t>
      </w:r>
      <w:r>
        <w:t>belirgin</w:t>
      </w:r>
      <w:r>
        <w:rPr>
          <w:spacing w:val="-11"/>
        </w:rPr>
        <w:t xml:space="preserve"> </w:t>
      </w:r>
      <w:r>
        <w:t>bir</w:t>
      </w:r>
      <w:r>
        <w:rPr>
          <w:spacing w:val="-12"/>
        </w:rPr>
        <w:t xml:space="preserve"> </w:t>
      </w:r>
      <w:r>
        <w:t>şekilde</w:t>
      </w:r>
      <w:r>
        <w:rPr>
          <w:spacing w:val="-10"/>
        </w:rPr>
        <w:t xml:space="preserve"> </w:t>
      </w:r>
      <w:r>
        <w:t>görülmektedir.</w:t>
      </w:r>
      <w:r>
        <w:rPr>
          <w:spacing w:val="-12"/>
        </w:rPr>
        <w:t xml:space="preserve"> </w:t>
      </w:r>
      <w:r>
        <w:t>Aslan'ın</w:t>
      </w:r>
      <w:r>
        <w:rPr>
          <w:spacing w:val="-11"/>
        </w:rPr>
        <w:t xml:space="preserve"> </w:t>
      </w:r>
      <w:r>
        <w:t>(2009:</w:t>
      </w:r>
      <w:r>
        <w:rPr>
          <w:spacing w:val="-11"/>
        </w:rPr>
        <w:t xml:space="preserve"> </w:t>
      </w:r>
      <w:r>
        <w:t>2)</w:t>
      </w:r>
      <w:r>
        <w:rPr>
          <w:spacing w:val="-12"/>
        </w:rPr>
        <w:t xml:space="preserve"> </w:t>
      </w:r>
      <w:r>
        <w:t>çalışmasına göre,</w:t>
      </w:r>
      <w:r>
        <w:rPr>
          <w:spacing w:val="-9"/>
        </w:rPr>
        <w:t xml:space="preserve"> </w:t>
      </w:r>
      <w:r>
        <w:t>bu</w:t>
      </w:r>
      <w:r>
        <w:rPr>
          <w:spacing w:val="-9"/>
        </w:rPr>
        <w:t xml:space="preserve"> </w:t>
      </w:r>
      <w:r>
        <w:t>tür</w:t>
      </w:r>
      <w:r>
        <w:rPr>
          <w:spacing w:val="-10"/>
        </w:rPr>
        <w:t xml:space="preserve"> </w:t>
      </w:r>
      <w:r>
        <w:t>ülkelerde</w:t>
      </w:r>
      <w:r>
        <w:rPr>
          <w:spacing w:val="-11"/>
        </w:rPr>
        <w:t xml:space="preserve"> </w:t>
      </w:r>
      <w:r>
        <w:t>kadınların</w:t>
      </w:r>
      <w:r>
        <w:rPr>
          <w:spacing w:val="-10"/>
        </w:rPr>
        <w:t xml:space="preserve"> </w:t>
      </w:r>
      <w:r>
        <w:t>eğitim</w:t>
      </w:r>
      <w:r>
        <w:rPr>
          <w:spacing w:val="-9"/>
        </w:rPr>
        <w:t xml:space="preserve"> </w:t>
      </w:r>
      <w:r>
        <w:t>seviyesinin</w:t>
      </w:r>
      <w:r>
        <w:rPr>
          <w:spacing w:val="-7"/>
        </w:rPr>
        <w:t xml:space="preserve"> </w:t>
      </w:r>
      <w:r>
        <w:t>düşük</w:t>
      </w:r>
      <w:r>
        <w:rPr>
          <w:spacing w:val="-9"/>
        </w:rPr>
        <w:t xml:space="preserve"> </w:t>
      </w:r>
      <w:r>
        <w:t>olması,</w:t>
      </w:r>
      <w:r>
        <w:rPr>
          <w:spacing w:val="-11"/>
        </w:rPr>
        <w:t xml:space="preserve"> </w:t>
      </w:r>
      <w:r>
        <w:t>onların</w:t>
      </w:r>
      <w:r>
        <w:rPr>
          <w:spacing w:val="-9"/>
        </w:rPr>
        <w:t xml:space="preserve"> </w:t>
      </w:r>
      <w:r>
        <w:t>sosyal,</w:t>
      </w:r>
      <w:r>
        <w:rPr>
          <w:spacing w:val="-9"/>
        </w:rPr>
        <w:t xml:space="preserve"> </w:t>
      </w:r>
      <w:r>
        <w:t>ekonomik, kültürel ve sağlık alanlarında daha dezavantajlı bir konuma düşmelerine yol açmaktadır. Eğitimin</w:t>
      </w:r>
      <w:r>
        <w:rPr>
          <w:spacing w:val="-10"/>
        </w:rPr>
        <w:t xml:space="preserve"> </w:t>
      </w:r>
      <w:r>
        <w:t>kadınlar</w:t>
      </w:r>
      <w:r>
        <w:rPr>
          <w:spacing w:val="-11"/>
        </w:rPr>
        <w:t xml:space="preserve"> </w:t>
      </w:r>
      <w:r>
        <w:t>için</w:t>
      </w:r>
      <w:r>
        <w:rPr>
          <w:spacing w:val="-11"/>
        </w:rPr>
        <w:t xml:space="preserve"> </w:t>
      </w:r>
      <w:r>
        <w:t>bir</w:t>
      </w:r>
      <w:r>
        <w:rPr>
          <w:spacing w:val="-10"/>
        </w:rPr>
        <w:t xml:space="preserve"> </w:t>
      </w:r>
      <w:r>
        <w:t>güçlenme</w:t>
      </w:r>
      <w:r>
        <w:rPr>
          <w:spacing w:val="-11"/>
        </w:rPr>
        <w:t xml:space="preserve"> </w:t>
      </w:r>
      <w:r>
        <w:t>aracı</w:t>
      </w:r>
      <w:r>
        <w:rPr>
          <w:spacing w:val="-10"/>
        </w:rPr>
        <w:t xml:space="preserve"> </w:t>
      </w:r>
      <w:r>
        <w:t>olarak</w:t>
      </w:r>
      <w:r>
        <w:rPr>
          <w:spacing w:val="-11"/>
        </w:rPr>
        <w:t xml:space="preserve"> </w:t>
      </w:r>
      <w:r>
        <w:t>rolünün</w:t>
      </w:r>
      <w:r>
        <w:rPr>
          <w:spacing w:val="-10"/>
        </w:rPr>
        <w:t xml:space="preserve"> </w:t>
      </w:r>
      <w:r>
        <w:t>zayıf</w:t>
      </w:r>
      <w:r>
        <w:rPr>
          <w:spacing w:val="-11"/>
        </w:rPr>
        <w:t xml:space="preserve"> </w:t>
      </w:r>
      <w:r>
        <w:t>olması,</w:t>
      </w:r>
      <w:r>
        <w:rPr>
          <w:spacing w:val="-10"/>
        </w:rPr>
        <w:t xml:space="preserve"> </w:t>
      </w:r>
      <w:r>
        <w:t>bu</w:t>
      </w:r>
      <w:r>
        <w:rPr>
          <w:spacing w:val="-11"/>
        </w:rPr>
        <w:t xml:space="preserve"> </w:t>
      </w:r>
      <w:r>
        <w:t>alanlarda</w:t>
      </w:r>
      <w:r>
        <w:rPr>
          <w:spacing w:val="-10"/>
        </w:rPr>
        <w:t xml:space="preserve"> </w:t>
      </w:r>
      <w:r>
        <w:t>cinsiyete dayalı eşitsizlikleri derinleştirmekte ve kadınların toplum içindeki konumlarını daha da zorlaştırmaktadır. Sosyal normlar ve toplumsal cinsiyet rolleri de çalışan kadınların karşılaştığı zorlukları artıran önemli faktörlerdendir. Sabbah ve diğerleri (2003:11) tarafından yapılan çalışma, toplumun kadınlardan beklediği geleneksel rollerin (yemek pişirme, temizlik, çocuk bakımı ve diğer aile üyelerine bakma gibi) kadınların iş-yaşam dengesini</w:t>
      </w:r>
      <w:r>
        <w:rPr>
          <w:spacing w:val="-1"/>
        </w:rPr>
        <w:t xml:space="preserve"> </w:t>
      </w:r>
      <w:r>
        <w:t>kurmalarını</w:t>
      </w:r>
      <w:r>
        <w:rPr>
          <w:spacing w:val="-2"/>
        </w:rPr>
        <w:t xml:space="preserve"> </w:t>
      </w:r>
      <w:r>
        <w:t>daha</w:t>
      </w:r>
      <w:r>
        <w:rPr>
          <w:spacing w:val="-3"/>
        </w:rPr>
        <w:t xml:space="preserve"> </w:t>
      </w:r>
      <w:r>
        <w:t>da</w:t>
      </w:r>
      <w:r>
        <w:rPr>
          <w:spacing w:val="-3"/>
        </w:rPr>
        <w:t xml:space="preserve"> </w:t>
      </w:r>
      <w:r>
        <w:t>zorlaştırdığını</w:t>
      </w:r>
      <w:r>
        <w:rPr>
          <w:spacing w:val="-2"/>
        </w:rPr>
        <w:t xml:space="preserve"> </w:t>
      </w:r>
      <w:r>
        <w:t>belirtmektedir.</w:t>
      </w:r>
      <w:r>
        <w:rPr>
          <w:spacing w:val="-2"/>
        </w:rPr>
        <w:t xml:space="preserve"> </w:t>
      </w:r>
      <w:r>
        <w:t>Bu</w:t>
      </w:r>
      <w:r>
        <w:rPr>
          <w:spacing w:val="-2"/>
        </w:rPr>
        <w:t xml:space="preserve"> </w:t>
      </w:r>
      <w:r>
        <w:t>roller,</w:t>
      </w:r>
      <w:r>
        <w:rPr>
          <w:spacing w:val="-3"/>
        </w:rPr>
        <w:t xml:space="preserve"> </w:t>
      </w:r>
      <w:r>
        <w:t>kadınların</w:t>
      </w:r>
      <w:r>
        <w:rPr>
          <w:spacing w:val="-2"/>
        </w:rPr>
        <w:t xml:space="preserve"> </w:t>
      </w:r>
      <w:r>
        <w:t>iş</w:t>
      </w:r>
      <w:r>
        <w:rPr>
          <w:spacing w:val="-2"/>
        </w:rPr>
        <w:t xml:space="preserve"> </w:t>
      </w:r>
      <w:r>
        <w:t>ve</w:t>
      </w:r>
      <w:r>
        <w:rPr>
          <w:spacing w:val="-3"/>
        </w:rPr>
        <w:t xml:space="preserve"> </w:t>
      </w:r>
      <w:r>
        <w:t xml:space="preserve">özel </w:t>
      </w:r>
      <w:r>
        <w:rPr>
          <w:spacing w:val="-2"/>
        </w:rPr>
        <w:t>hayat</w:t>
      </w:r>
      <w:r>
        <w:rPr>
          <w:spacing w:val="-5"/>
        </w:rPr>
        <w:t xml:space="preserve"> </w:t>
      </w:r>
      <w:r>
        <w:rPr>
          <w:spacing w:val="-2"/>
        </w:rPr>
        <w:t>arasında denge kurmalarını</w:t>
      </w:r>
      <w:r>
        <w:rPr>
          <w:spacing w:val="-4"/>
        </w:rPr>
        <w:t xml:space="preserve"> </w:t>
      </w:r>
      <w:r>
        <w:rPr>
          <w:spacing w:val="-2"/>
        </w:rPr>
        <w:t>engelleyen</w:t>
      </w:r>
      <w:r>
        <w:rPr>
          <w:spacing w:val="-4"/>
        </w:rPr>
        <w:t xml:space="preserve"> </w:t>
      </w:r>
      <w:r>
        <w:rPr>
          <w:spacing w:val="-2"/>
        </w:rPr>
        <w:t>ve</w:t>
      </w:r>
      <w:r>
        <w:rPr>
          <w:spacing w:val="-5"/>
        </w:rPr>
        <w:t xml:space="preserve"> </w:t>
      </w:r>
      <w:r>
        <w:rPr>
          <w:spacing w:val="-2"/>
        </w:rPr>
        <w:t>onları</w:t>
      </w:r>
      <w:r>
        <w:rPr>
          <w:spacing w:val="-3"/>
        </w:rPr>
        <w:t xml:space="preserve"> </w:t>
      </w:r>
      <w:r>
        <w:rPr>
          <w:spacing w:val="-2"/>
        </w:rPr>
        <w:t>sürekli</w:t>
      </w:r>
      <w:r>
        <w:rPr>
          <w:spacing w:val="-3"/>
        </w:rPr>
        <w:t xml:space="preserve"> </w:t>
      </w:r>
      <w:r>
        <w:rPr>
          <w:spacing w:val="-2"/>
        </w:rPr>
        <w:t>bir</w:t>
      </w:r>
      <w:r>
        <w:rPr>
          <w:spacing w:val="-1"/>
        </w:rPr>
        <w:t xml:space="preserve"> </w:t>
      </w:r>
      <w:r>
        <w:rPr>
          <w:spacing w:val="-2"/>
        </w:rPr>
        <w:t>baskı</w:t>
      </w:r>
      <w:r>
        <w:rPr>
          <w:spacing w:val="-1"/>
        </w:rPr>
        <w:t xml:space="preserve"> </w:t>
      </w:r>
      <w:r>
        <w:rPr>
          <w:spacing w:val="-2"/>
        </w:rPr>
        <w:t>altında</w:t>
      </w:r>
      <w:r>
        <w:rPr>
          <w:spacing w:val="-4"/>
        </w:rPr>
        <w:t xml:space="preserve"> </w:t>
      </w:r>
      <w:r>
        <w:rPr>
          <w:spacing w:val="-2"/>
        </w:rPr>
        <w:t>tutan</w:t>
      </w:r>
      <w:r>
        <w:rPr>
          <w:spacing w:val="-3"/>
        </w:rPr>
        <w:t xml:space="preserve"> </w:t>
      </w:r>
      <w:r>
        <w:rPr>
          <w:spacing w:val="-2"/>
        </w:rPr>
        <w:t>faktörler</w:t>
      </w:r>
      <w:r>
        <w:t xml:space="preserve"> olarak</w:t>
      </w:r>
      <w:r>
        <w:rPr>
          <w:spacing w:val="-4"/>
        </w:rPr>
        <w:t xml:space="preserve"> </w:t>
      </w:r>
      <w:r>
        <w:t>işlev</w:t>
      </w:r>
      <w:r>
        <w:rPr>
          <w:spacing w:val="-2"/>
        </w:rPr>
        <w:t xml:space="preserve"> </w:t>
      </w:r>
      <w:r>
        <w:t>görmektedir.</w:t>
      </w:r>
      <w:r>
        <w:rPr>
          <w:spacing w:val="-2"/>
        </w:rPr>
        <w:t xml:space="preserve"> </w:t>
      </w:r>
      <w:r>
        <w:t>Bu</w:t>
      </w:r>
      <w:r>
        <w:rPr>
          <w:spacing w:val="-4"/>
        </w:rPr>
        <w:t xml:space="preserve"> </w:t>
      </w:r>
      <w:r>
        <w:t>durum,</w:t>
      </w:r>
      <w:r>
        <w:rPr>
          <w:spacing w:val="-4"/>
        </w:rPr>
        <w:t xml:space="preserve"> </w:t>
      </w:r>
      <w:r>
        <w:t>kadınların yaşam</w:t>
      </w:r>
      <w:r>
        <w:rPr>
          <w:spacing w:val="-4"/>
        </w:rPr>
        <w:t xml:space="preserve"> </w:t>
      </w:r>
      <w:r>
        <w:t>kalitesi</w:t>
      </w:r>
      <w:r>
        <w:rPr>
          <w:spacing w:val="-4"/>
        </w:rPr>
        <w:t xml:space="preserve"> </w:t>
      </w:r>
      <w:r>
        <w:t>üzerinde</w:t>
      </w:r>
      <w:r>
        <w:rPr>
          <w:spacing w:val="-6"/>
        </w:rPr>
        <w:t xml:space="preserve"> </w:t>
      </w:r>
      <w:r>
        <w:t>doğrudan</w:t>
      </w:r>
      <w:r>
        <w:rPr>
          <w:spacing w:val="-4"/>
        </w:rPr>
        <w:t xml:space="preserve"> </w:t>
      </w:r>
      <w:r>
        <w:t>bir</w:t>
      </w:r>
      <w:r>
        <w:rPr>
          <w:spacing w:val="-3"/>
        </w:rPr>
        <w:t xml:space="preserve"> </w:t>
      </w:r>
      <w:r>
        <w:t>etkiye sahiptir. İş ve ev hayatı arasında</w:t>
      </w:r>
      <w:r>
        <w:rPr>
          <w:spacing w:val="-1"/>
        </w:rPr>
        <w:t xml:space="preserve"> </w:t>
      </w:r>
      <w:r>
        <w:t>sürekli bir</w:t>
      </w:r>
      <w:r>
        <w:rPr>
          <w:spacing w:val="-1"/>
        </w:rPr>
        <w:t xml:space="preserve"> </w:t>
      </w:r>
      <w:r>
        <w:t>denge kurma</w:t>
      </w:r>
      <w:r>
        <w:rPr>
          <w:spacing w:val="-1"/>
        </w:rPr>
        <w:t xml:space="preserve"> </w:t>
      </w:r>
      <w:r>
        <w:t>çabası, stres, yorgunluk ve</w:t>
      </w:r>
      <w:r>
        <w:rPr>
          <w:spacing w:val="-1"/>
        </w:rPr>
        <w:t xml:space="preserve"> </w:t>
      </w:r>
      <w:r>
        <w:t>zaman yönetimi</w:t>
      </w:r>
      <w:r>
        <w:rPr>
          <w:spacing w:val="-9"/>
        </w:rPr>
        <w:t xml:space="preserve"> </w:t>
      </w:r>
      <w:r>
        <w:t>sorunları</w:t>
      </w:r>
      <w:r>
        <w:rPr>
          <w:spacing w:val="-9"/>
        </w:rPr>
        <w:t xml:space="preserve"> </w:t>
      </w:r>
      <w:r>
        <w:t>gibi</w:t>
      </w:r>
      <w:r>
        <w:rPr>
          <w:spacing w:val="-9"/>
        </w:rPr>
        <w:t xml:space="preserve"> </w:t>
      </w:r>
      <w:r>
        <w:t>çeşitli</w:t>
      </w:r>
      <w:r>
        <w:rPr>
          <w:spacing w:val="-9"/>
        </w:rPr>
        <w:t xml:space="preserve"> </w:t>
      </w:r>
      <w:r>
        <w:t>psikolojik</w:t>
      </w:r>
      <w:r>
        <w:rPr>
          <w:spacing w:val="-12"/>
        </w:rPr>
        <w:t xml:space="preserve"> </w:t>
      </w:r>
      <w:r>
        <w:t>ve</w:t>
      </w:r>
      <w:r>
        <w:rPr>
          <w:spacing w:val="-10"/>
        </w:rPr>
        <w:t xml:space="preserve"> </w:t>
      </w:r>
      <w:r>
        <w:t>fiziksel</w:t>
      </w:r>
      <w:r>
        <w:rPr>
          <w:spacing w:val="-11"/>
        </w:rPr>
        <w:t xml:space="preserve"> </w:t>
      </w:r>
      <w:r>
        <w:t>sorunlara</w:t>
      </w:r>
      <w:r>
        <w:rPr>
          <w:spacing w:val="-9"/>
        </w:rPr>
        <w:t xml:space="preserve"> </w:t>
      </w:r>
      <w:r>
        <w:t>yol</w:t>
      </w:r>
      <w:r>
        <w:rPr>
          <w:spacing w:val="-9"/>
        </w:rPr>
        <w:t xml:space="preserve"> </w:t>
      </w:r>
      <w:r>
        <w:t>açabilmektedir.</w:t>
      </w:r>
      <w:r>
        <w:rPr>
          <w:spacing w:val="-10"/>
        </w:rPr>
        <w:t xml:space="preserve"> </w:t>
      </w:r>
      <w:r>
        <w:t>Ayrıca,</w:t>
      </w:r>
      <w:r>
        <w:rPr>
          <w:spacing w:val="-9"/>
        </w:rPr>
        <w:t xml:space="preserve"> </w:t>
      </w:r>
      <w:r>
        <w:t>bu durum kadınların kariyer gelişimlerini de olumsuz etkileyebilir, çünkü iş dışındaki sorumluluklar nedeniyle işlerine yeterince odaklanamamaları veya mesleki eğitim ve gelişim fırsatlarını kaçırmaları muhtemeldir. Bu nedenle, iş-yaşam dengesini destekleyici politikaların geliştirilmesi, özellikle kadın çalışanlar için büyük önem taşımaktadır. Esnek çalışma</w:t>
      </w:r>
      <w:r>
        <w:rPr>
          <w:spacing w:val="-3"/>
        </w:rPr>
        <w:t xml:space="preserve"> </w:t>
      </w:r>
      <w:r>
        <w:t>saatleri,</w:t>
      </w:r>
      <w:r>
        <w:rPr>
          <w:spacing w:val="-3"/>
        </w:rPr>
        <w:t xml:space="preserve"> </w:t>
      </w:r>
      <w:r>
        <w:t>çocuk</w:t>
      </w:r>
      <w:r>
        <w:rPr>
          <w:spacing w:val="-2"/>
        </w:rPr>
        <w:t xml:space="preserve"> </w:t>
      </w:r>
      <w:r>
        <w:t>bakımı</w:t>
      </w:r>
      <w:r>
        <w:rPr>
          <w:spacing w:val="-2"/>
        </w:rPr>
        <w:t xml:space="preserve"> </w:t>
      </w:r>
      <w:r>
        <w:t>desteği,</w:t>
      </w:r>
      <w:r>
        <w:rPr>
          <w:spacing w:val="-2"/>
        </w:rPr>
        <w:t xml:space="preserve"> </w:t>
      </w:r>
      <w:r>
        <w:t>uzaktan</w:t>
      </w:r>
      <w:r>
        <w:rPr>
          <w:spacing w:val="-3"/>
        </w:rPr>
        <w:t xml:space="preserve"> </w:t>
      </w:r>
      <w:r>
        <w:t>çalışma</w:t>
      </w:r>
      <w:r>
        <w:rPr>
          <w:spacing w:val="-3"/>
        </w:rPr>
        <w:t xml:space="preserve"> </w:t>
      </w:r>
      <w:r>
        <w:t>imkanları</w:t>
      </w:r>
      <w:r>
        <w:rPr>
          <w:spacing w:val="-2"/>
        </w:rPr>
        <w:t xml:space="preserve"> </w:t>
      </w:r>
      <w:r>
        <w:t>gibi</w:t>
      </w:r>
      <w:r>
        <w:rPr>
          <w:spacing w:val="-2"/>
        </w:rPr>
        <w:t xml:space="preserve"> </w:t>
      </w:r>
      <w:r>
        <w:t>çözümler,</w:t>
      </w:r>
      <w:r>
        <w:rPr>
          <w:spacing w:val="-3"/>
        </w:rPr>
        <w:t xml:space="preserve"> </w:t>
      </w:r>
      <w:r>
        <w:t>kadınların hem iş hem de özel hayatlarında daha başarılı ve mutlu olmalarını sağlayabilir. Ayrıca, toplumsal cinsiyet rollerinin yeniden şekillendirilmesi ve eğitimde cinsiyet eşitliğinin sağlanması,</w:t>
      </w:r>
      <w:r>
        <w:rPr>
          <w:spacing w:val="-3"/>
        </w:rPr>
        <w:t xml:space="preserve"> </w:t>
      </w:r>
      <w:r>
        <w:t>kadınların</w:t>
      </w:r>
      <w:r>
        <w:rPr>
          <w:spacing w:val="-1"/>
        </w:rPr>
        <w:t xml:space="preserve"> </w:t>
      </w:r>
      <w:r>
        <w:t>yaşam</w:t>
      </w:r>
      <w:r>
        <w:rPr>
          <w:spacing w:val="-3"/>
        </w:rPr>
        <w:t xml:space="preserve"> </w:t>
      </w:r>
      <w:r>
        <w:t>kalitelerini</w:t>
      </w:r>
      <w:r>
        <w:rPr>
          <w:spacing w:val="-3"/>
        </w:rPr>
        <w:t xml:space="preserve"> </w:t>
      </w:r>
      <w:r>
        <w:t>artıracak</w:t>
      </w:r>
      <w:r>
        <w:rPr>
          <w:spacing w:val="-1"/>
        </w:rPr>
        <w:t xml:space="preserve"> </w:t>
      </w:r>
      <w:r>
        <w:t>temel</w:t>
      </w:r>
      <w:r>
        <w:rPr>
          <w:spacing w:val="-3"/>
        </w:rPr>
        <w:t xml:space="preserve"> </w:t>
      </w:r>
      <w:r>
        <w:t>adımlar</w:t>
      </w:r>
      <w:r>
        <w:rPr>
          <w:spacing w:val="-5"/>
        </w:rPr>
        <w:t xml:space="preserve"> </w:t>
      </w:r>
      <w:r>
        <w:t>arasında</w:t>
      </w:r>
      <w:r>
        <w:rPr>
          <w:spacing w:val="-1"/>
        </w:rPr>
        <w:t xml:space="preserve"> </w:t>
      </w:r>
      <w:r>
        <w:t>yer</w:t>
      </w:r>
      <w:r>
        <w:rPr>
          <w:spacing w:val="-4"/>
        </w:rPr>
        <w:t xml:space="preserve"> </w:t>
      </w:r>
      <w:r>
        <w:t>almalıdır.</w:t>
      </w:r>
      <w:r>
        <w:rPr>
          <w:spacing w:val="-4"/>
        </w:rPr>
        <w:t xml:space="preserve"> </w:t>
      </w:r>
      <w:r>
        <w:t>Bu tür</w:t>
      </w:r>
      <w:r>
        <w:rPr>
          <w:spacing w:val="-11"/>
        </w:rPr>
        <w:t xml:space="preserve"> </w:t>
      </w:r>
      <w:r>
        <w:t>değişiklikler,</w:t>
      </w:r>
      <w:r>
        <w:rPr>
          <w:spacing w:val="-11"/>
        </w:rPr>
        <w:t xml:space="preserve"> </w:t>
      </w:r>
      <w:r>
        <w:t>kadınların</w:t>
      </w:r>
      <w:r>
        <w:rPr>
          <w:spacing w:val="-10"/>
        </w:rPr>
        <w:t xml:space="preserve"> </w:t>
      </w:r>
      <w:r>
        <w:t>toplumda</w:t>
      </w:r>
      <w:r>
        <w:rPr>
          <w:spacing w:val="-12"/>
        </w:rPr>
        <w:t xml:space="preserve"> </w:t>
      </w:r>
      <w:r>
        <w:t>daha</w:t>
      </w:r>
      <w:r>
        <w:rPr>
          <w:spacing w:val="-12"/>
        </w:rPr>
        <w:t xml:space="preserve"> </w:t>
      </w:r>
      <w:r>
        <w:t>adil</w:t>
      </w:r>
      <w:r>
        <w:rPr>
          <w:spacing w:val="-10"/>
        </w:rPr>
        <w:t xml:space="preserve"> </w:t>
      </w:r>
      <w:r>
        <w:t>ve</w:t>
      </w:r>
      <w:r>
        <w:rPr>
          <w:spacing w:val="-12"/>
        </w:rPr>
        <w:t xml:space="preserve"> </w:t>
      </w:r>
      <w:r>
        <w:t>eşit</w:t>
      </w:r>
      <w:r>
        <w:rPr>
          <w:spacing w:val="-10"/>
        </w:rPr>
        <w:t xml:space="preserve"> </w:t>
      </w:r>
      <w:r>
        <w:t>bir</w:t>
      </w:r>
      <w:r>
        <w:rPr>
          <w:spacing w:val="-11"/>
        </w:rPr>
        <w:t xml:space="preserve"> </w:t>
      </w:r>
      <w:r>
        <w:t>şekilde</w:t>
      </w:r>
      <w:r>
        <w:rPr>
          <w:spacing w:val="-12"/>
        </w:rPr>
        <w:t xml:space="preserve"> </w:t>
      </w:r>
      <w:r>
        <w:t>temsil</w:t>
      </w:r>
      <w:r>
        <w:rPr>
          <w:spacing w:val="-10"/>
        </w:rPr>
        <w:t xml:space="preserve"> </w:t>
      </w:r>
      <w:r>
        <w:t>edilmelerine</w:t>
      </w:r>
      <w:r>
        <w:rPr>
          <w:spacing w:val="-12"/>
        </w:rPr>
        <w:t xml:space="preserve"> </w:t>
      </w:r>
      <w:r>
        <w:t>olanak tanıyacak ve genel olarak toplumsal refah seviyesini yükseltecektir.</w:t>
      </w:r>
    </w:p>
    <w:p w14:paraId="52943EAE">
      <w:pPr>
        <w:pStyle w:val="9"/>
        <w:spacing w:before="120" w:after="120" w:line="360" w:lineRule="auto"/>
        <w:ind w:left="0" w:firstLine="567"/>
      </w:pPr>
      <w:r>
        <w:t>Yaşam</w:t>
      </w:r>
      <w:r>
        <w:rPr>
          <w:spacing w:val="-15"/>
        </w:rPr>
        <w:t xml:space="preserve"> </w:t>
      </w:r>
      <w:r>
        <w:t>kalitesi</w:t>
      </w:r>
      <w:r>
        <w:rPr>
          <w:spacing w:val="-15"/>
        </w:rPr>
        <w:t xml:space="preserve"> </w:t>
      </w:r>
      <w:r>
        <w:t>ile</w:t>
      </w:r>
      <w:r>
        <w:rPr>
          <w:spacing w:val="-15"/>
        </w:rPr>
        <w:t xml:space="preserve"> </w:t>
      </w:r>
      <w:r>
        <w:t>yaş</w:t>
      </w:r>
      <w:r>
        <w:rPr>
          <w:spacing w:val="-15"/>
        </w:rPr>
        <w:t xml:space="preserve"> </w:t>
      </w:r>
      <w:r>
        <w:t>arasındaki</w:t>
      </w:r>
      <w:r>
        <w:rPr>
          <w:spacing w:val="-15"/>
        </w:rPr>
        <w:t xml:space="preserve"> </w:t>
      </w:r>
      <w:r>
        <w:t>ilişkiyi</w:t>
      </w:r>
      <w:r>
        <w:rPr>
          <w:spacing w:val="-15"/>
        </w:rPr>
        <w:t xml:space="preserve"> </w:t>
      </w:r>
      <w:r>
        <w:t>inceleyen</w:t>
      </w:r>
      <w:r>
        <w:rPr>
          <w:spacing w:val="-14"/>
        </w:rPr>
        <w:t xml:space="preserve"> </w:t>
      </w:r>
      <w:r>
        <w:t>araştırmalar,</w:t>
      </w:r>
      <w:r>
        <w:rPr>
          <w:spacing w:val="-15"/>
        </w:rPr>
        <w:t xml:space="preserve"> </w:t>
      </w:r>
      <w:r>
        <w:t>özellikle</w:t>
      </w:r>
      <w:r>
        <w:rPr>
          <w:spacing w:val="-15"/>
        </w:rPr>
        <w:t xml:space="preserve"> </w:t>
      </w:r>
      <w:r>
        <w:t>ergenlik</w:t>
      </w:r>
      <w:r>
        <w:rPr>
          <w:spacing w:val="-15"/>
        </w:rPr>
        <w:t xml:space="preserve"> </w:t>
      </w:r>
      <w:r>
        <w:t>ve</w:t>
      </w:r>
      <w:r>
        <w:rPr>
          <w:spacing w:val="-13"/>
        </w:rPr>
        <w:t xml:space="preserve"> </w:t>
      </w:r>
      <w:r>
        <w:t>yaşlılık gibi kritik yaş dönemlerine odaklanarak, yaşın yaşam kalitesi üzerindeki etkilerini belirlemeyi amaçlamaktadır. Öztop ve diğerleri (2009:960) ile Memik ve diğerleri (2007:353) tarafından yapılan çalışmalar, bu iki farklı yaş grubunda yaşam kalitesinin farklı dinamiklerini ve bu dinamiklerin nasıl yönetilebileceğini ortaya koymaktadır.</w:t>
      </w:r>
    </w:p>
    <w:p w14:paraId="590F9AF0">
      <w:pPr>
        <w:pStyle w:val="9"/>
        <w:spacing w:before="120" w:after="120" w:line="360" w:lineRule="auto"/>
        <w:ind w:left="0" w:firstLine="567"/>
      </w:pPr>
      <w:r>
        <w:t>Ergenlik Dönemi: Ergenlik, bireyin fiziksel, psikolojik ve sosyal açıdan hızlı değişimler yaşadığı bir dönemdir.</w:t>
      </w:r>
      <w:r>
        <w:rPr>
          <w:spacing w:val="-1"/>
        </w:rPr>
        <w:t xml:space="preserve"> </w:t>
      </w:r>
      <w:r>
        <w:t>Bu dönemde yapılan çalışmalar,</w:t>
      </w:r>
      <w:r>
        <w:rPr>
          <w:spacing w:val="-1"/>
        </w:rPr>
        <w:t xml:space="preserve"> </w:t>
      </w:r>
      <w:r>
        <w:t>ergenlerin yaşam kalitesinin, akran ilişkileri,</w:t>
      </w:r>
      <w:r>
        <w:rPr>
          <w:spacing w:val="-15"/>
        </w:rPr>
        <w:t xml:space="preserve"> </w:t>
      </w:r>
      <w:r>
        <w:t>aile</w:t>
      </w:r>
      <w:r>
        <w:rPr>
          <w:spacing w:val="-15"/>
        </w:rPr>
        <w:t xml:space="preserve"> </w:t>
      </w:r>
      <w:r>
        <w:t>bağları,</w:t>
      </w:r>
      <w:r>
        <w:rPr>
          <w:spacing w:val="-15"/>
        </w:rPr>
        <w:t xml:space="preserve"> </w:t>
      </w:r>
      <w:r>
        <w:t>okul</w:t>
      </w:r>
      <w:r>
        <w:rPr>
          <w:spacing w:val="-15"/>
        </w:rPr>
        <w:t xml:space="preserve"> </w:t>
      </w:r>
      <w:r>
        <w:t>başarısı</w:t>
      </w:r>
      <w:r>
        <w:rPr>
          <w:spacing w:val="-15"/>
        </w:rPr>
        <w:t xml:space="preserve"> </w:t>
      </w:r>
      <w:r>
        <w:t>ve</w:t>
      </w:r>
      <w:r>
        <w:rPr>
          <w:spacing w:val="-15"/>
        </w:rPr>
        <w:t xml:space="preserve"> </w:t>
      </w:r>
      <w:r>
        <w:t>öz-benlik</w:t>
      </w:r>
      <w:r>
        <w:rPr>
          <w:spacing w:val="-15"/>
        </w:rPr>
        <w:t xml:space="preserve"> </w:t>
      </w:r>
      <w:r>
        <w:t>algısı</w:t>
      </w:r>
      <w:r>
        <w:rPr>
          <w:spacing w:val="-15"/>
        </w:rPr>
        <w:t xml:space="preserve"> </w:t>
      </w:r>
      <w:r>
        <w:t>gibi</w:t>
      </w:r>
      <w:r>
        <w:rPr>
          <w:spacing w:val="-15"/>
        </w:rPr>
        <w:t xml:space="preserve"> </w:t>
      </w:r>
      <w:r>
        <w:t>faktörler</w:t>
      </w:r>
      <w:r>
        <w:rPr>
          <w:spacing w:val="-15"/>
        </w:rPr>
        <w:t xml:space="preserve"> </w:t>
      </w:r>
      <w:r>
        <w:t>tarafından</w:t>
      </w:r>
      <w:r>
        <w:rPr>
          <w:spacing w:val="-15"/>
        </w:rPr>
        <w:t xml:space="preserve"> </w:t>
      </w:r>
      <w:r>
        <w:t>önemli</w:t>
      </w:r>
      <w:r>
        <w:rPr>
          <w:spacing w:val="-15"/>
        </w:rPr>
        <w:t xml:space="preserve"> </w:t>
      </w:r>
      <w:r>
        <w:t>ölçüde etkilendiğini göstermektedir. Ergenler için yaşam kalitesini artırmak adına, pozitif sosyal etkileşimler,</w:t>
      </w:r>
      <w:r>
        <w:rPr>
          <w:spacing w:val="-10"/>
        </w:rPr>
        <w:t xml:space="preserve"> </w:t>
      </w:r>
      <w:r>
        <w:t>destekleyici</w:t>
      </w:r>
      <w:r>
        <w:rPr>
          <w:spacing w:val="-6"/>
        </w:rPr>
        <w:t xml:space="preserve"> </w:t>
      </w:r>
      <w:r>
        <w:t>aile</w:t>
      </w:r>
      <w:r>
        <w:rPr>
          <w:spacing w:val="-10"/>
        </w:rPr>
        <w:t xml:space="preserve"> </w:t>
      </w:r>
      <w:r>
        <w:t>ortamları</w:t>
      </w:r>
      <w:r>
        <w:rPr>
          <w:spacing w:val="-9"/>
        </w:rPr>
        <w:t xml:space="preserve"> </w:t>
      </w:r>
      <w:r>
        <w:t>ve</w:t>
      </w:r>
      <w:r>
        <w:rPr>
          <w:spacing w:val="-10"/>
        </w:rPr>
        <w:t xml:space="preserve"> </w:t>
      </w:r>
      <w:r>
        <w:t>kendini</w:t>
      </w:r>
      <w:r>
        <w:rPr>
          <w:spacing w:val="-6"/>
        </w:rPr>
        <w:t xml:space="preserve"> </w:t>
      </w:r>
      <w:r>
        <w:t>ifade</w:t>
      </w:r>
      <w:r>
        <w:rPr>
          <w:spacing w:val="-10"/>
        </w:rPr>
        <w:t xml:space="preserve"> </w:t>
      </w:r>
      <w:r>
        <w:t>etme</w:t>
      </w:r>
      <w:r>
        <w:rPr>
          <w:spacing w:val="-10"/>
        </w:rPr>
        <w:t xml:space="preserve"> </w:t>
      </w:r>
      <w:r>
        <w:t>fırsatları</w:t>
      </w:r>
      <w:r>
        <w:rPr>
          <w:spacing w:val="-9"/>
        </w:rPr>
        <w:t xml:space="preserve"> </w:t>
      </w:r>
      <w:r>
        <w:t>sunmak</w:t>
      </w:r>
      <w:r>
        <w:rPr>
          <w:spacing w:val="-9"/>
        </w:rPr>
        <w:t xml:space="preserve"> </w:t>
      </w:r>
      <w:r>
        <w:t>kritik</w:t>
      </w:r>
      <w:r>
        <w:rPr>
          <w:spacing w:val="-9"/>
        </w:rPr>
        <w:t xml:space="preserve"> </w:t>
      </w:r>
      <w:r>
        <w:t xml:space="preserve">öneme </w:t>
      </w:r>
      <w:r>
        <w:rPr>
          <w:spacing w:val="-2"/>
        </w:rPr>
        <w:t>sahiptir.</w:t>
      </w:r>
    </w:p>
    <w:p w14:paraId="2E421856">
      <w:pPr>
        <w:pStyle w:val="9"/>
        <w:spacing w:before="120" w:after="120" w:line="360" w:lineRule="auto"/>
        <w:ind w:left="0" w:firstLine="567"/>
      </w:pPr>
      <w:r>
        <w:t>Yaşlılık Dönemi: Yaşlılık, sağlık sorunlarının arttığı, sosyal rollerin değiştiği ve ekonomik güvencenin</w:t>
      </w:r>
      <w:r>
        <w:rPr>
          <w:spacing w:val="-15"/>
        </w:rPr>
        <w:t xml:space="preserve"> </w:t>
      </w:r>
      <w:r>
        <w:t>önem</w:t>
      </w:r>
      <w:r>
        <w:rPr>
          <w:spacing w:val="-15"/>
        </w:rPr>
        <w:t xml:space="preserve"> </w:t>
      </w:r>
      <w:r>
        <w:t>kazandığı</w:t>
      </w:r>
      <w:r>
        <w:rPr>
          <w:spacing w:val="-15"/>
        </w:rPr>
        <w:t xml:space="preserve"> </w:t>
      </w:r>
      <w:r>
        <w:t>bir</w:t>
      </w:r>
      <w:r>
        <w:rPr>
          <w:spacing w:val="-15"/>
        </w:rPr>
        <w:t xml:space="preserve"> </w:t>
      </w:r>
      <w:r>
        <w:t>dönemdir.</w:t>
      </w:r>
      <w:r>
        <w:rPr>
          <w:spacing w:val="-15"/>
        </w:rPr>
        <w:t xml:space="preserve"> </w:t>
      </w:r>
      <w:r>
        <w:t>Memik</w:t>
      </w:r>
      <w:r>
        <w:rPr>
          <w:spacing w:val="-15"/>
        </w:rPr>
        <w:t xml:space="preserve"> </w:t>
      </w:r>
      <w:r>
        <w:t>ve</w:t>
      </w:r>
      <w:r>
        <w:rPr>
          <w:spacing w:val="-15"/>
        </w:rPr>
        <w:t xml:space="preserve"> </w:t>
      </w:r>
      <w:r>
        <w:t>diğerleri</w:t>
      </w:r>
      <w:r>
        <w:rPr>
          <w:spacing w:val="-15"/>
        </w:rPr>
        <w:t xml:space="preserve"> </w:t>
      </w:r>
      <w:r>
        <w:t>(2007:353)</w:t>
      </w:r>
      <w:r>
        <w:rPr>
          <w:spacing w:val="-15"/>
        </w:rPr>
        <w:t xml:space="preserve"> </w:t>
      </w:r>
      <w:r>
        <w:t>tarafından</w:t>
      </w:r>
      <w:r>
        <w:rPr>
          <w:spacing w:val="-15"/>
        </w:rPr>
        <w:t xml:space="preserve"> </w:t>
      </w:r>
      <w:r>
        <w:t>yapılan çalışmalar, yaşlıların yaşam kalitesinin fiziksel sağlık durumları, sosyal destek sistemleri, gelir güvenliği ve meşguliyet aktiviteleri gibi unsurlarla yakından ilişkili olduğunu belirtmektedir.</w:t>
      </w:r>
      <w:r>
        <w:rPr>
          <w:spacing w:val="-16"/>
        </w:rPr>
        <w:t xml:space="preserve"> </w:t>
      </w:r>
      <w:r>
        <w:t>Yaşlı</w:t>
      </w:r>
      <w:r>
        <w:rPr>
          <w:spacing w:val="-13"/>
        </w:rPr>
        <w:t xml:space="preserve"> </w:t>
      </w:r>
      <w:r>
        <w:t>bireylerin</w:t>
      </w:r>
      <w:r>
        <w:rPr>
          <w:spacing w:val="-8"/>
        </w:rPr>
        <w:t xml:space="preserve"> </w:t>
      </w:r>
      <w:r>
        <w:t>yaşam</w:t>
      </w:r>
      <w:r>
        <w:rPr>
          <w:spacing w:val="-14"/>
        </w:rPr>
        <w:t xml:space="preserve"> </w:t>
      </w:r>
      <w:r>
        <w:t>kalitesini</w:t>
      </w:r>
      <w:r>
        <w:rPr>
          <w:spacing w:val="-14"/>
        </w:rPr>
        <w:t xml:space="preserve"> </w:t>
      </w:r>
      <w:r>
        <w:t>desteklemek</w:t>
      </w:r>
      <w:r>
        <w:rPr>
          <w:spacing w:val="-14"/>
        </w:rPr>
        <w:t xml:space="preserve"> </w:t>
      </w:r>
      <w:r>
        <w:t>için</w:t>
      </w:r>
      <w:r>
        <w:rPr>
          <w:spacing w:val="-14"/>
        </w:rPr>
        <w:t xml:space="preserve"> </w:t>
      </w:r>
      <w:r>
        <w:t>sağlık</w:t>
      </w:r>
      <w:r>
        <w:rPr>
          <w:spacing w:val="-14"/>
        </w:rPr>
        <w:t xml:space="preserve"> </w:t>
      </w:r>
      <w:r>
        <w:t>hizmetlerine</w:t>
      </w:r>
      <w:r>
        <w:rPr>
          <w:spacing w:val="-14"/>
        </w:rPr>
        <w:t xml:space="preserve"> </w:t>
      </w:r>
      <w:r>
        <w:rPr>
          <w:spacing w:val="-2"/>
        </w:rPr>
        <w:t>erişim,</w:t>
      </w:r>
      <w:r>
        <w:t xml:space="preserve"> sosyal bağların güçlendirilmesi ve yaşam boyu öğrenme fırsatlarının sağlanması gerekmektedir. Her iki yaş grubu için de, yaşam kalitesi üzerine yapılan araştırmalar, müdahalelerin ve politikaların yaşa uygun şekilde tasarlanmasının önemini vurgular. Ergenler</w:t>
      </w:r>
      <w:r>
        <w:rPr>
          <w:spacing w:val="-8"/>
        </w:rPr>
        <w:t xml:space="preserve"> </w:t>
      </w:r>
      <w:r>
        <w:t>için</w:t>
      </w:r>
      <w:r>
        <w:rPr>
          <w:spacing w:val="-7"/>
        </w:rPr>
        <w:t xml:space="preserve"> </w:t>
      </w:r>
      <w:r>
        <w:t>eğitim</w:t>
      </w:r>
      <w:r>
        <w:rPr>
          <w:spacing w:val="-6"/>
        </w:rPr>
        <w:t xml:space="preserve"> </w:t>
      </w:r>
      <w:r>
        <w:t>ve</w:t>
      </w:r>
      <w:r>
        <w:rPr>
          <w:spacing w:val="-8"/>
        </w:rPr>
        <w:t xml:space="preserve"> </w:t>
      </w:r>
      <w:r>
        <w:t>sosyal</w:t>
      </w:r>
      <w:r>
        <w:rPr>
          <w:spacing w:val="-6"/>
        </w:rPr>
        <w:t xml:space="preserve"> </w:t>
      </w:r>
      <w:r>
        <w:t>hizmet</w:t>
      </w:r>
      <w:r>
        <w:rPr>
          <w:spacing w:val="-7"/>
        </w:rPr>
        <w:t xml:space="preserve"> </w:t>
      </w:r>
      <w:r>
        <w:t>programları,</w:t>
      </w:r>
      <w:r>
        <w:rPr>
          <w:spacing w:val="-4"/>
        </w:rPr>
        <w:t xml:space="preserve"> </w:t>
      </w:r>
      <w:r>
        <w:t>yaşlılar</w:t>
      </w:r>
      <w:r>
        <w:rPr>
          <w:spacing w:val="-8"/>
        </w:rPr>
        <w:t xml:space="preserve"> </w:t>
      </w:r>
      <w:r>
        <w:t>için</w:t>
      </w:r>
      <w:r>
        <w:rPr>
          <w:spacing w:val="-7"/>
        </w:rPr>
        <w:t xml:space="preserve"> </w:t>
      </w:r>
      <w:r>
        <w:t>ise</w:t>
      </w:r>
      <w:r>
        <w:rPr>
          <w:spacing w:val="-7"/>
        </w:rPr>
        <w:t xml:space="preserve"> </w:t>
      </w:r>
      <w:r>
        <w:t>sağlık</w:t>
      </w:r>
      <w:r>
        <w:rPr>
          <w:spacing w:val="-7"/>
        </w:rPr>
        <w:t xml:space="preserve"> </w:t>
      </w:r>
      <w:r>
        <w:t>ve</w:t>
      </w:r>
      <w:r>
        <w:rPr>
          <w:spacing w:val="-8"/>
        </w:rPr>
        <w:t xml:space="preserve"> </w:t>
      </w:r>
      <w:r>
        <w:t>sosyal</w:t>
      </w:r>
      <w:r>
        <w:rPr>
          <w:spacing w:val="-4"/>
        </w:rPr>
        <w:t xml:space="preserve"> </w:t>
      </w:r>
      <w:r>
        <w:t>güvenlik programları, bu grupların yaşam kalitelerini iyileştirmeye yönelik stratejik önlemler arasındadır. Bu çalışmalar, toplumun farklı kesimlerinin ihtiyaçlarına yönelik politikaların geliştirilmesinde kritik rol oynar ve bireylerin yaşam boyu sağlık ve mutluluk düzeylerini maksimize etmeye yönelik bilgi sağlar. Böylelikle, yaşam kalitesi üzerine yapılan bu tür araştırmalar, hem bireysel hem de toplumsal refahın artırılmasına katkıda bulunur.</w:t>
      </w:r>
    </w:p>
    <w:p w14:paraId="531BD96A">
      <w:pPr>
        <w:pStyle w:val="9"/>
        <w:spacing w:before="120" w:after="120" w:line="360" w:lineRule="auto"/>
        <w:ind w:left="0" w:firstLine="567"/>
      </w:pPr>
      <w:r>
        <w:t>Cinsiyet ve yaşam kalitesi üzerine yapılan çalışmalar, toplumsal cinsiyet eşitsizliklerinin sosyal, ekonomik ve psikolojik etkilerini derinlemesine incelemektedir. Aydıner Boylu ve Öztop'un (2013:961) gerçekleştirdikleri çalışma, dul ya da boşanmış kadınların karşılaştıkları zorlukları ve bu durumun yaşam kaliteleri üzerindeki etkilerini özellikle ele almıştır. Araştırma, toplumsal cinsiyet rollerinin ve beklentilerin, bu kadınların yaşadığı zorluklar üzerinde</w:t>
      </w:r>
      <w:r>
        <w:rPr>
          <w:spacing w:val="-6"/>
        </w:rPr>
        <w:t xml:space="preserve"> </w:t>
      </w:r>
      <w:r>
        <w:t>büyük</w:t>
      </w:r>
      <w:r>
        <w:rPr>
          <w:spacing w:val="-4"/>
        </w:rPr>
        <w:t xml:space="preserve"> </w:t>
      </w:r>
      <w:r>
        <w:t>bir</w:t>
      </w:r>
      <w:r>
        <w:rPr>
          <w:spacing w:val="-4"/>
        </w:rPr>
        <w:t xml:space="preserve"> </w:t>
      </w:r>
      <w:r>
        <w:t>etkisi</w:t>
      </w:r>
      <w:r>
        <w:rPr>
          <w:spacing w:val="-4"/>
        </w:rPr>
        <w:t xml:space="preserve"> </w:t>
      </w:r>
      <w:r>
        <w:t>olduğunu</w:t>
      </w:r>
      <w:r>
        <w:rPr>
          <w:spacing w:val="-4"/>
        </w:rPr>
        <w:t xml:space="preserve"> </w:t>
      </w:r>
      <w:r>
        <w:t>ortaya</w:t>
      </w:r>
      <w:r>
        <w:rPr>
          <w:spacing w:val="-5"/>
        </w:rPr>
        <w:t xml:space="preserve"> </w:t>
      </w:r>
      <w:r>
        <w:t>koymaktadır.</w:t>
      </w:r>
      <w:r>
        <w:rPr>
          <w:spacing w:val="-5"/>
        </w:rPr>
        <w:t xml:space="preserve"> </w:t>
      </w:r>
      <w:r>
        <w:t>Çalışmada</w:t>
      </w:r>
      <w:r>
        <w:rPr>
          <w:spacing w:val="-6"/>
        </w:rPr>
        <w:t xml:space="preserve"> </w:t>
      </w:r>
      <w:r>
        <w:t>belirtildiği</w:t>
      </w:r>
      <w:r>
        <w:rPr>
          <w:spacing w:val="-4"/>
        </w:rPr>
        <w:t xml:space="preserve"> </w:t>
      </w:r>
      <w:r>
        <w:t>üzere,</w:t>
      </w:r>
      <w:r>
        <w:rPr>
          <w:spacing w:val="-4"/>
        </w:rPr>
        <w:t xml:space="preserve"> </w:t>
      </w:r>
      <w:r>
        <w:t>dul</w:t>
      </w:r>
      <w:r>
        <w:rPr>
          <w:spacing w:val="-2"/>
        </w:rPr>
        <w:t xml:space="preserve"> </w:t>
      </w:r>
      <w:r>
        <w:t>ya da boşanmış kadınlar, toplumsal olarak dışlanma ve stigmalaşma gibi sorunlarla daha fazla karşı karşıya kalmaktadırlar. Bu durum, erkeklere göre daha belirgin bir şekilde kendini göstermektedir çünkü toplumun çoğu kesiminde kadınların evlilik içerisindeki rolleri ve kimlikleri üzerinde daha fazla vurgu yapılmaktadır. Boşanma veya eş kaybı sonrası kadınların yalnız ve desteksiz kalmaları, onların sosyal çevrelerinden izole olmalarına yol açabilmekte,</w:t>
      </w:r>
      <w:r>
        <w:rPr>
          <w:spacing w:val="-3"/>
        </w:rPr>
        <w:t xml:space="preserve"> </w:t>
      </w:r>
      <w:r>
        <w:t>bu</w:t>
      </w:r>
      <w:r>
        <w:rPr>
          <w:spacing w:val="-3"/>
        </w:rPr>
        <w:t xml:space="preserve"> </w:t>
      </w:r>
      <w:r>
        <w:t>da</w:t>
      </w:r>
      <w:r>
        <w:rPr>
          <w:spacing w:val="-4"/>
        </w:rPr>
        <w:t xml:space="preserve"> </w:t>
      </w:r>
      <w:r>
        <w:t>psikolojik</w:t>
      </w:r>
      <w:r>
        <w:rPr>
          <w:spacing w:val="-3"/>
        </w:rPr>
        <w:t xml:space="preserve"> </w:t>
      </w:r>
      <w:r>
        <w:t>stres</w:t>
      </w:r>
      <w:r>
        <w:rPr>
          <w:spacing w:val="-4"/>
        </w:rPr>
        <w:t xml:space="preserve"> </w:t>
      </w:r>
      <w:r>
        <w:t>ve</w:t>
      </w:r>
      <w:r>
        <w:rPr>
          <w:spacing w:val="-4"/>
        </w:rPr>
        <w:t xml:space="preserve"> </w:t>
      </w:r>
      <w:r>
        <w:t>depresyon</w:t>
      </w:r>
      <w:r>
        <w:rPr>
          <w:spacing w:val="-3"/>
        </w:rPr>
        <w:t xml:space="preserve"> </w:t>
      </w:r>
      <w:r>
        <w:t>riskini</w:t>
      </w:r>
      <w:r>
        <w:rPr>
          <w:spacing w:val="-2"/>
        </w:rPr>
        <w:t xml:space="preserve"> </w:t>
      </w:r>
      <w:r>
        <w:t>arttırmaktadır.</w:t>
      </w:r>
      <w:r>
        <w:rPr>
          <w:spacing w:val="-3"/>
        </w:rPr>
        <w:t xml:space="preserve"> </w:t>
      </w:r>
      <w:r>
        <w:t>Ekonomik</w:t>
      </w:r>
      <w:r>
        <w:rPr>
          <w:spacing w:val="-3"/>
        </w:rPr>
        <w:t xml:space="preserve"> </w:t>
      </w:r>
      <w:r>
        <w:t>olarak</w:t>
      </w:r>
      <w:r>
        <w:rPr>
          <w:spacing w:val="-3"/>
        </w:rPr>
        <w:t xml:space="preserve"> </w:t>
      </w:r>
      <w:r>
        <w:t>da dul ya da boşanmış kadınlar, erkeklere göre daha zor durumda kalmaktadır. Araştırmaya göre, bu kadınlar genellikle fakirlik ve maddi yoklukla mücadele etmek zorunda kalırlar. Bu, özellikle kadınların iş gücüne katılımının düşük olduğu, eğitim seviyelerinin erkeklere göre daha az olduğu veya dul ve boşanmış kadınlara yönelik sosyal destek sistemlerinin yetersiz olduğu toplumlarda daha fazla görülmektedir. Maddi güçlükler, bu kadınların ve varsa çocuklarının günlük yaşam kalitesini doğrudan etkilemekte, sağlık hizmetlerine erişimden, temel ihtiyaçların karşılanmasına kadar birçok alanda sorunlara yol açmaktadır. Ayrıca, bu kadınlar artan sorumluluklarla da baş etmek zorundadır. Eşlerinden ayrıldıktan sonra</w:t>
      </w:r>
      <w:r>
        <w:rPr>
          <w:spacing w:val="-4"/>
        </w:rPr>
        <w:t xml:space="preserve"> </w:t>
      </w:r>
      <w:r>
        <w:t>hem</w:t>
      </w:r>
      <w:r>
        <w:rPr>
          <w:spacing w:val="-2"/>
        </w:rPr>
        <w:t xml:space="preserve"> </w:t>
      </w:r>
      <w:r>
        <w:t>evin</w:t>
      </w:r>
      <w:r>
        <w:rPr>
          <w:spacing w:val="-1"/>
        </w:rPr>
        <w:t xml:space="preserve"> </w:t>
      </w:r>
      <w:r>
        <w:t>hem</w:t>
      </w:r>
      <w:r>
        <w:rPr>
          <w:spacing w:val="-2"/>
        </w:rPr>
        <w:t xml:space="preserve"> </w:t>
      </w:r>
      <w:r>
        <w:t>de</w:t>
      </w:r>
      <w:r>
        <w:rPr>
          <w:spacing w:val="-1"/>
        </w:rPr>
        <w:t xml:space="preserve"> </w:t>
      </w:r>
      <w:r>
        <w:t>varsa</w:t>
      </w:r>
      <w:r>
        <w:rPr>
          <w:spacing w:val="-3"/>
        </w:rPr>
        <w:t xml:space="preserve"> </w:t>
      </w:r>
      <w:r>
        <w:t>çocukların</w:t>
      </w:r>
      <w:r>
        <w:rPr>
          <w:spacing w:val="-2"/>
        </w:rPr>
        <w:t xml:space="preserve"> </w:t>
      </w:r>
      <w:r>
        <w:t>tüm</w:t>
      </w:r>
      <w:r>
        <w:rPr>
          <w:spacing w:val="-1"/>
        </w:rPr>
        <w:t xml:space="preserve"> </w:t>
      </w:r>
      <w:r>
        <w:t>sorumluluğu</w:t>
      </w:r>
      <w:r>
        <w:rPr>
          <w:spacing w:val="-2"/>
        </w:rPr>
        <w:t xml:space="preserve"> </w:t>
      </w:r>
      <w:r>
        <w:t>genellikle</w:t>
      </w:r>
      <w:r>
        <w:rPr>
          <w:spacing w:val="-2"/>
        </w:rPr>
        <w:t xml:space="preserve"> </w:t>
      </w:r>
      <w:r>
        <w:t>kadınlara yüklenir.</w:t>
      </w:r>
      <w:r>
        <w:rPr>
          <w:spacing w:val="-1"/>
        </w:rPr>
        <w:t xml:space="preserve"> </w:t>
      </w:r>
      <w:r>
        <w:rPr>
          <w:spacing w:val="-5"/>
        </w:rPr>
        <w:t>Bu</w:t>
      </w:r>
      <w:r>
        <w:t xml:space="preserve"> durum, özellikle tek ebeveyn olarak çocuk yetiştirmenin zorlukları ve çalışma hayatı ile ev işleri arasında denge kurma çabası göz önünde bulundurulduğunda, kadınların yaşam kalitesini</w:t>
      </w:r>
      <w:r>
        <w:rPr>
          <w:spacing w:val="-10"/>
        </w:rPr>
        <w:t xml:space="preserve"> </w:t>
      </w:r>
      <w:r>
        <w:t>daha</w:t>
      </w:r>
      <w:r>
        <w:rPr>
          <w:spacing w:val="-12"/>
        </w:rPr>
        <w:t xml:space="preserve"> </w:t>
      </w:r>
      <w:r>
        <w:t>da</w:t>
      </w:r>
      <w:r>
        <w:rPr>
          <w:spacing w:val="-9"/>
        </w:rPr>
        <w:t xml:space="preserve"> </w:t>
      </w:r>
      <w:r>
        <w:t>azaltmaktadır.</w:t>
      </w:r>
      <w:r>
        <w:rPr>
          <w:spacing w:val="-11"/>
        </w:rPr>
        <w:t xml:space="preserve"> </w:t>
      </w:r>
      <w:r>
        <w:t>Sonuç</w:t>
      </w:r>
      <w:r>
        <w:rPr>
          <w:spacing w:val="-12"/>
        </w:rPr>
        <w:t xml:space="preserve"> </w:t>
      </w:r>
      <w:r>
        <w:t>olarak,</w:t>
      </w:r>
      <w:r>
        <w:rPr>
          <w:spacing w:val="-8"/>
        </w:rPr>
        <w:t xml:space="preserve"> </w:t>
      </w:r>
      <w:r>
        <w:t>Aydıner</w:t>
      </w:r>
      <w:r>
        <w:rPr>
          <w:spacing w:val="-12"/>
        </w:rPr>
        <w:t xml:space="preserve"> </w:t>
      </w:r>
      <w:r>
        <w:t>Boylu</w:t>
      </w:r>
      <w:r>
        <w:rPr>
          <w:spacing w:val="-8"/>
        </w:rPr>
        <w:t xml:space="preserve"> </w:t>
      </w:r>
      <w:r>
        <w:t>ve</w:t>
      </w:r>
      <w:r>
        <w:rPr>
          <w:spacing w:val="-12"/>
        </w:rPr>
        <w:t xml:space="preserve"> </w:t>
      </w:r>
      <w:r>
        <w:t>Öztop'un</w:t>
      </w:r>
      <w:r>
        <w:rPr>
          <w:spacing w:val="-8"/>
        </w:rPr>
        <w:t xml:space="preserve"> </w:t>
      </w:r>
      <w:r>
        <w:t>çalışması,</w:t>
      </w:r>
      <w:r>
        <w:rPr>
          <w:spacing w:val="-10"/>
        </w:rPr>
        <w:t xml:space="preserve"> </w:t>
      </w:r>
      <w:r>
        <w:t>dul</w:t>
      </w:r>
      <w:r>
        <w:rPr>
          <w:spacing w:val="-8"/>
        </w:rPr>
        <w:t xml:space="preserve"> </w:t>
      </w:r>
      <w:r>
        <w:t>ya da boşanmış kadınların karşılaştıkları bu zorlukların çözümü için toplumsal cinsiyet eşitliğinin güçlendirilmesi, sosyal destek ağlarının genişletilmesi ve ekonomik fırsatların artırılması gibi adımların atılması gerektiğini vurgulamaktadır. Bu tür politikalar, bu kadınların</w:t>
      </w:r>
      <w:r>
        <w:rPr>
          <w:spacing w:val="-15"/>
        </w:rPr>
        <w:t xml:space="preserve"> </w:t>
      </w:r>
      <w:r>
        <w:t>yaşam</w:t>
      </w:r>
      <w:r>
        <w:rPr>
          <w:spacing w:val="-15"/>
        </w:rPr>
        <w:t xml:space="preserve"> </w:t>
      </w:r>
      <w:r>
        <w:t>kalitelerini</w:t>
      </w:r>
      <w:r>
        <w:rPr>
          <w:spacing w:val="-15"/>
        </w:rPr>
        <w:t xml:space="preserve"> </w:t>
      </w:r>
      <w:r>
        <w:t>yükseltmek</w:t>
      </w:r>
      <w:r>
        <w:rPr>
          <w:spacing w:val="-15"/>
        </w:rPr>
        <w:t xml:space="preserve"> </w:t>
      </w:r>
      <w:r>
        <w:t>ve</w:t>
      </w:r>
      <w:r>
        <w:rPr>
          <w:spacing w:val="-15"/>
        </w:rPr>
        <w:t xml:space="preserve"> </w:t>
      </w:r>
      <w:r>
        <w:t>toplumsal</w:t>
      </w:r>
      <w:r>
        <w:rPr>
          <w:spacing w:val="-15"/>
        </w:rPr>
        <w:t xml:space="preserve"> </w:t>
      </w:r>
      <w:r>
        <w:t>entegrasyonlarını</w:t>
      </w:r>
      <w:r>
        <w:rPr>
          <w:spacing w:val="-15"/>
        </w:rPr>
        <w:t xml:space="preserve"> </w:t>
      </w:r>
      <w:r>
        <w:t>sağlamak</w:t>
      </w:r>
      <w:r>
        <w:rPr>
          <w:spacing w:val="-15"/>
        </w:rPr>
        <w:t xml:space="preserve"> </w:t>
      </w:r>
      <w:r>
        <w:t>için</w:t>
      </w:r>
      <w:r>
        <w:rPr>
          <w:spacing w:val="-15"/>
        </w:rPr>
        <w:t xml:space="preserve"> </w:t>
      </w:r>
      <w:r>
        <w:t>kritik öneme sahiptir.</w:t>
      </w:r>
    </w:p>
    <w:p w14:paraId="28E6F518">
      <w:pPr>
        <w:pStyle w:val="9"/>
        <w:spacing w:before="120" w:after="120" w:line="360" w:lineRule="auto"/>
        <w:ind w:left="0" w:firstLine="567"/>
      </w:pPr>
      <w:r>
        <w:t>Avcı ve Pala'nın (2004: 83) yürüttükleri araştırma, evli olmanın veya bir eşle yaşamanın bireylerin yaşam kalitesi üzerinde önemli olumlu etkileri olduğunu göstermektedir. Araştırma, evliliğin veya birlikte yaşamanın bireylere sağladığı faydaları ve bu faydaların yaşam kalitesine nasıl katkıda bulunduğunu detaylandırmaktadır. Araştırma sonuçlarına göre, evlilik veya birlikte yaşama durumu bireyler için güçlü bir sosyal destek sistemi sağlamaktadır. Bu destek, hem duygusal hem de pratik açıdan bireyin günlük yaşamda karşılaştığı stres ve zorluklarla başa çıkmasına yardımcı olur. Evli bireyler veya bir eşle yaşayanlar, zor zamanlarında destek için partnerlerine güvenebilirler, bu da stres yönetimi ve genel iyilik hali üzerinde önemli bir etkiye sahiptir. Partnerler arasındaki duygusal bağ, bireylerin zorluklarla başa çıkmalarına yardımcı olacak motivasyon ve moral desteğini sağlar. Ekonomik olarak da, evlilik veya birlikte yaşama durumu bireylere fayda sağlamaktadır. İki kişinin kaynaklarını ve gelirlerini birleştirmesi, ekonomik güvence ve daha iyi yaşam standartlarına erişim imkanı sunar. Bu durum, özellikle mali zorluklarla karşılaşıldığında</w:t>
      </w:r>
      <w:r>
        <w:rPr>
          <w:spacing w:val="-12"/>
        </w:rPr>
        <w:t xml:space="preserve"> </w:t>
      </w:r>
      <w:r>
        <w:t>bireylerin</w:t>
      </w:r>
      <w:r>
        <w:rPr>
          <w:spacing w:val="-9"/>
        </w:rPr>
        <w:t xml:space="preserve"> </w:t>
      </w:r>
      <w:r>
        <w:t>yaşam</w:t>
      </w:r>
      <w:r>
        <w:rPr>
          <w:spacing w:val="-11"/>
        </w:rPr>
        <w:t xml:space="preserve"> </w:t>
      </w:r>
      <w:r>
        <w:t>kalitesini</w:t>
      </w:r>
      <w:r>
        <w:rPr>
          <w:spacing w:val="-11"/>
        </w:rPr>
        <w:t xml:space="preserve"> </w:t>
      </w:r>
      <w:r>
        <w:t>korumalarına</w:t>
      </w:r>
      <w:r>
        <w:rPr>
          <w:spacing w:val="-7"/>
        </w:rPr>
        <w:t xml:space="preserve"> </w:t>
      </w:r>
      <w:r>
        <w:t>yardımcı</w:t>
      </w:r>
      <w:r>
        <w:rPr>
          <w:spacing w:val="-11"/>
        </w:rPr>
        <w:t xml:space="preserve"> </w:t>
      </w:r>
      <w:r>
        <w:t>olur.</w:t>
      </w:r>
      <w:r>
        <w:rPr>
          <w:spacing w:val="-10"/>
        </w:rPr>
        <w:t xml:space="preserve"> </w:t>
      </w:r>
      <w:r>
        <w:t>Ayrıca,</w:t>
      </w:r>
      <w:r>
        <w:rPr>
          <w:spacing w:val="-12"/>
        </w:rPr>
        <w:t xml:space="preserve"> </w:t>
      </w:r>
      <w:r>
        <w:t>ortak</w:t>
      </w:r>
      <w:r>
        <w:rPr>
          <w:spacing w:val="-9"/>
        </w:rPr>
        <w:t xml:space="preserve"> </w:t>
      </w:r>
      <w:r>
        <w:t>gelir, daha iyi konut, sağlık hizmetleri ve çocukların eğitimi gibi yaşamın önemli alanlarında yatırım yapma imkanını artırır. Araştırmada ayrıca, evliliğin veya birlikte yaşamanın yalnızlık hissini azalttığına dair bulgular da vurgulanmaktadır. Yalnızlık, özellikle yaşlılık döneminde</w:t>
      </w:r>
      <w:r>
        <w:rPr>
          <w:spacing w:val="-7"/>
        </w:rPr>
        <w:t xml:space="preserve"> </w:t>
      </w:r>
      <w:r>
        <w:t>bireyler</w:t>
      </w:r>
      <w:r>
        <w:rPr>
          <w:spacing w:val="-7"/>
        </w:rPr>
        <w:t xml:space="preserve"> </w:t>
      </w:r>
      <w:r>
        <w:t>için</w:t>
      </w:r>
      <w:r>
        <w:rPr>
          <w:spacing w:val="-7"/>
        </w:rPr>
        <w:t xml:space="preserve"> </w:t>
      </w:r>
      <w:r>
        <w:t>ciddi</w:t>
      </w:r>
      <w:r>
        <w:rPr>
          <w:spacing w:val="-6"/>
        </w:rPr>
        <w:t xml:space="preserve"> </w:t>
      </w:r>
      <w:r>
        <w:t>bir</w:t>
      </w:r>
      <w:r>
        <w:rPr>
          <w:spacing w:val="-7"/>
        </w:rPr>
        <w:t xml:space="preserve"> </w:t>
      </w:r>
      <w:r>
        <w:t>sorun</w:t>
      </w:r>
      <w:r>
        <w:rPr>
          <w:spacing w:val="-9"/>
        </w:rPr>
        <w:t xml:space="preserve"> </w:t>
      </w:r>
      <w:r>
        <w:t>teşkil</w:t>
      </w:r>
      <w:r>
        <w:rPr>
          <w:spacing w:val="-6"/>
        </w:rPr>
        <w:t xml:space="preserve"> </w:t>
      </w:r>
      <w:r>
        <w:t>edebilir</w:t>
      </w:r>
      <w:r>
        <w:rPr>
          <w:spacing w:val="-7"/>
        </w:rPr>
        <w:t xml:space="preserve"> </w:t>
      </w:r>
      <w:r>
        <w:t>ve</w:t>
      </w:r>
      <w:r>
        <w:rPr>
          <w:spacing w:val="-7"/>
        </w:rPr>
        <w:t xml:space="preserve"> </w:t>
      </w:r>
      <w:r>
        <w:t>psikolojik</w:t>
      </w:r>
      <w:r>
        <w:rPr>
          <w:spacing w:val="-6"/>
        </w:rPr>
        <w:t xml:space="preserve"> </w:t>
      </w:r>
      <w:r>
        <w:t>sağlık</w:t>
      </w:r>
      <w:r>
        <w:rPr>
          <w:spacing w:val="-7"/>
        </w:rPr>
        <w:t xml:space="preserve"> </w:t>
      </w:r>
      <w:r>
        <w:t>üzerinde</w:t>
      </w:r>
      <w:r>
        <w:rPr>
          <w:spacing w:val="-7"/>
        </w:rPr>
        <w:t xml:space="preserve"> </w:t>
      </w:r>
      <w:r>
        <w:t>olumsuz etkiler yaratabilir. Bir partnerle yaşamak, bu yalnızlık hissini azaltır ve bireylerin sosyal bağlantılarını</w:t>
      </w:r>
      <w:r>
        <w:rPr>
          <w:spacing w:val="-2"/>
        </w:rPr>
        <w:t xml:space="preserve"> </w:t>
      </w:r>
      <w:r>
        <w:t>ve</w:t>
      </w:r>
      <w:r>
        <w:rPr>
          <w:spacing w:val="-3"/>
        </w:rPr>
        <w:t xml:space="preserve"> </w:t>
      </w:r>
      <w:r>
        <w:t>topluluk</w:t>
      </w:r>
      <w:r>
        <w:rPr>
          <w:spacing w:val="-2"/>
        </w:rPr>
        <w:t xml:space="preserve"> </w:t>
      </w:r>
      <w:r>
        <w:t>içindeki</w:t>
      </w:r>
      <w:r>
        <w:rPr>
          <w:spacing w:val="-2"/>
        </w:rPr>
        <w:t xml:space="preserve"> </w:t>
      </w:r>
      <w:r>
        <w:t>etkileşimlerini</w:t>
      </w:r>
      <w:r>
        <w:rPr>
          <w:spacing w:val="-2"/>
        </w:rPr>
        <w:t xml:space="preserve"> </w:t>
      </w:r>
      <w:r>
        <w:t>artırır.</w:t>
      </w:r>
      <w:r>
        <w:rPr>
          <w:spacing w:val="-3"/>
        </w:rPr>
        <w:t xml:space="preserve"> </w:t>
      </w:r>
      <w:r>
        <w:t>Bu</w:t>
      </w:r>
      <w:r>
        <w:rPr>
          <w:spacing w:val="-2"/>
        </w:rPr>
        <w:t xml:space="preserve"> </w:t>
      </w:r>
      <w:r>
        <w:t>sosyal</w:t>
      </w:r>
      <w:r>
        <w:rPr>
          <w:spacing w:val="-2"/>
        </w:rPr>
        <w:t xml:space="preserve"> </w:t>
      </w:r>
      <w:r>
        <w:t>bağlar,</w:t>
      </w:r>
      <w:r>
        <w:rPr>
          <w:spacing w:val="-3"/>
        </w:rPr>
        <w:t xml:space="preserve"> </w:t>
      </w:r>
      <w:r>
        <w:t>bireylerin yaşam memnuniyetini ve genel olarak yaşam kalitesini yükseltir. Sonuç olarak, Avcı ve Pala'nın çalışması,</w:t>
      </w:r>
      <w:r>
        <w:rPr>
          <w:spacing w:val="69"/>
        </w:rPr>
        <w:t xml:space="preserve"> </w:t>
      </w:r>
      <w:r>
        <w:t>evliliğin</w:t>
      </w:r>
      <w:r>
        <w:rPr>
          <w:spacing w:val="71"/>
        </w:rPr>
        <w:t xml:space="preserve"> </w:t>
      </w:r>
      <w:r>
        <w:t>ve</w:t>
      </w:r>
      <w:r>
        <w:rPr>
          <w:spacing w:val="71"/>
        </w:rPr>
        <w:t xml:space="preserve"> </w:t>
      </w:r>
      <w:r>
        <w:t>birlikte</w:t>
      </w:r>
      <w:r>
        <w:rPr>
          <w:spacing w:val="73"/>
        </w:rPr>
        <w:t xml:space="preserve"> </w:t>
      </w:r>
      <w:r>
        <w:t>yaşamanın</w:t>
      </w:r>
      <w:r>
        <w:rPr>
          <w:spacing w:val="72"/>
        </w:rPr>
        <w:t xml:space="preserve"> </w:t>
      </w:r>
      <w:r>
        <w:t>bireylerin</w:t>
      </w:r>
      <w:r>
        <w:rPr>
          <w:spacing w:val="75"/>
        </w:rPr>
        <w:t xml:space="preserve"> </w:t>
      </w:r>
      <w:r>
        <w:t>yaşam</w:t>
      </w:r>
      <w:r>
        <w:rPr>
          <w:spacing w:val="72"/>
        </w:rPr>
        <w:t xml:space="preserve"> </w:t>
      </w:r>
      <w:r>
        <w:t>kalitesi</w:t>
      </w:r>
      <w:r>
        <w:rPr>
          <w:spacing w:val="71"/>
        </w:rPr>
        <w:t xml:space="preserve"> </w:t>
      </w:r>
      <w:r>
        <w:t>üzerindeki</w:t>
      </w:r>
      <w:r>
        <w:rPr>
          <w:spacing w:val="72"/>
        </w:rPr>
        <w:t xml:space="preserve"> </w:t>
      </w:r>
      <w:r>
        <w:rPr>
          <w:spacing w:val="-2"/>
        </w:rPr>
        <w:t>pozitif</w:t>
      </w:r>
      <w:r>
        <w:t xml:space="preserve"> etkilerini geniş bir perspektifle ele almakta ve bu durumların fiziksel, ekonomik, sosyal ve psikolojik açılardan sağladığı faydaları ortaya koymaktadır. Bu bulgular, aile yapısının ve stabil ilişkilerin toplumsal sağlık ve refah üzerindeki önemini vurgular ve bu tür ilişkileri destekleyici politikaların geliştirilmesi için güçlü bir temel sunar.</w:t>
      </w:r>
    </w:p>
    <w:p w14:paraId="465B5260">
      <w:pPr>
        <w:pStyle w:val="9"/>
        <w:spacing w:before="120" w:after="120" w:line="360" w:lineRule="auto"/>
        <w:ind w:left="0" w:firstLine="567"/>
      </w:pPr>
      <w:r>
        <w:t>Özmete'nin (2010:459) yaptığı araştırma, aile içi iletişimin güçlendirilmesinin, aile yaşam kalitesi üzerindeki pozitif etkilerini ayrıntılı bir şekilde incelemiştir. Çalışma, açık ve etkin iletişimin aile bireyleri arasında güven, anlayış ve dayanışma gibi temel ilişki unsurlarını nasıl pekiştirdiğini ortaya koymuştur. Bu çalışmada, aile içinde herkesin birbiriyle her şeyi açıkça</w:t>
      </w:r>
      <w:r>
        <w:rPr>
          <w:spacing w:val="-7"/>
        </w:rPr>
        <w:t xml:space="preserve"> </w:t>
      </w:r>
      <w:r>
        <w:t>konuşabilme</w:t>
      </w:r>
      <w:r>
        <w:rPr>
          <w:spacing w:val="-5"/>
        </w:rPr>
        <w:t xml:space="preserve"> </w:t>
      </w:r>
      <w:r>
        <w:t>kabiliyetinin,</w:t>
      </w:r>
      <w:r>
        <w:rPr>
          <w:spacing w:val="-5"/>
        </w:rPr>
        <w:t xml:space="preserve"> </w:t>
      </w:r>
      <w:r>
        <w:t>çatışma</w:t>
      </w:r>
      <w:r>
        <w:rPr>
          <w:spacing w:val="-5"/>
        </w:rPr>
        <w:t xml:space="preserve"> </w:t>
      </w:r>
      <w:r>
        <w:t>çözümünde</w:t>
      </w:r>
      <w:r>
        <w:rPr>
          <w:spacing w:val="-5"/>
        </w:rPr>
        <w:t xml:space="preserve"> </w:t>
      </w:r>
      <w:r>
        <w:t>önemli</w:t>
      </w:r>
      <w:r>
        <w:rPr>
          <w:spacing w:val="-5"/>
        </w:rPr>
        <w:t xml:space="preserve"> </w:t>
      </w:r>
      <w:r>
        <w:t>bir</w:t>
      </w:r>
      <w:r>
        <w:rPr>
          <w:spacing w:val="-5"/>
        </w:rPr>
        <w:t xml:space="preserve"> </w:t>
      </w:r>
      <w:r>
        <w:t>rol</w:t>
      </w:r>
      <w:r>
        <w:rPr>
          <w:spacing w:val="-5"/>
        </w:rPr>
        <w:t xml:space="preserve"> </w:t>
      </w:r>
      <w:r>
        <w:t>oynadığı</w:t>
      </w:r>
      <w:r>
        <w:rPr>
          <w:spacing w:val="-5"/>
        </w:rPr>
        <w:t xml:space="preserve"> </w:t>
      </w:r>
      <w:r>
        <w:t>belirtilmiştir. Açık</w:t>
      </w:r>
      <w:r>
        <w:rPr>
          <w:spacing w:val="-15"/>
        </w:rPr>
        <w:t xml:space="preserve"> </w:t>
      </w:r>
      <w:r>
        <w:t>iletişim</w:t>
      </w:r>
      <w:r>
        <w:rPr>
          <w:spacing w:val="-15"/>
        </w:rPr>
        <w:t xml:space="preserve"> </w:t>
      </w:r>
      <w:r>
        <w:t>sayesinde,</w:t>
      </w:r>
      <w:r>
        <w:rPr>
          <w:spacing w:val="-15"/>
        </w:rPr>
        <w:t xml:space="preserve"> </w:t>
      </w:r>
      <w:r>
        <w:t>yanlış</w:t>
      </w:r>
      <w:r>
        <w:rPr>
          <w:spacing w:val="-15"/>
        </w:rPr>
        <w:t xml:space="preserve"> </w:t>
      </w:r>
      <w:r>
        <w:t>anlamalar</w:t>
      </w:r>
      <w:r>
        <w:rPr>
          <w:spacing w:val="-15"/>
        </w:rPr>
        <w:t xml:space="preserve"> </w:t>
      </w:r>
      <w:r>
        <w:t>azalır</w:t>
      </w:r>
      <w:r>
        <w:rPr>
          <w:spacing w:val="-15"/>
        </w:rPr>
        <w:t xml:space="preserve"> </w:t>
      </w:r>
      <w:r>
        <w:t>ve</w:t>
      </w:r>
      <w:r>
        <w:rPr>
          <w:spacing w:val="-15"/>
        </w:rPr>
        <w:t xml:space="preserve"> </w:t>
      </w:r>
      <w:r>
        <w:t>her</w:t>
      </w:r>
      <w:r>
        <w:rPr>
          <w:spacing w:val="-15"/>
        </w:rPr>
        <w:t xml:space="preserve"> </w:t>
      </w:r>
      <w:r>
        <w:t>birey</w:t>
      </w:r>
      <w:r>
        <w:rPr>
          <w:spacing w:val="-15"/>
        </w:rPr>
        <w:t xml:space="preserve"> </w:t>
      </w:r>
      <w:r>
        <w:t>kendini</w:t>
      </w:r>
      <w:r>
        <w:rPr>
          <w:spacing w:val="-15"/>
        </w:rPr>
        <w:t xml:space="preserve"> </w:t>
      </w:r>
      <w:r>
        <w:t>daha</w:t>
      </w:r>
      <w:r>
        <w:rPr>
          <w:spacing w:val="-15"/>
        </w:rPr>
        <w:t xml:space="preserve"> </w:t>
      </w:r>
      <w:r>
        <w:t>rahat</w:t>
      </w:r>
      <w:r>
        <w:rPr>
          <w:spacing w:val="-15"/>
        </w:rPr>
        <w:t xml:space="preserve"> </w:t>
      </w:r>
      <w:r>
        <w:t>ifade</w:t>
      </w:r>
      <w:r>
        <w:rPr>
          <w:spacing w:val="-15"/>
        </w:rPr>
        <w:t xml:space="preserve"> </w:t>
      </w:r>
      <w:r>
        <w:t>edebilir. Bu durum, özellikle zor veya stresli zamanlarda aile üyeleri arasında destek ve anlayışın artmasını sağlar. Örneğin, aile bireylerinin kişisel sorunları, endişeleri veya başarıları hakkında açıkça konuşmaları, diğer aile üyelerinin bu durumları daha iyi anlamalarına ve uygun destekleri sağlamalarına olanak tanır. Araştırma ayrıca, aile içi iletişimin çocukların sosyal</w:t>
      </w:r>
      <w:r>
        <w:rPr>
          <w:spacing w:val="-14"/>
        </w:rPr>
        <w:t xml:space="preserve"> </w:t>
      </w:r>
      <w:r>
        <w:t>ve</w:t>
      </w:r>
      <w:r>
        <w:rPr>
          <w:spacing w:val="-15"/>
        </w:rPr>
        <w:t xml:space="preserve"> </w:t>
      </w:r>
      <w:r>
        <w:t>duygusal</w:t>
      </w:r>
      <w:r>
        <w:rPr>
          <w:spacing w:val="-14"/>
        </w:rPr>
        <w:t xml:space="preserve"> </w:t>
      </w:r>
      <w:r>
        <w:t>gelişimine</w:t>
      </w:r>
      <w:r>
        <w:rPr>
          <w:spacing w:val="-15"/>
        </w:rPr>
        <w:t xml:space="preserve"> </w:t>
      </w:r>
      <w:r>
        <w:t>olan</w:t>
      </w:r>
      <w:r>
        <w:rPr>
          <w:spacing w:val="-15"/>
        </w:rPr>
        <w:t xml:space="preserve"> </w:t>
      </w:r>
      <w:r>
        <w:t>katkılarını</w:t>
      </w:r>
      <w:r>
        <w:rPr>
          <w:spacing w:val="-13"/>
        </w:rPr>
        <w:t xml:space="preserve"> </w:t>
      </w:r>
      <w:r>
        <w:t>da</w:t>
      </w:r>
      <w:r>
        <w:rPr>
          <w:spacing w:val="-15"/>
        </w:rPr>
        <w:t xml:space="preserve"> </w:t>
      </w:r>
      <w:r>
        <w:t>vurgulamaktadır.</w:t>
      </w:r>
      <w:r>
        <w:rPr>
          <w:spacing w:val="-14"/>
        </w:rPr>
        <w:t xml:space="preserve"> </w:t>
      </w:r>
      <w:r>
        <w:t>Çocuklar,</w:t>
      </w:r>
      <w:r>
        <w:rPr>
          <w:spacing w:val="-14"/>
        </w:rPr>
        <w:t xml:space="preserve"> </w:t>
      </w:r>
      <w:r>
        <w:t>aile</w:t>
      </w:r>
      <w:r>
        <w:rPr>
          <w:spacing w:val="-15"/>
        </w:rPr>
        <w:t xml:space="preserve"> </w:t>
      </w:r>
      <w:r>
        <w:t>içinde</w:t>
      </w:r>
      <w:r>
        <w:rPr>
          <w:spacing w:val="-15"/>
        </w:rPr>
        <w:t xml:space="preserve"> </w:t>
      </w:r>
      <w:r>
        <w:t>açık iletişim kurulan bir ortamda büyüdüklerinde, sosyal beceriler ve empati gibi kişisel yeteneklerini daha etkili bir şekilde geliştirirler. Bu, onların arkadaşlık ilişkilerini ve genel sosyal etkileşimlerini olumlu yönde etkiler. Ek olarak, Özmete'nin çalışması, sağlıklı aile iletişiminin, aile üyelerinin psikolojik sağlığı üzerinde de olumlu etkiler yarattığını göstermiştir. Duygusal ifade özgürlüğü, stresin ve anksiyetenin azalmasına yardımcı olurken, aile içi destek duygusu bireylerin yaşamdan aldıkları tatmini artırabilir. Açık iletişim, aile üyelerinin birbirlerine karşı daha fazla anlayış ve hoşgörü geliştirmelerine olanak sağlayarak, ev içindeki genel atmosferi iyileştirir. Sonuç olarak, Özmete'nin çalışması, aile içi iletişimin sadece bireysel üyelerin duygusal ve psikolojik sağlığını değil, aynı</w:t>
      </w:r>
      <w:r>
        <w:rPr>
          <w:spacing w:val="-1"/>
        </w:rPr>
        <w:t xml:space="preserve"> </w:t>
      </w:r>
      <w:r>
        <w:t>zamanda aile</w:t>
      </w:r>
      <w:r>
        <w:rPr>
          <w:spacing w:val="-2"/>
        </w:rPr>
        <w:t xml:space="preserve"> </w:t>
      </w:r>
      <w:r>
        <w:t>birliğini</w:t>
      </w:r>
      <w:r>
        <w:rPr>
          <w:spacing w:val="-1"/>
        </w:rPr>
        <w:t xml:space="preserve"> </w:t>
      </w:r>
      <w:r>
        <w:t>ve</w:t>
      </w:r>
      <w:r>
        <w:rPr>
          <w:spacing w:val="-2"/>
        </w:rPr>
        <w:t xml:space="preserve"> </w:t>
      </w:r>
      <w:r>
        <w:t>işlevselliğini</w:t>
      </w:r>
      <w:r>
        <w:rPr>
          <w:spacing w:val="-1"/>
        </w:rPr>
        <w:t xml:space="preserve"> </w:t>
      </w:r>
      <w:r>
        <w:t>de</w:t>
      </w:r>
      <w:r>
        <w:rPr>
          <w:spacing w:val="-2"/>
        </w:rPr>
        <w:t xml:space="preserve"> </w:t>
      </w:r>
      <w:r>
        <w:t>güçlendiren</w:t>
      </w:r>
      <w:r>
        <w:rPr>
          <w:spacing w:val="-1"/>
        </w:rPr>
        <w:t xml:space="preserve"> </w:t>
      </w:r>
      <w:r>
        <w:t>temel</w:t>
      </w:r>
      <w:r>
        <w:rPr>
          <w:spacing w:val="-1"/>
        </w:rPr>
        <w:t xml:space="preserve"> </w:t>
      </w:r>
      <w:r>
        <w:t>bir</w:t>
      </w:r>
      <w:r>
        <w:rPr>
          <w:spacing w:val="-2"/>
        </w:rPr>
        <w:t xml:space="preserve"> </w:t>
      </w:r>
      <w:r>
        <w:t>unsur olduğunu</w:t>
      </w:r>
      <w:r>
        <w:rPr>
          <w:spacing w:val="-1"/>
        </w:rPr>
        <w:t xml:space="preserve"> </w:t>
      </w:r>
      <w:r>
        <w:t>ortaya koymaktadır. Bu bulgular, ailelerin daha sağlıklı iletişim kurma yollarını keşfetmeleri ve geliştirmeleri gerektiğinin altını çizmekte, böylece tüm aile bireylerinin yaşam kalitesini artırmayı hedeflemektedir.</w:t>
      </w:r>
    </w:p>
    <w:p w14:paraId="5F3237A0">
      <w:pPr>
        <w:pStyle w:val="9"/>
        <w:spacing w:before="120" w:after="120" w:line="360" w:lineRule="auto"/>
        <w:ind w:left="0" w:firstLine="567"/>
      </w:pPr>
      <w:r>
        <w:t>Avrupa Yaşam ve Çalışma Koşullarını İyileştirme Vakfı'nın (2004) bulguları, eğitim düzeyinin bireylerin yaşam kalitesi üzerindeki derin etkisini açıkça ortaya koymaktadır. Burapor, yüksek eğitim düzeyine sahip bireylerin genellikle daha yüksek gelirlere, dahanitelikli</w:t>
      </w:r>
      <w:r>
        <w:rPr>
          <w:spacing w:val="-5"/>
        </w:rPr>
        <w:t xml:space="preserve"> </w:t>
      </w:r>
      <w:r>
        <w:t>işlere</w:t>
      </w:r>
      <w:r>
        <w:rPr>
          <w:spacing w:val="-8"/>
        </w:rPr>
        <w:t xml:space="preserve"> </w:t>
      </w:r>
      <w:r>
        <w:t>ve</w:t>
      </w:r>
      <w:r>
        <w:rPr>
          <w:spacing w:val="-7"/>
        </w:rPr>
        <w:t xml:space="preserve"> </w:t>
      </w:r>
      <w:r>
        <w:t>daha</w:t>
      </w:r>
      <w:r>
        <w:rPr>
          <w:spacing w:val="-7"/>
        </w:rPr>
        <w:t xml:space="preserve"> </w:t>
      </w:r>
      <w:r>
        <w:t>iyi</w:t>
      </w:r>
      <w:r>
        <w:rPr>
          <w:spacing w:val="-5"/>
        </w:rPr>
        <w:t xml:space="preserve"> </w:t>
      </w:r>
      <w:r>
        <w:t>sosyal</w:t>
      </w:r>
      <w:r>
        <w:rPr>
          <w:spacing w:val="-3"/>
        </w:rPr>
        <w:t xml:space="preserve"> </w:t>
      </w:r>
      <w:r>
        <w:t>fırsatlara</w:t>
      </w:r>
      <w:r>
        <w:rPr>
          <w:spacing w:val="-7"/>
        </w:rPr>
        <w:t xml:space="preserve"> </w:t>
      </w:r>
      <w:r>
        <w:t>erişim</w:t>
      </w:r>
      <w:r>
        <w:rPr>
          <w:spacing w:val="-5"/>
        </w:rPr>
        <w:t xml:space="preserve"> </w:t>
      </w:r>
      <w:r>
        <w:t>sağladığını</w:t>
      </w:r>
      <w:r>
        <w:rPr>
          <w:spacing w:val="-5"/>
        </w:rPr>
        <w:t xml:space="preserve"> </w:t>
      </w:r>
      <w:r>
        <w:t>belirtmektedir.</w:t>
      </w:r>
      <w:r>
        <w:rPr>
          <w:spacing w:val="-7"/>
        </w:rPr>
        <w:t xml:space="preserve"> </w:t>
      </w:r>
      <w:r>
        <w:t>Bu</w:t>
      </w:r>
      <w:r>
        <w:rPr>
          <w:spacing w:val="-6"/>
        </w:rPr>
        <w:t xml:space="preserve"> </w:t>
      </w:r>
      <w:r>
        <w:t>durum, bu bireylerin genel yaşam kalitesinin yükselmesine katkıda bulunmaktadır. Yüksek eğitim düzeyi, kişilere çeşitli kariyer yolları açarken, onların iş piyasasında daha rekabetçi olmalarını</w:t>
      </w:r>
      <w:r>
        <w:rPr>
          <w:spacing w:val="-10"/>
        </w:rPr>
        <w:t xml:space="preserve"> </w:t>
      </w:r>
      <w:r>
        <w:t>sağlar</w:t>
      </w:r>
      <w:r>
        <w:rPr>
          <w:spacing w:val="-11"/>
        </w:rPr>
        <w:t xml:space="preserve"> </w:t>
      </w:r>
      <w:r>
        <w:t>ve</w:t>
      </w:r>
      <w:r>
        <w:rPr>
          <w:spacing w:val="-12"/>
        </w:rPr>
        <w:t xml:space="preserve"> </w:t>
      </w:r>
      <w:r>
        <w:t>iş</w:t>
      </w:r>
      <w:r>
        <w:rPr>
          <w:spacing w:val="-10"/>
        </w:rPr>
        <w:t xml:space="preserve"> </w:t>
      </w:r>
      <w:r>
        <w:t>bulma</w:t>
      </w:r>
      <w:r>
        <w:rPr>
          <w:spacing w:val="-12"/>
        </w:rPr>
        <w:t xml:space="preserve"> </w:t>
      </w:r>
      <w:r>
        <w:t>olasılıklarını</w:t>
      </w:r>
      <w:r>
        <w:rPr>
          <w:spacing w:val="-10"/>
        </w:rPr>
        <w:t xml:space="preserve"> </w:t>
      </w:r>
      <w:r>
        <w:t>artırır.</w:t>
      </w:r>
      <w:r>
        <w:rPr>
          <w:spacing w:val="-9"/>
        </w:rPr>
        <w:t xml:space="preserve"> </w:t>
      </w:r>
      <w:r>
        <w:t>Aynı</w:t>
      </w:r>
      <w:r>
        <w:rPr>
          <w:spacing w:val="-10"/>
        </w:rPr>
        <w:t xml:space="preserve"> </w:t>
      </w:r>
      <w:r>
        <w:t>zamanda,</w:t>
      </w:r>
      <w:r>
        <w:rPr>
          <w:spacing w:val="-11"/>
        </w:rPr>
        <w:t xml:space="preserve"> </w:t>
      </w:r>
      <w:r>
        <w:t>eğitimli</w:t>
      </w:r>
      <w:r>
        <w:rPr>
          <w:spacing w:val="-10"/>
        </w:rPr>
        <w:t xml:space="preserve"> </w:t>
      </w:r>
      <w:r>
        <w:t>bireyler</w:t>
      </w:r>
      <w:r>
        <w:rPr>
          <w:spacing w:val="-9"/>
        </w:rPr>
        <w:t xml:space="preserve"> </w:t>
      </w:r>
      <w:r>
        <w:t>genellikle işlerinde daha yüksek memnuniyet seviyeleri ve iş güvenliği rapor ederler. Öte yandan, düşük eğitim düzeyine sahip olan bireylerin karşılaştıkları zorluklar çok daha ağırdır. Bu bireyler</w:t>
      </w:r>
      <w:r>
        <w:rPr>
          <w:spacing w:val="-11"/>
        </w:rPr>
        <w:t xml:space="preserve"> </w:t>
      </w:r>
      <w:r>
        <w:t>genellikle</w:t>
      </w:r>
      <w:r>
        <w:rPr>
          <w:spacing w:val="-14"/>
        </w:rPr>
        <w:t xml:space="preserve"> </w:t>
      </w:r>
      <w:r>
        <w:t>işsizlik,</w:t>
      </w:r>
      <w:r>
        <w:rPr>
          <w:spacing w:val="-13"/>
        </w:rPr>
        <w:t xml:space="preserve"> </w:t>
      </w:r>
      <w:r>
        <w:t>kötü</w:t>
      </w:r>
      <w:r>
        <w:rPr>
          <w:spacing w:val="-13"/>
        </w:rPr>
        <w:t xml:space="preserve"> </w:t>
      </w:r>
      <w:r>
        <w:t>çalışma</w:t>
      </w:r>
      <w:r>
        <w:rPr>
          <w:spacing w:val="-13"/>
        </w:rPr>
        <w:t xml:space="preserve"> </w:t>
      </w:r>
      <w:r>
        <w:t>koşulları</w:t>
      </w:r>
      <w:r>
        <w:rPr>
          <w:spacing w:val="-11"/>
        </w:rPr>
        <w:t xml:space="preserve"> </w:t>
      </w:r>
      <w:r>
        <w:t>ve</w:t>
      </w:r>
      <w:r>
        <w:rPr>
          <w:spacing w:val="-14"/>
        </w:rPr>
        <w:t xml:space="preserve"> </w:t>
      </w:r>
      <w:r>
        <w:t>düşük</w:t>
      </w:r>
      <w:r>
        <w:rPr>
          <w:spacing w:val="-13"/>
        </w:rPr>
        <w:t xml:space="preserve"> </w:t>
      </w:r>
      <w:r>
        <w:t>ücretler</w:t>
      </w:r>
      <w:r>
        <w:rPr>
          <w:spacing w:val="-9"/>
        </w:rPr>
        <w:t xml:space="preserve"> </w:t>
      </w:r>
      <w:r>
        <w:t>gibi</w:t>
      </w:r>
      <w:r>
        <w:rPr>
          <w:spacing w:val="-12"/>
        </w:rPr>
        <w:t xml:space="preserve"> </w:t>
      </w:r>
      <w:r>
        <w:t>sorunlarla</w:t>
      </w:r>
      <w:r>
        <w:rPr>
          <w:spacing w:val="-14"/>
        </w:rPr>
        <w:t xml:space="preserve"> </w:t>
      </w:r>
      <w:r>
        <w:t>mücadele etmek zorundadır. Ekonomik yoksunluk, bu grup için yaygın bir sorundur ve bu durum, sosyal imkanlardan yararlanma fırsatlarını sınırlar. Düşük eğitim düzeyine sahip bireyler ayrıca, maddi, sosyal ve psikolojik kaygılarla daha sık karşı karşıya kalmaktadır, bu da onların genel yaşam kalitesini olumsuz etkilemektedir. Bu tür kaygılar, sağlık üzerinde de negatif</w:t>
      </w:r>
      <w:r>
        <w:rPr>
          <w:spacing w:val="-2"/>
        </w:rPr>
        <w:t xml:space="preserve"> </w:t>
      </w:r>
      <w:r>
        <w:t>etkilere</w:t>
      </w:r>
      <w:r>
        <w:rPr>
          <w:spacing w:val="-2"/>
        </w:rPr>
        <w:t xml:space="preserve"> </w:t>
      </w:r>
      <w:r>
        <w:t>sahiptir.</w:t>
      </w:r>
      <w:r>
        <w:rPr>
          <w:spacing w:val="-2"/>
        </w:rPr>
        <w:t xml:space="preserve"> </w:t>
      </w:r>
      <w:r>
        <w:t>Ekonomik</w:t>
      </w:r>
      <w:r>
        <w:rPr>
          <w:spacing w:val="-1"/>
        </w:rPr>
        <w:t xml:space="preserve"> </w:t>
      </w:r>
      <w:r>
        <w:t>sıkıntılar</w:t>
      </w:r>
      <w:r>
        <w:rPr>
          <w:spacing w:val="-2"/>
        </w:rPr>
        <w:t xml:space="preserve"> </w:t>
      </w:r>
      <w:r>
        <w:t>ve</w:t>
      </w:r>
      <w:r>
        <w:rPr>
          <w:spacing w:val="-2"/>
        </w:rPr>
        <w:t xml:space="preserve"> </w:t>
      </w:r>
      <w:r>
        <w:t>sosyal</w:t>
      </w:r>
      <w:r>
        <w:rPr>
          <w:spacing w:val="-1"/>
        </w:rPr>
        <w:t xml:space="preserve"> </w:t>
      </w:r>
      <w:r>
        <w:t>destek</w:t>
      </w:r>
      <w:r>
        <w:rPr>
          <w:spacing w:val="-2"/>
        </w:rPr>
        <w:t xml:space="preserve"> </w:t>
      </w:r>
      <w:r>
        <w:t>eksikliği,</w:t>
      </w:r>
      <w:r>
        <w:rPr>
          <w:spacing w:val="-1"/>
        </w:rPr>
        <w:t xml:space="preserve"> </w:t>
      </w:r>
      <w:r>
        <w:t>stres</w:t>
      </w:r>
      <w:r>
        <w:rPr>
          <w:spacing w:val="-1"/>
        </w:rPr>
        <w:t xml:space="preserve"> </w:t>
      </w:r>
      <w:r>
        <w:t>ve</w:t>
      </w:r>
      <w:r>
        <w:rPr>
          <w:spacing w:val="-2"/>
        </w:rPr>
        <w:t xml:space="preserve"> </w:t>
      </w:r>
      <w:r>
        <w:t>anksiyeteyi artırabilir ve bu da bireylerin fiziksel ve zihinsel sağlıklarını kötüleştirebilir. Bu durum, düşük eğitimli bireylerin sağlık hizmetlerine erişimini de zorlaştırabilir, çünkü sağlık sigortası ve sağlık hizmetlerine erişim çoğu zaman ekonomik imkanlarla doğrudan ilişkilidir. Sonuç olarak, eğitimin yaşam kalitesi üzerindeki etkisi, sadece ekonomik ve profesyonel açılardan değil, aynı zamanda sosyal ve psikolojik boyutlardan da oldukça büyüktür. Bu bulgular, eğitime erişimin genişletilmesi ve eğitim kalitesinin artırılması yönünde</w:t>
      </w:r>
      <w:r>
        <w:rPr>
          <w:spacing w:val="-13"/>
        </w:rPr>
        <w:t xml:space="preserve"> </w:t>
      </w:r>
      <w:r>
        <w:t>politikaların</w:t>
      </w:r>
      <w:r>
        <w:rPr>
          <w:spacing w:val="-12"/>
        </w:rPr>
        <w:t xml:space="preserve"> </w:t>
      </w:r>
      <w:r>
        <w:t>geliştirilmesinin</w:t>
      </w:r>
      <w:r>
        <w:rPr>
          <w:spacing w:val="-12"/>
        </w:rPr>
        <w:t xml:space="preserve"> </w:t>
      </w:r>
      <w:r>
        <w:t>önemini</w:t>
      </w:r>
      <w:r>
        <w:rPr>
          <w:spacing w:val="-11"/>
        </w:rPr>
        <w:t xml:space="preserve"> </w:t>
      </w:r>
      <w:r>
        <w:t>vurgular.</w:t>
      </w:r>
      <w:r>
        <w:rPr>
          <w:spacing w:val="-12"/>
        </w:rPr>
        <w:t xml:space="preserve"> </w:t>
      </w:r>
      <w:r>
        <w:t>Eğitim,</w:t>
      </w:r>
      <w:r>
        <w:rPr>
          <w:spacing w:val="-12"/>
        </w:rPr>
        <w:t xml:space="preserve"> </w:t>
      </w:r>
      <w:r>
        <w:t>bireylerin</w:t>
      </w:r>
      <w:r>
        <w:rPr>
          <w:spacing w:val="-10"/>
        </w:rPr>
        <w:t xml:space="preserve"> </w:t>
      </w:r>
      <w:r>
        <w:t>yaşam</w:t>
      </w:r>
      <w:r>
        <w:rPr>
          <w:spacing w:val="-11"/>
        </w:rPr>
        <w:t xml:space="preserve"> </w:t>
      </w:r>
      <w:r>
        <w:t>kalitesini iyileştiren temel bir araç olarak kabul edilmeli ve herkes için eşit eğitim fırsatları sağlanmalıdır. Bu tür politikalar, toplumun tüm kesimlerinde yaşam standartlarını yükseltebilir ve daha adil bir toplum yapısına katkıda bulunabilir (Kaplan ve Eren, 2018:183).</w:t>
      </w:r>
    </w:p>
    <w:p w14:paraId="4A9FBB2E">
      <w:pPr>
        <w:pStyle w:val="9"/>
        <w:spacing w:before="120" w:after="120" w:line="360" w:lineRule="auto"/>
        <w:ind w:left="0" w:firstLine="567"/>
      </w:pPr>
      <w:r>
        <w:t>Yaşam kalitesinin değerlendirilmesinde boş zaman etkinliklerinin rolü, çeşitli çalışmalar tarafından</w:t>
      </w:r>
      <w:r>
        <w:rPr>
          <w:spacing w:val="-15"/>
        </w:rPr>
        <w:t xml:space="preserve"> </w:t>
      </w:r>
      <w:r>
        <w:t>sıklıkla</w:t>
      </w:r>
      <w:r>
        <w:rPr>
          <w:spacing w:val="-15"/>
        </w:rPr>
        <w:t xml:space="preserve"> </w:t>
      </w:r>
      <w:r>
        <w:t>vurgulanır.</w:t>
      </w:r>
      <w:r>
        <w:rPr>
          <w:spacing w:val="-15"/>
        </w:rPr>
        <w:t xml:space="preserve"> </w:t>
      </w:r>
      <w:r>
        <w:t>Mansuroğlu</w:t>
      </w:r>
      <w:r>
        <w:rPr>
          <w:spacing w:val="-15"/>
        </w:rPr>
        <w:t xml:space="preserve"> </w:t>
      </w:r>
      <w:r>
        <w:t>(2002:53)</w:t>
      </w:r>
      <w:r>
        <w:rPr>
          <w:spacing w:val="-15"/>
        </w:rPr>
        <w:t xml:space="preserve"> </w:t>
      </w:r>
      <w:r>
        <w:t>ve</w:t>
      </w:r>
      <w:r>
        <w:rPr>
          <w:spacing w:val="-15"/>
        </w:rPr>
        <w:t xml:space="preserve"> </w:t>
      </w:r>
      <w:r>
        <w:t>Zorba</w:t>
      </w:r>
      <w:r>
        <w:rPr>
          <w:spacing w:val="-15"/>
        </w:rPr>
        <w:t xml:space="preserve"> </w:t>
      </w:r>
      <w:r>
        <w:t>(2007:52)</w:t>
      </w:r>
      <w:r>
        <w:rPr>
          <w:spacing w:val="-15"/>
        </w:rPr>
        <w:t xml:space="preserve"> </w:t>
      </w:r>
      <w:r>
        <w:t>gibi</w:t>
      </w:r>
      <w:r>
        <w:rPr>
          <w:spacing w:val="-15"/>
        </w:rPr>
        <w:t xml:space="preserve"> </w:t>
      </w:r>
      <w:r>
        <w:t>araştırmacılar, bireylerin serbest zamanlarını nasıl değerlendirdiklerinin, genel yaşam kalitesi üzerinde belirleyici</w:t>
      </w:r>
      <w:r>
        <w:rPr>
          <w:spacing w:val="48"/>
        </w:rPr>
        <w:t xml:space="preserve"> </w:t>
      </w:r>
      <w:r>
        <w:t>olduğunu</w:t>
      </w:r>
      <w:r>
        <w:rPr>
          <w:spacing w:val="50"/>
        </w:rPr>
        <w:t xml:space="preserve"> </w:t>
      </w:r>
      <w:r>
        <w:t>ortaya</w:t>
      </w:r>
      <w:r>
        <w:rPr>
          <w:spacing w:val="50"/>
        </w:rPr>
        <w:t xml:space="preserve"> </w:t>
      </w:r>
      <w:r>
        <w:t>koymaktadırlar.</w:t>
      </w:r>
      <w:r>
        <w:rPr>
          <w:spacing w:val="49"/>
        </w:rPr>
        <w:t xml:space="preserve"> </w:t>
      </w:r>
      <w:r>
        <w:t>Boş</w:t>
      </w:r>
      <w:r>
        <w:rPr>
          <w:spacing w:val="55"/>
        </w:rPr>
        <w:t xml:space="preserve"> </w:t>
      </w:r>
      <w:r>
        <w:t>zamanlar,</w:t>
      </w:r>
      <w:r>
        <w:rPr>
          <w:spacing w:val="48"/>
        </w:rPr>
        <w:t xml:space="preserve"> </w:t>
      </w:r>
      <w:r>
        <w:t>zorunlu</w:t>
      </w:r>
      <w:r>
        <w:rPr>
          <w:spacing w:val="50"/>
        </w:rPr>
        <w:t xml:space="preserve"> </w:t>
      </w:r>
      <w:r>
        <w:t>faaliyetlerden</w:t>
      </w:r>
      <w:r>
        <w:rPr>
          <w:spacing w:val="50"/>
        </w:rPr>
        <w:t xml:space="preserve"> </w:t>
      </w:r>
      <w:r>
        <w:rPr>
          <w:spacing w:val="-2"/>
        </w:rPr>
        <w:t>uzak,</w:t>
      </w:r>
      <w:r>
        <w:t xml:space="preserve"> bireylerin kendi seçimleriyle şekillendirdikleri dönemlerdir ve dinlenme, eğlenme ve kendini geliştirme gibi temel işlevlere hizmet ederler.</w:t>
      </w:r>
    </w:p>
    <w:p w14:paraId="33509360">
      <w:pPr>
        <w:pStyle w:val="9"/>
        <w:spacing w:before="120" w:after="120" w:line="360" w:lineRule="auto"/>
        <w:ind w:left="0" w:firstLine="567"/>
      </w:pPr>
      <w:r>
        <w:rPr>
          <w:b/>
        </w:rPr>
        <w:t>Dinlenme:</w:t>
      </w:r>
      <w:r>
        <w:rPr>
          <w:b/>
          <w:spacing w:val="-15"/>
        </w:rPr>
        <w:t xml:space="preserve"> </w:t>
      </w:r>
      <w:r>
        <w:t>Serbest</w:t>
      </w:r>
      <w:r>
        <w:rPr>
          <w:spacing w:val="-15"/>
        </w:rPr>
        <w:t xml:space="preserve"> </w:t>
      </w:r>
      <w:r>
        <w:t>zaman</w:t>
      </w:r>
      <w:r>
        <w:rPr>
          <w:spacing w:val="-15"/>
        </w:rPr>
        <w:t xml:space="preserve"> </w:t>
      </w:r>
      <w:r>
        <w:t>etkinlikleri,</w:t>
      </w:r>
      <w:r>
        <w:rPr>
          <w:spacing w:val="-15"/>
        </w:rPr>
        <w:t xml:space="preserve"> </w:t>
      </w:r>
      <w:r>
        <w:t>günlük</w:t>
      </w:r>
      <w:r>
        <w:rPr>
          <w:spacing w:val="-15"/>
        </w:rPr>
        <w:t xml:space="preserve"> </w:t>
      </w:r>
      <w:r>
        <w:t>yaşamın</w:t>
      </w:r>
      <w:r>
        <w:rPr>
          <w:spacing w:val="-15"/>
        </w:rPr>
        <w:t xml:space="preserve"> </w:t>
      </w:r>
      <w:r>
        <w:t>stres</w:t>
      </w:r>
      <w:r>
        <w:rPr>
          <w:spacing w:val="-15"/>
        </w:rPr>
        <w:t xml:space="preserve"> </w:t>
      </w:r>
      <w:r>
        <w:t>ve</w:t>
      </w:r>
      <w:r>
        <w:rPr>
          <w:spacing w:val="-15"/>
        </w:rPr>
        <w:t xml:space="preserve"> </w:t>
      </w:r>
      <w:r>
        <w:t>yorgunluğundan</w:t>
      </w:r>
      <w:r>
        <w:rPr>
          <w:spacing w:val="-15"/>
        </w:rPr>
        <w:t xml:space="preserve"> </w:t>
      </w:r>
      <w:r>
        <w:t>uzaklaşmak için önemli fırsatlar sunar. Dinlenme, zihinsel ve fiziksel sağlık için elzemdir ve bireylerin enerji</w:t>
      </w:r>
      <w:r>
        <w:rPr>
          <w:spacing w:val="-6"/>
        </w:rPr>
        <w:t xml:space="preserve"> </w:t>
      </w:r>
      <w:r>
        <w:t>toplamalarına,</w:t>
      </w:r>
      <w:r>
        <w:rPr>
          <w:spacing w:val="-6"/>
        </w:rPr>
        <w:t xml:space="preserve"> </w:t>
      </w:r>
      <w:r>
        <w:t>stres</w:t>
      </w:r>
      <w:r>
        <w:rPr>
          <w:spacing w:val="-6"/>
        </w:rPr>
        <w:t xml:space="preserve"> </w:t>
      </w:r>
      <w:r>
        <w:t>azaltmalarına</w:t>
      </w:r>
      <w:r>
        <w:rPr>
          <w:spacing w:val="-2"/>
        </w:rPr>
        <w:t xml:space="preserve"> </w:t>
      </w:r>
      <w:r>
        <w:t>yardımcı</w:t>
      </w:r>
      <w:r>
        <w:rPr>
          <w:spacing w:val="-3"/>
        </w:rPr>
        <w:t xml:space="preserve"> </w:t>
      </w:r>
      <w:r>
        <w:t>olur.</w:t>
      </w:r>
      <w:r>
        <w:rPr>
          <w:spacing w:val="-7"/>
        </w:rPr>
        <w:t xml:space="preserve"> </w:t>
      </w:r>
      <w:r>
        <w:t>Bu</w:t>
      </w:r>
      <w:r>
        <w:rPr>
          <w:spacing w:val="-4"/>
        </w:rPr>
        <w:t xml:space="preserve"> </w:t>
      </w:r>
      <w:r>
        <w:t>süreçte,</w:t>
      </w:r>
      <w:r>
        <w:rPr>
          <w:spacing w:val="-6"/>
        </w:rPr>
        <w:t xml:space="preserve"> </w:t>
      </w:r>
      <w:r>
        <w:t>bireyler</w:t>
      </w:r>
      <w:r>
        <w:rPr>
          <w:spacing w:val="-3"/>
        </w:rPr>
        <w:t xml:space="preserve"> </w:t>
      </w:r>
      <w:r>
        <w:t>daha</w:t>
      </w:r>
      <w:r>
        <w:rPr>
          <w:spacing w:val="-7"/>
        </w:rPr>
        <w:t xml:space="preserve"> </w:t>
      </w:r>
      <w:r>
        <w:t>huzurlu</w:t>
      </w:r>
      <w:r>
        <w:rPr>
          <w:spacing w:val="-6"/>
        </w:rPr>
        <w:t xml:space="preserve"> </w:t>
      </w:r>
      <w:r>
        <w:t>ve dingin bir zihin yapısına kavuşabilir, böylece yaşam kaliteleri artar.</w:t>
      </w:r>
    </w:p>
    <w:p w14:paraId="75D4ABE4">
      <w:pPr>
        <w:pStyle w:val="9"/>
        <w:spacing w:before="120" w:after="120" w:line="360" w:lineRule="auto"/>
        <w:ind w:left="0" w:firstLine="567"/>
      </w:pPr>
      <w:r>
        <w:rPr>
          <w:b/>
        </w:rPr>
        <w:t>Eğlenme:</w:t>
      </w:r>
      <w:r>
        <w:rPr>
          <w:b/>
          <w:spacing w:val="-15"/>
        </w:rPr>
        <w:t xml:space="preserve"> </w:t>
      </w:r>
      <w:r>
        <w:t>Eğlence,</w:t>
      </w:r>
      <w:r>
        <w:rPr>
          <w:spacing w:val="-15"/>
        </w:rPr>
        <w:t xml:space="preserve"> </w:t>
      </w:r>
      <w:r>
        <w:t>serbest</w:t>
      </w:r>
      <w:r>
        <w:rPr>
          <w:spacing w:val="-15"/>
        </w:rPr>
        <w:t xml:space="preserve"> </w:t>
      </w:r>
      <w:r>
        <w:t>zamanın</w:t>
      </w:r>
      <w:r>
        <w:rPr>
          <w:spacing w:val="-15"/>
        </w:rPr>
        <w:t xml:space="preserve"> </w:t>
      </w:r>
      <w:r>
        <w:t>vazgeçilmez</w:t>
      </w:r>
      <w:r>
        <w:rPr>
          <w:spacing w:val="-15"/>
        </w:rPr>
        <w:t xml:space="preserve"> </w:t>
      </w:r>
      <w:r>
        <w:t>bir</w:t>
      </w:r>
      <w:r>
        <w:rPr>
          <w:spacing w:val="-15"/>
        </w:rPr>
        <w:t xml:space="preserve"> </w:t>
      </w:r>
      <w:r>
        <w:t>parçasıdır</w:t>
      </w:r>
      <w:r>
        <w:rPr>
          <w:spacing w:val="-15"/>
        </w:rPr>
        <w:t xml:space="preserve"> </w:t>
      </w:r>
      <w:r>
        <w:t>ve</w:t>
      </w:r>
      <w:r>
        <w:rPr>
          <w:spacing w:val="-15"/>
        </w:rPr>
        <w:t xml:space="preserve"> </w:t>
      </w:r>
      <w:r>
        <w:t>psikolojik</w:t>
      </w:r>
      <w:r>
        <w:rPr>
          <w:spacing w:val="-15"/>
        </w:rPr>
        <w:t xml:space="preserve"> </w:t>
      </w:r>
      <w:r>
        <w:t>refah</w:t>
      </w:r>
      <w:r>
        <w:rPr>
          <w:spacing w:val="-15"/>
        </w:rPr>
        <w:t xml:space="preserve"> </w:t>
      </w:r>
      <w:r>
        <w:t>için</w:t>
      </w:r>
      <w:r>
        <w:rPr>
          <w:spacing w:val="-15"/>
        </w:rPr>
        <w:t xml:space="preserve"> </w:t>
      </w:r>
      <w:r>
        <w:t>kritik öneme sahiptir. Müzik dinlemek, film izlemek, spor yapmak veya hobilerle uğraşmak gibi etkinlikler, bireyin yaşamından zevk almasını sağlar ve genel mutluluk düzeyini yükseltir.</w:t>
      </w:r>
    </w:p>
    <w:p w14:paraId="24C494AF">
      <w:pPr>
        <w:pStyle w:val="9"/>
        <w:spacing w:before="120" w:after="120" w:line="360" w:lineRule="auto"/>
        <w:ind w:left="0" w:firstLine="567"/>
      </w:pPr>
      <w:r>
        <w:rPr>
          <w:b/>
        </w:rPr>
        <w:t>Kendini</w:t>
      </w:r>
      <w:r>
        <w:rPr>
          <w:b/>
          <w:spacing w:val="-11"/>
        </w:rPr>
        <w:t xml:space="preserve"> </w:t>
      </w:r>
      <w:r>
        <w:rPr>
          <w:b/>
        </w:rPr>
        <w:t>Geliştirme:</w:t>
      </w:r>
      <w:r>
        <w:rPr>
          <w:b/>
          <w:spacing w:val="-9"/>
        </w:rPr>
        <w:t xml:space="preserve"> </w:t>
      </w:r>
      <w:r>
        <w:t>Boş</w:t>
      </w:r>
      <w:r>
        <w:rPr>
          <w:spacing w:val="-11"/>
        </w:rPr>
        <w:t xml:space="preserve"> </w:t>
      </w:r>
      <w:r>
        <w:t>zamanlar,</w:t>
      </w:r>
      <w:r>
        <w:rPr>
          <w:spacing w:val="-12"/>
        </w:rPr>
        <w:t xml:space="preserve"> </w:t>
      </w:r>
      <w:r>
        <w:t>bireylerin</w:t>
      </w:r>
      <w:r>
        <w:rPr>
          <w:spacing w:val="-8"/>
        </w:rPr>
        <w:t xml:space="preserve"> </w:t>
      </w:r>
      <w:r>
        <w:t>yeni</w:t>
      </w:r>
      <w:r>
        <w:rPr>
          <w:spacing w:val="-11"/>
        </w:rPr>
        <w:t xml:space="preserve"> </w:t>
      </w:r>
      <w:r>
        <w:t>beceriler</w:t>
      </w:r>
      <w:r>
        <w:rPr>
          <w:spacing w:val="-12"/>
        </w:rPr>
        <w:t xml:space="preserve"> </w:t>
      </w:r>
      <w:r>
        <w:t>edinmesi,</w:t>
      </w:r>
      <w:r>
        <w:rPr>
          <w:spacing w:val="-11"/>
        </w:rPr>
        <w:t xml:space="preserve"> </w:t>
      </w:r>
      <w:r>
        <w:t>kişisel</w:t>
      </w:r>
      <w:r>
        <w:rPr>
          <w:spacing w:val="-11"/>
        </w:rPr>
        <w:t xml:space="preserve"> </w:t>
      </w:r>
      <w:r>
        <w:t>ilgi</w:t>
      </w:r>
      <w:r>
        <w:rPr>
          <w:spacing w:val="-11"/>
        </w:rPr>
        <w:t xml:space="preserve"> </w:t>
      </w:r>
      <w:r>
        <w:t>alanlarını keşfetmesi</w:t>
      </w:r>
      <w:r>
        <w:rPr>
          <w:spacing w:val="-13"/>
        </w:rPr>
        <w:t xml:space="preserve"> </w:t>
      </w:r>
      <w:r>
        <w:t>ve</w:t>
      </w:r>
      <w:r>
        <w:rPr>
          <w:spacing w:val="-14"/>
        </w:rPr>
        <w:t xml:space="preserve"> </w:t>
      </w:r>
      <w:r>
        <w:t>kendini</w:t>
      </w:r>
      <w:r>
        <w:rPr>
          <w:spacing w:val="-12"/>
        </w:rPr>
        <w:t xml:space="preserve"> </w:t>
      </w:r>
      <w:r>
        <w:t>ifade</w:t>
      </w:r>
      <w:r>
        <w:rPr>
          <w:spacing w:val="-14"/>
        </w:rPr>
        <w:t xml:space="preserve"> </w:t>
      </w:r>
      <w:r>
        <w:t>etmesi</w:t>
      </w:r>
      <w:r>
        <w:rPr>
          <w:spacing w:val="-12"/>
        </w:rPr>
        <w:t xml:space="preserve"> </w:t>
      </w:r>
      <w:r>
        <w:t>için</w:t>
      </w:r>
      <w:r>
        <w:rPr>
          <w:spacing w:val="-13"/>
        </w:rPr>
        <w:t xml:space="preserve"> </w:t>
      </w:r>
      <w:r>
        <w:t>de</w:t>
      </w:r>
      <w:r>
        <w:rPr>
          <w:spacing w:val="-14"/>
        </w:rPr>
        <w:t xml:space="preserve"> </w:t>
      </w:r>
      <w:r>
        <w:t>bir</w:t>
      </w:r>
      <w:r>
        <w:rPr>
          <w:spacing w:val="-13"/>
        </w:rPr>
        <w:t xml:space="preserve"> </w:t>
      </w:r>
      <w:r>
        <w:t>alan</w:t>
      </w:r>
      <w:r>
        <w:rPr>
          <w:spacing w:val="-15"/>
        </w:rPr>
        <w:t xml:space="preserve"> </w:t>
      </w:r>
      <w:r>
        <w:t>sunar.</w:t>
      </w:r>
      <w:r>
        <w:rPr>
          <w:spacing w:val="-14"/>
        </w:rPr>
        <w:t xml:space="preserve"> </w:t>
      </w:r>
      <w:r>
        <w:t>Öğrenme</w:t>
      </w:r>
      <w:r>
        <w:rPr>
          <w:spacing w:val="-14"/>
        </w:rPr>
        <w:t xml:space="preserve"> </w:t>
      </w:r>
      <w:r>
        <w:t>ve</w:t>
      </w:r>
      <w:r>
        <w:rPr>
          <w:spacing w:val="-14"/>
        </w:rPr>
        <w:t xml:space="preserve"> </w:t>
      </w:r>
      <w:r>
        <w:t>kişisel</w:t>
      </w:r>
      <w:r>
        <w:rPr>
          <w:spacing w:val="-13"/>
        </w:rPr>
        <w:t xml:space="preserve"> </w:t>
      </w:r>
      <w:r>
        <w:t>gelişim,</w:t>
      </w:r>
      <w:r>
        <w:rPr>
          <w:spacing w:val="-13"/>
        </w:rPr>
        <w:t xml:space="preserve"> </w:t>
      </w:r>
      <w:r>
        <w:t xml:space="preserve">bireyin kendine olan güvenini artırır ve yaşamın diğer alanlarında başarıya ulaşmasına yardımcı </w:t>
      </w:r>
      <w:r>
        <w:rPr>
          <w:spacing w:val="-2"/>
        </w:rPr>
        <w:t>olur.</w:t>
      </w:r>
    </w:p>
    <w:p w14:paraId="788DD716">
      <w:pPr>
        <w:pStyle w:val="9"/>
        <w:spacing w:before="120" w:after="120" w:line="360" w:lineRule="auto"/>
        <w:ind w:left="0" w:firstLine="567"/>
      </w:pPr>
      <w:r>
        <w:t>Aslan ve Arslan Cansever (2012:24) tarafından yapılan araştırma, serbest zaman etkinliklerinin</w:t>
      </w:r>
      <w:r>
        <w:rPr>
          <w:spacing w:val="-10"/>
        </w:rPr>
        <w:t xml:space="preserve"> </w:t>
      </w:r>
      <w:r>
        <w:t>bireyin</w:t>
      </w:r>
      <w:r>
        <w:rPr>
          <w:spacing w:val="-10"/>
        </w:rPr>
        <w:t xml:space="preserve"> </w:t>
      </w:r>
      <w:r>
        <w:t>keşfetme,</w:t>
      </w:r>
      <w:r>
        <w:rPr>
          <w:spacing w:val="-5"/>
        </w:rPr>
        <w:t xml:space="preserve"> </w:t>
      </w:r>
      <w:r>
        <w:t>yenilenme</w:t>
      </w:r>
      <w:r>
        <w:rPr>
          <w:spacing w:val="-11"/>
        </w:rPr>
        <w:t xml:space="preserve"> </w:t>
      </w:r>
      <w:r>
        <w:t>ve</w:t>
      </w:r>
      <w:r>
        <w:rPr>
          <w:spacing w:val="-11"/>
        </w:rPr>
        <w:t xml:space="preserve"> </w:t>
      </w:r>
      <w:r>
        <w:t>tezahür</w:t>
      </w:r>
      <w:r>
        <w:rPr>
          <w:spacing w:val="-11"/>
        </w:rPr>
        <w:t xml:space="preserve"> </w:t>
      </w:r>
      <w:r>
        <w:t>etme</w:t>
      </w:r>
      <w:r>
        <w:rPr>
          <w:spacing w:val="-11"/>
        </w:rPr>
        <w:t xml:space="preserve"> </w:t>
      </w:r>
      <w:r>
        <w:t>kabiliyetlerine</w:t>
      </w:r>
      <w:r>
        <w:rPr>
          <w:spacing w:val="-9"/>
        </w:rPr>
        <w:t xml:space="preserve"> </w:t>
      </w:r>
      <w:r>
        <w:t>katkı</w:t>
      </w:r>
      <w:r>
        <w:rPr>
          <w:spacing w:val="-10"/>
        </w:rPr>
        <w:t xml:space="preserve"> </w:t>
      </w:r>
      <w:r>
        <w:t>sağladığını vurgular. Bu aktiviteler, bireylerin kendilerini daha iyi tanımalarını, yeni yetenekler ve ilgi alanları geliştirmelerini sağlar</w:t>
      </w:r>
      <w:r>
        <w:rPr>
          <w:spacing w:val="-1"/>
        </w:rPr>
        <w:t xml:space="preserve"> </w:t>
      </w:r>
      <w:r>
        <w:t>ve</w:t>
      </w:r>
      <w:r>
        <w:rPr>
          <w:spacing w:val="-1"/>
        </w:rPr>
        <w:t xml:space="preserve"> </w:t>
      </w:r>
      <w:r>
        <w:t>bu süreçte</w:t>
      </w:r>
      <w:r>
        <w:rPr>
          <w:spacing w:val="-1"/>
        </w:rPr>
        <w:t xml:space="preserve"> </w:t>
      </w:r>
      <w:r>
        <w:t>bireylerin kendilerini daha</w:t>
      </w:r>
      <w:r>
        <w:rPr>
          <w:spacing w:val="-1"/>
        </w:rPr>
        <w:t xml:space="preserve"> </w:t>
      </w:r>
      <w:r>
        <w:t>iyi ifade</w:t>
      </w:r>
      <w:r>
        <w:rPr>
          <w:spacing w:val="-1"/>
        </w:rPr>
        <w:t xml:space="preserve"> </w:t>
      </w:r>
      <w:r>
        <w:t>etmelerine olanak tanır.</w:t>
      </w:r>
    </w:p>
    <w:p w14:paraId="06A634E9">
      <w:pPr>
        <w:pStyle w:val="9"/>
        <w:spacing w:before="120" w:after="120" w:line="360" w:lineRule="auto"/>
        <w:ind w:left="0" w:firstLine="567"/>
      </w:pPr>
      <w:r>
        <w:t>Sonuç</w:t>
      </w:r>
      <w:r>
        <w:rPr>
          <w:spacing w:val="-8"/>
        </w:rPr>
        <w:t xml:space="preserve"> </w:t>
      </w:r>
      <w:r>
        <w:t>olarak,</w:t>
      </w:r>
      <w:r>
        <w:rPr>
          <w:spacing w:val="-7"/>
        </w:rPr>
        <w:t xml:space="preserve"> </w:t>
      </w:r>
      <w:r>
        <w:t>serbest</w:t>
      </w:r>
      <w:r>
        <w:rPr>
          <w:spacing w:val="-6"/>
        </w:rPr>
        <w:t xml:space="preserve"> </w:t>
      </w:r>
      <w:r>
        <w:t>zaman</w:t>
      </w:r>
      <w:r>
        <w:rPr>
          <w:spacing w:val="-7"/>
        </w:rPr>
        <w:t xml:space="preserve"> </w:t>
      </w:r>
      <w:r>
        <w:t>etkinlikleri,</w:t>
      </w:r>
      <w:r>
        <w:rPr>
          <w:spacing w:val="-6"/>
        </w:rPr>
        <w:t xml:space="preserve"> </w:t>
      </w:r>
      <w:r>
        <w:t>bireyin</w:t>
      </w:r>
      <w:r>
        <w:rPr>
          <w:spacing w:val="-6"/>
        </w:rPr>
        <w:t xml:space="preserve"> </w:t>
      </w:r>
      <w:r>
        <w:t>yaşam</w:t>
      </w:r>
      <w:r>
        <w:rPr>
          <w:spacing w:val="-6"/>
        </w:rPr>
        <w:t xml:space="preserve"> </w:t>
      </w:r>
      <w:r>
        <w:t>kalitesini</w:t>
      </w:r>
      <w:r>
        <w:rPr>
          <w:spacing w:val="-6"/>
        </w:rPr>
        <w:t xml:space="preserve"> </w:t>
      </w:r>
      <w:r>
        <w:t>artıran,</w:t>
      </w:r>
      <w:r>
        <w:rPr>
          <w:spacing w:val="-7"/>
        </w:rPr>
        <w:t xml:space="preserve"> </w:t>
      </w:r>
      <w:r>
        <w:t>sosyal,</w:t>
      </w:r>
      <w:r>
        <w:rPr>
          <w:spacing w:val="-6"/>
        </w:rPr>
        <w:t xml:space="preserve"> </w:t>
      </w:r>
      <w:r>
        <w:t>zihinsel</w:t>
      </w:r>
      <w:r>
        <w:rPr>
          <w:spacing w:val="-6"/>
        </w:rPr>
        <w:t xml:space="preserve"> </w:t>
      </w:r>
      <w:r>
        <w:t>ve fiziksel</w:t>
      </w:r>
      <w:r>
        <w:rPr>
          <w:spacing w:val="-10"/>
        </w:rPr>
        <w:t xml:space="preserve"> </w:t>
      </w:r>
      <w:r>
        <w:t>faydalar</w:t>
      </w:r>
      <w:r>
        <w:rPr>
          <w:spacing w:val="-12"/>
        </w:rPr>
        <w:t xml:space="preserve"> </w:t>
      </w:r>
      <w:r>
        <w:t>sağlayan</w:t>
      </w:r>
      <w:r>
        <w:rPr>
          <w:spacing w:val="-9"/>
        </w:rPr>
        <w:t xml:space="preserve"> </w:t>
      </w:r>
      <w:r>
        <w:t>ve</w:t>
      </w:r>
      <w:r>
        <w:rPr>
          <w:spacing w:val="-12"/>
        </w:rPr>
        <w:t xml:space="preserve"> </w:t>
      </w:r>
      <w:r>
        <w:t>kişisel</w:t>
      </w:r>
      <w:r>
        <w:rPr>
          <w:spacing w:val="-10"/>
        </w:rPr>
        <w:t xml:space="preserve"> </w:t>
      </w:r>
      <w:r>
        <w:t>gelişime</w:t>
      </w:r>
      <w:r>
        <w:rPr>
          <w:spacing w:val="-12"/>
        </w:rPr>
        <w:t xml:space="preserve"> </w:t>
      </w:r>
      <w:r>
        <w:t>katkıda</w:t>
      </w:r>
      <w:r>
        <w:rPr>
          <w:spacing w:val="-12"/>
        </w:rPr>
        <w:t xml:space="preserve"> </w:t>
      </w:r>
      <w:r>
        <w:t>bulunan</w:t>
      </w:r>
      <w:r>
        <w:rPr>
          <w:spacing w:val="-11"/>
        </w:rPr>
        <w:t xml:space="preserve"> </w:t>
      </w:r>
      <w:r>
        <w:t>temel</w:t>
      </w:r>
      <w:r>
        <w:rPr>
          <w:spacing w:val="-10"/>
        </w:rPr>
        <w:t xml:space="preserve"> </w:t>
      </w:r>
      <w:r>
        <w:t>unsurlardır.</w:t>
      </w:r>
      <w:r>
        <w:rPr>
          <w:spacing w:val="-11"/>
        </w:rPr>
        <w:t xml:space="preserve"> </w:t>
      </w:r>
      <w:r>
        <w:t>Bu</w:t>
      </w:r>
      <w:r>
        <w:rPr>
          <w:spacing w:val="-11"/>
        </w:rPr>
        <w:t xml:space="preserve"> </w:t>
      </w:r>
      <w:r>
        <w:t>nedenle, yaşam</w:t>
      </w:r>
      <w:r>
        <w:rPr>
          <w:spacing w:val="-9"/>
        </w:rPr>
        <w:t xml:space="preserve"> </w:t>
      </w:r>
      <w:r>
        <w:t>kalitesini</w:t>
      </w:r>
      <w:r>
        <w:rPr>
          <w:spacing w:val="-9"/>
        </w:rPr>
        <w:t xml:space="preserve"> </w:t>
      </w:r>
      <w:r>
        <w:t>artırmak</w:t>
      </w:r>
      <w:r>
        <w:rPr>
          <w:spacing w:val="-9"/>
        </w:rPr>
        <w:t xml:space="preserve"> </w:t>
      </w:r>
      <w:r>
        <w:t>adına,</w:t>
      </w:r>
      <w:r>
        <w:rPr>
          <w:spacing w:val="-10"/>
        </w:rPr>
        <w:t xml:space="preserve"> </w:t>
      </w:r>
      <w:r>
        <w:t>serbest</w:t>
      </w:r>
      <w:r>
        <w:rPr>
          <w:spacing w:val="-8"/>
        </w:rPr>
        <w:t xml:space="preserve"> </w:t>
      </w:r>
      <w:r>
        <w:t>zamanların</w:t>
      </w:r>
      <w:r>
        <w:rPr>
          <w:spacing w:val="-10"/>
        </w:rPr>
        <w:t xml:space="preserve"> </w:t>
      </w:r>
      <w:r>
        <w:t>etkin</w:t>
      </w:r>
      <w:r>
        <w:rPr>
          <w:spacing w:val="-10"/>
        </w:rPr>
        <w:t xml:space="preserve"> </w:t>
      </w:r>
      <w:r>
        <w:t>bir</w:t>
      </w:r>
      <w:r>
        <w:rPr>
          <w:spacing w:val="-10"/>
        </w:rPr>
        <w:t xml:space="preserve"> </w:t>
      </w:r>
      <w:r>
        <w:t>şekilde</w:t>
      </w:r>
      <w:r>
        <w:rPr>
          <w:spacing w:val="-11"/>
        </w:rPr>
        <w:t xml:space="preserve"> </w:t>
      </w:r>
      <w:r>
        <w:t>değerlendirilmesi</w:t>
      </w:r>
      <w:r>
        <w:rPr>
          <w:spacing w:val="-9"/>
        </w:rPr>
        <w:t xml:space="preserve"> </w:t>
      </w:r>
      <w:r>
        <w:t>ve</w:t>
      </w:r>
      <w:r>
        <w:rPr>
          <w:spacing w:val="-11"/>
        </w:rPr>
        <w:t xml:space="preserve"> </w:t>
      </w:r>
      <w:r>
        <w:t>bu zamanlara erişim imkânlarının genişletilmesi önem taşır. Bu yaklaşım, toplumsal refah seviyesini yükseltir ve bireylerin daha mutlu, sağlıklı ve tatmin edici bir yaşam sürdürmelerine olanak sağlar (Ekici vd.,2022:36).</w:t>
      </w:r>
    </w:p>
    <w:p w14:paraId="1396307A">
      <w:pPr>
        <w:widowControl/>
        <w:autoSpaceDE/>
        <w:autoSpaceDN/>
        <w:rPr>
          <w:sz w:val="17"/>
          <w:szCs w:val="24"/>
        </w:rPr>
      </w:pPr>
      <w:r>
        <w:rPr>
          <w:sz w:val="17"/>
        </w:rPr>
        <w:br w:type="page"/>
      </w:r>
    </w:p>
    <w:p w14:paraId="1B4EEAE9">
      <w:pPr>
        <w:pStyle w:val="2"/>
        <w:tabs>
          <w:tab w:val="left" w:pos="400"/>
        </w:tabs>
        <w:spacing w:before="240" w:after="240" w:line="360" w:lineRule="auto"/>
        <w:ind w:left="567"/>
      </w:pPr>
      <w:bookmarkStart w:id="146" w:name="_Toc197351260"/>
      <w:r>
        <w:rPr>
          <w:spacing w:val="-2"/>
        </w:rPr>
        <w:t xml:space="preserve">3. </w:t>
      </w:r>
      <w:bookmarkStart w:id="147" w:name="_Toc195875822"/>
      <w:bookmarkStart w:id="148" w:name="_Toc195877807"/>
      <w:r>
        <w:rPr>
          <w:spacing w:val="-2"/>
        </w:rPr>
        <w:t>YÖNTEM</w:t>
      </w:r>
      <w:bookmarkEnd w:id="146"/>
      <w:bookmarkEnd w:id="147"/>
      <w:bookmarkEnd w:id="148"/>
    </w:p>
    <w:p w14:paraId="68C50AB7">
      <w:pPr>
        <w:pStyle w:val="3"/>
        <w:tabs>
          <w:tab w:val="left" w:pos="580"/>
        </w:tabs>
        <w:spacing w:before="240" w:after="240" w:line="360" w:lineRule="auto"/>
        <w:ind w:left="567"/>
        <w:jc w:val="left"/>
      </w:pPr>
      <w:bookmarkStart w:id="149" w:name="_Toc197351261"/>
      <w:bookmarkStart w:id="150" w:name="_Toc195877808"/>
      <w:bookmarkStart w:id="151" w:name="_Toc195875823"/>
      <w:r>
        <w:t>3.1. Araştırmanın</w:t>
      </w:r>
      <w:r>
        <w:rPr>
          <w:spacing w:val="-6"/>
        </w:rPr>
        <w:t xml:space="preserve"> </w:t>
      </w:r>
      <w:r>
        <w:rPr>
          <w:spacing w:val="-2"/>
        </w:rPr>
        <w:t>Modeli</w:t>
      </w:r>
      <w:bookmarkEnd w:id="149"/>
      <w:bookmarkEnd w:id="150"/>
      <w:bookmarkEnd w:id="151"/>
    </w:p>
    <w:p w14:paraId="243D28DA">
      <w:pPr>
        <w:pStyle w:val="9"/>
        <w:spacing w:before="120" w:after="120" w:line="360" w:lineRule="auto"/>
        <w:ind w:left="0"/>
      </w:pPr>
      <w:r>
        <w:t>Bu çalışma, nicel araştırma yöntemlerinden biri olan tarama modeli kullanılarak gerçekleştirilmiştir. Tarama araştırması, belirli bir konu veya olay kapsamında bireylerin görüşlerini, ilgi alanlarını, beceri ve yeteneklerini ya da tutumlarını değerlendirmeyi hedefleyen araştırmalardır (Büyüköztürk, 2024). Bu bağlamda çalışma, sınıf öğretmenlerinin sanal rekreasyon faaliyetlerine katılımının onların yaşam kaliteleri üzerindeki</w:t>
      </w:r>
      <w:r>
        <w:rPr>
          <w:spacing w:val="-15"/>
        </w:rPr>
        <w:t xml:space="preserve"> </w:t>
      </w:r>
      <w:r>
        <w:t>etkilerini</w:t>
      </w:r>
      <w:r>
        <w:rPr>
          <w:spacing w:val="-15"/>
        </w:rPr>
        <w:t xml:space="preserve"> </w:t>
      </w:r>
      <w:r>
        <w:t>incelemek</w:t>
      </w:r>
      <w:r>
        <w:rPr>
          <w:spacing w:val="-15"/>
        </w:rPr>
        <w:t xml:space="preserve"> </w:t>
      </w:r>
      <w:r>
        <w:t>üzere</w:t>
      </w:r>
      <w:r>
        <w:rPr>
          <w:spacing w:val="-15"/>
        </w:rPr>
        <w:t xml:space="preserve"> </w:t>
      </w:r>
      <w:r>
        <w:t>tasarlanmıştır.</w:t>
      </w:r>
      <w:r>
        <w:rPr>
          <w:spacing w:val="-15"/>
        </w:rPr>
        <w:t xml:space="preserve"> </w:t>
      </w:r>
      <w:r>
        <w:t>Çalışma,</w:t>
      </w:r>
      <w:r>
        <w:rPr>
          <w:spacing w:val="-15"/>
        </w:rPr>
        <w:t xml:space="preserve"> </w:t>
      </w:r>
      <w:r>
        <w:t>öğretmenlerin,</w:t>
      </w:r>
      <w:r>
        <w:rPr>
          <w:spacing w:val="-15"/>
        </w:rPr>
        <w:t xml:space="preserve"> </w:t>
      </w:r>
      <w:r>
        <w:t>bu</w:t>
      </w:r>
      <w:r>
        <w:rPr>
          <w:spacing w:val="-15"/>
        </w:rPr>
        <w:t xml:space="preserve"> </w:t>
      </w:r>
      <w:r>
        <w:t>faaliyetlerin stres azaltma, sosyal etkileşim ve genel yaşam memnuniyeti gibi boyutlarda nasıl etkiler yarattığını detaylı bir şekilde analiz etmiştir. Çalışmada ayrıca öğretmenlerin sanal rekreasyon</w:t>
      </w:r>
      <w:r>
        <w:rPr>
          <w:spacing w:val="-7"/>
        </w:rPr>
        <w:t xml:space="preserve"> </w:t>
      </w:r>
      <w:r>
        <w:t>deneyimlerinin</w:t>
      </w:r>
      <w:r>
        <w:rPr>
          <w:spacing w:val="-7"/>
        </w:rPr>
        <w:t xml:space="preserve"> </w:t>
      </w:r>
      <w:r>
        <w:t>cinsiyet,</w:t>
      </w:r>
      <w:r>
        <w:rPr>
          <w:spacing w:val="-2"/>
        </w:rPr>
        <w:t xml:space="preserve"> </w:t>
      </w:r>
      <w:r>
        <w:t>yaş</w:t>
      </w:r>
      <w:r>
        <w:rPr>
          <w:spacing w:val="-7"/>
        </w:rPr>
        <w:t xml:space="preserve"> </w:t>
      </w:r>
      <w:r>
        <w:t>ve</w:t>
      </w:r>
      <w:r>
        <w:rPr>
          <w:spacing w:val="-8"/>
        </w:rPr>
        <w:t xml:space="preserve"> </w:t>
      </w:r>
      <w:r>
        <w:t>kıdem</w:t>
      </w:r>
      <w:r>
        <w:rPr>
          <w:spacing w:val="-4"/>
        </w:rPr>
        <w:t xml:space="preserve"> </w:t>
      </w:r>
      <w:r>
        <w:t>gibi</w:t>
      </w:r>
      <w:r>
        <w:rPr>
          <w:spacing w:val="-6"/>
        </w:rPr>
        <w:t xml:space="preserve"> </w:t>
      </w:r>
      <w:r>
        <w:t>çeşitli</w:t>
      </w:r>
      <w:r>
        <w:rPr>
          <w:spacing w:val="-6"/>
        </w:rPr>
        <w:t xml:space="preserve"> </w:t>
      </w:r>
      <w:r>
        <w:t>demografik</w:t>
      </w:r>
      <w:r>
        <w:rPr>
          <w:spacing w:val="-7"/>
        </w:rPr>
        <w:t xml:space="preserve"> </w:t>
      </w:r>
      <w:r>
        <w:t>değişkenlerle</w:t>
      </w:r>
      <w:r>
        <w:rPr>
          <w:spacing w:val="-8"/>
        </w:rPr>
        <w:t xml:space="preserve"> </w:t>
      </w:r>
      <w:r>
        <w:t>olan ilişkileri de incelenmektedir.</w:t>
      </w:r>
    </w:p>
    <w:p w14:paraId="687EB3CD">
      <w:pPr>
        <w:pStyle w:val="3"/>
        <w:tabs>
          <w:tab w:val="left" w:pos="580"/>
        </w:tabs>
        <w:spacing w:before="240" w:after="240" w:line="360" w:lineRule="auto"/>
        <w:ind w:left="567"/>
      </w:pPr>
      <w:bookmarkStart w:id="152" w:name="_Toc197351262"/>
      <w:bookmarkStart w:id="153" w:name="_Toc195877809"/>
      <w:bookmarkStart w:id="154" w:name="_Toc195875824"/>
      <w:r>
        <w:t>3.2. Evren</w:t>
      </w:r>
      <w:r>
        <w:rPr>
          <w:spacing w:val="-1"/>
        </w:rPr>
        <w:t xml:space="preserve"> </w:t>
      </w:r>
      <w:r>
        <w:t>ve</w:t>
      </w:r>
      <w:r>
        <w:rPr>
          <w:spacing w:val="-2"/>
        </w:rPr>
        <w:t xml:space="preserve"> Örneklem</w:t>
      </w:r>
      <w:bookmarkEnd w:id="152"/>
      <w:bookmarkEnd w:id="153"/>
      <w:bookmarkEnd w:id="154"/>
    </w:p>
    <w:p w14:paraId="3AB7BB1A">
      <w:pPr>
        <w:pStyle w:val="9"/>
        <w:spacing w:before="120" w:after="120" w:line="360" w:lineRule="auto"/>
        <w:ind w:left="0"/>
      </w:pPr>
      <w:r>
        <w:t>Araştırmanın örneklemi, amaçlı örneklem türlerinden ölçüt örnekleme yöntemi ile belirlenmiştir. Bu yöntemin temel ölçütü, Millî Eğitim Bakanlığı’na bağlı devlet ilkokullarında görev yapan ve sanal rekreasyon faaliyetlerini deneyimlemiş sınıf öğretmenleridir. Ölçüt örnekleme yöntemi, belirli kriterlere sahip bireylerin araştırmaya dahil edilmesini sağlamak amacıyla kullanılmıştır (Büyüköztürk, 2024). Araştırma kapsamında,</w:t>
      </w:r>
      <w:r>
        <w:rPr>
          <w:spacing w:val="-3"/>
        </w:rPr>
        <w:t xml:space="preserve"> </w:t>
      </w:r>
      <w:r>
        <w:t>okul</w:t>
      </w:r>
      <w:r>
        <w:rPr>
          <w:spacing w:val="-1"/>
        </w:rPr>
        <w:t xml:space="preserve"> </w:t>
      </w:r>
      <w:r>
        <w:t>yönetimleri</w:t>
      </w:r>
      <w:r>
        <w:rPr>
          <w:spacing w:val="-4"/>
        </w:rPr>
        <w:t xml:space="preserve"> </w:t>
      </w:r>
      <w:r>
        <w:t>ile</w:t>
      </w:r>
      <w:r>
        <w:rPr>
          <w:spacing w:val="-2"/>
        </w:rPr>
        <w:t xml:space="preserve"> </w:t>
      </w:r>
      <w:r>
        <w:t>yapılan</w:t>
      </w:r>
      <w:r>
        <w:rPr>
          <w:spacing w:val="-2"/>
        </w:rPr>
        <w:t xml:space="preserve"> </w:t>
      </w:r>
      <w:r>
        <w:t>görüşmeler</w:t>
      </w:r>
      <w:r>
        <w:rPr>
          <w:spacing w:val="-5"/>
        </w:rPr>
        <w:t xml:space="preserve"> </w:t>
      </w:r>
      <w:r>
        <w:t>sonucunda</w:t>
      </w:r>
      <w:r>
        <w:rPr>
          <w:spacing w:val="-4"/>
        </w:rPr>
        <w:t xml:space="preserve"> </w:t>
      </w:r>
      <w:r>
        <w:t>sanal</w:t>
      </w:r>
      <w:r>
        <w:rPr>
          <w:spacing w:val="-3"/>
        </w:rPr>
        <w:t xml:space="preserve"> </w:t>
      </w:r>
      <w:r>
        <w:t>rekreasyon</w:t>
      </w:r>
      <w:r>
        <w:rPr>
          <w:spacing w:val="-3"/>
        </w:rPr>
        <w:t xml:space="preserve"> </w:t>
      </w:r>
      <w:r>
        <w:t>deneyimi yaşayan öğretmenler tespit edilerek örnekleme dahil edilmiştir. Bu yöntem, çalışmanın amacına uygun</w:t>
      </w:r>
      <w:r>
        <w:rPr>
          <w:spacing w:val="-1"/>
        </w:rPr>
        <w:t xml:space="preserve"> </w:t>
      </w:r>
      <w:r>
        <w:t>katılımcıların</w:t>
      </w:r>
      <w:r>
        <w:rPr>
          <w:spacing w:val="-1"/>
        </w:rPr>
        <w:t xml:space="preserve"> </w:t>
      </w:r>
      <w:r>
        <w:t>seçilmesine</w:t>
      </w:r>
      <w:r>
        <w:rPr>
          <w:spacing w:val="-2"/>
        </w:rPr>
        <w:t xml:space="preserve"> </w:t>
      </w:r>
      <w:r>
        <w:t>olanak tanımış</w:t>
      </w:r>
      <w:r>
        <w:rPr>
          <w:spacing w:val="-1"/>
        </w:rPr>
        <w:t xml:space="preserve"> </w:t>
      </w:r>
      <w:r>
        <w:t>ve</w:t>
      </w:r>
      <w:r>
        <w:rPr>
          <w:spacing w:val="-2"/>
        </w:rPr>
        <w:t xml:space="preserve"> </w:t>
      </w:r>
      <w:r>
        <w:t>araştırmanın</w:t>
      </w:r>
      <w:r>
        <w:rPr>
          <w:spacing w:val="-1"/>
        </w:rPr>
        <w:t xml:space="preserve"> </w:t>
      </w:r>
      <w:r>
        <w:t>bulgularının</w:t>
      </w:r>
      <w:r>
        <w:rPr>
          <w:spacing w:val="-1"/>
        </w:rPr>
        <w:t xml:space="preserve"> </w:t>
      </w:r>
      <w:r>
        <w:t>ilgili grup üzerinde daha anlamlı olmasını sağlamıştır.</w:t>
      </w:r>
    </w:p>
    <w:p w14:paraId="547972D7">
      <w:pPr>
        <w:pStyle w:val="9"/>
        <w:spacing w:before="120" w:after="120" w:line="360" w:lineRule="auto"/>
        <w:ind w:left="0"/>
      </w:pPr>
      <w:r>
        <w:t>Bu araştırma, Ankara ilinin Mamak ilçesindeki devlet ilkokullarında görev yapan sınıf öğretmenlerine odaklanmıştır. Araştırmanın evrenini 1896 sınıf öğretmeni oluşturmaktadır(ankara.meb.gov.tr)</w:t>
      </w:r>
      <w:r>
        <w:rPr>
          <w:rFonts w:hint="default"/>
          <w:lang w:val="tr-TR"/>
        </w:rPr>
        <w:t>.</w:t>
      </w:r>
      <w:r>
        <w:t xml:space="preserve"> Araştırma kapsamında, sanal rekreasyon faaliyetlerine katılmış toplam 641 öğretmen örneklem olarak alınmıştır. Katılımcıların demografik bilgileri cinsiyet, yaş, eğitim düzeyi, medeni durum, kıdem yılı ve gelir düzeyi gibi çeşitli değişkenler üzerinden incelenmiştir. Öğretmenlerin %56,6'sı kadın, %43,4'ü erkek olarak belirlenmiştir.</w:t>
      </w:r>
      <w:r>
        <w:rPr>
          <w:spacing w:val="19"/>
        </w:rPr>
        <w:t xml:space="preserve"> </w:t>
      </w:r>
      <w:r>
        <w:t>Yaş</w:t>
      </w:r>
      <w:r>
        <w:rPr>
          <w:spacing w:val="21"/>
        </w:rPr>
        <w:t xml:space="preserve"> </w:t>
      </w:r>
      <w:r>
        <w:t>gruplarına</w:t>
      </w:r>
      <w:r>
        <w:rPr>
          <w:spacing w:val="23"/>
        </w:rPr>
        <w:t xml:space="preserve"> </w:t>
      </w:r>
      <w:r>
        <w:t>göre</w:t>
      </w:r>
      <w:r>
        <w:rPr>
          <w:spacing w:val="20"/>
        </w:rPr>
        <w:t xml:space="preserve"> </w:t>
      </w:r>
      <w:r>
        <w:t>dağılım</w:t>
      </w:r>
      <w:r>
        <w:rPr>
          <w:spacing w:val="22"/>
        </w:rPr>
        <w:t xml:space="preserve"> </w:t>
      </w:r>
      <w:r>
        <w:t>incelendiğinde,</w:t>
      </w:r>
      <w:r>
        <w:rPr>
          <w:spacing w:val="23"/>
        </w:rPr>
        <w:t xml:space="preserve"> </w:t>
      </w:r>
      <w:r>
        <w:t>%17,9'u</w:t>
      </w:r>
      <w:r>
        <w:rPr>
          <w:spacing w:val="21"/>
        </w:rPr>
        <w:t xml:space="preserve"> </w:t>
      </w:r>
      <w:r>
        <w:t>20-30</w:t>
      </w:r>
      <w:r>
        <w:rPr>
          <w:spacing w:val="24"/>
        </w:rPr>
        <w:t xml:space="preserve"> </w:t>
      </w:r>
      <w:r>
        <w:t>yaş</w:t>
      </w:r>
      <w:r>
        <w:rPr>
          <w:spacing w:val="26"/>
        </w:rPr>
        <w:t xml:space="preserve"> </w:t>
      </w:r>
      <w:r>
        <w:rPr>
          <w:spacing w:val="-2"/>
        </w:rPr>
        <w:t>aralığında,</w:t>
      </w:r>
    </w:p>
    <w:p w14:paraId="48B9E1DC">
      <w:pPr>
        <w:pStyle w:val="9"/>
        <w:spacing w:before="120" w:after="120" w:line="360" w:lineRule="auto"/>
        <w:ind w:left="0"/>
      </w:pPr>
      <w:r>
        <w:t xml:space="preserve">%29,6'sı 30-40 yaş aralığında, %30,3'ü 40-50 yaş aralığında ve %22,2'si 50 yaş ve </w:t>
      </w:r>
      <w:r>
        <w:rPr>
          <w:spacing w:val="-2"/>
        </w:rPr>
        <w:t>üzerindedir.</w:t>
      </w:r>
    </w:p>
    <w:p w14:paraId="7500EFBB">
      <w:pPr>
        <w:pStyle w:val="9"/>
        <w:spacing w:before="120" w:after="120" w:line="360" w:lineRule="auto"/>
        <w:ind w:left="0"/>
      </w:pPr>
      <w:r>
        <w:t>Eğitim</w:t>
      </w:r>
      <w:r>
        <w:rPr>
          <w:spacing w:val="-15"/>
        </w:rPr>
        <w:t xml:space="preserve"> </w:t>
      </w:r>
      <w:r>
        <w:t>düzeylerine</w:t>
      </w:r>
      <w:r>
        <w:rPr>
          <w:spacing w:val="-15"/>
        </w:rPr>
        <w:t xml:space="preserve"> </w:t>
      </w:r>
      <w:r>
        <w:t>bakıldığında,</w:t>
      </w:r>
      <w:r>
        <w:rPr>
          <w:spacing w:val="-15"/>
        </w:rPr>
        <w:t xml:space="preserve"> </w:t>
      </w:r>
      <w:r>
        <w:t>katılımcı</w:t>
      </w:r>
      <w:r>
        <w:rPr>
          <w:spacing w:val="-15"/>
        </w:rPr>
        <w:t xml:space="preserve"> </w:t>
      </w:r>
      <w:r>
        <w:t>öğretmenlerin</w:t>
      </w:r>
      <w:r>
        <w:rPr>
          <w:spacing w:val="-15"/>
        </w:rPr>
        <w:t xml:space="preserve"> </w:t>
      </w:r>
      <w:r>
        <w:t>%18,7'si</w:t>
      </w:r>
      <w:r>
        <w:rPr>
          <w:spacing w:val="-15"/>
        </w:rPr>
        <w:t xml:space="preserve"> </w:t>
      </w:r>
      <w:r>
        <w:t>önlisans,</w:t>
      </w:r>
      <w:r>
        <w:rPr>
          <w:spacing w:val="-15"/>
        </w:rPr>
        <w:t xml:space="preserve"> </w:t>
      </w:r>
      <w:r>
        <w:t>%41,2'si lisans, %23,6'sı yüksek lisans ve %16,5'i doktora mezunudur. Medeni durum verileri, katılımcıların %58'inin evli, %42'sinin bekar olduğunu göstermektedir. Kıdem yılına göre dağılımda, %22,9'unun 0-10 yıl, %34,3'ünün 10-20 yıl, %25,7'sinin 20-30 yıl, %17,1'inin ise</w:t>
      </w:r>
      <w:r>
        <w:rPr>
          <w:spacing w:val="-6"/>
        </w:rPr>
        <w:t xml:space="preserve"> </w:t>
      </w:r>
      <w:r>
        <w:t>30</w:t>
      </w:r>
      <w:r>
        <w:rPr>
          <w:spacing w:val="-1"/>
        </w:rPr>
        <w:t xml:space="preserve"> </w:t>
      </w:r>
      <w:r>
        <w:t>yıl</w:t>
      </w:r>
      <w:r>
        <w:rPr>
          <w:spacing w:val="-5"/>
        </w:rPr>
        <w:t xml:space="preserve"> </w:t>
      </w:r>
      <w:r>
        <w:t>ve</w:t>
      </w:r>
      <w:r>
        <w:rPr>
          <w:spacing w:val="-5"/>
        </w:rPr>
        <w:t xml:space="preserve"> </w:t>
      </w:r>
      <w:r>
        <w:t>üzeri</w:t>
      </w:r>
      <w:r>
        <w:rPr>
          <w:spacing w:val="-6"/>
        </w:rPr>
        <w:t xml:space="preserve"> </w:t>
      </w:r>
      <w:r>
        <w:t>kıdeme</w:t>
      </w:r>
      <w:r>
        <w:rPr>
          <w:spacing w:val="-6"/>
        </w:rPr>
        <w:t xml:space="preserve"> </w:t>
      </w:r>
      <w:r>
        <w:t>sahip</w:t>
      </w:r>
      <w:r>
        <w:rPr>
          <w:spacing w:val="-5"/>
        </w:rPr>
        <w:t xml:space="preserve"> </w:t>
      </w:r>
      <w:r>
        <w:t>olduğu</w:t>
      </w:r>
      <w:r>
        <w:rPr>
          <w:spacing w:val="-4"/>
        </w:rPr>
        <w:t xml:space="preserve"> </w:t>
      </w:r>
      <w:r>
        <w:t>ortaya</w:t>
      </w:r>
      <w:r>
        <w:rPr>
          <w:spacing w:val="-5"/>
        </w:rPr>
        <w:t xml:space="preserve"> </w:t>
      </w:r>
      <w:r>
        <w:t>koyulmuştur.</w:t>
      </w:r>
      <w:r>
        <w:rPr>
          <w:spacing w:val="-6"/>
        </w:rPr>
        <w:t xml:space="preserve"> </w:t>
      </w:r>
      <w:r>
        <w:t>Gelir</w:t>
      </w:r>
      <w:r>
        <w:rPr>
          <w:spacing w:val="-6"/>
        </w:rPr>
        <w:t xml:space="preserve"> </w:t>
      </w:r>
      <w:r>
        <w:t>düzeyleri</w:t>
      </w:r>
      <w:r>
        <w:rPr>
          <w:spacing w:val="-6"/>
        </w:rPr>
        <w:t xml:space="preserve"> </w:t>
      </w:r>
      <w:r>
        <w:t>incelendiğinde, öğretmenlerin</w:t>
      </w:r>
      <w:r>
        <w:rPr>
          <w:spacing w:val="63"/>
        </w:rPr>
        <w:t xml:space="preserve"> </w:t>
      </w:r>
      <w:r>
        <w:t>%36,3'ünün</w:t>
      </w:r>
      <w:r>
        <w:rPr>
          <w:spacing w:val="62"/>
        </w:rPr>
        <w:t xml:space="preserve"> </w:t>
      </w:r>
      <w:r>
        <w:t>30-45</w:t>
      </w:r>
      <w:r>
        <w:rPr>
          <w:spacing w:val="62"/>
        </w:rPr>
        <w:t xml:space="preserve"> </w:t>
      </w:r>
      <w:r>
        <w:t>bin</w:t>
      </w:r>
      <w:r>
        <w:rPr>
          <w:spacing w:val="63"/>
        </w:rPr>
        <w:t xml:space="preserve"> </w:t>
      </w:r>
      <w:r>
        <w:t>Türk</w:t>
      </w:r>
      <w:r>
        <w:rPr>
          <w:spacing w:val="64"/>
        </w:rPr>
        <w:t xml:space="preserve"> </w:t>
      </w:r>
      <w:r>
        <w:t>Lirası,</w:t>
      </w:r>
      <w:r>
        <w:rPr>
          <w:spacing w:val="63"/>
        </w:rPr>
        <w:t xml:space="preserve"> </w:t>
      </w:r>
      <w:r>
        <w:t>%26,4'ünün</w:t>
      </w:r>
      <w:r>
        <w:rPr>
          <w:spacing w:val="62"/>
        </w:rPr>
        <w:t xml:space="preserve"> </w:t>
      </w:r>
      <w:r>
        <w:t>45-60</w:t>
      </w:r>
      <w:r>
        <w:rPr>
          <w:spacing w:val="64"/>
        </w:rPr>
        <w:t xml:space="preserve"> </w:t>
      </w:r>
      <w:r>
        <w:t>bin</w:t>
      </w:r>
      <w:r>
        <w:rPr>
          <w:spacing w:val="63"/>
        </w:rPr>
        <w:t xml:space="preserve"> </w:t>
      </w:r>
      <w:r>
        <w:t>Türk</w:t>
      </w:r>
      <w:r>
        <w:rPr>
          <w:spacing w:val="65"/>
        </w:rPr>
        <w:t xml:space="preserve"> </w:t>
      </w:r>
      <w:r>
        <w:rPr>
          <w:spacing w:val="-2"/>
        </w:rPr>
        <w:t>Lirası,</w:t>
      </w:r>
    </w:p>
    <w:p w14:paraId="73828615">
      <w:pPr>
        <w:pStyle w:val="9"/>
        <w:spacing w:before="120" w:after="120" w:line="360" w:lineRule="auto"/>
        <w:ind w:left="0"/>
      </w:pPr>
      <w:r>
        <w:t>%19,2'sinin 60-75 bin Türk Lirası ve %18,1'inin 75 bin Türk Lirası ve üzeri aylık gelire sahip olduğu belirlenmiştir. Demografik Değişkenlere Göre Frekans ve Yüzdelik Dağılımlara ilişkin detaylı bilgi Tablo 1’de verilmiştir.</w:t>
      </w:r>
    </w:p>
    <w:p w14:paraId="3DB55E18">
      <w:pPr>
        <w:pStyle w:val="9"/>
        <w:spacing w:line="360" w:lineRule="auto"/>
        <w:ind w:left="0"/>
        <w:jc w:val="left"/>
        <w:rPr>
          <w:b/>
        </w:rPr>
      </w:pPr>
      <w:r>
        <w:rPr>
          <w:b/>
        </w:rPr>
        <w:t>Tablo</w:t>
      </w:r>
      <w:r>
        <w:rPr>
          <w:b/>
          <w:spacing w:val="-2"/>
        </w:rPr>
        <w:t xml:space="preserve"> 3.</w:t>
      </w:r>
      <w:r>
        <w:rPr>
          <w:b/>
        </w:rPr>
        <w:t>1.</w:t>
      </w:r>
      <w:r>
        <w:rPr>
          <w:b/>
          <w:spacing w:val="-1"/>
        </w:rPr>
        <w:t xml:space="preserve"> </w:t>
      </w:r>
      <w:r>
        <w:t>Demografik</w:t>
      </w:r>
      <w:r>
        <w:rPr>
          <w:spacing w:val="-1"/>
        </w:rPr>
        <w:t xml:space="preserve"> </w:t>
      </w:r>
      <w:r>
        <w:t>Değişkenlere</w:t>
      </w:r>
      <w:r>
        <w:rPr>
          <w:spacing w:val="-3"/>
        </w:rPr>
        <w:t xml:space="preserve"> </w:t>
      </w:r>
      <w:r>
        <w:t>Göre</w:t>
      </w:r>
      <w:r>
        <w:rPr>
          <w:spacing w:val="-2"/>
        </w:rPr>
        <w:t xml:space="preserve"> </w:t>
      </w:r>
      <w:r>
        <w:t>Frekans</w:t>
      </w:r>
      <w:r>
        <w:rPr>
          <w:spacing w:val="1"/>
        </w:rPr>
        <w:t xml:space="preserve"> </w:t>
      </w:r>
      <w:r>
        <w:t>ve</w:t>
      </w:r>
      <w:r>
        <w:rPr>
          <w:spacing w:val="-2"/>
        </w:rPr>
        <w:t xml:space="preserve"> </w:t>
      </w:r>
      <w:r>
        <w:t>Yüzdelik</w:t>
      </w:r>
      <w:r>
        <w:rPr>
          <w:spacing w:val="-1"/>
        </w:rPr>
        <w:t xml:space="preserve"> </w:t>
      </w:r>
      <w:r>
        <w:rPr>
          <w:spacing w:val="-2"/>
        </w:rPr>
        <w:t>Dağılım</w:t>
      </w:r>
    </w:p>
    <w:p w14:paraId="2E59A627">
      <w:pPr>
        <w:pStyle w:val="9"/>
        <w:spacing w:before="4" w:after="1"/>
        <w:ind w:left="0"/>
        <w:jc w:val="left"/>
        <w:rPr>
          <w:sz w:val="12"/>
        </w:rPr>
      </w:pPr>
    </w:p>
    <w:tbl>
      <w:tblPr>
        <w:tblStyle w:val="7"/>
        <w:tblW w:w="0" w:type="auto"/>
        <w:tblInd w:w="167" w:type="dxa"/>
        <w:tblLayout w:type="fixed"/>
        <w:tblCellMar>
          <w:top w:w="0" w:type="dxa"/>
          <w:left w:w="0" w:type="dxa"/>
          <w:bottom w:w="0" w:type="dxa"/>
          <w:right w:w="0" w:type="dxa"/>
        </w:tblCellMar>
      </w:tblPr>
      <w:tblGrid>
        <w:gridCol w:w="2355"/>
        <w:gridCol w:w="2541"/>
        <w:gridCol w:w="1990"/>
        <w:gridCol w:w="1898"/>
      </w:tblGrid>
      <w:tr w14:paraId="2336DB0F">
        <w:tblPrEx>
          <w:tblCellMar>
            <w:top w:w="0" w:type="dxa"/>
            <w:left w:w="0" w:type="dxa"/>
            <w:bottom w:w="0" w:type="dxa"/>
            <w:right w:w="0" w:type="dxa"/>
          </w:tblCellMar>
        </w:tblPrEx>
        <w:trPr>
          <w:trHeight w:val="253" w:hRule="atLeast"/>
        </w:trPr>
        <w:tc>
          <w:tcPr>
            <w:tcW w:w="2355" w:type="dxa"/>
            <w:tcBorders>
              <w:top w:val="single" w:color="000000" w:sz="4" w:space="0"/>
              <w:bottom w:val="single" w:color="000000" w:sz="4" w:space="0"/>
            </w:tcBorders>
          </w:tcPr>
          <w:p w14:paraId="0A35A5F8">
            <w:pPr>
              <w:pStyle w:val="29"/>
              <w:spacing w:before="1" w:line="233" w:lineRule="exact"/>
              <w:ind w:left="108"/>
              <w:rPr>
                <w:b/>
              </w:rPr>
            </w:pPr>
            <w:r>
              <w:rPr>
                <w:b/>
                <w:spacing w:val="-2"/>
              </w:rPr>
              <w:t>Değişken</w:t>
            </w:r>
          </w:p>
        </w:tc>
        <w:tc>
          <w:tcPr>
            <w:tcW w:w="2541" w:type="dxa"/>
            <w:tcBorders>
              <w:top w:val="single" w:color="000000" w:sz="4" w:space="0"/>
              <w:bottom w:val="single" w:color="000000" w:sz="4" w:space="0"/>
            </w:tcBorders>
          </w:tcPr>
          <w:p w14:paraId="48E5B00E">
            <w:pPr>
              <w:pStyle w:val="29"/>
              <w:spacing w:before="1" w:line="233" w:lineRule="exact"/>
              <w:ind w:left="107"/>
              <w:rPr>
                <w:b/>
              </w:rPr>
            </w:pPr>
            <w:r>
              <w:rPr>
                <w:b/>
                <w:spacing w:val="-2"/>
              </w:rPr>
              <w:t>Kategoriler</w:t>
            </w:r>
          </w:p>
        </w:tc>
        <w:tc>
          <w:tcPr>
            <w:tcW w:w="1990" w:type="dxa"/>
            <w:tcBorders>
              <w:top w:val="single" w:color="000000" w:sz="4" w:space="0"/>
              <w:bottom w:val="single" w:color="000000" w:sz="4" w:space="0"/>
            </w:tcBorders>
          </w:tcPr>
          <w:p w14:paraId="4324F104">
            <w:pPr>
              <w:pStyle w:val="29"/>
              <w:spacing w:before="1" w:line="233" w:lineRule="exact"/>
              <w:ind w:left="531"/>
              <w:rPr>
                <w:b/>
              </w:rPr>
            </w:pPr>
            <w:r>
              <w:rPr>
                <w:b/>
              </w:rPr>
              <w:t>Frekans</w:t>
            </w:r>
            <w:r>
              <w:rPr>
                <w:b/>
                <w:spacing w:val="-3"/>
              </w:rPr>
              <w:t xml:space="preserve"> </w:t>
            </w:r>
            <w:r>
              <w:rPr>
                <w:b/>
                <w:spacing w:val="-5"/>
              </w:rPr>
              <w:t>(n)</w:t>
            </w:r>
          </w:p>
        </w:tc>
        <w:tc>
          <w:tcPr>
            <w:tcW w:w="1898" w:type="dxa"/>
            <w:tcBorders>
              <w:top w:val="single" w:color="000000" w:sz="4" w:space="0"/>
              <w:bottom w:val="single" w:color="000000" w:sz="4" w:space="0"/>
            </w:tcBorders>
          </w:tcPr>
          <w:p w14:paraId="74DDF9A5">
            <w:pPr>
              <w:pStyle w:val="29"/>
              <w:spacing w:before="1" w:line="233" w:lineRule="exact"/>
              <w:ind w:left="361"/>
              <w:rPr>
                <w:b/>
              </w:rPr>
            </w:pPr>
            <w:r>
              <w:rPr>
                <w:b/>
              </w:rPr>
              <w:t>Yüzde</w:t>
            </w:r>
            <w:r>
              <w:rPr>
                <w:b/>
                <w:spacing w:val="-2"/>
              </w:rPr>
              <w:t xml:space="preserve"> </w:t>
            </w:r>
            <w:r>
              <w:rPr>
                <w:b/>
                <w:spacing w:val="-5"/>
              </w:rPr>
              <w:t>(%)</w:t>
            </w:r>
          </w:p>
        </w:tc>
      </w:tr>
      <w:tr w14:paraId="4603E8D5">
        <w:tblPrEx>
          <w:tblCellMar>
            <w:top w:w="0" w:type="dxa"/>
            <w:left w:w="0" w:type="dxa"/>
            <w:bottom w:w="0" w:type="dxa"/>
            <w:right w:w="0" w:type="dxa"/>
          </w:tblCellMar>
        </w:tblPrEx>
        <w:trPr>
          <w:trHeight w:val="254" w:hRule="atLeast"/>
        </w:trPr>
        <w:tc>
          <w:tcPr>
            <w:tcW w:w="2355" w:type="dxa"/>
            <w:tcBorders>
              <w:top w:val="single" w:color="000000" w:sz="4" w:space="0"/>
            </w:tcBorders>
          </w:tcPr>
          <w:p w14:paraId="6DA144D7">
            <w:pPr>
              <w:pStyle w:val="29"/>
              <w:spacing w:line="234" w:lineRule="exact"/>
              <w:ind w:left="108"/>
              <w:rPr>
                <w:b/>
              </w:rPr>
            </w:pPr>
            <w:r>
              <w:rPr>
                <w:b/>
                <w:spacing w:val="-2"/>
              </w:rPr>
              <w:t>Cinsiyet</w:t>
            </w:r>
          </w:p>
        </w:tc>
        <w:tc>
          <w:tcPr>
            <w:tcW w:w="2541" w:type="dxa"/>
            <w:tcBorders>
              <w:top w:val="single" w:color="000000" w:sz="4" w:space="0"/>
              <w:bottom w:val="single" w:color="000000" w:sz="4" w:space="0"/>
            </w:tcBorders>
          </w:tcPr>
          <w:p w14:paraId="3AF11C7A">
            <w:pPr>
              <w:pStyle w:val="29"/>
              <w:spacing w:line="234" w:lineRule="exact"/>
              <w:ind w:left="107"/>
            </w:pPr>
            <w:r>
              <w:rPr>
                <w:spacing w:val="-4"/>
              </w:rPr>
              <w:t>Kadın</w:t>
            </w:r>
          </w:p>
        </w:tc>
        <w:tc>
          <w:tcPr>
            <w:tcW w:w="1990" w:type="dxa"/>
            <w:tcBorders>
              <w:top w:val="single" w:color="000000" w:sz="4" w:space="0"/>
              <w:bottom w:val="single" w:color="000000" w:sz="4" w:space="0"/>
            </w:tcBorders>
          </w:tcPr>
          <w:p w14:paraId="3B78599E">
            <w:pPr>
              <w:pStyle w:val="29"/>
              <w:spacing w:line="234" w:lineRule="exact"/>
              <w:ind w:left="531"/>
            </w:pPr>
            <w:r>
              <w:rPr>
                <w:spacing w:val="-5"/>
              </w:rPr>
              <w:t>364</w:t>
            </w:r>
          </w:p>
        </w:tc>
        <w:tc>
          <w:tcPr>
            <w:tcW w:w="1898" w:type="dxa"/>
            <w:tcBorders>
              <w:top w:val="single" w:color="000000" w:sz="4" w:space="0"/>
              <w:bottom w:val="single" w:color="000000" w:sz="4" w:space="0"/>
            </w:tcBorders>
          </w:tcPr>
          <w:p w14:paraId="531E45E6">
            <w:pPr>
              <w:pStyle w:val="29"/>
              <w:spacing w:line="234" w:lineRule="exact"/>
              <w:ind w:left="361"/>
            </w:pPr>
            <w:r>
              <w:rPr>
                <w:spacing w:val="-4"/>
              </w:rPr>
              <w:t>56.6</w:t>
            </w:r>
          </w:p>
        </w:tc>
      </w:tr>
      <w:tr w14:paraId="71DFDC67">
        <w:tblPrEx>
          <w:tblCellMar>
            <w:top w:w="0" w:type="dxa"/>
            <w:left w:w="0" w:type="dxa"/>
            <w:bottom w:w="0" w:type="dxa"/>
            <w:right w:w="0" w:type="dxa"/>
          </w:tblCellMar>
        </w:tblPrEx>
        <w:trPr>
          <w:trHeight w:val="251" w:hRule="atLeast"/>
        </w:trPr>
        <w:tc>
          <w:tcPr>
            <w:tcW w:w="2355" w:type="dxa"/>
            <w:tcBorders>
              <w:bottom w:val="single" w:color="000000" w:sz="4" w:space="0"/>
            </w:tcBorders>
          </w:tcPr>
          <w:p w14:paraId="1AB22002">
            <w:pPr>
              <w:pStyle w:val="29"/>
              <w:rPr>
                <w:sz w:val="18"/>
              </w:rPr>
            </w:pPr>
          </w:p>
        </w:tc>
        <w:tc>
          <w:tcPr>
            <w:tcW w:w="2541" w:type="dxa"/>
            <w:tcBorders>
              <w:top w:val="single" w:color="000000" w:sz="4" w:space="0"/>
              <w:bottom w:val="single" w:color="000000" w:sz="4" w:space="0"/>
            </w:tcBorders>
          </w:tcPr>
          <w:p w14:paraId="47D4A830">
            <w:pPr>
              <w:pStyle w:val="29"/>
              <w:spacing w:line="232" w:lineRule="exact"/>
              <w:ind w:left="107"/>
            </w:pPr>
            <w:r>
              <w:rPr>
                <w:spacing w:val="-2"/>
              </w:rPr>
              <w:t>Erkek</w:t>
            </w:r>
          </w:p>
        </w:tc>
        <w:tc>
          <w:tcPr>
            <w:tcW w:w="1990" w:type="dxa"/>
            <w:tcBorders>
              <w:top w:val="single" w:color="000000" w:sz="4" w:space="0"/>
              <w:bottom w:val="single" w:color="000000" w:sz="4" w:space="0"/>
            </w:tcBorders>
          </w:tcPr>
          <w:p w14:paraId="5BF76723">
            <w:pPr>
              <w:pStyle w:val="29"/>
              <w:spacing w:line="232" w:lineRule="exact"/>
              <w:ind w:left="531"/>
            </w:pPr>
            <w:r>
              <w:rPr>
                <w:spacing w:val="-5"/>
              </w:rPr>
              <w:t>277</w:t>
            </w:r>
          </w:p>
        </w:tc>
        <w:tc>
          <w:tcPr>
            <w:tcW w:w="1898" w:type="dxa"/>
            <w:tcBorders>
              <w:top w:val="single" w:color="000000" w:sz="4" w:space="0"/>
              <w:bottom w:val="single" w:color="000000" w:sz="4" w:space="0"/>
            </w:tcBorders>
          </w:tcPr>
          <w:p w14:paraId="724D0320">
            <w:pPr>
              <w:pStyle w:val="29"/>
              <w:spacing w:line="232" w:lineRule="exact"/>
              <w:ind w:left="361"/>
            </w:pPr>
            <w:r>
              <w:rPr>
                <w:spacing w:val="-4"/>
              </w:rPr>
              <w:t>43.4</w:t>
            </w:r>
          </w:p>
        </w:tc>
      </w:tr>
      <w:tr w14:paraId="0BC31E63">
        <w:tblPrEx>
          <w:tblCellMar>
            <w:top w:w="0" w:type="dxa"/>
            <w:left w:w="0" w:type="dxa"/>
            <w:bottom w:w="0" w:type="dxa"/>
            <w:right w:w="0" w:type="dxa"/>
          </w:tblCellMar>
        </w:tblPrEx>
        <w:trPr>
          <w:trHeight w:val="253" w:hRule="atLeast"/>
        </w:trPr>
        <w:tc>
          <w:tcPr>
            <w:tcW w:w="2355" w:type="dxa"/>
            <w:tcBorders>
              <w:top w:val="single" w:color="000000" w:sz="4" w:space="0"/>
            </w:tcBorders>
          </w:tcPr>
          <w:p w14:paraId="7152F6B2">
            <w:pPr>
              <w:pStyle w:val="29"/>
              <w:spacing w:line="234" w:lineRule="exact"/>
              <w:ind w:left="108"/>
              <w:rPr>
                <w:b/>
              </w:rPr>
            </w:pPr>
            <w:r>
              <w:rPr>
                <w:b/>
                <w:spacing w:val="-5"/>
              </w:rPr>
              <w:t>Yaş</w:t>
            </w:r>
          </w:p>
        </w:tc>
        <w:tc>
          <w:tcPr>
            <w:tcW w:w="2541" w:type="dxa"/>
            <w:tcBorders>
              <w:top w:val="single" w:color="000000" w:sz="4" w:space="0"/>
              <w:bottom w:val="single" w:color="000000" w:sz="4" w:space="0"/>
            </w:tcBorders>
          </w:tcPr>
          <w:p w14:paraId="568005B6">
            <w:pPr>
              <w:pStyle w:val="29"/>
              <w:spacing w:line="234" w:lineRule="exact"/>
              <w:ind w:left="107"/>
            </w:pPr>
            <w:r>
              <w:t>20-30</w:t>
            </w:r>
            <w:r>
              <w:rPr>
                <w:spacing w:val="-2"/>
              </w:rPr>
              <w:t xml:space="preserve"> </w:t>
            </w:r>
            <w:r>
              <w:rPr>
                <w:spacing w:val="-5"/>
              </w:rPr>
              <w:t>yıl</w:t>
            </w:r>
          </w:p>
        </w:tc>
        <w:tc>
          <w:tcPr>
            <w:tcW w:w="1990" w:type="dxa"/>
            <w:tcBorders>
              <w:top w:val="single" w:color="000000" w:sz="4" w:space="0"/>
              <w:bottom w:val="single" w:color="000000" w:sz="4" w:space="0"/>
            </w:tcBorders>
          </w:tcPr>
          <w:p w14:paraId="3C2CD742">
            <w:pPr>
              <w:pStyle w:val="29"/>
              <w:spacing w:line="234" w:lineRule="exact"/>
              <w:ind w:left="531"/>
            </w:pPr>
            <w:r>
              <w:rPr>
                <w:spacing w:val="-5"/>
              </w:rPr>
              <w:t>115</w:t>
            </w:r>
          </w:p>
        </w:tc>
        <w:tc>
          <w:tcPr>
            <w:tcW w:w="1898" w:type="dxa"/>
            <w:tcBorders>
              <w:top w:val="single" w:color="000000" w:sz="4" w:space="0"/>
              <w:bottom w:val="single" w:color="000000" w:sz="4" w:space="0"/>
            </w:tcBorders>
          </w:tcPr>
          <w:p w14:paraId="5921D04C">
            <w:pPr>
              <w:pStyle w:val="29"/>
              <w:spacing w:line="234" w:lineRule="exact"/>
              <w:ind w:left="361"/>
            </w:pPr>
            <w:r>
              <w:rPr>
                <w:spacing w:val="-4"/>
              </w:rPr>
              <w:t>17.9</w:t>
            </w:r>
          </w:p>
        </w:tc>
      </w:tr>
      <w:tr w14:paraId="31EBB812">
        <w:tblPrEx>
          <w:tblCellMar>
            <w:top w:w="0" w:type="dxa"/>
            <w:left w:w="0" w:type="dxa"/>
            <w:bottom w:w="0" w:type="dxa"/>
            <w:right w:w="0" w:type="dxa"/>
          </w:tblCellMar>
        </w:tblPrEx>
        <w:trPr>
          <w:trHeight w:val="251" w:hRule="atLeast"/>
        </w:trPr>
        <w:tc>
          <w:tcPr>
            <w:tcW w:w="2355" w:type="dxa"/>
          </w:tcPr>
          <w:p w14:paraId="61957480">
            <w:pPr>
              <w:pStyle w:val="29"/>
              <w:rPr>
                <w:sz w:val="18"/>
              </w:rPr>
            </w:pPr>
          </w:p>
        </w:tc>
        <w:tc>
          <w:tcPr>
            <w:tcW w:w="2541" w:type="dxa"/>
            <w:tcBorders>
              <w:top w:val="single" w:color="000000" w:sz="4" w:space="0"/>
              <w:bottom w:val="single" w:color="000000" w:sz="4" w:space="0"/>
            </w:tcBorders>
          </w:tcPr>
          <w:p w14:paraId="5A2246EB">
            <w:pPr>
              <w:pStyle w:val="29"/>
              <w:spacing w:line="232" w:lineRule="exact"/>
              <w:ind w:left="107"/>
            </w:pPr>
            <w:r>
              <w:t>30-40</w:t>
            </w:r>
            <w:r>
              <w:rPr>
                <w:spacing w:val="-2"/>
              </w:rPr>
              <w:t xml:space="preserve"> </w:t>
            </w:r>
            <w:r>
              <w:rPr>
                <w:spacing w:val="-5"/>
              </w:rPr>
              <w:t>yıl</w:t>
            </w:r>
          </w:p>
        </w:tc>
        <w:tc>
          <w:tcPr>
            <w:tcW w:w="1990" w:type="dxa"/>
            <w:tcBorders>
              <w:top w:val="single" w:color="000000" w:sz="4" w:space="0"/>
              <w:bottom w:val="single" w:color="000000" w:sz="4" w:space="0"/>
            </w:tcBorders>
          </w:tcPr>
          <w:p w14:paraId="2248F0DF">
            <w:pPr>
              <w:pStyle w:val="29"/>
              <w:spacing w:line="232" w:lineRule="exact"/>
              <w:ind w:left="531"/>
            </w:pPr>
            <w:r>
              <w:rPr>
                <w:spacing w:val="-5"/>
              </w:rPr>
              <w:t>190</w:t>
            </w:r>
          </w:p>
        </w:tc>
        <w:tc>
          <w:tcPr>
            <w:tcW w:w="1898" w:type="dxa"/>
            <w:tcBorders>
              <w:top w:val="single" w:color="000000" w:sz="4" w:space="0"/>
              <w:bottom w:val="single" w:color="000000" w:sz="4" w:space="0"/>
            </w:tcBorders>
          </w:tcPr>
          <w:p w14:paraId="6AC11955">
            <w:pPr>
              <w:pStyle w:val="29"/>
              <w:spacing w:line="232" w:lineRule="exact"/>
              <w:ind w:left="361"/>
            </w:pPr>
            <w:r>
              <w:rPr>
                <w:spacing w:val="-4"/>
              </w:rPr>
              <w:t>29.6</w:t>
            </w:r>
          </w:p>
        </w:tc>
      </w:tr>
      <w:tr w14:paraId="7FFA3FE6">
        <w:tblPrEx>
          <w:tblCellMar>
            <w:top w:w="0" w:type="dxa"/>
            <w:left w:w="0" w:type="dxa"/>
            <w:bottom w:w="0" w:type="dxa"/>
            <w:right w:w="0" w:type="dxa"/>
          </w:tblCellMar>
        </w:tblPrEx>
        <w:trPr>
          <w:trHeight w:val="254" w:hRule="atLeast"/>
        </w:trPr>
        <w:tc>
          <w:tcPr>
            <w:tcW w:w="2355" w:type="dxa"/>
          </w:tcPr>
          <w:p w14:paraId="45625D5E">
            <w:pPr>
              <w:pStyle w:val="29"/>
              <w:rPr>
                <w:sz w:val="18"/>
              </w:rPr>
            </w:pPr>
          </w:p>
        </w:tc>
        <w:tc>
          <w:tcPr>
            <w:tcW w:w="2541" w:type="dxa"/>
            <w:tcBorders>
              <w:top w:val="single" w:color="000000" w:sz="4" w:space="0"/>
              <w:bottom w:val="single" w:color="000000" w:sz="4" w:space="0"/>
            </w:tcBorders>
          </w:tcPr>
          <w:p w14:paraId="42A656E9">
            <w:pPr>
              <w:pStyle w:val="29"/>
              <w:spacing w:line="234" w:lineRule="exact"/>
              <w:ind w:left="107"/>
            </w:pPr>
            <w:r>
              <w:t>40-50</w:t>
            </w:r>
            <w:r>
              <w:rPr>
                <w:spacing w:val="-2"/>
              </w:rPr>
              <w:t xml:space="preserve"> </w:t>
            </w:r>
            <w:r>
              <w:rPr>
                <w:spacing w:val="-5"/>
              </w:rPr>
              <w:t>yıl</w:t>
            </w:r>
          </w:p>
        </w:tc>
        <w:tc>
          <w:tcPr>
            <w:tcW w:w="1990" w:type="dxa"/>
            <w:tcBorders>
              <w:top w:val="single" w:color="000000" w:sz="4" w:space="0"/>
              <w:bottom w:val="single" w:color="000000" w:sz="4" w:space="0"/>
            </w:tcBorders>
          </w:tcPr>
          <w:p w14:paraId="5F1B7648">
            <w:pPr>
              <w:pStyle w:val="29"/>
              <w:spacing w:line="234" w:lineRule="exact"/>
              <w:ind w:left="531"/>
            </w:pPr>
            <w:r>
              <w:rPr>
                <w:spacing w:val="-5"/>
              </w:rPr>
              <w:t>194</w:t>
            </w:r>
          </w:p>
        </w:tc>
        <w:tc>
          <w:tcPr>
            <w:tcW w:w="1898" w:type="dxa"/>
            <w:tcBorders>
              <w:top w:val="single" w:color="000000" w:sz="4" w:space="0"/>
              <w:bottom w:val="single" w:color="000000" w:sz="4" w:space="0"/>
            </w:tcBorders>
          </w:tcPr>
          <w:p w14:paraId="17D7A2EF">
            <w:pPr>
              <w:pStyle w:val="29"/>
              <w:spacing w:line="234" w:lineRule="exact"/>
              <w:ind w:left="361"/>
            </w:pPr>
            <w:r>
              <w:rPr>
                <w:spacing w:val="-4"/>
              </w:rPr>
              <w:t>30.3</w:t>
            </w:r>
          </w:p>
        </w:tc>
      </w:tr>
      <w:tr w14:paraId="6235777C">
        <w:tblPrEx>
          <w:tblCellMar>
            <w:top w:w="0" w:type="dxa"/>
            <w:left w:w="0" w:type="dxa"/>
            <w:bottom w:w="0" w:type="dxa"/>
            <w:right w:w="0" w:type="dxa"/>
          </w:tblCellMar>
        </w:tblPrEx>
        <w:trPr>
          <w:trHeight w:val="251" w:hRule="atLeast"/>
        </w:trPr>
        <w:tc>
          <w:tcPr>
            <w:tcW w:w="2355" w:type="dxa"/>
            <w:tcBorders>
              <w:bottom w:val="single" w:color="000000" w:sz="4" w:space="0"/>
            </w:tcBorders>
          </w:tcPr>
          <w:p w14:paraId="3E4FEBC5">
            <w:pPr>
              <w:pStyle w:val="29"/>
              <w:rPr>
                <w:sz w:val="18"/>
              </w:rPr>
            </w:pPr>
          </w:p>
        </w:tc>
        <w:tc>
          <w:tcPr>
            <w:tcW w:w="2541" w:type="dxa"/>
            <w:tcBorders>
              <w:top w:val="single" w:color="000000" w:sz="4" w:space="0"/>
              <w:bottom w:val="single" w:color="000000" w:sz="4" w:space="0"/>
            </w:tcBorders>
          </w:tcPr>
          <w:p w14:paraId="2D21AB7F">
            <w:pPr>
              <w:pStyle w:val="29"/>
              <w:spacing w:line="232" w:lineRule="exact"/>
              <w:ind w:left="107"/>
            </w:pPr>
            <w:r>
              <w:t xml:space="preserve">50+ </w:t>
            </w:r>
            <w:r>
              <w:rPr>
                <w:spacing w:val="-5"/>
              </w:rPr>
              <w:t>yıl</w:t>
            </w:r>
          </w:p>
        </w:tc>
        <w:tc>
          <w:tcPr>
            <w:tcW w:w="1990" w:type="dxa"/>
            <w:tcBorders>
              <w:top w:val="single" w:color="000000" w:sz="4" w:space="0"/>
              <w:bottom w:val="single" w:color="000000" w:sz="4" w:space="0"/>
            </w:tcBorders>
          </w:tcPr>
          <w:p w14:paraId="54AAAB34">
            <w:pPr>
              <w:pStyle w:val="29"/>
              <w:spacing w:line="232" w:lineRule="exact"/>
              <w:ind w:left="531"/>
            </w:pPr>
            <w:r>
              <w:rPr>
                <w:spacing w:val="-5"/>
              </w:rPr>
              <w:t>142</w:t>
            </w:r>
          </w:p>
        </w:tc>
        <w:tc>
          <w:tcPr>
            <w:tcW w:w="1898" w:type="dxa"/>
            <w:tcBorders>
              <w:top w:val="single" w:color="000000" w:sz="4" w:space="0"/>
              <w:bottom w:val="single" w:color="000000" w:sz="4" w:space="0"/>
            </w:tcBorders>
          </w:tcPr>
          <w:p w14:paraId="04A792E7">
            <w:pPr>
              <w:pStyle w:val="29"/>
              <w:spacing w:line="232" w:lineRule="exact"/>
              <w:ind w:left="361"/>
            </w:pPr>
            <w:r>
              <w:rPr>
                <w:spacing w:val="-4"/>
              </w:rPr>
              <w:t>22.2</w:t>
            </w:r>
          </w:p>
        </w:tc>
      </w:tr>
      <w:tr w14:paraId="22F94D10">
        <w:tblPrEx>
          <w:tblCellMar>
            <w:top w:w="0" w:type="dxa"/>
            <w:left w:w="0" w:type="dxa"/>
            <w:bottom w:w="0" w:type="dxa"/>
            <w:right w:w="0" w:type="dxa"/>
          </w:tblCellMar>
        </w:tblPrEx>
        <w:trPr>
          <w:trHeight w:val="253" w:hRule="atLeast"/>
        </w:trPr>
        <w:tc>
          <w:tcPr>
            <w:tcW w:w="2355" w:type="dxa"/>
            <w:tcBorders>
              <w:top w:val="single" w:color="000000" w:sz="4" w:space="0"/>
            </w:tcBorders>
          </w:tcPr>
          <w:p w14:paraId="2DFD447F">
            <w:pPr>
              <w:pStyle w:val="29"/>
              <w:spacing w:before="1" w:line="233" w:lineRule="exact"/>
              <w:ind w:left="108"/>
              <w:rPr>
                <w:b/>
              </w:rPr>
            </w:pPr>
            <w:r>
              <w:rPr>
                <w:b/>
              </w:rPr>
              <w:t>Eğitim</w:t>
            </w:r>
            <w:r>
              <w:rPr>
                <w:b/>
                <w:spacing w:val="-5"/>
              </w:rPr>
              <w:t xml:space="preserve"> </w:t>
            </w:r>
            <w:r>
              <w:rPr>
                <w:b/>
                <w:spacing w:val="-2"/>
              </w:rPr>
              <w:t>Düzeyi</w:t>
            </w:r>
          </w:p>
        </w:tc>
        <w:tc>
          <w:tcPr>
            <w:tcW w:w="2541" w:type="dxa"/>
            <w:tcBorders>
              <w:top w:val="single" w:color="000000" w:sz="4" w:space="0"/>
              <w:bottom w:val="single" w:color="000000" w:sz="4" w:space="0"/>
            </w:tcBorders>
          </w:tcPr>
          <w:p w14:paraId="11EE9FF2">
            <w:pPr>
              <w:pStyle w:val="29"/>
              <w:spacing w:line="234" w:lineRule="exact"/>
              <w:ind w:left="107"/>
            </w:pPr>
            <w:r>
              <w:rPr>
                <w:spacing w:val="-2"/>
              </w:rPr>
              <w:t>Önlisans</w:t>
            </w:r>
          </w:p>
        </w:tc>
        <w:tc>
          <w:tcPr>
            <w:tcW w:w="1990" w:type="dxa"/>
            <w:tcBorders>
              <w:top w:val="single" w:color="000000" w:sz="4" w:space="0"/>
              <w:bottom w:val="single" w:color="000000" w:sz="4" w:space="0"/>
            </w:tcBorders>
          </w:tcPr>
          <w:p w14:paraId="017AA2F4">
            <w:pPr>
              <w:pStyle w:val="29"/>
              <w:spacing w:line="234" w:lineRule="exact"/>
              <w:ind w:left="531"/>
            </w:pPr>
            <w:r>
              <w:rPr>
                <w:spacing w:val="-5"/>
              </w:rPr>
              <w:t>120</w:t>
            </w:r>
          </w:p>
        </w:tc>
        <w:tc>
          <w:tcPr>
            <w:tcW w:w="1898" w:type="dxa"/>
            <w:tcBorders>
              <w:top w:val="single" w:color="000000" w:sz="4" w:space="0"/>
              <w:bottom w:val="single" w:color="000000" w:sz="4" w:space="0"/>
            </w:tcBorders>
          </w:tcPr>
          <w:p w14:paraId="7A920E2B">
            <w:pPr>
              <w:pStyle w:val="29"/>
              <w:spacing w:line="234" w:lineRule="exact"/>
              <w:ind w:left="361"/>
            </w:pPr>
            <w:r>
              <w:rPr>
                <w:spacing w:val="-4"/>
              </w:rPr>
              <w:t>18.7</w:t>
            </w:r>
          </w:p>
        </w:tc>
      </w:tr>
      <w:tr w14:paraId="62A0C30B">
        <w:tblPrEx>
          <w:tblCellMar>
            <w:top w:w="0" w:type="dxa"/>
            <w:left w:w="0" w:type="dxa"/>
            <w:bottom w:w="0" w:type="dxa"/>
            <w:right w:w="0" w:type="dxa"/>
          </w:tblCellMar>
        </w:tblPrEx>
        <w:trPr>
          <w:trHeight w:val="253" w:hRule="atLeast"/>
        </w:trPr>
        <w:tc>
          <w:tcPr>
            <w:tcW w:w="2355" w:type="dxa"/>
          </w:tcPr>
          <w:p w14:paraId="6140F2B1">
            <w:pPr>
              <w:pStyle w:val="29"/>
              <w:rPr>
                <w:sz w:val="18"/>
              </w:rPr>
            </w:pPr>
          </w:p>
        </w:tc>
        <w:tc>
          <w:tcPr>
            <w:tcW w:w="2541" w:type="dxa"/>
            <w:tcBorders>
              <w:top w:val="single" w:color="000000" w:sz="4" w:space="0"/>
              <w:bottom w:val="single" w:color="000000" w:sz="4" w:space="0"/>
            </w:tcBorders>
          </w:tcPr>
          <w:p w14:paraId="0DCB5A63">
            <w:pPr>
              <w:pStyle w:val="29"/>
              <w:spacing w:line="234" w:lineRule="exact"/>
              <w:ind w:left="107"/>
            </w:pPr>
            <w:r>
              <w:rPr>
                <w:spacing w:val="-2"/>
              </w:rPr>
              <w:t>Lisans</w:t>
            </w:r>
          </w:p>
        </w:tc>
        <w:tc>
          <w:tcPr>
            <w:tcW w:w="1990" w:type="dxa"/>
            <w:tcBorders>
              <w:top w:val="single" w:color="000000" w:sz="4" w:space="0"/>
              <w:bottom w:val="single" w:color="000000" w:sz="4" w:space="0"/>
            </w:tcBorders>
          </w:tcPr>
          <w:p w14:paraId="302DCE27">
            <w:pPr>
              <w:pStyle w:val="29"/>
              <w:spacing w:line="234" w:lineRule="exact"/>
              <w:ind w:left="531"/>
            </w:pPr>
            <w:r>
              <w:rPr>
                <w:spacing w:val="-5"/>
              </w:rPr>
              <w:t>264</w:t>
            </w:r>
          </w:p>
        </w:tc>
        <w:tc>
          <w:tcPr>
            <w:tcW w:w="1898" w:type="dxa"/>
            <w:tcBorders>
              <w:top w:val="single" w:color="000000" w:sz="4" w:space="0"/>
              <w:bottom w:val="single" w:color="000000" w:sz="4" w:space="0"/>
            </w:tcBorders>
          </w:tcPr>
          <w:p w14:paraId="1B74C1D4">
            <w:pPr>
              <w:pStyle w:val="29"/>
              <w:spacing w:line="234" w:lineRule="exact"/>
              <w:ind w:left="361"/>
            </w:pPr>
            <w:r>
              <w:rPr>
                <w:spacing w:val="-4"/>
              </w:rPr>
              <w:t>41.2</w:t>
            </w:r>
          </w:p>
        </w:tc>
      </w:tr>
      <w:tr w14:paraId="435AAE61">
        <w:tblPrEx>
          <w:tblCellMar>
            <w:top w:w="0" w:type="dxa"/>
            <w:left w:w="0" w:type="dxa"/>
            <w:bottom w:w="0" w:type="dxa"/>
            <w:right w:w="0" w:type="dxa"/>
          </w:tblCellMar>
        </w:tblPrEx>
        <w:trPr>
          <w:trHeight w:val="251" w:hRule="atLeast"/>
        </w:trPr>
        <w:tc>
          <w:tcPr>
            <w:tcW w:w="2355" w:type="dxa"/>
          </w:tcPr>
          <w:p w14:paraId="258C1D82">
            <w:pPr>
              <w:pStyle w:val="29"/>
              <w:rPr>
                <w:sz w:val="18"/>
              </w:rPr>
            </w:pPr>
          </w:p>
        </w:tc>
        <w:tc>
          <w:tcPr>
            <w:tcW w:w="2541" w:type="dxa"/>
            <w:tcBorders>
              <w:top w:val="single" w:color="000000" w:sz="4" w:space="0"/>
              <w:bottom w:val="single" w:color="000000" w:sz="4" w:space="0"/>
            </w:tcBorders>
          </w:tcPr>
          <w:p w14:paraId="69420F9C">
            <w:pPr>
              <w:pStyle w:val="29"/>
              <w:spacing w:line="232" w:lineRule="exact"/>
              <w:ind w:left="107"/>
            </w:pPr>
            <w:r>
              <w:t>Yüksek</w:t>
            </w:r>
            <w:r>
              <w:rPr>
                <w:spacing w:val="-8"/>
              </w:rPr>
              <w:t xml:space="preserve"> </w:t>
            </w:r>
            <w:r>
              <w:rPr>
                <w:spacing w:val="-2"/>
              </w:rPr>
              <w:t>Lisans</w:t>
            </w:r>
          </w:p>
        </w:tc>
        <w:tc>
          <w:tcPr>
            <w:tcW w:w="1990" w:type="dxa"/>
            <w:tcBorders>
              <w:top w:val="single" w:color="000000" w:sz="4" w:space="0"/>
              <w:bottom w:val="single" w:color="000000" w:sz="4" w:space="0"/>
            </w:tcBorders>
          </w:tcPr>
          <w:p w14:paraId="2A5AEA5D">
            <w:pPr>
              <w:pStyle w:val="29"/>
              <w:spacing w:line="232" w:lineRule="exact"/>
              <w:ind w:left="531"/>
            </w:pPr>
            <w:r>
              <w:rPr>
                <w:spacing w:val="-5"/>
              </w:rPr>
              <w:t>151</w:t>
            </w:r>
          </w:p>
        </w:tc>
        <w:tc>
          <w:tcPr>
            <w:tcW w:w="1898" w:type="dxa"/>
            <w:tcBorders>
              <w:top w:val="single" w:color="000000" w:sz="4" w:space="0"/>
              <w:bottom w:val="single" w:color="000000" w:sz="4" w:space="0"/>
            </w:tcBorders>
          </w:tcPr>
          <w:p w14:paraId="6C94F932">
            <w:pPr>
              <w:pStyle w:val="29"/>
              <w:spacing w:line="232" w:lineRule="exact"/>
              <w:ind w:left="361"/>
            </w:pPr>
            <w:r>
              <w:rPr>
                <w:spacing w:val="-4"/>
              </w:rPr>
              <w:t>23.6</w:t>
            </w:r>
          </w:p>
        </w:tc>
      </w:tr>
      <w:tr w14:paraId="5B644C3B">
        <w:tblPrEx>
          <w:tblCellMar>
            <w:top w:w="0" w:type="dxa"/>
            <w:left w:w="0" w:type="dxa"/>
            <w:bottom w:w="0" w:type="dxa"/>
            <w:right w:w="0" w:type="dxa"/>
          </w:tblCellMar>
        </w:tblPrEx>
        <w:trPr>
          <w:trHeight w:val="253" w:hRule="atLeast"/>
        </w:trPr>
        <w:tc>
          <w:tcPr>
            <w:tcW w:w="2355" w:type="dxa"/>
            <w:tcBorders>
              <w:bottom w:val="single" w:color="000000" w:sz="4" w:space="0"/>
            </w:tcBorders>
          </w:tcPr>
          <w:p w14:paraId="77DD1F95">
            <w:pPr>
              <w:pStyle w:val="29"/>
              <w:rPr>
                <w:sz w:val="18"/>
              </w:rPr>
            </w:pPr>
          </w:p>
        </w:tc>
        <w:tc>
          <w:tcPr>
            <w:tcW w:w="2541" w:type="dxa"/>
            <w:tcBorders>
              <w:top w:val="single" w:color="000000" w:sz="4" w:space="0"/>
              <w:bottom w:val="single" w:color="000000" w:sz="4" w:space="0"/>
            </w:tcBorders>
          </w:tcPr>
          <w:p w14:paraId="7C659BBB">
            <w:pPr>
              <w:pStyle w:val="29"/>
              <w:spacing w:line="234" w:lineRule="exact"/>
              <w:ind w:left="107"/>
            </w:pPr>
            <w:r>
              <w:rPr>
                <w:spacing w:val="-2"/>
              </w:rPr>
              <w:t>Doktora</w:t>
            </w:r>
          </w:p>
        </w:tc>
        <w:tc>
          <w:tcPr>
            <w:tcW w:w="1990" w:type="dxa"/>
            <w:tcBorders>
              <w:top w:val="single" w:color="000000" w:sz="4" w:space="0"/>
              <w:bottom w:val="single" w:color="000000" w:sz="4" w:space="0"/>
            </w:tcBorders>
          </w:tcPr>
          <w:p w14:paraId="705BF0FE">
            <w:pPr>
              <w:pStyle w:val="29"/>
              <w:spacing w:line="234" w:lineRule="exact"/>
              <w:ind w:left="531"/>
            </w:pPr>
            <w:r>
              <w:rPr>
                <w:spacing w:val="-5"/>
              </w:rPr>
              <w:t>106</w:t>
            </w:r>
          </w:p>
        </w:tc>
        <w:tc>
          <w:tcPr>
            <w:tcW w:w="1898" w:type="dxa"/>
            <w:tcBorders>
              <w:top w:val="single" w:color="000000" w:sz="4" w:space="0"/>
              <w:bottom w:val="single" w:color="000000" w:sz="4" w:space="0"/>
            </w:tcBorders>
          </w:tcPr>
          <w:p w14:paraId="5CDFC9E1">
            <w:pPr>
              <w:pStyle w:val="29"/>
              <w:spacing w:line="234" w:lineRule="exact"/>
              <w:ind w:left="361"/>
            </w:pPr>
            <w:r>
              <w:rPr>
                <w:spacing w:val="-4"/>
              </w:rPr>
              <w:t>16.5</w:t>
            </w:r>
          </w:p>
        </w:tc>
      </w:tr>
      <w:tr w14:paraId="547C30AD">
        <w:tblPrEx>
          <w:tblCellMar>
            <w:top w:w="0" w:type="dxa"/>
            <w:left w:w="0" w:type="dxa"/>
            <w:bottom w:w="0" w:type="dxa"/>
            <w:right w:w="0" w:type="dxa"/>
          </w:tblCellMar>
        </w:tblPrEx>
        <w:trPr>
          <w:trHeight w:val="251" w:hRule="atLeast"/>
        </w:trPr>
        <w:tc>
          <w:tcPr>
            <w:tcW w:w="2355" w:type="dxa"/>
            <w:tcBorders>
              <w:top w:val="single" w:color="000000" w:sz="4" w:space="0"/>
            </w:tcBorders>
          </w:tcPr>
          <w:p w14:paraId="184A1A97">
            <w:pPr>
              <w:pStyle w:val="29"/>
              <w:spacing w:line="232" w:lineRule="exact"/>
              <w:ind w:left="108"/>
              <w:rPr>
                <w:b/>
              </w:rPr>
            </w:pPr>
            <w:r>
              <w:rPr>
                <w:b/>
              </w:rPr>
              <w:t>Medeni</w:t>
            </w:r>
            <w:r>
              <w:rPr>
                <w:b/>
                <w:spacing w:val="-2"/>
              </w:rPr>
              <w:t xml:space="preserve"> </w:t>
            </w:r>
            <w:r>
              <w:rPr>
                <w:b/>
                <w:spacing w:val="-4"/>
              </w:rPr>
              <w:t>Durum</w:t>
            </w:r>
          </w:p>
        </w:tc>
        <w:tc>
          <w:tcPr>
            <w:tcW w:w="2541" w:type="dxa"/>
            <w:tcBorders>
              <w:top w:val="single" w:color="000000" w:sz="4" w:space="0"/>
              <w:bottom w:val="single" w:color="000000" w:sz="4" w:space="0"/>
            </w:tcBorders>
          </w:tcPr>
          <w:p w14:paraId="24623B40">
            <w:pPr>
              <w:pStyle w:val="29"/>
              <w:spacing w:line="232" w:lineRule="exact"/>
              <w:ind w:left="107"/>
            </w:pPr>
            <w:r>
              <w:rPr>
                <w:spacing w:val="-4"/>
              </w:rPr>
              <w:t>Evli</w:t>
            </w:r>
          </w:p>
        </w:tc>
        <w:tc>
          <w:tcPr>
            <w:tcW w:w="1990" w:type="dxa"/>
            <w:tcBorders>
              <w:top w:val="single" w:color="000000" w:sz="4" w:space="0"/>
              <w:bottom w:val="single" w:color="000000" w:sz="4" w:space="0"/>
            </w:tcBorders>
          </w:tcPr>
          <w:p w14:paraId="796618BF">
            <w:pPr>
              <w:pStyle w:val="29"/>
              <w:spacing w:line="232" w:lineRule="exact"/>
              <w:ind w:left="531"/>
            </w:pPr>
            <w:r>
              <w:rPr>
                <w:spacing w:val="-5"/>
              </w:rPr>
              <w:t>372</w:t>
            </w:r>
          </w:p>
        </w:tc>
        <w:tc>
          <w:tcPr>
            <w:tcW w:w="1898" w:type="dxa"/>
            <w:tcBorders>
              <w:top w:val="single" w:color="000000" w:sz="4" w:space="0"/>
              <w:bottom w:val="single" w:color="000000" w:sz="4" w:space="0"/>
            </w:tcBorders>
          </w:tcPr>
          <w:p w14:paraId="3B9B9EE1">
            <w:pPr>
              <w:pStyle w:val="29"/>
              <w:spacing w:line="232" w:lineRule="exact"/>
              <w:ind w:left="361"/>
            </w:pPr>
            <w:r>
              <w:rPr>
                <w:spacing w:val="-4"/>
              </w:rPr>
              <w:t>58.0</w:t>
            </w:r>
          </w:p>
        </w:tc>
      </w:tr>
      <w:tr w14:paraId="021DBCAA">
        <w:tblPrEx>
          <w:tblCellMar>
            <w:top w:w="0" w:type="dxa"/>
            <w:left w:w="0" w:type="dxa"/>
            <w:bottom w:w="0" w:type="dxa"/>
            <w:right w:w="0" w:type="dxa"/>
          </w:tblCellMar>
        </w:tblPrEx>
        <w:trPr>
          <w:trHeight w:val="253" w:hRule="atLeast"/>
        </w:trPr>
        <w:tc>
          <w:tcPr>
            <w:tcW w:w="2355" w:type="dxa"/>
            <w:tcBorders>
              <w:bottom w:val="single" w:color="000000" w:sz="4" w:space="0"/>
            </w:tcBorders>
          </w:tcPr>
          <w:p w14:paraId="2C57BA50">
            <w:pPr>
              <w:pStyle w:val="29"/>
              <w:rPr>
                <w:sz w:val="18"/>
              </w:rPr>
            </w:pPr>
          </w:p>
        </w:tc>
        <w:tc>
          <w:tcPr>
            <w:tcW w:w="2541" w:type="dxa"/>
            <w:tcBorders>
              <w:top w:val="single" w:color="000000" w:sz="4" w:space="0"/>
              <w:bottom w:val="single" w:color="000000" w:sz="4" w:space="0"/>
            </w:tcBorders>
          </w:tcPr>
          <w:p w14:paraId="08324BAC">
            <w:pPr>
              <w:pStyle w:val="29"/>
              <w:spacing w:line="234" w:lineRule="exact"/>
              <w:ind w:left="107"/>
            </w:pPr>
            <w:r>
              <w:rPr>
                <w:spacing w:val="-4"/>
              </w:rPr>
              <w:t>Bekar</w:t>
            </w:r>
          </w:p>
        </w:tc>
        <w:tc>
          <w:tcPr>
            <w:tcW w:w="1990" w:type="dxa"/>
            <w:tcBorders>
              <w:top w:val="single" w:color="000000" w:sz="4" w:space="0"/>
              <w:bottom w:val="single" w:color="000000" w:sz="4" w:space="0"/>
            </w:tcBorders>
          </w:tcPr>
          <w:p w14:paraId="4FE749D5">
            <w:pPr>
              <w:pStyle w:val="29"/>
              <w:spacing w:line="234" w:lineRule="exact"/>
              <w:ind w:left="531"/>
            </w:pPr>
            <w:r>
              <w:rPr>
                <w:spacing w:val="-5"/>
              </w:rPr>
              <w:t>269</w:t>
            </w:r>
          </w:p>
        </w:tc>
        <w:tc>
          <w:tcPr>
            <w:tcW w:w="1898" w:type="dxa"/>
            <w:tcBorders>
              <w:top w:val="single" w:color="000000" w:sz="4" w:space="0"/>
              <w:bottom w:val="single" w:color="000000" w:sz="4" w:space="0"/>
            </w:tcBorders>
          </w:tcPr>
          <w:p w14:paraId="005FF541">
            <w:pPr>
              <w:pStyle w:val="29"/>
              <w:spacing w:line="234" w:lineRule="exact"/>
              <w:ind w:left="361"/>
            </w:pPr>
            <w:r>
              <w:rPr>
                <w:spacing w:val="-4"/>
              </w:rPr>
              <w:t>42.0</w:t>
            </w:r>
          </w:p>
        </w:tc>
      </w:tr>
      <w:tr w14:paraId="3608FFF2">
        <w:tblPrEx>
          <w:tblCellMar>
            <w:top w:w="0" w:type="dxa"/>
            <w:left w:w="0" w:type="dxa"/>
            <w:bottom w:w="0" w:type="dxa"/>
            <w:right w:w="0" w:type="dxa"/>
          </w:tblCellMar>
        </w:tblPrEx>
        <w:trPr>
          <w:trHeight w:val="251" w:hRule="atLeast"/>
        </w:trPr>
        <w:tc>
          <w:tcPr>
            <w:tcW w:w="2355" w:type="dxa"/>
            <w:tcBorders>
              <w:top w:val="single" w:color="000000" w:sz="4" w:space="0"/>
            </w:tcBorders>
          </w:tcPr>
          <w:p w14:paraId="7C59EDD1">
            <w:pPr>
              <w:pStyle w:val="29"/>
              <w:spacing w:line="232" w:lineRule="exact"/>
              <w:ind w:left="108"/>
              <w:rPr>
                <w:b/>
              </w:rPr>
            </w:pPr>
            <w:r>
              <w:rPr>
                <w:b/>
              </w:rPr>
              <w:t>Kıdem</w:t>
            </w:r>
            <w:r>
              <w:rPr>
                <w:b/>
                <w:spacing w:val="-7"/>
              </w:rPr>
              <w:t xml:space="preserve"> </w:t>
            </w:r>
            <w:r>
              <w:rPr>
                <w:b/>
                <w:spacing w:val="-4"/>
              </w:rPr>
              <w:t>Yılı</w:t>
            </w:r>
          </w:p>
        </w:tc>
        <w:tc>
          <w:tcPr>
            <w:tcW w:w="2541" w:type="dxa"/>
            <w:tcBorders>
              <w:top w:val="single" w:color="000000" w:sz="4" w:space="0"/>
              <w:bottom w:val="single" w:color="000000" w:sz="4" w:space="0"/>
            </w:tcBorders>
          </w:tcPr>
          <w:p w14:paraId="2E696FE3">
            <w:pPr>
              <w:pStyle w:val="29"/>
              <w:spacing w:line="232" w:lineRule="exact"/>
              <w:ind w:left="107"/>
            </w:pPr>
            <w:r>
              <w:t>0-10</w:t>
            </w:r>
            <w:r>
              <w:rPr>
                <w:spacing w:val="-2"/>
              </w:rPr>
              <w:t xml:space="preserve"> </w:t>
            </w:r>
            <w:r>
              <w:rPr>
                <w:spacing w:val="-5"/>
              </w:rPr>
              <w:t>yıl</w:t>
            </w:r>
          </w:p>
        </w:tc>
        <w:tc>
          <w:tcPr>
            <w:tcW w:w="1990" w:type="dxa"/>
            <w:tcBorders>
              <w:top w:val="single" w:color="000000" w:sz="4" w:space="0"/>
              <w:bottom w:val="single" w:color="000000" w:sz="4" w:space="0"/>
            </w:tcBorders>
          </w:tcPr>
          <w:p w14:paraId="45C6AEF1">
            <w:pPr>
              <w:pStyle w:val="29"/>
              <w:spacing w:line="232" w:lineRule="exact"/>
              <w:ind w:left="531"/>
            </w:pPr>
            <w:r>
              <w:rPr>
                <w:spacing w:val="-5"/>
              </w:rPr>
              <w:t>147</w:t>
            </w:r>
          </w:p>
        </w:tc>
        <w:tc>
          <w:tcPr>
            <w:tcW w:w="1898" w:type="dxa"/>
            <w:tcBorders>
              <w:top w:val="single" w:color="000000" w:sz="4" w:space="0"/>
              <w:bottom w:val="single" w:color="000000" w:sz="4" w:space="0"/>
            </w:tcBorders>
          </w:tcPr>
          <w:p w14:paraId="4B42490E">
            <w:pPr>
              <w:pStyle w:val="29"/>
              <w:spacing w:line="232" w:lineRule="exact"/>
              <w:ind w:left="361"/>
            </w:pPr>
            <w:r>
              <w:rPr>
                <w:spacing w:val="-4"/>
              </w:rPr>
              <w:t>22.9</w:t>
            </w:r>
          </w:p>
        </w:tc>
      </w:tr>
      <w:tr w14:paraId="315CBD4B">
        <w:tblPrEx>
          <w:tblCellMar>
            <w:top w:w="0" w:type="dxa"/>
            <w:left w:w="0" w:type="dxa"/>
            <w:bottom w:w="0" w:type="dxa"/>
            <w:right w:w="0" w:type="dxa"/>
          </w:tblCellMar>
        </w:tblPrEx>
        <w:trPr>
          <w:trHeight w:val="254" w:hRule="atLeast"/>
        </w:trPr>
        <w:tc>
          <w:tcPr>
            <w:tcW w:w="2355" w:type="dxa"/>
          </w:tcPr>
          <w:p w14:paraId="63D678A6">
            <w:pPr>
              <w:pStyle w:val="29"/>
              <w:rPr>
                <w:sz w:val="18"/>
              </w:rPr>
            </w:pPr>
          </w:p>
        </w:tc>
        <w:tc>
          <w:tcPr>
            <w:tcW w:w="2541" w:type="dxa"/>
            <w:tcBorders>
              <w:top w:val="single" w:color="000000" w:sz="4" w:space="0"/>
              <w:bottom w:val="single" w:color="000000" w:sz="4" w:space="0"/>
            </w:tcBorders>
          </w:tcPr>
          <w:p w14:paraId="2AB56A0A">
            <w:pPr>
              <w:pStyle w:val="29"/>
              <w:spacing w:line="234" w:lineRule="exact"/>
              <w:ind w:left="107"/>
            </w:pPr>
            <w:r>
              <w:t>10-20</w:t>
            </w:r>
            <w:r>
              <w:rPr>
                <w:spacing w:val="-2"/>
              </w:rPr>
              <w:t xml:space="preserve"> </w:t>
            </w:r>
            <w:r>
              <w:rPr>
                <w:spacing w:val="-5"/>
              </w:rPr>
              <w:t>yıl</w:t>
            </w:r>
          </w:p>
        </w:tc>
        <w:tc>
          <w:tcPr>
            <w:tcW w:w="1990" w:type="dxa"/>
            <w:tcBorders>
              <w:top w:val="single" w:color="000000" w:sz="4" w:space="0"/>
              <w:bottom w:val="single" w:color="000000" w:sz="4" w:space="0"/>
            </w:tcBorders>
          </w:tcPr>
          <w:p w14:paraId="5DA98883">
            <w:pPr>
              <w:pStyle w:val="29"/>
              <w:spacing w:line="234" w:lineRule="exact"/>
              <w:ind w:left="531"/>
            </w:pPr>
            <w:r>
              <w:rPr>
                <w:spacing w:val="-5"/>
              </w:rPr>
              <w:t>220</w:t>
            </w:r>
          </w:p>
        </w:tc>
        <w:tc>
          <w:tcPr>
            <w:tcW w:w="1898" w:type="dxa"/>
            <w:tcBorders>
              <w:top w:val="single" w:color="000000" w:sz="4" w:space="0"/>
              <w:bottom w:val="single" w:color="000000" w:sz="4" w:space="0"/>
            </w:tcBorders>
          </w:tcPr>
          <w:p w14:paraId="721A9F6A">
            <w:pPr>
              <w:pStyle w:val="29"/>
              <w:spacing w:line="234" w:lineRule="exact"/>
              <w:ind w:left="361"/>
            </w:pPr>
            <w:r>
              <w:rPr>
                <w:spacing w:val="-4"/>
              </w:rPr>
              <w:t>34.3</w:t>
            </w:r>
          </w:p>
        </w:tc>
      </w:tr>
      <w:tr w14:paraId="00A0595B">
        <w:tblPrEx>
          <w:tblCellMar>
            <w:top w:w="0" w:type="dxa"/>
            <w:left w:w="0" w:type="dxa"/>
            <w:bottom w:w="0" w:type="dxa"/>
            <w:right w:w="0" w:type="dxa"/>
          </w:tblCellMar>
        </w:tblPrEx>
        <w:trPr>
          <w:trHeight w:val="253" w:hRule="atLeast"/>
        </w:trPr>
        <w:tc>
          <w:tcPr>
            <w:tcW w:w="2355" w:type="dxa"/>
          </w:tcPr>
          <w:p w14:paraId="6345BA89">
            <w:pPr>
              <w:pStyle w:val="29"/>
              <w:rPr>
                <w:sz w:val="18"/>
              </w:rPr>
            </w:pPr>
          </w:p>
        </w:tc>
        <w:tc>
          <w:tcPr>
            <w:tcW w:w="2541" w:type="dxa"/>
            <w:tcBorders>
              <w:top w:val="single" w:color="000000" w:sz="4" w:space="0"/>
              <w:bottom w:val="single" w:color="000000" w:sz="4" w:space="0"/>
            </w:tcBorders>
          </w:tcPr>
          <w:p w14:paraId="13F0CDB5">
            <w:pPr>
              <w:pStyle w:val="29"/>
              <w:spacing w:line="234" w:lineRule="exact"/>
              <w:ind w:left="107"/>
            </w:pPr>
            <w:r>
              <w:t>20-30</w:t>
            </w:r>
            <w:r>
              <w:rPr>
                <w:spacing w:val="-2"/>
              </w:rPr>
              <w:t xml:space="preserve"> </w:t>
            </w:r>
            <w:r>
              <w:rPr>
                <w:spacing w:val="-5"/>
              </w:rPr>
              <w:t>yıl</w:t>
            </w:r>
          </w:p>
        </w:tc>
        <w:tc>
          <w:tcPr>
            <w:tcW w:w="1990" w:type="dxa"/>
            <w:tcBorders>
              <w:top w:val="single" w:color="000000" w:sz="4" w:space="0"/>
              <w:bottom w:val="single" w:color="000000" w:sz="4" w:space="0"/>
            </w:tcBorders>
          </w:tcPr>
          <w:p w14:paraId="6874CE76">
            <w:pPr>
              <w:pStyle w:val="29"/>
              <w:spacing w:line="234" w:lineRule="exact"/>
              <w:ind w:left="531"/>
            </w:pPr>
            <w:r>
              <w:rPr>
                <w:spacing w:val="-5"/>
              </w:rPr>
              <w:t>165</w:t>
            </w:r>
          </w:p>
        </w:tc>
        <w:tc>
          <w:tcPr>
            <w:tcW w:w="1898" w:type="dxa"/>
            <w:tcBorders>
              <w:top w:val="single" w:color="000000" w:sz="4" w:space="0"/>
              <w:bottom w:val="single" w:color="000000" w:sz="4" w:space="0"/>
            </w:tcBorders>
          </w:tcPr>
          <w:p w14:paraId="41F17558">
            <w:pPr>
              <w:pStyle w:val="29"/>
              <w:spacing w:line="234" w:lineRule="exact"/>
              <w:ind w:left="361"/>
            </w:pPr>
            <w:r>
              <w:rPr>
                <w:spacing w:val="-4"/>
              </w:rPr>
              <w:t>25.7</w:t>
            </w:r>
          </w:p>
        </w:tc>
      </w:tr>
      <w:tr w14:paraId="5A8ACCB3">
        <w:tblPrEx>
          <w:tblCellMar>
            <w:top w:w="0" w:type="dxa"/>
            <w:left w:w="0" w:type="dxa"/>
            <w:bottom w:w="0" w:type="dxa"/>
            <w:right w:w="0" w:type="dxa"/>
          </w:tblCellMar>
        </w:tblPrEx>
        <w:trPr>
          <w:trHeight w:val="251" w:hRule="atLeast"/>
        </w:trPr>
        <w:tc>
          <w:tcPr>
            <w:tcW w:w="2355" w:type="dxa"/>
            <w:tcBorders>
              <w:bottom w:val="single" w:color="000000" w:sz="4" w:space="0"/>
            </w:tcBorders>
          </w:tcPr>
          <w:p w14:paraId="715D7BF2">
            <w:pPr>
              <w:pStyle w:val="29"/>
              <w:rPr>
                <w:sz w:val="18"/>
              </w:rPr>
            </w:pPr>
          </w:p>
        </w:tc>
        <w:tc>
          <w:tcPr>
            <w:tcW w:w="2541" w:type="dxa"/>
            <w:tcBorders>
              <w:top w:val="single" w:color="000000" w:sz="4" w:space="0"/>
              <w:bottom w:val="single" w:color="000000" w:sz="4" w:space="0"/>
            </w:tcBorders>
          </w:tcPr>
          <w:p w14:paraId="680EAF27">
            <w:pPr>
              <w:pStyle w:val="29"/>
              <w:spacing w:line="232" w:lineRule="exact"/>
              <w:ind w:left="107"/>
            </w:pPr>
            <w:r>
              <w:t xml:space="preserve">30+ </w:t>
            </w:r>
            <w:r>
              <w:rPr>
                <w:spacing w:val="-5"/>
              </w:rPr>
              <w:t>yıl</w:t>
            </w:r>
          </w:p>
        </w:tc>
        <w:tc>
          <w:tcPr>
            <w:tcW w:w="1990" w:type="dxa"/>
            <w:tcBorders>
              <w:top w:val="single" w:color="000000" w:sz="4" w:space="0"/>
              <w:bottom w:val="single" w:color="000000" w:sz="4" w:space="0"/>
            </w:tcBorders>
          </w:tcPr>
          <w:p w14:paraId="4129C034">
            <w:pPr>
              <w:pStyle w:val="29"/>
              <w:spacing w:line="232" w:lineRule="exact"/>
              <w:ind w:left="531"/>
            </w:pPr>
            <w:r>
              <w:rPr>
                <w:spacing w:val="-5"/>
              </w:rPr>
              <w:t>109</w:t>
            </w:r>
          </w:p>
        </w:tc>
        <w:tc>
          <w:tcPr>
            <w:tcW w:w="1898" w:type="dxa"/>
            <w:tcBorders>
              <w:top w:val="single" w:color="000000" w:sz="4" w:space="0"/>
              <w:bottom w:val="single" w:color="000000" w:sz="4" w:space="0"/>
            </w:tcBorders>
          </w:tcPr>
          <w:p w14:paraId="4B9794D2">
            <w:pPr>
              <w:pStyle w:val="29"/>
              <w:spacing w:line="232" w:lineRule="exact"/>
              <w:ind w:left="361"/>
            </w:pPr>
            <w:r>
              <w:rPr>
                <w:spacing w:val="-4"/>
              </w:rPr>
              <w:t>17.1</w:t>
            </w:r>
          </w:p>
        </w:tc>
      </w:tr>
      <w:tr w14:paraId="48A84A2D">
        <w:tblPrEx>
          <w:tblCellMar>
            <w:top w:w="0" w:type="dxa"/>
            <w:left w:w="0" w:type="dxa"/>
            <w:bottom w:w="0" w:type="dxa"/>
            <w:right w:w="0" w:type="dxa"/>
          </w:tblCellMar>
        </w:tblPrEx>
        <w:trPr>
          <w:trHeight w:val="254" w:hRule="atLeast"/>
        </w:trPr>
        <w:tc>
          <w:tcPr>
            <w:tcW w:w="2355" w:type="dxa"/>
            <w:tcBorders>
              <w:top w:val="single" w:color="000000" w:sz="4" w:space="0"/>
            </w:tcBorders>
          </w:tcPr>
          <w:p w14:paraId="6D399F5B">
            <w:pPr>
              <w:pStyle w:val="29"/>
              <w:spacing w:line="235" w:lineRule="exact"/>
              <w:ind w:left="108"/>
              <w:rPr>
                <w:b/>
              </w:rPr>
            </w:pPr>
            <w:r>
              <w:rPr>
                <w:b/>
              </w:rPr>
              <w:t>Gelir</w:t>
            </w:r>
            <w:r>
              <w:rPr>
                <w:b/>
                <w:spacing w:val="-1"/>
              </w:rPr>
              <w:t xml:space="preserve"> </w:t>
            </w:r>
            <w:r>
              <w:rPr>
                <w:b/>
                <w:spacing w:val="-2"/>
              </w:rPr>
              <w:t>Düzeyi</w:t>
            </w:r>
          </w:p>
        </w:tc>
        <w:tc>
          <w:tcPr>
            <w:tcW w:w="2541" w:type="dxa"/>
            <w:tcBorders>
              <w:top w:val="single" w:color="000000" w:sz="4" w:space="0"/>
              <w:bottom w:val="single" w:color="000000" w:sz="4" w:space="0"/>
            </w:tcBorders>
          </w:tcPr>
          <w:p w14:paraId="658DC59B">
            <w:pPr>
              <w:pStyle w:val="29"/>
              <w:spacing w:line="235" w:lineRule="exact"/>
              <w:ind w:left="107"/>
            </w:pPr>
            <w:r>
              <w:t>30-45</w:t>
            </w:r>
            <w:r>
              <w:rPr>
                <w:spacing w:val="-5"/>
              </w:rPr>
              <w:t xml:space="preserve"> </w:t>
            </w:r>
            <w:r>
              <w:t>bin</w:t>
            </w:r>
            <w:r>
              <w:rPr>
                <w:spacing w:val="-2"/>
              </w:rPr>
              <w:t xml:space="preserve"> </w:t>
            </w:r>
            <w:r>
              <w:t>Türk</w:t>
            </w:r>
            <w:r>
              <w:rPr>
                <w:spacing w:val="-4"/>
              </w:rPr>
              <w:t xml:space="preserve"> </w:t>
            </w:r>
            <w:r>
              <w:rPr>
                <w:spacing w:val="-2"/>
              </w:rPr>
              <w:t>Lirası</w:t>
            </w:r>
          </w:p>
        </w:tc>
        <w:tc>
          <w:tcPr>
            <w:tcW w:w="1990" w:type="dxa"/>
            <w:tcBorders>
              <w:top w:val="single" w:color="000000" w:sz="4" w:space="0"/>
              <w:bottom w:val="single" w:color="000000" w:sz="4" w:space="0"/>
            </w:tcBorders>
          </w:tcPr>
          <w:p w14:paraId="12E5E37C">
            <w:pPr>
              <w:pStyle w:val="29"/>
              <w:spacing w:line="235" w:lineRule="exact"/>
              <w:ind w:left="531"/>
            </w:pPr>
            <w:r>
              <w:rPr>
                <w:spacing w:val="-5"/>
              </w:rPr>
              <w:t>233</w:t>
            </w:r>
          </w:p>
        </w:tc>
        <w:tc>
          <w:tcPr>
            <w:tcW w:w="1898" w:type="dxa"/>
            <w:tcBorders>
              <w:top w:val="single" w:color="000000" w:sz="4" w:space="0"/>
              <w:bottom w:val="single" w:color="000000" w:sz="4" w:space="0"/>
            </w:tcBorders>
          </w:tcPr>
          <w:p w14:paraId="752DBD36">
            <w:pPr>
              <w:pStyle w:val="29"/>
              <w:spacing w:line="235" w:lineRule="exact"/>
              <w:ind w:left="361"/>
            </w:pPr>
            <w:r>
              <w:rPr>
                <w:spacing w:val="-4"/>
              </w:rPr>
              <w:t>36.3</w:t>
            </w:r>
          </w:p>
        </w:tc>
      </w:tr>
      <w:tr w14:paraId="5817257B">
        <w:tblPrEx>
          <w:tblCellMar>
            <w:top w:w="0" w:type="dxa"/>
            <w:left w:w="0" w:type="dxa"/>
            <w:bottom w:w="0" w:type="dxa"/>
            <w:right w:w="0" w:type="dxa"/>
          </w:tblCellMar>
        </w:tblPrEx>
        <w:trPr>
          <w:trHeight w:val="251" w:hRule="atLeast"/>
        </w:trPr>
        <w:tc>
          <w:tcPr>
            <w:tcW w:w="2355" w:type="dxa"/>
          </w:tcPr>
          <w:p w14:paraId="59547C1C">
            <w:pPr>
              <w:pStyle w:val="29"/>
              <w:rPr>
                <w:sz w:val="18"/>
              </w:rPr>
            </w:pPr>
          </w:p>
        </w:tc>
        <w:tc>
          <w:tcPr>
            <w:tcW w:w="2541" w:type="dxa"/>
            <w:tcBorders>
              <w:top w:val="single" w:color="000000" w:sz="4" w:space="0"/>
              <w:bottom w:val="single" w:color="000000" w:sz="4" w:space="0"/>
            </w:tcBorders>
          </w:tcPr>
          <w:p w14:paraId="6B9B1974">
            <w:pPr>
              <w:pStyle w:val="29"/>
              <w:spacing w:line="232" w:lineRule="exact"/>
              <w:ind w:left="107"/>
            </w:pPr>
            <w:r>
              <w:t>45-60</w:t>
            </w:r>
            <w:r>
              <w:rPr>
                <w:spacing w:val="-5"/>
              </w:rPr>
              <w:t xml:space="preserve"> </w:t>
            </w:r>
            <w:r>
              <w:t>bin</w:t>
            </w:r>
            <w:r>
              <w:rPr>
                <w:spacing w:val="-2"/>
              </w:rPr>
              <w:t xml:space="preserve"> </w:t>
            </w:r>
            <w:r>
              <w:t>Türk</w:t>
            </w:r>
            <w:r>
              <w:rPr>
                <w:spacing w:val="-4"/>
              </w:rPr>
              <w:t xml:space="preserve"> </w:t>
            </w:r>
            <w:r>
              <w:rPr>
                <w:spacing w:val="-2"/>
              </w:rPr>
              <w:t>Lirası</w:t>
            </w:r>
          </w:p>
        </w:tc>
        <w:tc>
          <w:tcPr>
            <w:tcW w:w="1990" w:type="dxa"/>
            <w:tcBorders>
              <w:top w:val="single" w:color="000000" w:sz="4" w:space="0"/>
              <w:bottom w:val="single" w:color="000000" w:sz="4" w:space="0"/>
            </w:tcBorders>
          </w:tcPr>
          <w:p w14:paraId="0D5EE1CB">
            <w:pPr>
              <w:pStyle w:val="29"/>
              <w:spacing w:line="232" w:lineRule="exact"/>
              <w:ind w:left="531"/>
            </w:pPr>
            <w:r>
              <w:rPr>
                <w:spacing w:val="-5"/>
              </w:rPr>
              <w:t>169</w:t>
            </w:r>
          </w:p>
        </w:tc>
        <w:tc>
          <w:tcPr>
            <w:tcW w:w="1898" w:type="dxa"/>
            <w:tcBorders>
              <w:top w:val="single" w:color="000000" w:sz="4" w:space="0"/>
              <w:bottom w:val="single" w:color="000000" w:sz="4" w:space="0"/>
            </w:tcBorders>
          </w:tcPr>
          <w:p w14:paraId="2264F271">
            <w:pPr>
              <w:pStyle w:val="29"/>
              <w:spacing w:line="232" w:lineRule="exact"/>
              <w:ind w:left="361"/>
            </w:pPr>
            <w:r>
              <w:rPr>
                <w:spacing w:val="-4"/>
              </w:rPr>
              <w:t>26.4</w:t>
            </w:r>
          </w:p>
        </w:tc>
      </w:tr>
      <w:tr w14:paraId="184B4986">
        <w:tblPrEx>
          <w:tblCellMar>
            <w:top w:w="0" w:type="dxa"/>
            <w:left w:w="0" w:type="dxa"/>
            <w:bottom w:w="0" w:type="dxa"/>
            <w:right w:w="0" w:type="dxa"/>
          </w:tblCellMar>
        </w:tblPrEx>
        <w:trPr>
          <w:trHeight w:val="254" w:hRule="atLeast"/>
        </w:trPr>
        <w:tc>
          <w:tcPr>
            <w:tcW w:w="2355" w:type="dxa"/>
          </w:tcPr>
          <w:p w14:paraId="38796E03">
            <w:pPr>
              <w:pStyle w:val="29"/>
              <w:rPr>
                <w:sz w:val="18"/>
              </w:rPr>
            </w:pPr>
          </w:p>
        </w:tc>
        <w:tc>
          <w:tcPr>
            <w:tcW w:w="2541" w:type="dxa"/>
            <w:tcBorders>
              <w:top w:val="single" w:color="000000" w:sz="4" w:space="0"/>
              <w:bottom w:val="single" w:color="000000" w:sz="4" w:space="0"/>
            </w:tcBorders>
          </w:tcPr>
          <w:p w14:paraId="072D3703">
            <w:pPr>
              <w:pStyle w:val="29"/>
              <w:spacing w:line="234" w:lineRule="exact"/>
              <w:ind w:left="107"/>
            </w:pPr>
            <w:r>
              <w:t>60-75</w:t>
            </w:r>
            <w:r>
              <w:rPr>
                <w:spacing w:val="-5"/>
              </w:rPr>
              <w:t xml:space="preserve"> </w:t>
            </w:r>
            <w:r>
              <w:t>bin</w:t>
            </w:r>
            <w:r>
              <w:rPr>
                <w:spacing w:val="-2"/>
              </w:rPr>
              <w:t xml:space="preserve"> </w:t>
            </w:r>
            <w:r>
              <w:t>Türk</w:t>
            </w:r>
            <w:r>
              <w:rPr>
                <w:spacing w:val="-4"/>
              </w:rPr>
              <w:t xml:space="preserve"> </w:t>
            </w:r>
            <w:r>
              <w:rPr>
                <w:spacing w:val="-2"/>
              </w:rPr>
              <w:t>Lirası</w:t>
            </w:r>
          </w:p>
        </w:tc>
        <w:tc>
          <w:tcPr>
            <w:tcW w:w="1990" w:type="dxa"/>
            <w:tcBorders>
              <w:top w:val="single" w:color="000000" w:sz="4" w:space="0"/>
              <w:bottom w:val="single" w:color="000000" w:sz="4" w:space="0"/>
            </w:tcBorders>
          </w:tcPr>
          <w:p w14:paraId="04918780">
            <w:pPr>
              <w:pStyle w:val="29"/>
              <w:spacing w:line="234" w:lineRule="exact"/>
              <w:ind w:left="531"/>
            </w:pPr>
            <w:r>
              <w:rPr>
                <w:spacing w:val="-5"/>
              </w:rPr>
              <w:t>123</w:t>
            </w:r>
          </w:p>
        </w:tc>
        <w:tc>
          <w:tcPr>
            <w:tcW w:w="1898" w:type="dxa"/>
            <w:tcBorders>
              <w:top w:val="single" w:color="000000" w:sz="4" w:space="0"/>
              <w:bottom w:val="single" w:color="000000" w:sz="4" w:space="0"/>
            </w:tcBorders>
          </w:tcPr>
          <w:p w14:paraId="67D8C987">
            <w:pPr>
              <w:pStyle w:val="29"/>
              <w:spacing w:line="234" w:lineRule="exact"/>
              <w:ind w:left="361"/>
            </w:pPr>
            <w:r>
              <w:rPr>
                <w:spacing w:val="-4"/>
              </w:rPr>
              <w:t>19.2</w:t>
            </w:r>
          </w:p>
        </w:tc>
      </w:tr>
      <w:tr w14:paraId="35CBF1AB">
        <w:tblPrEx>
          <w:tblCellMar>
            <w:top w:w="0" w:type="dxa"/>
            <w:left w:w="0" w:type="dxa"/>
            <w:bottom w:w="0" w:type="dxa"/>
            <w:right w:w="0" w:type="dxa"/>
          </w:tblCellMar>
        </w:tblPrEx>
        <w:trPr>
          <w:trHeight w:val="253" w:hRule="atLeast"/>
        </w:trPr>
        <w:tc>
          <w:tcPr>
            <w:tcW w:w="2355" w:type="dxa"/>
            <w:tcBorders>
              <w:bottom w:val="single" w:color="000000" w:sz="4" w:space="0"/>
            </w:tcBorders>
          </w:tcPr>
          <w:p w14:paraId="0C7C05BF">
            <w:pPr>
              <w:pStyle w:val="29"/>
              <w:rPr>
                <w:sz w:val="18"/>
              </w:rPr>
            </w:pPr>
          </w:p>
        </w:tc>
        <w:tc>
          <w:tcPr>
            <w:tcW w:w="2541" w:type="dxa"/>
            <w:tcBorders>
              <w:top w:val="single" w:color="000000" w:sz="4" w:space="0"/>
              <w:bottom w:val="single" w:color="000000" w:sz="4" w:space="0"/>
            </w:tcBorders>
          </w:tcPr>
          <w:p w14:paraId="1F5947B0">
            <w:pPr>
              <w:pStyle w:val="29"/>
              <w:spacing w:line="234" w:lineRule="exact"/>
              <w:ind w:left="107"/>
            </w:pPr>
            <w:r>
              <w:t>75+</w:t>
            </w:r>
            <w:r>
              <w:rPr>
                <w:spacing w:val="-1"/>
              </w:rPr>
              <w:t xml:space="preserve"> </w:t>
            </w:r>
            <w:r>
              <w:t>bin</w:t>
            </w:r>
            <w:r>
              <w:rPr>
                <w:spacing w:val="-3"/>
              </w:rPr>
              <w:t xml:space="preserve"> </w:t>
            </w:r>
            <w:r>
              <w:t>Türk</w:t>
            </w:r>
            <w:r>
              <w:rPr>
                <w:spacing w:val="-3"/>
              </w:rPr>
              <w:t xml:space="preserve"> </w:t>
            </w:r>
            <w:r>
              <w:rPr>
                <w:spacing w:val="-2"/>
              </w:rPr>
              <w:t>Lirası</w:t>
            </w:r>
          </w:p>
        </w:tc>
        <w:tc>
          <w:tcPr>
            <w:tcW w:w="1990" w:type="dxa"/>
            <w:tcBorders>
              <w:top w:val="single" w:color="000000" w:sz="4" w:space="0"/>
              <w:bottom w:val="single" w:color="000000" w:sz="4" w:space="0"/>
            </w:tcBorders>
          </w:tcPr>
          <w:p w14:paraId="4E19CD93">
            <w:pPr>
              <w:pStyle w:val="29"/>
              <w:spacing w:line="234" w:lineRule="exact"/>
              <w:ind w:left="531"/>
            </w:pPr>
            <w:r>
              <w:rPr>
                <w:spacing w:val="-5"/>
              </w:rPr>
              <w:t>116</w:t>
            </w:r>
          </w:p>
        </w:tc>
        <w:tc>
          <w:tcPr>
            <w:tcW w:w="1898" w:type="dxa"/>
            <w:tcBorders>
              <w:top w:val="single" w:color="000000" w:sz="4" w:space="0"/>
              <w:bottom w:val="single" w:color="000000" w:sz="4" w:space="0"/>
            </w:tcBorders>
          </w:tcPr>
          <w:p w14:paraId="78EB44E9">
            <w:pPr>
              <w:pStyle w:val="29"/>
              <w:spacing w:line="234" w:lineRule="exact"/>
              <w:ind w:left="361"/>
            </w:pPr>
            <w:r>
              <w:rPr>
                <w:spacing w:val="-4"/>
              </w:rPr>
              <w:t>18.1</w:t>
            </w:r>
          </w:p>
        </w:tc>
      </w:tr>
    </w:tbl>
    <w:p w14:paraId="6B831338">
      <w:pPr>
        <w:pStyle w:val="3"/>
        <w:tabs>
          <w:tab w:val="left" w:pos="580"/>
        </w:tabs>
        <w:spacing w:before="240" w:after="240" w:line="360" w:lineRule="auto"/>
        <w:ind w:left="567"/>
      </w:pPr>
      <w:bookmarkStart w:id="155" w:name="_Toc195877810"/>
      <w:bookmarkStart w:id="156" w:name="_Toc197351263"/>
      <w:bookmarkStart w:id="157" w:name="_Toc195875825"/>
      <w:r>
        <w:rPr>
          <w:spacing w:val="-2"/>
        </w:rPr>
        <w:t>3.3. Hipotezler</w:t>
      </w:r>
      <w:bookmarkEnd w:id="155"/>
      <w:bookmarkEnd w:id="156"/>
      <w:bookmarkEnd w:id="157"/>
    </w:p>
    <w:p w14:paraId="5E1D651E">
      <w:pPr>
        <w:pStyle w:val="9"/>
        <w:spacing w:before="120" w:after="120" w:line="360" w:lineRule="auto"/>
        <w:ind w:left="0" w:firstLine="567"/>
      </w:pPr>
      <w:r>
        <w:t>Bu araştırmada, sınıf öğretmenlerinin sanal rekreasyon faaliyetlerine katılımlarının yaşam kalitesi</w:t>
      </w:r>
      <w:r>
        <w:rPr>
          <w:spacing w:val="-11"/>
        </w:rPr>
        <w:t xml:space="preserve"> </w:t>
      </w:r>
      <w:r>
        <w:t>üzerindeki</w:t>
      </w:r>
      <w:r>
        <w:rPr>
          <w:spacing w:val="-11"/>
        </w:rPr>
        <w:t xml:space="preserve"> </w:t>
      </w:r>
      <w:r>
        <w:t>etkileri</w:t>
      </w:r>
      <w:r>
        <w:rPr>
          <w:spacing w:val="-11"/>
        </w:rPr>
        <w:t xml:space="preserve"> </w:t>
      </w:r>
      <w:r>
        <w:t>ve</w:t>
      </w:r>
      <w:r>
        <w:rPr>
          <w:spacing w:val="-12"/>
        </w:rPr>
        <w:t xml:space="preserve"> </w:t>
      </w:r>
      <w:r>
        <w:t>çeşitli</w:t>
      </w:r>
      <w:r>
        <w:rPr>
          <w:spacing w:val="-11"/>
        </w:rPr>
        <w:t xml:space="preserve"> </w:t>
      </w:r>
      <w:r>
        <w:t>demografik</w:t>
      </w:r>
      <w:r>
        <w:rPr>
          <w:spacing w:val="-10"/>
        </w:rPr>
        <w:t xml:space="preserve"> </w:t>
      </w:r>
      <w:r>
        <w:t>değişkenlerle</w:t>
      </w:r>
      <w:r>
        <w:rPr>
          <w:spacing w:val="-12"/>
        </w:rPr>
        <w:t xml:space="preserve"> </w:t>
      </w:r>
      <w:r>
        <w:t>olan</w:t>
      </w:r>
      <w:r>
        <w:rPr>
          <w:spacing w:val="-10"/>
        </w:rPr>
        <w:t xml:space="preserve"> </w:t>
      </w:r>
      <w:r>
        <w:t>ilişkileri</w:t>
      </w:r>
      <w:r>
        <w:rPr>
          <w:spacing w:val="-7"/>
        </w:rPr>
        <w:t xml:space="preserve"> </w:t>
      </w:r>
      <w:r>
        <w:t>Şekil</w:t>
      </w:r>
      <w:r>
        <w:rPr>
          <w:spacing w:val="-11"/>
        </w:rPr>
        <w:t xml:space="preserve"> </w:t>
      </w:r>
      <w:r>
        <w:t>3.1’de</w:t>
      </w:r>
      <w:r>
        <w:rPr>
          <w:spacing w:val="-8"/>
        </w:rPr>
        <w:t xml:space="preserve"> </w:t>
      </w:r>
      <w:r>
        <w:t>yer almış olup hipotezler aşağıda yer almaktadır.</w:t>
      </w:r>
    </w:p>
    <w:p w14:paraId="6848D5CE">
      <w:pPr>
        <w:widowControl/>
        <w:autoSpaceDE/>
        <w:autoSpaceDN/>
        <w:rPr>
          <w:b/>
          <w:sz w:val="24"/>
          <w:szCs w:val="24"/>
        </w:rPr>
      </w:pPr>
      <w:r>
        <w:rPr>
          <w:b/>
        </w:rPr>
        <w:br w:type="page"/>
      </w:r>
    </w:p>
    <w:p w14:paraId="052C80AD">
      <w:pPr>
        <w:pStyle w:val="9"/>
        <w:spacing w:before="2"/>
        <w:ind w:left="0"/>
        <w:jc w:val="left"/>
        <w:rPr>
          <w:sz w:val="25"/>
        </w:rPr>
      </w:pPr>
      <w:r>
        <w:rPr>
          <w:lang w:eastAsia="tr-TR"/>
        </w:rPr>
        <mc:AlternateContent>
          <mc:Choice Requires="wpg">
            <w:drawing>
              <wp:anchor distT="0" distB="0" distL="0" distR="0" simplePos="0" relativeHeight="251667456" behindDoc="1" locked="0" layoutInCell="1" allowOverlap="1">
                <wp:simplePos x="0" y="0"/>
                <wp:positionH relativeFrom="page">
                  <wp:posOffset>974725</wp:posOffset>
                </wp:positionH>
                <wp:positionV relativeFrom="paragraph">
                  <wp:posOffset>198755</wp:posOffset>
                </wp:positionV>
                <wp:extent cx="5120005" cy="2251075"/>
                <wp:effectExtent l="0" t="0" r="0" b="0"/>
                <wp:wrapTopAndBottom/>
                <wp:docPr id="16" name="Group 16"/>
                <wp:cNvGraphicFramePr/>
                <a:graphic xmlns:a="http://schemas.openxmlformats.org/drawingml/2006/main">
                  <a:graphicData uri="http://schemas.microsoft.com/office/word/2010/wordprocessingGroup">
                    <wpg:wgp>
                      <wpg:cNvGrpSpPr/>
                      <wpg:grpSpPr>
                        <a:xfrm>
                          <a:off x="0" y="0"/>
                          <a:ext cx="5120005" cy="2251075"/>
                          <a:chOff x="0" y="0"/>
                          <a:chExt cx="5120005" cy="2251075"/>
                        </a:xfrm>
                      </wpg:grpSpPr>
                      <pic:pic xmlns:pic="http://schemas.openxmlformats.org/drawingml/2006/picture">
                        <pic:nvPicPr>
                          <pic:cNvPr id="17" name="Image 17"/>
                          <pic:cNvPicPr/>
                        </pic:nvPicPr>
                        <pic:blipFill>
                          <a:blip r:embed="rId20" cstate="print"/>
                          <a:stretch>
                            <a:fillRect/>
                          </a:stretch>
                        </pic:blipFill>
                        <pic:spPr>
                          <a:xfrm>
                            <a:off x="2172589" y="1318260"/>
                            <a:ext cx="227330" cy="176656"/>
                          </a:xfrm>
                          <a:prstGeom prst="rect">
                            <a:avLst/>
                          </a:prstGeom>
                        </pic:spPr>
                      </pic:pic>
                      <pic:pic xmlns:pic="http://schemas.openxmlformats.org/drawingml/2006/picture">
                        <pic:nvPicPr>
                          <pic:cNvPr id="18" name="Image 18"/>
                          <pic:cNvPicPr/>
                        </pic:nvPicPr>
                        <pic:blipFill>
                          <a:blip r:embed="rId21" cstate="print"/>
                          <a:stretch>
                            <a:fillRect/>
                          </a:stretch>
                        </pic:blipFill>
                        <pic:spPr>
                          <a:xfrm>
                            <a:off x="1622805" y="1329182"/>
                            <a:ext cx="203326" cy="200786"/>
                          </a:xfrm>
                          <a:prstGeom prst="rect">
                            <a:avLst/>
                          </a:prstGeom>
                        </pic:spPr>
                      </pic:pic>
                      <pic:pic xmlns:pic="http://schemas.openxmlformats.org/drawingml/2006/picture">
                        <pic:nvPicPr>
                          <pic:cNvPr id="19" name="Image 19"/>
                          <pic:cNvPicPr/>
                        </pic:nvPicPr>
                        <pic:blipFill>
                          <a:blip r:embed="rId22" cstate="print"/>
                          <a:stretch>
                            <a:fillRect/>
                          </a:stretch>
                        </pic:blipFill>
                        <pic:spPr>
                          <a:xfrm>
                            <a:off x="1056258" y="1260728"/>
                            <a:ext cx="152019" cy="232156"/>
                          </a:xfrm>
                          <a:prstGeom prst="rect">
                            <a:avLst/>
                          </a:prstGeom>
                        </pic:spPr>
                      </pic:pic>
                      <pic:pic xmlns:pic="http://schemas.openxmlformats.org/drawingml/2006/picture">
                        <pic:nvPicPr>
                          <pic:cNvPr id="20" name="Image 20"/>
                          <pic:cNvPicPr/>
                        </pic:nvPicPr>
                        <pic:blipFill>
                          <a:blip r:embed="rId23" cstate="print"/>
                          <a:stretch>
                            <a:fillRect/>
                          </a:stretch>
                        </pic:blipFill>
                        <pic:spPr>
                          <a:xfrm>
                            <a:off x="434466" y="1148080"/>
                            <a:ext cx="147574" cy="223774"/>
                          </a:xfrm>
                          <a:prstGeom prst="rect">
                            <a:avLst/>
                          </a:prstGeom>
                        </pic:spPr>
                      </pic:pic>
                      <wps:wsp>
                        <wps:cNvPr id="21" name="Graphic 21"/>
                        <wps:cNvSpPr/>
                        <wps:spPr>
                          <a:xfrm>
                            <a:off x="158114" y="12700"/>
                            <a:ext cx="4622800" cy="614680"/>
                          </a:xfrm>
                          <a:custGeom>
                            <a:avLst/>
                            <a:gdLst/>
                            <a:ahLst/>
                            <a:cxnLst/>
                            <a:rect l="l" t="t" r="r" b="b"/>
                            <a:pathLst>
                              <a:path w="4622800" h="614680">
                                <a:moveTo>
                                  <a:pt x="0" y="614679"/>
                                </a:moveTo>
                                <a:lnTo>
                                  <a:pt x="1181099" y="614679"/>
                                </a:lnTo>
                                <a:lnTo>
                                  <a:pt x="1181099" y="0"/>
                                </a:lnTo>
                                <a:lnTo>
                                  <a:pt x="0" y="0"/>
                                </a:lnTo>
                                <a:lnTo>
                                  <a:pt x="0" y="614679"/>
                                </a:lnTo>
                                <a:close/>
                              </a:path>
                              <a:path w="4622800" h="614680">
                                <a:moveTo>
                                  <a:pt x="3441700" y="614679"/>
                                </a:moveTo>
                                <a:lnTo>
                                  <a:pt x="4622800" y="614679"/>
                                </a:lnTo>
                                <a:lnTo>
                                  <a:pt x="4622800" y="0"/>
                                </a:lnTo>
                                <a:lnTo>
                                  <a:pt x="3441700" y="0"/>
                                </a:lnTo>
                                <a:lnTo>
                                  <a:pt x="3441700" y="614679"/>
                                </a:lnTo>
                                <a:close/>
                              </a:path>
                            </a:pathLst>
                          </a:custGeom>
                          <a:ln w="25400">
                            <a:solidFill>
                              <a:srgbClr val="000000"/>
                            </a:solidFill>
                            <a:prstDash val="solid"/>
                          </a:ln>
                        </wps:spPr>
                        <wps:bodyPr wrap="square" lIns="0" tIns="0" rIns="0" bIns="0" rtlCol="0">
                          <a:noAutofit/>
                        </wps:bodyPr>
                      </wps:wsp>
                      <pic:pic xmlns:pic="http://schemas.openxmlformats.org/drawingml/2006/picture">
                        <pic:nvPicPr>
                          <pic:cNvPr id="22" name="Image 22"/>
                          <pic:cNvPicPr/>
                        </pic:nvPicPr>
                        <pic:blipFill>
                          <a:blip r:embed="rId24" cstate="print"/>
                          <a:stretch>
                            <a:fillRect/>
                          </a:stretch>
                        </pic:blipFill>
                        <pic:spPr>
                          <a:xfrm>
                            <a:off x="1296035" y="204597"/>
                            <a:ext cx="2420112" cy="239268"/>
                          </a:xfrm>
                          <a:prstGeom prst="rect">
                            <a:avLst/>
                          </a:prstGeom>
                        </pic:spPr>
                      </pic:pic>
                      <wps:wsp>
                        <wps:cNvPr id="23" name="Graphic 23"/>
                        <wps:cNvSpPr/>
                        <wps:spPr>
                          <a:xfrm>
                            <a:off x="1339214" y="266318"/>
                            <a:ext cx="2257425" cy="76200"/>
                          </a:xfrm>
                          <a:custGeom>
                            <a:avLst/>
                            <a:gdLst/>
                            <a:ahLst/>
                            <a:cxnLst/>
                            <a:rect l="l" t="t" r="r" b="b"/>
                            <a:pathLst>
                              <a:path w="2257425" h="76200">
                                <a:moveTo>
                                  <a:pt x="2232324" y="25400"/>
                                </a:moveTo>
                                <a:lnTo>
                                  <a:pt x="2193925" y="25400"/>
                                </a:lnTo>
                                <a:lnTo>
                                  <a:pt x="2193925" y="50800"/>
                                </a:lnTo>
                                <a:lnTo>
                                  <a:pt x="2181267" y="50842"/>
                                </a:lnTo>
                                <a:lnTo>
                                  <a:pt x="2181352" y="76200"/>
                                </a:lnTo>
                                <a:lnTo>
                                  <a:pt x="2257425" y="37846"/>
                                </a:lnTo>
                                <a:lnTo>
                                  <a:pt x="2232324" y="25400"/>
                                </a:lnTo>
                                <a:close/>
                              </a:path>
                              <a:path w="2257425" h="76200">
                                <a:moveTo>
                                  <a:pt x="2181182" y="25442"/>
                                </a:moveTo>
                                <a:lnTo>
                                  <a:pt x="0" y="32766"/>
                                </a:lnTo>
                                <a:lnTo>
                                  <a:pt x="0" y="58166"/>
                                </a:lnTo>
                                <a:lnTo>
                                  <a:pt x="2181267" y="50842"/>
                                </a:lnTo>
                                <a:lnTo>
                                  <a:pt x="2181182" y="25442"/>
                                </a:lnTo>
                                <a:close/>
                              </a:path>
                              <a:path w="2257425" h="76200">
                                <a:moveTo>
                                  <a:pt x="2193925" y="25400"/>
                                </a:moveTo>
                                <a:lnTo>
                                  <a:pt x="2181182" y="25442"/>
                                </a:lnTo>
                                <a:lnTo>
                                  <a:pt x="2181267" y="50842"/>
                                </a:lnTo>
                                <a:lnTo>
                                  <a:pt x="2193925" y="50800"/>
                                </a:lnTo>
                                <a:lnTo>
                                  <a:pt x="2193925" y="25400"/>
                                </a:lnTo>
                                <a:close/>
                              </a:path>
                              <a:path w="2257425" h="76200">
                                <a:moveTo>
                                  <a:pt x="2181098" y="0"/>
                                </a:moveTo>
                                <a:lnTo>
                                  <a:pt x="2181182" y="25442"/>
                                </a:lnTo>
                                <a:lnTo>
                                  <a:pt x="2232324" y="25400"/>
                                </a:lnTo>
                                <a:lnTo>
                                  <a:pt x="2181098" y="0"/>
                                </a:lnTo>
                                <a:close/>
                              </a:path>
                            </a:pathLst>
                          </a:custGeom>
                          <a:solidFill>
                            <a:srgbClr val="000000"/>
                          </a:solidFill>
                        </wps:spPr>
                        <wps:bodyPr wrap="square" lIns="0" tIns="0" rIns="0" bIns="0" rtlCol="0">
                          <a:noAutofit/>
                        </wps:bodyPr>
                      </wps:wsp>
                      <pic:pic xmlns:pic="http://schemas.openxmlformats.org/drawingml/2006/picture">
                        <pic:nvPicPr>
                          <pic:cNvPr id="24" name="Image 24"/>
                          <pic:cNvPicPr/>
                        </pic:nvPicPr>
                        <pic:blipFill>
                          <a:blip r:embed="rId25" cstate="print"/>
                          <a:stretch>
                            <a:fillRect/>
                          </a:stretch>
                        </pic:blipFill>
                        <pic:spPr>
                          <a:xfrm>
                            <a:off x="354202" y="520065"/>
                            <a:ext cx="530352" cy="1444752"/>
                          </a:xfrm>
                          <a:prstGeom prst="rect">
                            <a:avLst/>
                          </a:prstGeom>
                        </pic:spPr>
                      </pic:pic>
                      <wps:wsp>
                        <wps:cNvPr id="25" name="Graphic 25"/>
                        <wps:cNvSpPr/>
                        <wps:spPr>
                          <a:xfrm>
                            <a:off x="396747" y="619759"/>
                            <a:ext cx="384175" cy="1282065"/>
                          </a:xfrm>
                          <a:custGeom>
                            <a:avLst/>
                            <a:gdLst/>
                            <a:ahLst/>
                            <a:cxnLst/>
                            <a:rect l="l" t="t" r="r" b="b"/>
                            <a:pathLst>
                              <a:path w="384175" h="1282065">
                                <a:moveTo>
                                  <a:pt x="335173" y="70036"/>
                                </a:moveTo>
                                <a:lnTo>
                                  <a:pt x="0" y="1274825"/>
                                </a:lnTo>
                                <a:lnTo>
                                  <a:pt x="24384" y="1281683"/>
                                </a:lnTo>
                                <a:lnTo>
                                  <a:pt x="359553" y="76785"/>
                                </a:lnTo>
                                <a:lnTo>
                                  <a:pt x="335173" y="70036"/>
                                </a:lnTo>
                                <a:close/>
                              </a:path>
                              <a:path w="384175" h="1282065">
                                <a:moveTo>
                                  <a:pt x="379032" y="57784"/>
                                </a:moveTo>
                                <a:lnTo>
                                  <a:pt x="338582" y="57784"/>
                                </a:lnTo>
                                <a:lnTo>
                                  <a:pt x="362966" y="64515"/>
                                </a:lnTo>
                                <a:lnTo>
                                  <a:pt x="359553" y="76785"/>
                                </a:lnTo>
                                <a:lnTo>
                                  <a:pt x="384047" y="83565"/>
                                </a:lnTo>
                                <a:lnTo>
                                  <a:pt x="379032" y="57784"/>
                                </a:lnTo>
                                <a:close/>
                              </a:path>
                              <a:path w="384175" h="1282065">
                                <a:moveTo>
                                  <a:pt x="338582" y="57784"/>
                                </a:moveTo>
                                <a:lnTo>
                                  <a:pt x="335173" y="70036"/>
                                </a:lnTo>
                                <a:lnTo>
                                  <a:pt x="359553" y="76785"/>
                                </a:lnTo>
                                <a:lnTo>
                                  <a:pt x="362966" y="64515"/>
                                </a:lnTo>
                                <a:lnTo>
                                  <a:pt x="338582" y="57784"/>
                                </a:lnTo>
                                <a:close/>
                              </a:path>
                              <a:path w="384175" h="1282065">
                                <a:moveTo>
                                  <a:pt x="367791" y="0"/>
                                </a:moveTo>
                                <a:lnTo>
                                  <a:pt x="310641" y="63245"/>
                                </a:lnTo>
                                <a:lnTo>
                                  <a:pt x="335173" y="70036"/>
                                </a:lnTo>
                                <a:lnTo>
                                  <a:pt x="338582" y="57784"/>
                                </a:lnTo>
                                <a:lnTo>
                                  <a:pt x="379032" y="57784"/>
                                </a:lnTo>
                                <a:lnTo>
                                  <a:pt x="367791" y="0"/>
                                </a:lnTo>
                                <a:close/>
                              </a:path>
                            </a:pathLst>
                          </a:custGeom>
                          <a:solidFill>
                            <a:srgbClr val="000000"/>
                          </a:solidFill>
                        </wps:spPr>
                        <wps:bodyPr wrap="square" lIns="0" tIns="0" rIns="0" bIns="0" rtlCol="0">
                          <a:noAutofit/>
                        </wps:bodyPr>
                      </wps:wsp>
                      <wps:wsp>
                        <wps:cNvPr id="26" name="Graphic 26"/>
                        <wps:cNvSpPr/>
                        <wps:spPr>
                          <a:xfrm>
                            <a:off x="12700" y="1897888"/>
                            <a:ext cx="808990" cy="339725"/>
                          </a:xfrm>
                          <a:custGeom>
                            <a:avLst/>
                            <a:gdLst/>
                            <a:ahLst/>
                            <a:cxnLst/>
                            <a:rect l="l" t="t" r="r" b="b"/>
                            <a:pathLst>
                              <a:path w="808990" h="339725">
                                <a:moveTo>
                                  <a:pt x="808989" y="0"/>
                                </a:moveTo>
                                <a:lnTo>
                                  <a:pt x="0" y="0"/>
                                </a:lnTo>
                                <a:lnTo>
                                  <a:pt x="0" y="339725"/>
                                </a:lnTo>
                                <a:lnTo>
                                  <a:pt x="808989" y="339725"/>
                                </a:lnTo>
                                <a:lnTo>
                                  <a:pt x="808989" y="0"/>
                                </a:lnTo>
                                <a:close/>
                              </a:path>
                            </a:pathLst>
                          </a:custGeom>
                          <a:solidFill>
                            <a:srgbClr val="FFFFFF"/>
                          </a:solidFill>
                        </wps:spPr>
                        <wps:bodyPr wrap="square" lIns="0" tIns="0" rIns="0" bIns="0" rtlCol="0">
                          <a:noAutofit/>
                        </wps:bodyPr>
                      </wps:wsp>
                      <wps:wsp>
                        <wps:cNvPr id="27" name="Graphic 27"/>
                        <wps:cNvSpPr/>
                        <wps:spPr>
                          <a:xfrm>
                            <a:off x="12700" y="1897888"/>
                            <a:ext cx="808990" cy="339725"/>
                          </a:xfrm>
                          <a:custGeom>
                            <a:avLst/>
                            <a:gdLst/>
                            <a:ahLst/>
                            <a:cxnLst/>
                            <a:rect l="l" t="t" r="r" b="b"/>
                            <a:pathLst>
                              <a:path w="808990" h="339725">
                                <a:moveTo>
                                  <a:pt x="0" y="339725"/>
                                </a:moveTo>
                                <a:lnTo>
                                  <a:pt x="808989" y="339725"/>
                                </a:lnTo>
                                <a:lnTo>
                                  <a:pt x="808989" y="0"/>
                                </a:lnTo>
                                <a:lnTo>
                                  <a:pt x="0" y="0"/>
                                </a:lnTo>
                                <a:lnTo>
                                  <a:pt x="0" y="339725"/>
                                </a:lnTo>
                                <a:close/>
                              </a:path>
                            </a:pathLst>
                          </a:custGeom>
                          <a:ln w="25400">
                            <a:solidFill>
                              <a:srgbClr val="000000"/>
                            </a:solidFill>
                            <a:prstDash val="solid"/>
                          </a:ln>
                        </wps:spPr>
                        <wps:bodyPr wrap="square" lIns="0" tIns="0" rIns="0" bIns="0" rtlCol="0">
                          <a:noAutofit/>
                        </wps:bodyPr>
                      </wps:wsp>
                      <wps:wsp>
                        <wps:cNvPr id="28" name="Graphic 28"/>
                        <wps:cNvSpPr/>
                        <wps:spPr>
                          <a:xfrm>
                            <a:off x="821689" y="1897888"/>
                            <a:ext cx="899794" cy="338455"/>
                          </a:xfrm>
                          <a:custGeom>
                            <a:avLst/>
                            <a:gdLst/>
                            <a:ahLst/>
                            <a:cxnLst/>
                            <a:rect l="l" t="t" r="r" b="b"/>
                            <a:pathLst>
                              <a:path w="899794" h="338455">
                                <a:moveTo>
                                  <a:pt x="899794" y="0"/>
                                </a:moveTo>
                                <a:lnTo>
                                  <a:pt x="0" y="0"/>
                                </a:lnTo>
                                <a:lnTo>
                                  <a:pt x="0" y="338454"/>
                                </a:lnTo>
                                <a:lnTo>
                                  <a:pt x="899794" y="338454"/>
                                </a:lnTo>
                                <a:lnTo>
                                  <a:pt x="899794" y="0"/>
                                </a:lnTo>
                                <a:close/>
                              </a:path>
                            </a:pathLst>
                          </a:custGeom>
                          <a:solidFill>
                            <a:srgbClr val="FFFFFF"/>
                          </a:solidFill>
                        </wps:spPr>
                        <wps:bodyPr wrap="square" lIns="0" tIns="0" rIns="0" bIns="0" rtlCol="0">
                          <a:noAutofit/>
                        </wps:bodyPr>
                      </wps:wsp>
                      <wps:wsp>
                        <wps:cNvPr id="29" name="Graphic 29"/>
                        <wps:cNvSpPr/>
                        <wps:spPr>
                          <a:xfrm>
                            <a:off x="821689" y="1897888"/>
                            <a:ext cx="899794" cy="338455"/>
                          </a:xfrm>
                          <a:custGeom>
                            <a:avLst/>
                            <a:gdLst/>
                            <a:ahLst/>
                            <a:cxnLst/>
                            <a:rect l="l" t="t" r="r" b="b"/>
                            <a:pathLst>
                              <a:path w="899794" h="338455">
                                <a:moveTo>
                                  <a:pt x="0" y="338454"/>
                                </a:moveTo>
                                <a:lnTo>
                                  <a:pt x="899794" y="338454"/>
                                </a:lnTo>
                                <a:lnTo>
                                  <a:pt x="899794" y="0"/>
                                </a:lnTo>
                                <a:lnTo>
                                  <a:pt x="0" y="0"/>
                                </a:lnTo>
                                <a:lnTo>
                                  <a:pt x="0" y="338454"/>
                                </a:lnTo>
                                <a:close/>
                              </a:path>
                            </a:pathLst>
                          </a:custGeom>
                          <a:ln w="25400">
                            <a:solidFill>
                              <a:srgbClr val="000000"/>
                            </a:solidFill>
                            <a:prstDash val="solid"/>
                          </a:ln>
                        </wps:spPr>
                        <wps:bodyPr wrap="square" lIns="0" tIns="0" rIns="0" bIns="0" rtlCol="0">
                          <a:noAutofit/>
                        </wps:bodyPr>
                      </wps:wsp>
                      <wps:wsp>
                        <wps:cNvPr id="30" name="Graphic 30"/>
                        <wps:cNvSpPr/>
                        <wps:spPr>
                          <a:xfrm>
                            <a:off x="1695450" y="1897888"/>
                            <a:ext cx="863600" cy="339725"/>
                          </a:xfrm>
                          <a:custGeom>
                            <a:avLst/>
                            <a:gdLst/>
                            <a:ahLst/>
                            <a:cxnLst/>
                            <a:rect l="l" t="t" r="r" b="b"/>
                            <a:pathLst>
                              <a:path w="863600" h="339725">
                                <a:moveTo>
                                  <a:pt x="863600" y="0"/>
                                </a:moveTo>
                                <a:lnTo>
                                  <a:pt x="0" y="0"/>
                                </a:lnTo>
                                <a:lnTo>
                                  <a:pt x="0" y="339725"/>
                                </a:lnTo>
                                <a:lnTo>
                                  <a:pt x="863600" y="339725"/>
                                </a:lnTo>
                                <a:lnTo>
                                  <a:pt x="863600" y="0"/>
                                </a:lnTo>
                                <a:close/>
                              </a:path>
                            </a:pathLst>
                          </a:custGeom>
                          <a:solidFill>
                            <a:srgbClr val="FFFFFF"/>
                          </a:solidFill>
                        </wps:spPr>
                        <wps:bodyPr wrap="square" lIns="0" tIns="0" rIns="0" bIns="0" rtlCol="0">
                          <a:noAutofit/>
                        </wps:bodyPr>
                      </wps:wsp>
                      <wps:wsp>
                        <wps:cNvPr id="31" name="Graphic 31"/>
                        <wps:cNvSpPr/>
                        <wps:spPr>
                          <a:xfrm>
                            <a:off x="1695450" y="1897888"/>
                            <a:ext cx="1715135" cy="339725"/>
                          </a:xfrm>
                          <a:custGeom>
                            <a:avLst/>
                            <a:gdLst/>
                            <a:ahLst/>
                            <a:cxnLst/>
                            <a:rect l="l" t="t" r="r" b="b"/>
                            <a:pathLst>
                              <a:path w="1715135" h="339725">
                                <a:moveTo>
                                  <a:pt x="0" y="339725"/>
                                </a:moveTo>
                                <a:lnTo>
                                  <a:pt x="863600" y="339725"/>
                                </a:lnTo>
                                <a:lnTo>
                                  <a:pt x="863600" y="0"/>
                                </a:lnTo>
                                <a:lnTo>
                                  <a:pt x="0" y="0"/>
                                </a:lnTo>
                                <a:lnTo>
                                  <a:pt x="0" y="339725"/>
                                </a:lnTo>
                                <a:close/>
                              </a:path>
                              <a:path w="1715135" h="339725">
                                <a:moveTo>
                                  <a:pt x="865504" y="339725"/>
                                </a:moveTo>
                                <a:lnTo>
                                  <a:pt x="1715134" y="339725"/>
                                </a:lnTo>
                                <a:lnTo>
                                  <a:pt x="1715134" y="0"/>
                                </a:lnTo>
                                <a:lnTo>
                                  <a:pt x="865504" y="0"/>
                                </a:lnTo>
                                <a:lnTo>
                                  <a:pt x="865504" y="339725"/>
                                </a:lnTo>
                                <a:close/>
                              </a:path>
                            </a:pathLst>
                          </a:custGeom>
                          <a:ln w="25400">
                            <a:solidFill>
                              <a:srgbClr val="000000"/>
                            </a:solidFill>
                            <a:prstDash val="solid"/>
                          </a:ln>
                        </wps:spPr>
                        <wps:bodyPr wrap="square" lIns="0" tIns="0" rIns="0" bIns="0" rtlCol="0">
                          <a:noAutofit/>
                        </wps:bodyPr>
                      </wps:wsp>
                      <pic:pic xmlns:pic="http://schemas.openxmlformats.org/drawingml/2006/picture">
                        <pic:nvPicPr>
                          <pic:cNvPr id="32" name="Image 32"/>
                          <pic:cNvPicPr/>
                        </pic:nvPicPr>
                        <pic:blipFill>
                          <a:blip r:embed="rId26" cstate="print"/>
                          <a:stretch>
                            <a:fillRect/>
                          </a:stretch>
                        </pic:blipFill>
                        <pic:spPr>
                          <a:xfrm>
                            <a:off x="645287" y="520065"/>
                            <a:ext cx="643127" cy="1444752"/>
                          </a:xfrm>
                          <a:prstGeom prst="rect">
                            <a:avLst/>
                          </a:prstGeom>
                        </pic:spPr>
                      </pic:pic>
                      <wps:wsp>
                        <wps:cNvPr id="33" name="Graphic 33"/>
                        <wps:cNvSpPr/>
                        <wps:spPr>
                          <a:xfrm>
                            <a:off x="755015" y="619759"/>
                            <a:ext cx="490855" cy="1282700"/>
                          </a:xfrm>
                          <a:custGeom>
                            <a:avLst/>
                            <a:gdLst/>
                            <a:ahLst/>
                            <a:cxnLst/>
                            <a:rect l="l" t="t" r="r" b="b"/>
                            <a:pathLst>
                              <a:path w="490855" h="1282700">
                                <a:moveTo>
                                  <a:pt x="47687" y="67175"/>
                                </a:moveTo>
                                <a:lnTo>
                                  <a:pt x="23816" y="75952"/>
                                </a:lnTo>
                                <a:lnTo>
                                  <a:pt x="466852" y="1282572"/>
                                </a:lnTo>
                                <a:lnTo>
                                  <a:pt x="490728" y="1273809"/>
                                </a:lnTo>
                                <a:lnTo>
                                  <a:pt x="47687" y="67175"/>
                                </a:lnTo>
                                <a:close/>
                              </a:path>
                              <a:path w="490855" h="1282700">
                                <a:moveTo>
                                  <a:pt x="9525" y="0"/>
                                </a:moveTo>
                                <a:lnTo>
                                  <a:pt x="0" y="84708"/>
                                </a:lnTo>
                                <a:lnTo>
                                  <a:pt x="23816" y="75952"/>
                                </a:lnTo>
                                <a:lnTo>
                                  <a:pt x="19431" y="64007"/>
                                </a:lnTo>
                                <a:lnTo>
                                  <a:pt x="43307" y="55244"/>
                                </a:lnTo>
                                <a:lnTo>
                                  <a:pt x="68132" y="55244"/>
                                </a:lnTo>
                                <a:lnTo>
                                  <a:pt x="9525" y="0"/>
                                </a:lnTo>
                                <a:close/>
                              </a:path>
                              <a:path w="490855" h="1282700">
                                <a:moveTo>
                                  <a:pt x="43307" y="55244"/>
                                </a:moveTo>
                                <a:lnTo>
                                  <a:pt x="19431" y="64007"/>
                                </a:lnTo>
                                <a:lnTo>
                                  <a:pt x="23816" y="75952"/>
                                </a:lnTo>
                                <a:lnTo>
                                  <a:pt x="47687" y="67175"/>
                                </a:lnTo>
                                <a:lnTo>
                                  <a:pt x="43307" y="55244"/>
                                </a:lnTo>
                                <a:close/>
                              </a:path>
                              <a:path w="490855" h="1282700">
                                <a:moveTo>
                                  <a:pt x="68132" y="55244"/>
                                </a:moveTo>
                                <a:lnTo>
                                  <a:pt x="43307" y="55244"/>
                                </a:lnTo>
                                <a:lnTo>
                                  <a:pt x="47687" y="67175"/>
                                </a:lnTo>
                                <a:lnTo>
                                  <a:pt x="71501" y="58419"/>
                                </a:lnTo>
                                <a:lnTo>
                                  <a:pt x="68132" y="55244"/>
                                </a:lnTo>
                                <a:close/>
                              </a:path>
                            </a:pathLst>
                          </a:custGeom>
                          <a:solidFill>
                            <a:srgbClr val="000000"/>
                          </a:solidFill>
                        </wps:spPr>
                        <wps:bodyPr wrap="square" lIns="0" tIns="0" rIns="0" bIns="0" rtlCol="0">
                          <a:noAutofit/>
                        </wps:bodyPr>
                      </wps:wsp>
                      <pic:pic xmlns:pic="http://schemas.openxmlformats.org/drawingml/2006/picture">
                        <pic:nvPicPr>
                          <pic:cNvPr id="34" name="Image 34"/>
                          <pic:cNvPicPr/>
                        </pic:nvPicPr>
                        <pic:blipFill>
                          <a:blip r:embed="rId27" cstate="print"/>
                          <a:stretch>
                            <a:fillRect/>
                          </a:stretch>
                        </pic:blipFill>
                        <pic:spPr>
                          <a:xfrm>
                            <a:off x="645287" y="527684"/>
                            <a:ext cx="1513332" cy="1441703"/>
                          </a:xfrm>
                          <a:prstGeom prst="rect">
                            <a:avLst/>
                          </a:prstGeom>
                        </pic:spPr>
                      </pic:pic>
                      <wps:wsp>
                        <wps:cNvPr id="35" name="Graphic 35"/>
                        <wps:cNvSpPr/>
                        <wps:spPr>
                          <a:xfrm>
                            <a:off x="764540" y="627380"/>
                            <a:ext cx="1351915" cy="1280160"/>
                          </a:xfrm>
                          <a:custGeom>
                            <a:avLst/>
                            <a:gdLst/>
                            <a:ahLst/>
                            <a:cxnLst/>
                            <a:rect l="l" t="t" r="r" b="b"/>
                            <a:pathLst>
                              <a:path w="1351915" h="1280160">
                                <a:moveTo>
                                  <a:pt x="64066" y="43122"/>
                                </a:moveTo>
                                <a:lnTo>
                                  <a:pt x="46605" y="61600"/>
                                </a:lnTo>
                                <a:lnTo>
                                  <a:pt x="1334262" y="1279906"/>
                                </a:lnTo>
                                <a:lnTo>
                                  <a:pt x="1351788" y="1261364"/>
                                </a:lnTo>
                                <a:lnTo>
                                  <a:pt x="64066" y="43122"/>
                                </a:lnTo>
                                <a:close/>
                              </a:path>
                              <a:path w="1351915" h="1280160">
                                <a:moveTo>
                                  <a:pt x="0" y="0"/>
                                </a:moveTo>
                                <a:lnTo>
                                  <a:pt x="29210" y="80010"/>
                                </a:lnTo>
                                <a:lnTo>
                                  <a:pt x="46605" y="61600"/>
                                </a:lnTo>
                                <a:lnTo>
                                  <a:pt x="37337" y="52832"/>
                                </a:lnTo>
                                <a:lnTo>
                                  <a:pt x="54864" y="34417"/>
                                </a:lnTo>
                                <a:lnTo>
                                  <a:pt x="72293" y="34417"/>
                                </a:lnTo>
                                <a:lnTo>
                                  <a:pt x="81534" y="24638"/>
                                </a:lnTo>
                                <a:lnTo>
                                  <a:pt x="0" y="0"/>
                                </a:lnTo>
                                <a:close/>
                              </a:path>
                              <a:path w="1351915" h="1280160">
                                <a:moveTo>
                                  <a:pt x="54864" y="34417"/>
                                </a:moveTo>
                                <a:lnTo>
                                  <a:pt x="37337" y="52832"/>
                                </a:lnTo>
                                <a:lnTo>
                                  <a:pt x="46605" y="61600"/>
                                </a:lnTo>
                                <a:lnTo>
                                  <a:pt x="64066" y="43122"/>
                                </a:lnTo>
                                <a:lnTo>
                                  <a:pt x="54864" y="34417"/>
                                </a:lnTo>
                                <a:close/>
                              </a:path>
                              <a:path w="1351915" h="1280160">
                                <a:moveTo>
                                  <a:pt x="72293" y="34417"/>
                                </a:moveTo>
                                <a:lnTo>
                                  <a:pt x="54864" y="34417"/>
                                </a:lnTo>
                                <a:lnTo>
                                  <a:pt x="64066" y="43122"/>
                                </a:lnTo>
                                <a:lnTo>
                                  <a:pt x="72293" y="34417"/>
                                </a:lnTo>
                                <a:close/>
                              </a:path>
                            </a:pathLst>
                          </a:custGeom>
                          <a:solidFill>
                            <a:srgbClr val="000000"/>
                          </a:solidFill>
                        </wps:spPr>
                        <wps:bodyPr wrap="square" lIns="0" tIns="0" rIns="0" bIns="0" rtlCol="0">
                          <a:noAutofit/>
                        </wps:bodyPr>
                      </wps:wsp>
                      <pic:pic xmlns:pic="http://schemas.openxmlformats.org/drawingml/2006/picture">
                        <pic:nvPicPr>
                          <pic:cNvPr id="36" name="Image 36"/>
                          <pic:cNvPicPr/>
                        </pic:nvPicPr>
                        <pic:blipFill>
                          <a:blip r:embed="rId28" cstate="print"/>
                          <a:stretch>
                            <a:fillRect/>
                          </a:stretch>
                        </pic:blipFill>
                        <pic:spPr>
                          <a:xfrm>
                            <a:off x="2591054" y="1054100"/>
                            <a:ext cx="634746" cy="373888"/>
                          </a:xfrm>
                          <a:prstGeom prst="rect">
                            <a:avLst/>
                          </a:prstGeom>
                        </pic:spPr>
                      </pic:pic>
                      <pic:pic xmlns:pic="http://schemas.openxmlformats.org/drawingml/2006/picture">
                        <pic:nvPicPr>
                          <pic:cNvPr id="37" name="Image 37"/>
                          <pic:cNvPicPr/>
                        </pic:nvPicPr>
                        <pic:blipFill>
                          <a:blip r:embed="rId29" cstate="print"/>
                          <a:stretch>
                            <a:fillRect/>
                          </a:stretch>
                        </pic:blipFill>
                        <pic:spPr>
                          <a:xfrm>
                            <a:off x="645287" y="527684"/>
                            <a:ext cx="2377440" cy="1443227"/>
                          </a:xfrm>
                          <a:prstGeom prst="rect">
                            <a:avLst/>
                          </a:prstGeom>
                        </pic:spPr>
                      </pic:pic>
                      <wps:wsp>
                        <wps:cNvPr id="38" name="Graphic 38"/>
                        <wps:cNvSpPr/>
                        <wps:spPr>
                          <a:xfrm>
                            <a:off x="764540" y="627380"/>
                            <a:ext cx="2214880" cy="1281430"/>
                          </a:xfrm>
                          <a:custGeom>
                            <a:avLst/>
                            <a:gdLst/>
                            <a:ahLst/>
                            <a:cxnLst/>
                            <a:rect l="l" t="t" r="r" b="b"/>
                            <a:pathLst>
                              <a:path w="2214880" h="1281430">
                                <a:moveTo>
                                  <a:pt x="72438" y="26955"/>
                                </a:moveTo>
                                <a:lnTo>
                                  <a:pt x="59765" y="48996"/>
                                </a:lnTo>
                                <a:lnTo>
                                  <a:pt x="2202180" y="1281049"/>
                                </a:lnTo>
                                <a:lnTo>
                                  <a:pt x="2214880" y="1258951"/>
                                </a:lnTo>
                                <a:lnTo>
                                  <a:pt x="72438" y="26955"/>
                                </a:lnTo>
                                <a:close/>
                              </a:path>
                              <a:path w="2214880" h="1281430">
                                <a:moveTo>
                                  <a:pt x="0" y="0"/>
                                </a:moveTo>
                                <a:lnTo>
                                  <a:pt x="47117" y="70993"/>
                                </a:lnTo>
                                <a:lnTo>
                                  <a:pt x="59765" y="48996"/>
                                </a:lnTo>
                                <a:lnTo>
                                  <a:pt x="48768" y="42672"/>
                                </a:lnTo>
                                <a:lnTo>
                                  <a:pt x="61341" y="20574"/>
                                </a:lnTo>
                                <a:lnTo>
                                  <a:pt x="76107" y="20574"/>
                                </a:lnTo>
                                <a:lnTo>
                                  <a:pt x="85090" y="4953"/>
                                </a:lnTo>
                                <a:lnTo>
                                  <a:pt x="0" y="0"/>
                                </a:lnTo>
                                <a:close/>
                              </a:path>
                              <a:path w="2214880" h="1281430">
                                <a:moveTo>
                                  <a:pt x="61341" y="20574"/>
                                </a:moveTo>
                                <a:lnTo>
                                  <a:pt x="48768" y="42672"/>
                                </a:lnTo>
                                <a:lnTo>
                                  <a:pt x="59765" y="48996"/>
                                </a:lnTo>
                                <a:lnTo>
                                  <a:pt x="72438" y="26955"/>
                                </a:lnTo>
                                <a:lnTo>
                                  <a:pt x="61341" y="20574"/>
                                </a:lnTo>
                                <a:close/>
                              </a:path>
                              <a:path w="2214880" h="1281430">
                                <a:moveTo>
                                  <a:pt x="76107" y="20574"/>
                                </a:moveTo>
                                <a:lnTo>
                                  <a:pt x="61341" y="20574"/>
                                </a:lnTo>
                                <a:lnTo>
                                  <a:pt x="72438" y="26955"/>
                                </a:lnTo>
                                <a:lnTo>
                                  <a:pt x="76107" y="20574"/>
                                </a:lnTo>
                                <a:close/>
                              </a:path>
                            </a:pathLst>
                          </a:custGeom>
                          <a:solidFill>
                            <a:srgbClr val="000000"/>
                          </a:solidFill>
                        </wps:spPr>
                        <wps:bodyPr wrap="square" lIns="0" tIns="0" rIns="0" bIns="0" rtlCol="0">
                          <a:noAutofit/>
                        </wps:bodyPr>
                      </wps:wsp>
                      <wps:wsp>
                        <wps:cNvPr id="39" name="Graphic 39"/>
                        <wps:cNvSpPr/>
                        <wps:spPr>
                          <a:xfrm>
                            <a:off x="3413759" y="1898523"/>
                            <a:ext cx="849630" cy="339725"/>
                          </a:xfrm>
                          <a:custGeom>
                            <a:avLst/>
                            <a:gdLst/>
                            <a:ahLst/>
                            <a:cxnLst/>
                            <a:rect l="l" t="t" r="r" b="b"/>
                            <a:pathLst>
                              <a:path w="849630" h="339725">
                                <a:moveTo>
                                  <a:pt x="0" y="339725"/>
                                </a:moveTo>
                                <a:lnTo>
                                  <a:pt x="849630" y="339725"/>
                                </a:lnTo>
                                <a:lnTo>
                                  <a:pt x="849630" y="0"/>
                                </a:lnTo>
                                <a:lnTo>
                                  <a:pt x="0" y="0"/>
                                </a:lnTo>
                                <a:lnTo>
                                  <a:pt x="0" y="339725"/>
                                </a:lnTo>
                                <a:close/>
                              </a:path>
                            </a:pathLst>
                          </a:custGeom>
                          <a:ln w="25400">
                            <a:solidFill>
                              <a:srgbClr val="000000"/>
                            </a:solidFill>
                            <a:prstDash val="solid"/>
                          </a:ln>
                        </wps:spPr>
                        <wps:bodyPr wrap="square" lIns="0" tIns="0" rIns="0" bIns="0" rtlCol="0">
                          <a:noAutofit/>
                        </wps:bodyPr>
                      </wps:wsp>
                      <wps:wsp>
                        <wps:cNvPr id="40" name="Graphic 40"/>
                        <wps:cNvSpPr/>
                        <wps:spPr>
                          <a:xfrm>
                            <a:off x="4257675" y="1895982"/>
                            <a:ext cx="849630" cy="339725"/>
                          </a:xfrm>
                          <a:custGeom>
                            <a:avLst/>
                            <a:gdLst/>
                            <a:ahLst/>
                            <a:cxnLst/>
                            <a:rect l="l" t="t" r="r" b="b"/>
                            <a:pathLst>
                              <a:path w="849630" h="339725">
                                <a:moveTo>
                                  <a:pt x="849629" y="0"/>
                                </a:moveTo>
                                <a:lnTo>
                                  <a:pt x="0" y="0"/>
                                </a:lnTo>
                                <a:lnTo>
                                  <a:pt x="0" y="339725"/>
                                </a:lnTo>
                                <a:lnTo>
                                  <a:pt x="849629" y="339725"/>
                                </a:lnTo>
                                <a:lnTo>
                                  <a:pt x="849629" y="0"/>
                                </a:lnTo>
                                <a:close/>
                              </a:path>
                            </a:pathLst>
                          </a:custGeom>
                          <a:solidFill>
                            <a:srgbClr val="FFFFFF"/>
                          </a:solidFill>
                        </wps:spPr>
                        <wps:bodyPr wrap="square" lIns="0" tIns="0" rIns="0" bIns="0" rtlCol="0">
                          <a:noAutofit/>
                        </wps:bodyPr>
                      </wps:wsp>
                      <wps:wsp>
                        <wps:cNvPr id="41" name="Graphic 41"/>
                        <wps:cNvSpPr/>
                        <wps:spPr>
                          <a:xfrm>
                            <a:off x="4257675" y="1895982"/>
                            <a:ext cx="849630" cy="339725"/>
                          </a:xfrm>
                          <a:custGeom>
                            <a:avLst/>
                            <a:gdLst/>
                            <a:ahLst/>
                            <a:cxnLst/>
                            <a:rect l="l" t="t" r="r" b="b"/>
                            <a:pathLst>
                              <a:path w="849630" h="339725">
                                <a:moveTo>
                                  <a:pt x="0" y="339725"/>
                                </a:moveTo>
                                <a:lnTo>
                                  <a:pt x="849629" y="339725"/>
                                </a:lnTo>
                                <a:lnTo>
                                  <a:pt x="849629" y="0"/>
                                </a:lnTo>
                                <a:lnTo>
                                  <a:pt x="0" y="0"/>
                                </a:lnTo>
                                <a:lnTo>
                                  <a:pt x="0" y="339725"/>
                                </a:lnTo>
                                <a:close/>
                              </a:path>
                            </a:pathLst>
                          </a:custGeom>
                          <a:ln w="25400">
                            <a:solidFill>
                              <a:srgbClr val="000000"/>
                            </a:solidFill>
                            <a:prstDash val="solid"/>
                          </a:ln>
                        </wps:spPr>
                        <wps:bodyPr wrap="square" lIns="0" tIns="0" rIns="0" bIns="0" rtlCol="0">
                          <a:noAutofit/>
                        </wps:bodyPr>
                      </wps:wsp>
                      <pic:pic xmlns:pic="http://schemas.openxmlformats.org/drawingml/2006/picture">
                        <pic:nvPicPr>
                          <pic:cNvPr id="42" name="Image 42"/>
                          <pic:cNvPicPr/>
                        </pic:nvPicPr>
                        <pic:blipFill>
                          <a:blip r:embed="rId30" cstate="print"/>
                          <a:stretch>
                            <a:fillRect/>
                          </a:stretch>
                        </pic:blipFill>
                        <pic:spPr>
                          <a:xfrm>
                            <a:off x="695579" y="526161"/>
                            <a:ext cx="3233927" cy="1452371"/>
                          </a:xfrm>
                          <a:prstGeom prst="rect">
                            <a:avLst/>
                          </a:prstGeom>
                        </pic:spPr>
                      </pic:pic>
                      <wps:wsp>
                        <wps:cNvPr id="43" name="Graphic 43"/>
                        <wps:cNvSpPr/>
                        <wps:spPr>
                          <a:xfrm>
                            <a:off x="815339" y="620268"/>
                            <a:ext cx="3071495" cy="1296035"/>
                          </a:xfrm>
                          <a:custGeom>
                            <a:avLst/>
                            <a:gdLst/>
                            <a:ahLst/>
                            <a:cxnLst/>
                            <a:rect l="l" t="t" r="r" b="b"/>
                            <a:pathLst>
                              <a:path w="3071495" h="1296035">
                                <a:moveTo>
                                  <a:pt x="75198" y="23418"/>
                                </a:moveTo>
                                <a:lnTo>
                                  <a:pt x="65404" y="46906"/>
                                </a:lnTo>
                                <a:lnTo>
                                  <a:pt x="3061589" y="1295780"/>
                                </a:lnTo>
                                <a:lnTo>
                                  <a:pt x="3071241" y="1272413"/>
                                </a:lnTo>
                                <a:lnTo>
                                  <a:pt x="75198" y="23418"/>
                                </a:lnTo>
                                <a:close/>
                              </a:path>
                              <a:path w="3071495" h="1296035">
                                <a:moveTo>
                                  <a:pt x="84962" y="0"/>
                                </a:moveTo>
                                <a:lnTo>
                                  <a:pt x="0" y="5842"/>
                                </a:lnTo>
                                <a:lnTo>
                                  <a:pt x="55626" y="70357"/>
                                </a:lnTo>
                                <a:lnTo>
                                  <a:pt x="65404" y="46906"/>
                                </a:lnTo>
                                <a:lnTo>
                                  <a:pt x="53721" y="42036"/>
                                </a:lnTo>
                                <a:lnTo>
                                  <a:pt x="63500" y="18542"/>
                                </a:lnTo>
                                <a:lnTo>
                                  <a:pt x="77231" y="18542"/>
                                </a:lnTo>
                                <a:lnTo>
                                  <a:pt x="84962" y="0"/>
                                </a:lnTo>
                                <a:close/>
                              </a:path>
                              <a:path w="3071495" h="1296035">
                                <a:moveTo>
                                  <a:pt x="63500" y="18542"/>
                                </a:moveTo>
                                <a:lnTo>
                                  <a:pt x="53721" y="42036"/>
                                </a:lnTo>
                                <a:lnTo>
                                  <a:pt x="65404" y="46906"/>
                                </a:lnTo>
                                <a:lnTo>
                                  <a:pt x="75198" y="23418"/>
                                </a:lnTo>
                                <a:lnTo>
                                  <a:pt x="63500" y="18542"/>
                                </a:lnTo>
                                <a:close/>
                              </a:path>
                              <a:path w="3071495" h="1296035">
                                <a:moveTo>
                                  <a:pt x="77231" y="18542"/>
                                </a:moveTo>
                                <a:lnTo>
                                  <a:pt x="63500" y="18542"/>
                                </a:lnTo>
                                <a:lnTo>
                                  <a:pt x="75198" y="23418"/>
                                </a:lnTo>
                                <a:lnTo>
                                  <a:pt x="77231" y="18542"/>
                                </a:lnTo>
                                <a:close/>
                              </a:path>
                            </a:pathLst>
                          </a:custGeom>
                          <a:solidFill>
                            <a:srgbClr val="000000"/>
                          </a:solidFill>
                        </wps:spPr>
                        <wps:bodyPr wrap="square" lIns="0" tIns="0" rIns="0" bIns="0" rtlCol="0">
                          <a:noAutofit/>
                        </wps:bodyPr>
                      </wps:wsp>
                      <pic:pic xmlns:pic="http://schemas.openxmlformats.org/drawingml/2006/picture">
                        <pic:nvPicPr>
                          <pic:cNvPr id="44" name="Image 44"/>
                          <pic:cNvPicPr/>
                        </pic:nvPicPr>
                        <pic:blipFill>
                          <a:blip r:embed="rId31" cstate="print"/>
                          <a:stretch>
                            <a:fillRect/>
                          </a:stretch>
                        </pic:blipFill>
                        <pic:spPr>
                          <a:xfrm>
                            <a:off x="750443" y="520065"/>
                            <a:ext cx="4017263" cy="1452371"/>
                          </a:xfrm>
                          <a:prstGeom prst="rect">
                            <a:avLst/>
                          </a:prstGeom>
                        </pic:spPr>
                      </pic:pic>
                      <wps:wsp>
                        <wps:cNvPr id="45" name="Graphic 45"/>
                        <wps:cNvSpPr/>
                        <wps:spPr>
                          <a:xfrm>
                            <a:off x="869950" y="607568"/>
                            <a:ext cx="3855720" cy="1303020"/>
                          </a:xfrm>
                          <a:custGeom>
                            <a:avLst/>
                            <a:gdLst/>
                            <a:ahLst/>
                            <a:cxnLst/>
                            <a:rect l="l" t="t" r="r" b="b"/>
                            <a:pathLst>
                              <a:path w="3855720" h="1303020">
                                <a:moveTo>
                                  <a:pt x="76344" y="24076"/>
                                </a:moveTo>
                                <a:lnTo>
                                  <a:pt x="68343" y="48206"/>
                                </a:lnTo>
                                <a:lnTo>
                                  <a:pt x="3847211" y="1302512"/>
                                </a:lnTo>
                                <a:lnTo>
                                  <a:pt x="3855212" y="1278381"/>
                                </a:lnTo>
                                <a:lnTo>
                                  <a:pt x="76344" y="24076"/>
                                </a:lnTo>
                                <a:close/>
                              </a:path>
                              <a:path w="3855720" h="1303020">
                                <a:moveTo>
                                  <a:pt x="84327" y="0"/>
                                </a:moveTo>
                                <a:lnTo>
                                  <a:pt x="0" y="12192"/>
                                </a:lnTo>
                                <a:lnTo>
                                  <a:pt x="60325" y="72390"/>
                                </a:lnTo>
                                <a:lnTo>
                                  <a:pt x="68343" y="48206"/>
                                </a:lnTo>
                                <a:lnTo>
                                  <a:pt x="56261" y="44196"/>
                                </a:lnTo>
                                <a:lnTo>
                                  <a:pt x="64262" y="20066"/>
                                </a:lnTo>
                                <a:lnTo>
                                  <a:pt x="77674" y="20066"/>
                                </a:lnTo>
                                <a:lnTo>
                                  <a:pt x="84327" y="0"/>
                                </a:lnTo>
                                <a:close/>
                              </a:path>
                              <a:path w="3855720" h="1303020">
                                <a:moveTo>
                                  <a:pt x="64262" y="20066"/>
                                </a:moveTo>
                                <a:lnTo>
                                  <a:pt x="56261" y="44196"/>
                                </a:lnTo>
                                <a:lnTo>
                                  <a:pt x="68343" y="48206"/>
                                </a:lnTo>
                                <a:lnTo>
                                  <a:pt x="76344" y="24076"/>
                                </a:lnTo>
                                <a:lnTo>
                                  <a:pt x="64262" y="20066"/>
                                </a:lnTo>
                                <a:close/>
                              </a:path>
                              <a:path w="3855720" h="1303020">
                                <a:moveTo>
                                  <a:pt x="77674" y="20066"/>
                                </a:moveTo>
                                <a:lnTo>
                                  <a:pt x="64262" y="20066"/>
                                </a:lnTo>
                                <a:lnTo>
                                  <a:pt x="76344" y="24076"/>
                                </a:lnTo>
                                <a:lnTo>
                                  <a:pt x="77674" y="20066"/>
                                </a:lnTo>
                                <a:close/>
                              </a:path>
                            </a:pathLst>
                          </a:custGeom>
                          <a:solidFill>
                            <a:srgbClr val="000000"/>
                          </a:solidFill>
                        </wps:spPr>
                        <wps:bodyPr wrap="square" lIns="0" tIns="0" rIns="0" bIns="0" rtlCol="0">
                          <a:noAutofit/>
                        </wps:bodyPr>
                      </wps:wsp>
                      <wps:wsp>
                        <wps:cNvPr id="46" name="Textbox 46"/>
                        <wps:cNvSpPr txBox="1"/>
                        <wps:spPr>
                          <a:xfrm>
                            <a:off x="310261" y="75564"/>
                            <a:ext cx="890905" cy="325120"/>
                          </a:xfrm>
                          <a:prstGeom prst="rect">
                            <a:avLst/>
                          </a:prstGeom>
                        </wps:spPr>
                        <wps:txbx>
                          <w:txbxContent>
                            <w:p w14:paraId="5E3715DE">
                              <w:pPr>
                                <w:spacing w:line="199" w:lineRule="exact"/>
                                <w:ind w:right="18"/>
                                <w:jc w:val="center"/>
                                <w:rPr>
                                  <w:b/>
                                  <w:sz w:val="18"/>
                                </w:rPr>
                              </w:pPr>
                              <w:r>
                                <w:rPr>
                                  <w:b/>
                                  <w:sz w:val="18"/>
                                </w:rPr>
                                <w:t>Sanal</w:t>
                              </w:r>
                              <w:r>
                                <w:rPr>
                                  <w:b/>
                                  <w:spacing w:val="-8"/>
                                  <w:sz w:val="18"/>
                                </w:rPr>
                                <w:t xml:space="preserve"> </w:t>
                              </w:r>
                              <w:r>
                                <w:rPr>
                                  <w:b/>
                                  <w:spacing w:val="-2"/>
                                  <w:sz w:val="18"/>
                                </w:rPr>
                                <w:t>Rekreasyon</w:t>
                              </w:r>
                            </w:p>
                            <w:p w14:paraId="51F77C83">
                              <w:pPr>
                                <w:spacing w:before="105"/>
                                <w:ind w:right="21"/>
                                <w:jc w:val="center"/>
                                <w:rPr>
                                  <w:b/>
                                  <w:sz w:val="18"/>
                                </w:rPr>
                              </w:pPr>
                              <w:r>
                                <w:rPr>
                                  <w:b/>
                                  <w:spacing w:val="-2"/>
                                  <w:sz w:val="18"/>
                                </w:rPr>
                                <w:t>Deneyimleri</w:t>
                              </w:r>
                            </w:p>
                          </w:txbxContent>
                        </wps:txbx>
                        <wps:bodyPr wrap="square" lIns="0" tIns="0" rIns="0" bIns="0" rtlCol="0">
                          <a:noAutofit/>
                        </wps:bodyPr>
                      </wps:wsp>
                      <wps:wsp>
                        <wps:cNvPr id="47" name="Textbox 47"/>
                        <wps:cNvSpPr txBox="1"/>
                        <wps:spPr>
                          <a:xfrm>
                            <a:off x="2253742" y="156336"/>
                            <a:ext cx="158115" cy="127000"/>
                          </a:xfrm>
                          <a:prstGeom prst="rect">
                            <a:avLst/>
                          </a:prstGeom>
                        </wps:spPr>
                        <wps:txbx>
                          <w:txbxContent>
                            <w:p w14:paraId="18865EFD">
                              <w:pPr>
                                <w:spacing w:line="199" w:lineRule="exact"/>
                                <w:rPr>
                                  <w:b/>
                                  <w:sz w:val="18"/>
                                </w:rPr>
                              </w:pPr>
                              <w:r>
                                <w:rPr>
                                  <w:b/>
                                  <w:spacing w:val="-5"/>
                                  <w:sz w:val="18"/>
                                </w:rPr>
                                <w:t>H1</w:t>
                              </w:r>
                            </w:p>
                          </w:txbxContent>
                        </wps:txbx>
                        <wps:bodyPr wrap="square" lIns="0" tIns="0" rIns="0" bIns="0" rtlCol="0">
                          <a:noAutofit/>
                        </wps:bodyPr>
                      </wps:wsp>
                      <wps:wsp>
                        <wps:cNvPr id="48" name="Textbox 48"/>
                        <wps:cNvSpPr txBox="1"/>
                        <wps:spPr>
                          <a:xfrm>
                            <a:off x="3777996" y="163956"/>
                            <a:ext cx="836930" cy="127000"/>
                          </a:xfrm>
                          <a:prstGeom prst="rect">
                            <a:avLst/>
                          </a:prstGeom>
                        </wps:spPr>
                        <wps:txbx>
                          <w:txbxContent>
                            <w:p w14:paraId="3CCDAAF1">
                              <w:pPr>
                                <w:spacing w:line="199" w:lineRule="exact"/>
                                <w:rPr>
                                  <w:b/>
                                  <w:sz w:val="18"/>
                                </w:rPr>
                              </w:pPr>
                              <w:r>
                                <w:rPr>
                                  <w:b/>
                                  <w:sz w:val="18"/>
                                </w:rPr>
                                <w:t>Yaşam</w:t>
                              </w:r>
                              <w:r>
                                <w:rPr>
                                  <w:b/>
                                  <w:spacing w:val="-10"/>
                                  <w:sz w:val="18"/>
                                </w:rPr>
                                <w:t xml:space="preserve"> </w:t>
                              </w:r>
                              <w:r>
                                <w:rPr>
                                  <w:b/>
                                  <w:spacing w:val="-2"/>
                                  <w:sz w:val="18"/>
                                </w:rPr>
                                <w:t>Kaliteleri</w:t>
                              </w:r>
                            </w:p>
                          </w:txbxContent>
                        </wps:txbx>
                        <wps:bodyPr wrap="square" lIns="0" tIns="0" rIns="0" bIns="0" rtlCol="0">
                          <a:noAutofit/>
                        </wps:bodyPr>
                      </wps:wsp>
                      <wps:wsp>
                        <wps:cNvPr id="49" name="Textbox 49"/>
                        <wps:cNvSpPr txBox="1"/>
                        <wps:spPr>
                          <a:xfrm>
                            <a:off x="1003680" y="1915413"/>
                            <a:ext cx="1483360" cy="127000"/>
                          </a:xfrm>
                          <a:prstGeom prst="rect">
                            <a:avLst/>
                          </a:prstGeom>
                        </wps:spPr>
                        <wps:txbx>
                          <w:txbxContent>
                            <w:p w14:paraId="4B2F042D">
                              <w:pPr>
                                <w:tabs>
                                  <w:tab w:val="left" w:pos="1222"/>
                                </w:tabs>
                                <w:spacing w:line="199" w:lineRule="exact"/>
                                <w:rPr>
                                  <w:b/>
                                  <w:sz w:val="18"/>
                                </w:rPr>
                              </w:pPr>
                              <w:r>
                                <w:rPr>
                                  <w:b/>
                                  <w:sz w:val="18"/>
                                </w:rPr>
                                <w:t>Kıdem</w:t>
                              </w:r>
                              <w:r>
                                <w:rPr>
                                  <w:b/>
                                  <w:spacing w:val="-7"/>
                                  <w:sz w:val="18"/>
                                </w:rPr>
                                <w:t xml:space="preserve"> </w:t>
                              </w:r>
                              <w:r>
                                <w:rPr>
                                  <w:b/>
                                  <w:spacing w:val="-4"/>
                                  <w:sz w:val="18"/>
                                </w:rPr>
                                <w:t>Yılı</w:t>
                              </w:r>
                              <w:r>
                                <w:rPr>
                                  <w:b/>
                                  <w:sz w:val="18"/>
                                </w:rPr>
                                <w:tab/>
                              </w:r>
                              <w:r>
                                <w:rPr>
                                  <w:b/>
                                  <w:sz w:val="18"/>
                                </w:rPr>
                                <w:t>Eğitim</w:t>
                              </w:r>
                              <w:r>
                                <w:rPr>
                                  <w:b/>
                                  <w:spacing w:val="-3"/>
                                  <w:sz w:val="18"/>
                                </w:rPr>
                                <w:t xml:space="preserve"> </w:t>
                              </w:r>
                              <w:r>
                                <w:rPr>
                                  <w:b/>
                                  <w:spacing w:val="-2"/>
                                  <w:sz w:val="18"/>
                                </w:rPr>
                                <w:t>Düzeyi</w:t>
                              </w:r>
                            </w:p>
                          </w:txbxContent>
                        </wps:txbx>
                        <wps:bodyPr wrap="square" lIns="0" tIns="0" rIns="0" bIns="0" rtlCol="0">
                          <a:noAutofit/>
                        </wps:bodyPr>
                      </wps:wsp>
                      <wps:wsp>
                        <wps:cNvPr id="50" name="Textbox 50"/>
                        <wps:cNvSpPr txBox="1"/>
                        <wps:spPr>
                          <a:xfrm>
                            <a:off x="2894076" y="1915413"/>
                            <a:ext cx="196215" cy="127000"/>
                          </a:xfrm>
                          <a:prstGeom prst="rect">
                            <a:avLst/>
                          </a:prstGeom>
                        </wps:spPr>
                        <wps:txbx>
                          <w:txbxContent>
                            <w:p w14:paraId="486D7B98">
                              <w:pPr>
                                <w:spacing w:line="199" w:lineRule="exact"/>
                                <w:rPr>
                                  <w:b/>
                                  <w:sz w:val="18"/>
                                </w:rPr>
                              </w:pPr>
                              <w:r>
                                <w:rPr>
                                  <w:b/>
                                  <w:spacing w:val="-5"/>
                                  <w:sz w:val="18"/>
                                </w:rPr>
                                <w:t>Yaş</w:t>
                              </w:r>
                            </w:p>
                          </w:txbxContent>
                        </wps:txbx>
                        <wps:bodyPr wrap="square" lIns="0" tIns="0" rIns="0" bIns="0" rtlCol="0">
                          <a:noAutofit/>
                        </wps:bodyPr>
                      </wps:wsp>
                      <wps:wsp>
                        <wps:cNvPr id="51" name="Textbox 51"/>
                        <wps:cNvSpPr txBox="1"/>
                        <wps:spPr>
                          <a:xfrm>
                            <a:off x="3462528" y="1916937"/>
                            <a:ext cx="766445" cy="127000"/>
                          </a:xfrm>
                          <a:prstGeom prst="rect">
                            <a:avLst/>
                          </a:prstGeom>
                        </wps:spPr>
                        <wps:txbx>
                          <w:txbxContent>
                            <w:p w14:paraId="39E6BE67">
                              <w:pPr>
                                <w:spacing w:line="199" w:lineRule="exact"/>
                                <w:rPr>
                                  <w:b/>
                                  <w:sz w:val="18"/>
                                </w:rPr>
                              </w:pPr>
                              <w:r>
                                <w:rPr>
                                  <w:b/>
                                  <w:sz w:val="18"/>
                                </w:rPr>
                                <w:t>Medeni</w:t>
                              </w:r>
                              <w:r>
                                <w:rPr>
                                  <w:b/>
                                  <w:spacing w:val="-4"/>
                                  <w:sz w:val="18"/>
                                </w:rPr>
                                <w:t xml:space="preserve"> </w:t>
                              </w:r>
                              <w:r>
                                <w:rPr>
                                  <w:b/>
                                  <w:spacing w:val="-2"/>
                                  <w:sz w:val="18"/>
                                </w:rPr>
                                <w:t>Durum</w:t>
                              </w:r>
                            </w:p>
                          </w:txbxContent>
                        </wps:txbx>
                        <wps:bodyPr wrap="square" lIns="0" tIns="0" rIns="0" bIns="0" rtlCol="0">
                          <a:noAutofit/>
                        </wps:bodyPr>
                      </wps:wsp>
                      <wps:wsp>
                        <wps:cNvPr id="52" name="Textbox 52"/>
                        <wps:cNvSpPr txBox="1"/>
                        <wps:spPr>
                          <a:xfrm>
                            <a:off x="4270375" y="1909635"/>
                            <a:ext cx="824230" cy="314960"/>
                          </a:xfrm>
                          <a:prstGeom prst="rect">
                            <a:avLst/>
                          </a:prstGeom>
                        </wps:spPr>
                        <wps:txbx>
                          <w:txbxContent>
                            <w:p w14:paraId="0565B512">
                              <w:pPr>
                                <w:spacing w:line="206" w:lineRule="exact"/>
                                <w:ind w:left="163"/>
                                <w:rPr>
                                  <w:b/>
                                  <w:sz w:val="18"/>
                                </w:rPr>
                              </w:pPr>
                              <w:r>
                                <w:rPr>
                                  <w:b/>
                                  <w:sz w:val="18"/>
                                </w:rPr>
                                <w:t>Gelir</w:t>
                              </w:r>
                              <w:r>
                                <w:rPr>
                                  <w:b/>
                                  <w:spacing w:val="-3"/>
                                  <w:sz w:val="18"/>
                                </w:rPr>
                                <w:t xml:space="preserve"> </w:t>
                              </w:r>
                              <w:r>
                                <w:rPr>
                                  <w:b/>
                                  <w:spacing w:val="-2"/>
                                  <w:sz w:val="18"/>
                                </w:rPr>
                                <w:t>Düzeyi</w:t>
                              </w:r>
                            </w:p>
                          </w:txbxContent>
                        </wps:txbx>
                        <wps:bodyPr wrap="square" lIns="0" tIns="0" rIns="0" bIns="0" rtlCol="0">
                          <a:noAutofit/>
                        </wps:bodyPr>
                      </wps:wsp>
                      <wps:wsp>
                        <wps:cNvPr id="53" name="Textbox 53"/>
                        <wps:cNvSpPr txBox="1"/>
                        <wps:spPr>
                          <a:xfrm>
                            <a:off x="25400" y="1909635"/>
                            <a:ext cx="783590" cy="314960"/>
                          </a:xfrm>
                          <a:prstGeom prst="rect">
                            <a:avLst/>
                          </a:prstGeom>
                        </wps:spPr>
                        <wps:txbx>
                          <w:txbxContent>
                            <w:p w14:paraId="45A87F1C">
                              <w:pPr>
                                <w:spacing w:before="1"/>
                                <w:ind w:left="299"/>
                                <w:rPr>
                                  <w:b/>
                                  <w:sz w:val="18"/>
                                </w:rPr>
                              </w:pPr>
                              <w:r>
                                <w:rPr>
                                  <w:b/>
                                  <w:spacing w:val="-2"/>
                                  <w:sz w:val="18"/>
                                </w:rPr>
                                <w:t>Cinsiyet</w:t>
                              </w:r>
                            </w:p>
                          </w:txbxContent>
                        </wps:txbx>
                        <wps:bodyPr wrap="square" lIns="0" tIns="0" rIns="0" bIns="0" rtlCol="0">
                          <a:noAutofit/>
                        </wps:bodyPr>
                      </wps:wsp>
                    </wpg:wgp>
                  </a:graphicData>
                </a:graphic>
              </wp:anchor>
            </w:drawing>
          </mc:Choice>
          <mc:Fallback>
            <w:pict>
              <v:group id="_x0000_s1026" o:spid="_x0000_s1026" o:spt="203" style="position:absolute;left:0pt;margin-left:76.75pt;margin-top:15.65pt;height:177.25pt;width:403.15pt;mso-position-horizontal-relative:page;mso-wrap-distance-bottom:0pt;mso-wrap-distance-top:0pt;z-index:-251649024;mso-width-relative:page;mso-height-relative:page;" coordsize="5120005,2251075" o:gfxdata="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">
                <o:lock v:ext="edit" aspectratio="f"/>
                <v:shape id="Image 17" o:spid="_x0000_s1026" o:spt="75" type="#_x0000_t75" style="position:absolute;left:2172589;top:1318260;height:176656;width:227330;" filled="f" o:preferrelative="t" stroked="f" coordsize="21600,21600" o:gfxdata="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EgNG7sAAADb&#10;AAAADwAAAAAAAAABACAAAAAiAAAAZHJzL2Rvd25yZXYueG1sUEsBAhQAFAAAAAgAh07iQDMvBZ47&#10;AAAAOQAAABAAAAAAAAAAAQAgAAAACgEAAGRycy9zaGFwZXhtbC54bWxQSwUGAAAAAAYABgBbAQAA&#10;tAMAAAAA&#10;">
                  <v:fill on="f" focussize="0,0"/>
                  <v:stroke on="f"/>
                  <v:imagedata r:id="rId20" o:title=""/>
                  <o:lock v:ext="edit" aspectratio="f"/>
                </v:shape>
                <v:shape id="Image 18" o:spid="_x0000_s1026" o:spt="75" type="#_x0000_t75" style="position:absolute;left:1622805;top:1329182;height:200786;width:203326;" filled="f" o:preferrelative="t" stroked="f" coordsize="21600,21600" o:gfxdata="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yYuOvQAA&#10;ANsAAAAPAAAAAAAAAAEAIAAAACIAAABkcnMvZG93bnJldi54bWxQSwECFAAUAAAACACHTuJAMy8F&#10;njsAAAA5AAAAEAAAAAAAAAABACAAAAAMAQAAZHJzL3NoYXBleG1sLnhtbFBLBQYAAAAABgAGAFsB&#10;AAC2AwAAAAA=&#10;">
                  <v:fill on="f" focussize="0,0"/>
                  <v:stroke on="f"/>
                  <v:imagedata r:id="rId21" o:title=""/>
                  <o:lock v:ext="edit" aspectratio="f"/>
                </v:shape>
                <v:shape id="Image 19" o:spid="_x0000_s1026" o:spt="75" type="#_x0000_t75" style="position:absolute;left:1056258;top:1260728;height:232156;width:152019;" filled="f" o:preferrelative="t" stroked="f" coordsize="21600,21600" o:gfxdata="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7Ew7LsAAADb&#10;AAAADwAAAAAAAAABACAAAAAiAAAAZHJzL2Rvd25yZXYueG1sUEsBAhQAFAAAAAgAh07iQDMvBZ47&#10;AAAAOQAAABAAAAAAAAAAAQAgAAAACgEAAGRycy9zaGFwZXhtbC54bWxQSwUGAAAAAAYABgBbAQAA&#10;tAMAAAAA&#10;">
                  <v:fill on="f" focussize="0,0"/>
                  <v:stroke on="f"/>
                  <v:imagedata r:id="rId22" o:title=""/>
                  <o:lock v:ext="edit" aspectratio="f"/>
                </v:shape>
                <v:shape id="Image 20" o:spid="_x0000_s1026" o:spt="75" type="#_x0000_t75" style="position:absolute;left:434466;top:1148080;height:223774;width:147574;" filled="f" o:preferrelative="t" stroked="f" coordsize="21600,21600" o:gfxdata="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2bcGa5AAAA2wAA&#10;AA8AAAAAAAAAAQAgAAAAIgAAAGRycy9kb3ducmV2LnhtbFBLAQIUABQAAAAIAIdO4kAzLwWeOwAA&#10;ADkAAAAQAAAAAAAAAAEAIAAAAAgBAABkcnMvc2hhcGV4bWwueG1sUEsFBgAAAAAGAAYAWwEAALID&#10;AAAAAA==&#10;">
                  <v:fill on="f" focussize="0,0"/>
                  <v:stroke on="f"/>
                  <v:imagedata r:id="rId23" o:title=""/>
                  <o:lock v:ext="edit" aspectratio="f"/>
                </v:shape>
                <v:shape id="Graphic 21" o:spid="_x0000_s1026" o:spt="100" style="position:absolute;left:158114;top:12700;height:614680;width:4622800;" filled="f" stroked="t" coordsize="4622800,614680" o:gfxdata="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EJThvQAA&#10;ANsAAAAPAAAAAAAAAAEAIAAAACIAAABkcnMvZG93bnJldi54bWxQSwECFAAUAAAACACHTuJAMy8F&#10;njsAAAA5AAAAEAAAAAAAAAABACAAAAAMAQAAZHJzL3NoYXBleG1sLnhtbFBLBQYAAAAABgAGAFsB&#10;AAC2AwAAAAA=&#10;" path="m0,614679l1181099,614679,1181099,0,0,0,0,614679xem3441700,614679l4622800,614679,4622800,0,3441700,0,3441700,614679xe">
                  <v:fill on="f" focussize="0,0"/>
                  <v:stroke weight="2pt" color="#000000" joinstyle="round"/>
                  <v:imagedata o:title=""/>
                  <o:lock v:ext="edit" aspectratio="f"/>
                  <v:textbox inset="0mm,0mm,0mm,0mm"/>
                </v:shape>
                <v:shape id="Image 22" o:spid="_x0000_s1026" o:spt="75" type="#_x0000_t75" style="position:absolute;left:1296035;top:204597;height:239268;width:2420112;" filled="f" o:preferrelative="t" stroked="f" coordsize="21600,21600" o:gfxdata="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uSHOLsAAADb&#10;AAAADwAAAAAAAAABACAAAAAiAAAAZHJzL2Rvd25yZXYueG1sUEsBAhQAFAAAAAgAh07iQDMvBZ47&#10;AAAAOQAAABAAAAAAAAAAAQAgAAAACgEAAGRycy9zaGFwZXhtbC54bWxQSwUGAAAAAAYABgBbAQAA&#10;tAMAAAAA&#10;">
                  <v:fill on="f" focussize="0,0"/>
                  <v:stroke on="f"/>
                  <v:imagedata r:id="rId24" o:title=""/>
                  <o:lock v:ext="edit" aspectratio="f"/>
                </v:shape>
                <v:shape id="Graphic 23" o:spid="_x0000_s1026" o:spt="100" style="position:absolute;left:1339214;top:266318;height:76200;width:2257425;" fillcolor="#000000" filled="t" stroked="f" coordsize="2257425,76200" o:gfxdata="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U80grsAAADb&#10;AAAADwAAAAAAAAABACAAAAAiAAAAZHJzL2Rvd25yZXYueG1sUEsBAhQAFAAAAAgAh07iQDMvBZ47&#10;AAAAOQAAABAAAAAAAAAAAQAgAAAACgEAAGRycy9zaGFwZXhtbC54bWxQSwUGAAAAAAYABgBbAQAA&#10;tAMAAAAA&#10;" path="m2232324,25400l2193925,25400,2193925,50800,2181267,50842,2181352,76200,2257425,37846,2232324,25400xem2181182,25442l0,32766,0,58166,2181267,50842,2181182,25442xem2193925,25400l2181182,25442,2181267,50842,2193925,50800,2193925,25400xem2181098,0l2181182,25442,2232324,25400,2181098,0xe">
                  <v:fill on="t" focussize="0,0"/>
                  <v:stroke on="f"/>
                  <v:imagedata o:title=""/>
                  <o:lock v:ext="edit" aspectratio="f"/>
                  <v:textbox inset="0mm,0mm,0mm,0mm"/>
                </v:shape>
                <v:shape id="Image 24" o:spid="_x0000_s1026" o:spt="75" type="#_x0000_t75" style="position:absolute;left:354202;top:520065;height:1444752;width:530352;" filled="f" o:preferrelative="t" stroked="f" coordsize="21600,21600" o:gfxdata="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ssM5vQAA&#10;ANsAAAAPAAAAAAAAAAEAIAAAACIAAABkcnMvZG93bnJldi54bWxQSwECFAAUAAAACACHTuJAMy8F&#10;njsAAAA5AAAAEAAAAAAAAAABACAAAAAMAQAAZHJzL3NoYXBleG1sLnhtbFBLBQYAAAAABgAGAFsB&#10;AAC2AwAAAAA=&#10;">
                  <v:fill on="f" focussize="0,0"/>
                  <v:stroke on="f"/>
                  <v:imagedata r:id="rId25" o:title=""/>
                  <o:lock v:ext="edit" aspectratio="f"/>
                </v:shape>
                <v:shape id="Graphic 25" o:spid="_x0000_s1026" o:spt="100" style="position:absolute;left:396747;top:619759;height:1282065;width:384175;" fillcolor="#000000" filled="t" stroked="f" coordsize="384175,1282065" o:gfxdata="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A1p5vQAA&#10;ANsAAAAPAAAAAAAAAAEAIAAAACIAAABkcnMvZG93bnJldi54bWxQSwECFAAUAAAACACHTuJAMy8F&#10;njsAAAA5AAAAEAAAAAAAAAABACAAAAAMAQAAZHJzL3NoYXBleG1sLnhtbFBLBQYAAAAABgAGAFsB&#10;AAC2AwAAAAA=&#10;" path="m335173,70036l0,1274825,24384,1281683,359553,76785,335173,70036xem379032,57784l338582,57784,362966,64515,359553,76785,384047,83565,379032,57784xem338582,57784l335173,70036,359553,76785,362966,64515,338582,57784xem367791,0l310641,63245,335173,70036,338582,57784,379032,57784,367791,0xe">
                  <v:fill on="t" focussize="0,0"/>
                  <v:stroke on="f"/>
                  <v:imagedata o:title=""/>
                  <o:lock v:ext="edit" aspectratio="f"/>
                  <v:textbox inset="0mm,0mm,0mm,0mm"/>
                </v:shape>
                <v:shape id="Graphic 26" o:spid="_x0000_s1026" o:spt="100" style="position:absolute;left:12700;top:1897888;height:339725;width:808990;" fillcolor="#FFFFFF" filled="t" stroked="f" coordsize="808990,339725" o:gfxdata="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gdffvQAA&#10;ANsAAAAPAAAAAAAAAAEAIAAAACIAAABkcnMvZG93bnJldi54bWxQSwECFAAUAAAACACHTuJAMy8F&#10;njsAAAA5AAAAEAAAAAAAAAABACAAAAAMAQAAZHJzL3NoYXBleG1sLnhtbFBLBQYAAAAABgAGAFsB&#10;AAC2AwAAAAA=&#10;" path="m808989,0l0,0,0,339725,808989,339725,808989,0xe">
                  <v:fill on="t" focussize="0,0"/>
                  <v:stroke on="f"/>
                  <v:imagedata o:title=""/>
                  <o:lock v:ext="edit" aspectratio="f"/>
                  <v:textbox inset="0mm,0mm,0mm,0mm"/>
                </v:shape>
                <v:shape id="Graphic 27" o:spid="_x0000_s1026" o:spt="100" style="position:absolute;left:12700;top:1897888;height:339725;width:808990;" filled="f" stroked="t" coordsize="808990,339725" o:gfxdata="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1qir4A&#10;AADbAAAADwAAAAAAAAABACAAAAAiAAAAZHJzL2Rvd25yZXYueG1sUEsBAhQAFAAAAAgAh07iQDMv&#10;BZ47AAAAOQAAABAAAAAAAAAAAQAgAAAADQEAAGRycy9zaGFwZXhtbC54bWxQSwUGAAAAAAYABgBb&#10;AQAAtwMAAAAA&#10;" path="m0,339725l808989,339725,808989,0,0,0,0,339725xe">
                  <v:fill on="f" focussize="0,0"/>
                  <v:stroke weight="2pt" color="#000000" joinstyle="round"/>
                  <v:imagedata o:title=""/>
                  <o:lock v:ext="edit" aspectratio="f"/>
                  <v:textbox inset="0mm,0mm,0mm,0mm"/>
                </v:shape>
                <v:shape id="Graphic 28" o:spid="_x0000_s1026" o:spt="100" style="position:absolute;left:821689;top:1897888;height:338455;width:899794;" fillcolor="#FFFFFF" filled="t" stroked="f" coordsize="899794,338455" o:gfxdata="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e0pDLsAAADb&#10;AAAADwAAAAAAAAABACAAAAAiAAAAZHJzL2Rvd25yZXYueG1sUEsBAhQAFAAAAAgAh07iQDMvBZ47&#10;AAAAOQAAABAAAAAAAAAAAQAgAAAACgEAAGRycy9zaGFwZXhtbC54bWxQSwUGAAAAAAYABgBbAQAA&#10;tAMAAAAA&#10;" path="m899794,0l0,0,0,338454,899794,338454,899794,0xe">
                  <v:fill on="t" focussize="0,0"/>
                  <v:stroke on="f"/>
                  <v:imagedata o:title=""/>
                  <o:lock v:ext="edit" aspectratio="f"/>
                  <v:textbox inset="0mm,0mm,0mm,0mm"/>
                </v:shape>
                <v:shape id="Graphic 29" o:spid="_x0000_s1026" o:spt="100" style="position:absolute;left:821689;top:1897888;height:338455;width:899794;" filled="f" stroked="t" coordsize="899794,338455" o:gfxdata="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6PKl&#10;wAAAANsAAAAPAAAAAAAAAAEAIAAAACIAAABkcnMvZG93bnJldi54bWxQSwECFAAUAAAACACHTuJA&#10;My8FnjsAAAA5AAAAEAAAAAAAAAABACAAAAAPAQAAZHJzL3NoYXBleG1sLnhtbFBLBQYAAAAABgAG&#10;AFsBAAC5AwAAAAA=&#10;" path="m0,338454l899794,338454,899794,0,0,0,0,338454xe">
                  <v:fill on="f" focussize="0,0"/>
                  <v:stroke weight="2pt" color="#000000" joinstyle="round"/>
                  <v:imagedata o:title=""/>
                  <o:lock v:ext="edit" aspectratio="f"/>
                  <v:textbox inset="0mm,0mm,0mm,0mm"/>
                </v:shape>
                <v:shape id="Graphic 30" o:spid="_x0000_s1026" o:spt="100" style="position:absolute;left:1695450;top:1897888;height:339725;width:863600;" fillcolor="#FFFFFF" filled="t" stroked="f" coordsize="863600,339725" o:gfxdata="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gkhjugAAANsA&#10;AAAPAAAAAAAAAAEAIAAAACIAAABkcnMvZG93bnJldi54bWxQSwECFAAUAAAACACHTuJAMy8FnjsA&#10;AAA5AAAAEAAAAAAAAAABACAAAAAJAQAAZHJzL3NoYXBleG1sLnhtbFBLBQYAAAAABgAGAFsBAACz&#10;AwAAAAA=&#10;" path="m863600,0l0,0,0,339725,863600,339725,863600,0xe">
                  <v:fill on="t" focussize="0,0"/>
                  <v:stroke on="f"/>
                  <v:imagedata o:title=""/>
                  <o:lock v:ext="edit" aspectratio="f"/>
                  <v:textbox inset="0mm,0mm,0mm,0mm"/>
                </v:shape>
                <v:shape id="Graphic 31" o:spid="_x0000_s1026" o:spt="100" style="position:absolute;left:1695450;top:1897888;height:339725;width:1715135;" filled="f" stroked="t" coordsize="1715135,339725" o:gfxdata="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iUGO/&#10;AAAA2wAAAA8AAAAAAAAAAQAgAAAAIgAAAGRycy9kb3ducmV2LnhtbFBLAQIUABQAAAAIAIdO4kAz&#10;LwWeOwAAADkAAAAQAAAAAAAAAAEAIAAAAA4BAABkcnMvc2hhcGV4bWwueG1sUEsFBgAAAAAGAAYA&#10;WwEAALgDAAAAAA==&#10;" path="m0,339725l863600,339725,863600,0,0,0,0,339725xem865504,339725l1715134,339725,1715134,0,865504,0,865504,339725xe">
                  <v:fill on="f" focussize="0,0"/>
                  <v:stroke weight="2pt" color="#000000" joinstyle="round"/>
                  <v:imagedata o:title=""/>
                  <o:lock v:ext="edit" aspectratio="f"/>
                  <v:textbox inset="0mm,0mm,0mm,0mm"/>
                </v:shape>
                <v:shape id="Image 32" o:spid="_x0000_s1026" o:spt="75" type="#_x0000_t75" style="position:absolute;left:645287;top:520065;height:1444752;width:643127;" filled="f" o:preferrelative="t" stroked="f" coordsize="21600,21600" o:gfxdata="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BJqC/&#10;AAAA2wAAAA8AAAAAAAAAAQAgAAAAIgAAAGRycy9kb3ducmV2LnhtbFBLAQIUABQAAAAIAIdO4kAz&#10;LwWeOwAAADkAAAAQAAAAAAAAAAEAIAAAAA4BAABkcnMvc2hhcGV4bWwueG1sUEsFBgAAAAAGAAYA&#10;WwEAALgDAAAAAA==&#10;">
                  <v:fill on="f" focussize="0,0"/>
                  <v:stroke on="f"/>
                  <v:imagedata r:id="rId26" o:title=""/>
                  <o:lock v:ext="edit" aspectratio="f"/>
                </v:shape>
                <v:shape id="Graphic 33" o:spid="_x0000_s1026" o:spt="100" style="position:absolute;left:755015;top:619759;height:1282700;width:490855;" fillcolor="#000000" filled="t" stroked="f" coordsize="490855,1282700" o:gfxdata="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TsKP&#10;wAAAANsAAAAPAAAAAAAAAAEAIAAAACIAAABkcnMvZG93bnJldi54bWxQSwECFAAUAAAACACHTuJA&#10;My8FnjsAAAA5AAAAEAAAAAAAAAABACAAAAAPAQAAZHJzL3NoYXBleG1sLnhtbFBLBQYAAAAABgAG&#10;AFsBAAC5AwAAAAA=&#10;" path="m47687,67175l23816,75952,466852,1282572,490728,1273809,47687,67175xem9525,0l0,84708,23816,75952,19431,64007,43307,55244,68132,55244,9525,0xem43307,55244l19431,64007,23816,75952,47687,67175,43307,55244xem68132,55244l43307,55244,47687,67175,71501,58419,68132,55244xe">
                  <v:fill on="t" focussize="0,0"/>
                  <v:stroke on="f"/>
                  <v:imagedata o:title=""/>
                  <o:lock v:ext="edit" aspectratio="f"/>
                  <v:textbox inset="0mm,0mm,0mm,0mm"/>
                </v:shape>
                <v:shape id="Image 34" o:spid="_x0000_s1026" o:spt="75" type="#_x0000_t75" style="position:absolute;left:645287;top:527684;height:1441703;width:1513332;" filled="f" o:preferrelative="t" stroked="f" coordsize="21600,21600" o:gfxdata="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xUEvQAA&#10;ANsAAAAPAAAAAAAAAAEAIAAAACIAAABkcnMvZG93bnJldi54bWxQSwECFAAUAAAACACHTuJAMy8F&#10;njsAAAA5AAAAEAAAAAAAAAABACAAAAAMAQAAZHJzL3NoYXBleG1sLnhtbFBLBQYAAAAABgAGAFsB&#10;AAC2AwAAAAA=&#10;">
                  <v:fill on="f" focussize="0,0"/>
                  <v:stroke on="f"/>
                  <v:imagedata r:id="rId27" o:title=""/>
                  <o:lock v:ext="edit" aspectratio="f"/>
                </v:shape>
                <v:shape id="Graphic 35" o:spid="_x0000_s1026" o:spt="100" style="position:absolute;left:764540;top:627380;height:1280160;width:1351915;" fillcolor="#000000" filled="t" stroked="f" coordsize="1351915,1280160" o:gfxdata="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X6HH7sAAADb&#10;AAAADwAAAAAAAAABACAAAAAiAAAAZHJzL2Rvd25yZXYueG1sUEsBAhQAFAAAAAgAh07iQDMvBZ47&#10;AAAAOQAAABAAAAAAAAAAAQAgAAAACgEAAGRycy9zaGFwZXhtbC54bWxQSwUGAAAAAAYABgBbAQAA&#10;tAMAAAAA&#10;" path="m64066,43122l46605,61600,1334262,1279906,1351788,1261364,64066,43122xem0,0l29210,80010,46605,61600,37337,52832,54864,34417,72293,34417,81534,24638,0,0xem54864,34417l37337,52832,46605,61600,64066,43122,54864,34417xem72293,34417l54864,34417,64066,43122,72293,34417xe">
                  <v:fill on="t" focussize="0,0"/>
                  <v:stroke on="f"/>
                  <v:imagedata o:title=""/>
                  <o:lock v:ext="edit" aspectratio="f"/>
                  <v:textbox inset="0mm,0mm,0mm,0mm"/>
                </v:shape>
                <v:shape id="Image 36" o:spid="_x0000_s1026" o:spt="75" type="#_x0000_t75" style="position:absolute;left:2591054;top:1054100;height:373888;width:634746;" filled="f" o:preferrelative="t" stroked="f" coordsize="21600,21600" o:gfxdata="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zNlTrsAAADb&#10;AAAADwAAAAAAAAABACAAAAAiAAAAZHJzL2Rvd25yZXYueG1sUEsBAhQAFAAAAAgAh07iQDMvBZ47&#10;AAAAOQAAABAAAAAAAAAAAQAgAAAACgEAAGRycy9zaGFwZXhtbC54bWxQSwUGAAAAAAYABgBbAQAA&#10;tAMAAAAA&#10;">
                  <v:fill on="f" focussize="0,0"/>
                  <v:stroke on="f"/>
                  <v:imagedata r:id="rId28" o:title=""/>
                  <o:lock v:ext="edit" aspectratio="f"/>
                </v:shape>
                <v:shape id="Image 37" o:spid="_x0000_s1026" o:spt="75" type="#_x0000_t75" style="position:absolute;left:645287;top:527684;height:1443227;width:2377440;" filled="f" o:preferrelative="t" stroked="f" coordsize="21600,21600" o:gfxdata="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ov9GvQAA&#10;ANsAAAAPAAAAAAAAAAEAIAAAACIAAABkcnMvZG93bnJldi54bWxQSwECFAAUAAAACACHTuJAMy8F&#10;njsAAAA5AAAAEAAAAAAAAAABACAAAAAMAQAAZHJzL3NoYXBleG1sLnhtbFBLBQYAAAAABgAGAFsB&#10;AAC2AwAAAAA=&#10;">
                  <v:fill on="f" focussize="0,0"/>
                  <v:stroke on="f"/>
                  <v:imagedata r:id="rId29" o:title=""/>
                  <o:lock v:ext="edit" aspectratio="f"/>
                </v:shape>
                <v:shape id="Graphic 38" o:spid="_x0000_s1026" o:spt="100" style="position:absolute;left:764540;top:627380;height:1281430;width:2214880;" fillcolor="#000000" filled="t" stroked="f" coordsize="2214880,1281430" o:gfxdata="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GVmLgAAADbAAAA&#10;DwAAAAAAAAABACAAAAAiAAAAZHJzL2Rvd25yZXYueG1sUEsBAhQAFAAAAAgAh07iQDMvBZ47AAAA&#10;OQAAABAAAAAAAAAAAQAgAAAABwEAAGRycy9zaGFwZXhtbC54bWxQSwUGAAAAAAYABgBbAQAAsQMA&#10;AAAA&#10;" path="m72438,26955l59765,48996,2202180,1281049,2214880,1258951,72438,26955xem0,0l47117,70993,59765,48996,48768,42672,61341,20574,76107,20574,85090,4953,0,0xem61341,20574l48768,42672,59765,48996,72438,26955,61341,20574xem76107,20574l61341,20574,72438,26955,76107,20574xe">
                  <v:fill on="t" focussize="0,0"/>
                  <v:stroke on="f"/>
                  <v:imagedata o:title=""/>
                  <o:lock v:ext="edit" aspectratio="f"/>
                  <v:textbox inset="0mm,0mm,0mm,0mm"/>
                </v:shape>
                <v:shape id="Graphic 39" o:spid="_x0000_s1026" o:spt="100" style="position:absolute;left:3413759;top:1898523;height:339725;width:849630;" filled="f" stroked="t" coordsize="849630,339725" o:gfxdata="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DX0JvQAA&#10;ANsAAAAPAAAAAAAAAAEAIAAAACIAAABkcnMvZG93bnJldi54bWxQSwECFAAUAAAACACHTuJAMy8F&#10;njsAAAA5AAAAEAAAAAAAAAABACAAAAAMAQAAZHJzL3NoYXBleG1sLnhtbFBLBQYAAAAABgAGAFsB&#10;AAC2AwAAAAA=&#10;" path="m0,339725l849630,339725,849630,0,0,0,0,339725xe">
                  <v:fill on="f" focussize="0,0"/>
                  <v:stroke weight="2pt" color="#000000" joinstyle="round"/>
                  <v:imagedata o:title=""/>
                  <o:lock v:ext="edit" aspectratio="f"/>
                  <v:textbox inset="0mm,0mm,0mm,0mm"/>
                </v:shape>
                <v:shape id="Graphic 40" o:spid="_x0000_s1026" o:spt="100" style="position:absolute;left:4257675;top:1895982;height:339725;width:849630;" fillcolor="#FFFFFF" filled="t" stroked="f" coordsize="849630,339725" o:gfxdata="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UlQJugAAANsA&#10;AAAPAAAAAAAAAAEAIAAAACIAAABkcnMvZG93bnJldi54bWxQSwECFAAUAAAACACHTuJAMy8FnjsA&#10;AAA5AAAAEAAAAAAAAAABACAAAAAJAQAAZHJzL3NoYXBleG1sLnhtbFBLBQYAAAAABgAGAFsBAACz&#10;AwAAAAA=&#10;" path="m849629,0l0,0,0,339725,849629,339725,849629,0xe">
                  <v:fill on="t" focussize="0,0"/>
                  <v:stroke on="f"/>
                  <v:imagedata o:title=""/>
                  <o:lock v:ext="edit" aspectratio="f"/>
                  <v:textbox inset="0mm,0mm,0mm,0mm"/>
                </v:shape>
                <v:shape id="Graphic 41" o:spid="_x0000_s1026" o:spt="100" style="position:absolute;left:4257675;top:1895982;height:339725;width:849630;" filled="f" stroked="t" coordsize="849630,339725" o:gfxdata="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9AnK8AAAA&#10;2wAAAA8AAAAAAAAAAQAgAAAAIgAAAGRycy9kb3ducmV2LnhtbFBLAQIUABQAAAAIAIdO4kAzLwWe&#10;OwAAADkAAAAQAAAAAAAAAAEAIAAAAAsBAABkcnMvc2hhcGV4bWwueG1sUEsFBgAAAAAGAAYAWwEA&#10;ALUDAAAAAA==&#10;" path="m0,339725l849629,339725,849629,0,0,0,0,339725xe">
                  <v:fill on="f" focussize="0,0"/>
                  <v:stroke weight="2pt" color="#000000" joinstyle="round"/>
                  <v:imagedata o:title=""/>
                  <o:lock v:ext="edit" aspectratio="f"/>
                  <v:textbox inset="0mm,0mm,0mm,0mm"/>
                </v:shape>
                <v:shape id="Image 42" o:spid="_x0000_s1026" o:spt="75" type="#_x0000_t75" style="position:absolute;left:695579;top:526161;height:1452371;width:3233927;" filled="f" o:preferrelative="t" stroked="f" coordsize="21600,21600" o:gfxdata="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jdQhK5AAAA2wAA&#10;AA8AAAAAAAAAAQAgAAAAIgAAAGRycy9kb3ducmV2LnhtbFBLAQIUABQAAAAIAIdO4kAzLwWeOwAA&#10;ADkAAAAQAAAAAAAAAAEAIAAAAAgBAABkcnMvc2hhcGV4bWwueG1sUEsFBgAAAAAGAAYAWwEAALID&#10;AAAAAA==&#10;">
                  <v:fill on="f" focussize="0,0"/>
                  <v:stroke on="f"/>
                  <v:imagedata r:id="rId30" o:title=""/>
                  <o:lock v:ext="edit" aspectratio="f"/>
                </v:shape>
                <v:shape id="Graphic 43" o:spid="_x0000_s1026" o:spt="100" style="position:absolute;left:815339;top:620268;height:1296035;width:3071495;" fillcolor="#000000" filled="t" stroked="f" coordsize="3071495,1296035" o:gfxdata="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yEhe/&#10;AAAA2wAAAA8AAAAAAAAAAQAgAAAAIgAAAGRycy9kb3ducmV2LnhtbFBLAQIUABQAAAAIAIdO4kAz&#10;LwWeOwAAADkAAAAQAAAAAAAAAAEAIAAAAA4BAABkcnMvc2hhcGV4bWwueG1sUEsFBgAAAAAGAAYA&#10;WwEAALgDAAAAAA==&#10;" path="m75198,23418l65404,46906,3061589,1295780,3071241,1272413,75198,23418xem84962,0l0,5842,55626,70357,65404,46906,53721,42036,63500,18542,77231,18542,84962,0xem63500,18542l53721,42036,65404,46906,75198,23418,63500,18542xem77231,18542l63500,18542,75198,23418,77231,18542xe">
                  <v:fill on="t" focussize="0,0"/>
                  <v:stroke on="f"/>
                  <v:imagedata o:title=""/>
                  <o:lock v:ext="edit" aspectratio="f"/>
                  <v:textbox inset="0mm,0mm,0mm,0mm"/>
                </v:shape>
                <v:shape id="Image 44" o:spid="_x0000_s1026" o:spt="75" type="#_x0000_t75" style="position:absolute;left:750443;top:520065;height:1452371;width:4017263;" filled="f" o:preferrelative="t" stroked="f" coordsize="21600,21600" o:gfxdata="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bb7WvQAA&#10;ANsAAAAPAAAAAAAAAAEAIAAAACIAAABkcnMvZG93bnJldi54bWxQSwECFAAUAAAACACHTuJAMy8F&#10;njsAAAA5AAAAEAAAAAAAAAABACAAAAAMAQAAZHJzL3NoYXBleG1sLnhtbFBLBQYAAAAABgAGAFsB&#10;AAC2AwAAAAA=&#10;">
                  <v:fill on="f" focussize="0,0"/>
                  <v:stroke on="f"/>
                  <v:imagedata r:id="rId31" o:title=""/>
                  <o:lock v:ext="edit" aspectratio="f"/>
                </v:shape>
                <v:shape id="Graphic 45" o:spid="_x0000_s1026" o:spt="100" style="position:absolute;left:869950;top:607568;height:1303020;width:3855720;" fillcolor="#000000" filled="t" stroked="f" coordsize="3855720,1303020" o:gfxdata="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SvIS8AAAA&#10;2wAAAA8AAAAAAAAAAQAgAAAAIgAAAGRycy9kb3ducmV2LnhtbFBLAQIUABQAAAAIAIdO4kAzLwWe&#10;OwAAADkAAAAQAAAAAAAAAAEAIAAAAAsBAABkcnMvc2hhcGV4bWwueG1sUEsFBgAAAAAGAAYAWwEA&#10;ALUDAAAAAA==&#10;" path="m76344,24076l68343,48206,3847211,1302512,3855212,1278381,76344,24076xem84327,0l0,12192,60325,72390,68343,48206,56261,44196,64262,20066,77674,20066,84327,0xem64262,20066l56261,44196,68343,48206,76344,24076,64262,20066xem77674,20066l64262,20066,76344,24076,77674,20066xe">
                  <v:fill on="t" focussize="0,0"/>
                  <v:stroke on="f"/>
                  <v:imagedata o:title=""/>
                  <o:lock v:ext="edit" aspectratio="f"/>
                  <v:textbox inset="0mm,0mm,0mm,0mm"/>
                </v:shape>
                <v:shape id="Textbox 46" o:spid="_x0000_s1026" o:spt="202" type="#_x0000_t202" style="position:absolute;left:310261;top:75564;height:325120;width:890905;" filled="f" stroked="f" coordsize="21600,21600" o:gfxdata="UEsDBAoAAAAAAIdO4kAAAAAAAAAAAAAAAAAEAAAAZHJzL1BLAwQUAAAACACHTuJA+RzjSr0AAADb&#10;AAAADwAAAGRycy9kb3ducmV2LnhtbEWPQWsCMRSE7wX/Q3hCbzWxl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HON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E3715DE">
                        <w:pPr>
                          <w:spacing w:line="199" w:lineRule="exact"/>
                          <w:ind w:right="18"/>
                          <w:jc w:val="center"/>
                          <w:rPr>
                            <w:b/>
                            <w:sz w:val="18"/>
                          </w:rPr>
                        </w:pPr>
                        <w:r>
                          <w:rPr>
                            <w:b/>
                            <w:sz w:val="18"/>
                          </w:rPr>
                          <w:t>Sanal</w:t>
                        </w:r>
                        <w:r>
                          <w:rPr>
                            <w:b/>
                            <w:spacing w:val="-8"/>
                            <w:sz w:val="18"/>
                          </w:rPr>
                          <w:t xml:space="preserve"> </w:t>
                        </w:r>
                        <w:r>
                          <w:rPr>
                            <w:b/>
                            <w:spacing w:val="-2"/>
                            <w:sz w:val="18"/>
                          </w:rPr>
                          <w:t>Rekreasyon</w:t>
                        </w:r>
                      </w:p>
                      <w:p w14:paraId="51F77C83">
                        <w:pPr>
                          <w:spacing w:before="105"/>
                          <w:ind w:right="21"/>
                          <w:jc w:val="center"/>
                          <w:rPr>
                            <w:b/>
                            <w:sz w:val="18"/>
                          </w:rPr>
                        </w:pPr>
                        <w:r>
                          <w:rPr>
                            <w:b/>
                            <w:spacing w:val="-2"/>
                            <w:sz w:val="18"/>
                          </w:rPr>
                          <w:t>Deneyimleri</w:t>
                        </w:r>
                      </w:p>
                    </w:txbxContent>
                  </v:textbox>
                </v:shape>
                <v:shape id="Textbox 47" o:spid="_x0000_s1026" o:spt="202" type="#_x0000_t202" style="position:absolute;left:2253742;top:156336;height:127000;width:158115;" filled="f" stroked="f" coordsize="21600,21600" o:gfxdata="UEsDBAoAAAAAAIdO4kAAAAAAAAAAAAAAAAAEAAAAZHJzL1BLAwQUAAAACACHTuJAllBG0b4AAADb&#10;AAAADwAAAGRycy9kb3ducmV2LnhtbEWPT2sCMRTE7wW/Q3hCbzWxFK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BG0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8865EFD">
                        <w:pPr>
                          <w:spacing w:line="199" w:lineRule="exact"/>
                          <w:rPr>
                            <w:b/>
                            <w:sz w:val="18"/>
                          </w:rPr>
                        </w:pPr>
                        <w:r>
                          <w:rPr>
                            <w:b/>
                            <w:spacing w:val="-5"/>
                            <w:sz w:val="18"/>
                          </w:rPr>
                          <w:t>H1</w:t>
                        </w:r>
                      </w:p>
                    </w:txbxContent>
                  </v:textbox>
                </v:shape>
                <v:shape id="Textbox 48" o:spid="_x0000_s1026" o:spt="202" type="#_x0000_t202" style="position:absolute;left:3777996;top:163956;height:127000;width:836930;" filled="f" stroked="f" coordsize="21600,21600" o:gfxdata="UEsDBAoAAAAAAIdO4kAAAAAAAAAAAAAAAAAEAAAAZHJzL1BLAwQUAAAACACHTuJA58/So7oAAADb&#10;AAAADwAAAGRycy9kb3ducmV2LnhtbEVPy2oCMRTdF/yHcAvd1UQp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z9Kj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3CCDAAF1">
                        <w:pPr>
                          <w:spacing w:line="199" w:lineRule="exact"/>
                          <w:rPr>
                            <w:b/>
                            <w:sz w:val="18"/>
                          </w:rPr>
                        </w:pPr>
                        <w:r>
                          <w:rPr>
                            <w:b/>
                            <w:sz w:val="18"/>
                          </w:rPr>
                          <w:t>Yaşam</w:t>
                        </w:r>
                        <w:r>
                          <w:rPr>
                            <w:b/>
                            <w:spacing w:val="-10"/>
                            <w:sz w:val="18"/>
                          </w:rPr>
                          <w:t xml:space="preserve"> </w:t>
                        </w:r>
                        <w:r>
                          <w:rPr>
                            <w:b/>
                            <w:spacing w:val="-2"/>
                            <w:sz w:val="18"/>
                          </w:rPr>
                          <w:t>Kaliteleri</w:t>
                        </w:r>
                      </w:p>
                    </w:txbxContent>
                  </v:textbox>
                </v:shape>
                <v:shape id="Textbox 49" o:spid="_x0000_s1026" o:spt="202" type="#_x0000_t202" style="position:absolute;left:1003680;top:1915413;height:127000;width:1483360;" filled="f" stroked="f" coordsize="21600,21600" o:gfxdata="UEsDBAoAAAAAAIdO4kAAAAAAAAAAAAAAAAAEAAAAZHJzL1BLAwQUAAAACACHTuJAiIN3OL0AAADb&#10;AAAADwAAAGRycy9kb3ducmV2LnhtbEWPQWsCMRSE74L/ITyhN00sRe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g3c4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B2F042D">
                        <w:pPr>
                          <w:tabs>
                            <w:tab w:val="left" w:pos="1222"/>
                          </w:tabs>
                          <w:spacing w:line="199" w:lineRule="exact"/>
                          <w:rPr>
                            <w:b/>
                            <w:sz w:val="18"/>
                          </w:rPr>
                        </w:pPr>
                        <w:r>
                          <w:rPr>
                            <w:b/>
                            <w:sz w:val="18"/>
                          </w:rPr>
                          <w:t>Kıdem</w:t>
                        </w:r>
                        <w:r>
                          <w:rPr>
                            <w:b/>
                            <w:spacing w:val="-7"/>
                            <w:sz w:val="18"/>
                          </w:rPr>
                          <w:t xml:space="preserve"> </w:t>
                        </w:r>
                        <w:r>
                          <w:rPr>
                            <w:b/>
                            <w:spacing w:val="-4"/>
                            <w:sz w:val="18"/>
                          </w:rPr>
                          <w:t>Yılı</w:t>
                        </w:r>
                        <w:r>
                          <w:rPr>
                            <w:b/>
                            <w:sz w:val="18"/>
                          </w:rPr>
                          <w:tab/>
                        </w:r>
                        <w:r>
                          <w:rPr>
                            <w:b/>
                            <w:sz w:val="18"/>
                          </w:rPr>
                          <w:t>Eğitim</w:t>
                        </w:r>
                        <w:r>
                          <w:rPr>
                            <w:b/>
                            <w:spacing w:val="-3"/>
                            <w:sz w:val="18"/>
                          </w:rPr>
                          <w:t xml:space="preserve"> </w:t>
                        </w:r>
                        <w:r>
                          <w:rPr>
                            <w:b/>
                            <w:spacing w:val="-2"/>
                            <w:sz w:val="18"/>
                          </w:rPr>
                          <w:t>Düzeyi</w:t>
                        </w:r>
                      </w:p>
                    </w:txbxContent>
                  </v:textbox>
                </v:shape>
                <v:shape id="Textbox 50" o:spid="_x0000_s1026" o:spt="202" type="#_x0000_t202" style="position:absolute;left:2894076;top:1915413;height:127000;width:196215;" filled="f" stroked="f" coordsize="21600,21600" o:gfxdata="UEsDBAoAAAAAAIdO4kAAAAAAAAAAAAAAAAAEAAAAZHJzL1BLAwQUAAAACACHTuJAnGBIeLoAAADb&#10;AAAADwAAAGRycy9kb3ducmV2LnhtbEVPy2oCMRTdF/yHcAvd1USh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YEh4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486D7B98">
                        <w:pPr>
                          <w:spacing w:line="199" w:lineRule="exact"/>
                          <w:rPr>
                            <w:b/>
                            <w:sz w:val="18"/>
                          </w:rPr>
                        </w:pPr>
                        <w:r>
                          <w:rPr>
                            <w:b/>
                            <w:spacing w:val="-5"/>
                            <w:sz w:val="18"/>
                          </w:rPr>
                          <w:t>Yaş</w:t>
                        </w:r>
                      </w:p>
                    </w:txbxContent>
                  </v:textbox>
                </v:shape>
                <v:shape id="Textbox 51" o:spid="_x0000_s1026" o:spt="202" type="#_x0000_t202" style="position:absolute;left:3462528;top:1916937;height:127000;width:766445;" filled="f" stroked="f" coordsize="21600,21600" o:gfxdata="UEsDBAoAAAAAAIdO4kAAAAAAAAAAAAAAAAAEAAAAZHJzL1BLAwQUAAAACACHTuJA8yzt470AAADb&#10;AAAADwAAAGRycy9kb3ducmV2LnhtbEWPQWsCMRSE7wX/Q3hCbzXZQqW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LO3j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9E6BE67">
                        <w:pPr>
                          <w:spacing w:line="199" w:lineRule="exact"/>
                          <w:rPr>
                            <w:b/>
                            <w:sz w:val="18"/>
                          </w:rPr>
                        </w:pPr>
                        <w:r>
                          <w:rPr>
                            <w:b/>
                            <w:sz w:val="18"/>
                          </w:rPr>
                          <w:t>Medeni</w:t>
                        </w:r>
                        <w:r>
                          <w:rPr>
                            <w:b/>
                            <w:spacing w:val="-4"/>
                            <w:sz w:val="18"/>
                          </w:rPr>
                          <w:t xml:space="preserve"> </w:t>
                        </w:r>
                        <w:r>
                          <w:rPr>
                            <w:b/>
                            <w:spacing w:val="-2"/>
                            <w:sz w:val="18"/>
                          </w:rPr>
                          <w:t>Durum</w:t>
                        </w:r>
                      </w:p>
                    </w:txbxContent>
                  </v:textbox>
                </v:shape>
                <v:shape id="Textbox 52" o:spid="_x0000_s1026" o:spt="202" type="#_x0000_t202" style="position:absolute;left:4270375;top:1909635;height:314960;width:824230;" filled="f" stroked="f" coordsize="21600,21600" o:gfxdata="UEsDBAoAAAAAAIdO4kAAAAAAAAAAAAAAAAAEAAAAZHJzL1BLAwQUAAAACACHTuJAA/5zlL4AAADb&#10;AAAADwAAAGRycy9kb3ducmV2LnhtbEWPzWrDMBCE74W+g9hCb42UQEP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zl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565B512">
                        <w:pPr>
                          <w:spacing w:line="206" w:lineRule="exact"/>
                          <w:ind w:left="163"/>
                          <w:rPr>
                            <w:b/>
                            <w:sz w:val="18"/>
                          </w:rPr>
                        </w:pPr>
                        <w:r>
                          <w:rPr>
                            <w:b/>
                            <w:sz w:val="18"/>
                          </w:rPr>
                          <w:t>Gelir</w:t>
                        </w:r>
                        <w:r>
                          <w:rPr>
                            <w:b/>
                            <w:spacing w:val="-3"/>
                            <w:sz w:val="18"/>
                          </w:rPr>
                          <w:t xml:space="preserve"> </w:t>
                        </w:r>
                        <w:r>
                          <w:rPr>
                            <w:b/>
                            <w:spacing w:val="-2"/>
                            <w:sz w:val="18"/>
                          </w:rPr>
                          <w:t>Düzeyi</w:t>
                        </w:r>
                      </w:p>
                    </w:txbxContent>
                  </v:textbox>
                </v:shape>
                <v:shape id="Textbox 53" o:spid="_x0000_s1026" o:spt="202" type="#_x0000_t202" style="position:absolute;left:25400;top:1909635;height:314960;width:783590;" filled="f" stroked="f" coordsize="21600,21600" o:gfxdata="UEsDBAoAAAAAAIdO4kAAAAAAAAAAAAAAAAAEAAAAZHJzL1BLAwQUAAAACACHTuJAbLLWD74AAADb&#10;AAAADwAAAGRycy9kb3ducmV2LnhtbEWPQWsCMRSE70L/Q3gFb5pYU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LWD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5A87F1C">
                        <w:pPr>
                          <w:spacing w:before="1"/>
                          <w:ind w:left="299"/>
                          <w:rPr>
                            <w:b/>
                            <w:sz w:val="18"/>
                          </w:rPr>
                        </w:pPr>
                        <w:r>
                          <w:rPr>
                            <w:b/>
                            <w:spacing w:val="-2"/>
                            <w:sz w:val="18"/>
                          </w:rPr>
                          <w:t>Cinsiyet</w:t>
                        </w:r>
                      </w:p>
                    </w:txbxContent>
                  </v:textbox>
                </v:shape>
                <w10:wrap type="topAndBottom"/>
              </v:group>
            </w:pict>
          </mc:Fallback>
        </mc:AlternateContent>
      </w:r>
    </w:p>
    <w:p w14:paraId="7A4FCA31">
      <w:pPr>
        <w:spacing w:before="60"/>
        <w:ind w:left="2726"/>
        <w:rPr>
          <w:b/>
        </w:rPr>
      </w:pPr>
      <w:r>
        <w:rPr>
          <w:b/>
        </w:rPr>
        <w:t>Demografik</w:t>
      </w:r>
      <w:r>
        <w:rPr>
          <w:b/>
          <w:spacing w:val="-9"/>
        </w:rPr>
        <w:t xml:space="preserve"> </w:t>
      </w:r>
      <w:r>
        <w:rPr>
          <w:b/>
        </w:rPr>
        <w:t>Değişkenler</w:t>
      </w:r>
      <w:r>
        <w:rPr>
          <w:b/>
          <w:spacing w:val="-8"/>
        </w:rPr>
        <w:t xml:space="preserve"> </w:t>
      </w:r>
      <w:r>
        <w:rPr>
          <w:b/>
          <w:spacing w:val="-4"/>
        </w:rPr>
        <w:t>(H2)</w:t>
      </w:r>
    </w:p>
    <w:p w14:paraId="14A19DBE">
      <w:pPr>
        <w:pStyle w:val="9"/>
        <w:spacing w:after="120"/>
        <w:ind w:left="159"/>
        <w:rPr>
          <w:b/>
        </w:rPr>
      </w:pPr>
      <w:r>
        <w:rPr>
          <w:b/>
        </w:rPr>
        <w:t>Şekil</w:t>
      </w:r>
      <w:r>
        <w:rPr>
          <w:b/>
          <w:spacing w:val="-2"/>
        </w:rPr>
        <w:t xml:space="preserve"> </w:t>
      </w:r>
      <w:r>
        <w:rPr>
          <w:b/>
        </w:rPr>
        <w:t>3.1.</w:t>
      </w:r>
      <w:r>
        <w:rPr>
          <w:b/>
          <w:spacing w:val="-1"/>
        </w:rPr>
        <w:t xml:space="preserve"> </w:t>
      </w:r>
      <w:r>
        <w:t>Araştırmanın Modeli</w:t>
      </w:r>
    </w:p>
    <w:p w14:paraId="2A202263">
      <w:pPr>
        <w:ind w:firstLine="567"/>
        <w:rPr>
          <w:b/>
        </w:rPr>
      </w:pPr>
      <w:bookmarkStart w:id="158" w:name="_Toc195877135"/>
      <w:bookmarkStart w:id="159" w:name="_Toc195875826"/>
      <w:r>
        <w:rPr>
          <w:b/>
        </w:rPr>
        <w:t>H1: Öğretmenlerin sanal rekreasyon deneyimleri,  onların yaşam kaliteleri üzerinde anlamlı bir etkisi vardır.</w:t>
      </w:r>
      <w:bookmarkEnd w:id="158"/>
      <w:bookmarkEnd w:id="159"/>
    </w:p>
    <w:p w14:paraId="7C7AD484">
      <w:pPr>
        <w:pStyle w:val="9"/>
        <w:spacing w:before="120" w:after="120" w:line="360" w:lineRule="auto"/>
        <w:ind w:left="0" w:firstLine="567"/>
      </w:pPr>
      <w:r>
        <w:t>Bu hipotez, sanal rekreasyon faaliyetlerine katılan öğretmenlerin yaşam kalitesi üzerinde olumlu etkiler yarattığını savunmaktadır. Bu kapsamda, sanal rekreasyonun öğretmenlerin stres</w:t>
      </w:r>
      <w:r>
        <w:rPr>
          <w:spacing w:val="-6"/>
        </w:rPr>
        <w:t xml:space="preserve"> </w:t>
      </w:r>
      <w:r>
        <w:t>yönetimi,</w:t>
      </w:r>
      <w:r>
        <w:rPr>
          <w:spacing w:val="-7"/>
        </w:rPr>
        <w:t xml:space="preserve"> </w:t>
      </w:r>
      <w:r>
        <w:t>sosyal</w:t>
      </w:r>
      <w:r>
        <w:rPr>
          <w:spacing w:val="-6"/>
        </w:rPr>
        <w:t xml:space="preserve"> </w:t>
      </w:r>
      <w:r>
        <w:t>ilişkiler</w:t>
      </w:r>
      <w:r>
        <w:rPr>
          <w:spacing w:val="-8"/>
        </w:rPr>
        <w:t xml:space="preserve"> </w:t>
      </w:r>
      <w:r>
        <w:t>ve</w:t>
      </w:r>
      <w:r>
        <w:rPr>
          <w:spacing w:val="-8"/>
        </w:rPr>
        <w:t xml:space="preserve"> </w:t>
      </w:r>
      <w:r>
        <w:t>genel</w:t>
      </w:r>
      <w:r>
        <w:rPr>
          <w:spacing w:val="-3"/>
        </w:rPr>
        <w:t xml:space="preserve"> </w:t>
      </w:r>
      <w:r>
        <w:t>yaşam</w:t>
      </w:r>
      <w:r>
        <w:rPr>
          <w:spacing w:val="-6"/>
        </w:rPr>
        <w:t xml:space="preserve"> </w:t>
      </w:r>
      <w:r>
        <w:t>memnuniyetine</w:t>
      </w:r>
      <w:r>
        <w:rPr>
          <w:spacing w:val="-8"/>
        </w:rPr>
        <w:t xml:space="preserve"> </w:t>
      </w:r>
      <w:r>
        <w:t>olumlu</w:t>
      </w:r>
      <w:r>
        <w:rPr>
          <w:spacing w:val="-6"/>
        </w:rPr>
        <w:t xml:space="preserve"> </w:t>
      </w:r>
      <w:r>
        <w:t>katkılar</w:t>
      </w:r>
      <w:r>
        <w:rPr>
          <w:spacing w:val="-8"/>
        </w:rPr>
        <w:t xml:space="preserve"> </w:t>
      </w:r>
      <w:r>
        <w:t>sağladığı</w:t>
      </w:r>
      <w:r>
        <w:rPr>
          <w:spacing w:val="-6"/>
        </w:rPr>
        <w:t xml:space="preserve"> </w:t>
      </w:r>
      <w:r>
        <w:t xml:space="preserve">test </w:t>
      </w:r>
      <w:r>
        <w:rPr>
          <w:spacing w:val="-2"/>
        </w:rPr>
        <w:t>edilmiştir.</w:t>
      </w:r>
    </w:p>
    <w:p w14:paraId="22CFC025">
      <w:pPr>
        <w:spacing w:before="120" w:after="120" w:line="360" w:lineRule="auto"/>
        <w:ind w:firstLine="567"/>
        <w:jc w:val="both"/>
        <w:rPr>
          <w:b/>
          <w:sz w:val="24"/>
          <w:szCs w:val="24"/>
        </w:rPr>
      </w:pPr>
      <w:bookmarkStart w:id="160" w:name="_Toc195877136"/>
      <w:bookmarkStart w:id="161" w:name="_Toc195875827"/>
      <w:r>
        <w:rPr>
          <w:b/>
          <w:sz w:val="24"/>
          <w:szCs w:val="24"/>
        </w:rPr>
        <w:t>H2: Sanal rekreasyon deneyimleri üzerinde demografik değişkenlerin anlamlı bir etkisi vardır.</w:t>
      </w:r>
      <w:bookmarkEnd w:id="160"/>
      <w:bookmarkEnd w:id="161"/>
    </w:p>
    <w:p w14:paraId="0E1603BF">
      <w:pPr>
        <w:spacing w:before="120" w:after="120" w:line="360" w:lineRule="auto"/>
        <w:ind w:firstLine="567"/>
        <w:jc w:val="both"/>
        <w:rPr>
          <w:b/>
          <w:sz w:val="24"/>
          <w:szCs w:val="24"/>
        </w:rPr>
      </w:pPr>
      <w:r>
        <w:rPr>
          <w:b/>
          <w:sz w:val="24"/>
          <w:szCs w:val="24"/>
        </w:rPr>
        <w:t>H2.1:</w:t>
      </w:r>
      <w:r>
        <w:rPr>
          <w:b/>
          <w:spacing w:val="-11"/>
          <w:sz w:val="24"/>
          <w:szCs w:val="24"/>
        </w:rPr>
        <w:t xml:space="preserve"> </w:t>
      </w:r>
      <w:r>
        <w:rPr>
          <w:b/>
          <w:sz w:val="24"/>
          <w:szCs w:val="24"/>
        </w:rPr>
        <w:t>Sanal</w:t>
      </w:r>
      <w:r>
        <w:rPr>
          <w:b/>
          <w:spacing w:val="-10"/>
          <w:sz w:val="24"/>
          <w:szCs w:val="24"/>
        </w:rPr>
        <w:t xml:space="preserve"> </w:t>
      </w:r>
      <w:r>
        <w:rPr>
          <w:b/>
          <w:sz w:val="24"/>
          <w:szCs w:val="24"/>
        </w:rPr>
        <w:t>rekreasyon</w:t>
      </w:r>
      <w:r>
        <w:rPr>
          <w:b/>
          <w:spacing w:val="-9"/>
          <w:sz w:val="24"/>
          <w:szCs w:val="24"/>
        </w:rPr>
        <w:t xml:space="preserve"> </w:t>
      </w:r>
      <w:r>
        <w:rPr>
          <w:b/>
          <w:sz w:val="24"/>
          <w:szCs w:val="24"/>
        </w:rPr>
        <w:t>deneyimleri</w:t>
      </w:r>
      <w:r>
        <w:rPr>
          <w:b/>
          <w:spacing w:val="-7"/>
          <w:sz w:val="24"/>
          <w:szCs w:val="24"/>
        </w:rPr>
        <w:t xml:space="preserve"> </w:t>
      </w:r>
      <w:r>
        <w:rPr>
          <w:b/>
          <w:sz w:val="24"/>
          <w:szCs w:val="24"/>
        </w:rPr>
        <w:t>ile</w:t>
      </w:r>
      <w:r>
        <w:rPr>
          <w:b/>
          <w:spacing w:val="-11"/>
          <w:sz w:val="24"/>
          <w:szCs w:val="24"/>
        </w:rPr>
        <w:t xml:space="preserve"> </w:t>
      </w:r>
      <w:r>
        <w:rPr>
          <w:b/>
          <w:sz w:val="24"/>
          <w:szCs w:val="24"/>
        </w:rPr>
        <w:t>öğretmenlerin</w:t>
      </w:r>
      <w:r>
        <w:rPr>
          <w:b/>
          <w:spacing w:val="-9"/>
          <w:sz w:val="24"/>
          <w:szCs w:val="24"/>
        </w:rPr>
        <w:t xml:space="preserve"> </w:t>
      </w:r>
      <w:r>
        <w:rPr>
          <w:b/>
          <w:sz w:val="24"/>
          <w:szCs w:val="24"/>
        </w:rPr>
        <w:t>cinsiyetleri</w:t>
      </w:r>
      <w:r>
        <w:rPr>
          <w:b/>
          <w:spacing w:val="-10"/>
          <w:sz w:val="24"/>
          <w:szCs w:val="24"/>
        </w:rPr>
        <w:t xml:space="preserve"> </w:t>
      </w:r>
      <w:r>
        <w:rPr>
          <w:b/>
          <w:sz w:val="24"/>
          <w:szCs w:val="24"/>
        </w:rPr>
        <w:t>arasında</w:t>
      </w:r>
      <w:r>
        <w:rPr>
          <w:b/>
          <w:spacing w:val="-10"/>
          <w:sz w:val="24"/>
          <w:szCs w:val="24"/>
        </w:rPr>
        <w:t xml:space="preserve"> </w:t>
      </w:r>
      <w:r>
        <w:rPr>
          <w:b/>
          <w:sz w:val="24"/>
          <w:szCs w:val="24"/>
        </w:rPr>
        <w:t>anlamlı</w:t>
      </w:r>
      <w:r>
        <w:rPr>
          <w:b/>
          <w:spacing w:val="-10"/>
          <w:sz w:val="24"/>
          <w:szCs w:val="24"/>
        </w:rPr>
        <w:t xml:space="preserve"> </w:t>
      </w:r>
      <w:r>
        <w:rPr>
          <w:b/>
          <w:sz w:val="24"/>
          <w:szCs w:val="24"/>
        </w:rPr>
        <w:t>bir farklılık vardır.</w:t>
      </w:r>
    </w:p>
    <w:p w14:paraId="67070FA6">
      <w:pPr>
        <w:pStyle w:val="9"/>
        <w:spacing w:before="120" w:after="120" w:line="360" w:lineRule="auto"/>
        <w:ind w:left="0" w:firstLine="567"/>
      </w:pPr>
      <w:r>
        <w:t>Bu hipotez, öğretmenlerin cinsiyetlerine göre sanal rekreasyon deneyimlerinde anlamlı farklılıklar</w:t>
      </w:r>
      <w:r>
        <w:rPr>
          <w:spacing w:val="-2"/>
        </w:rPr>
        <w:t xml:space="preserve"> </w:t>
      </w:r>
      <w:r>
        <w:t>olup olmadığını incelemektedir.</w:t>
      </w:r>
      <w:r>
        <w:rPr>
          <w:spacing w:val="-1"/>
        </w:rPr>
        <w:t xml:space="preserve"> </w:t>
      </w:r>
      <w:r>
        <w:t>Erkek ve</w:t>
      </w:r>
      <w:r>
        <w:rPr>
          <w:spacing w:val="-2"/>
        </w:rPr>
        <w:t xml:space="preserve"> </w:t>
      </w:r>
      <w:r>
        <w:t>kadın öğretmenlerin sanal rekreasyon faaliyetlerine katılım düzeyleri ve bu faaliyetlerden sağladıkları fayda karşılaştırılmıştır.</w:t>
      </w:r>
    </w:p>
    <w:p w14:paraId="026FB731">
      <w:pPr>
        <w:spacing w:before="120" w:after="120" w:line="360" w:lineRule="auto"/>
        <w:ind w:firstLine="567"/>
        <w:jc w:val="both"/>
        <w:rPr>
          <w:b/>
          <w:sz w:val="24"/>
          <w:szCs w:val="24"/>
        </w:rPr>
      </w:pPr>
      <w:bookmarkStart w:id="162" w:name="_Toc195877137"/>
      <w:bookmarkStart w:id="163" w:name="_Toc195875828"/>
      <w:r>
        <w:rPr>
          <w:b/>
          <w:sz w:val="24"/>
          <w:szCs w:val="24"/>
        </w:rPr>
        <w:t>H2.2: Sanal rekreasyon deneyimleri ile öğretmenlerin kıdem yılları arasında anlamlı bir farklılık vardır.</w:t>
      </w:r>
      <w:bookmarkEnd w:id="162"/>
      <w:bookmarkEnd w:id="163"/>
    </w:p>
    <w:p w14:paraId="12E0041A">
      <w:pPr>
        <w:pStyle w:val="9"/>
        <w:spacing w:before="120" w:after="120" w:line="360" w:lineRule="auto"/>
        <w:ind w:left="0" w:firstLine="567"/>
      </w:pPr>
      <w:r>
        <w:t>Bu hipotez, öğretmenlerin kıdem yılına göre sanal rekreasyon deneyimlerinde anlamlı bir farklılık olup olmadığını test etmektedir. Farklı kıdem yılındaki öğretmenlerin sanal rekreasyon deneyimlerine yönelik tutum ve katılım düzeyleri değerlendirilmiştir.</w:t>
      </w:r>
    </w:p>
    <w:p w14:paraId="4E82BF11">
      <w:pPr>
        <w:spacing w:before="120" w:after="120" w:line="360" w:lineRule="auto"/>
        <w:ind w:firstLine="567"/>
        <w:jc w:val="both"/>
        <w:rPr>
          <w:b/>
          <w:sz w:val="24"/>
          <w:szCs w:val="24"/>
        </w:rPr>
      </w:pPr>
      <w:bookmarkStart w:id="164" w:name="_Toc195875829"/>
      <w:bookmarkStart w:id="165" w:name="_Toc195877138"/>
    </w:p>
    <w:p w14:paraId="0E1BD56F">
      <w:pPr>
        <w:spacing w:before="120" w:after="120" w:line="360" w:lineRule="auto"/>
        <w:ind w:firstLine="567"/>
        <w:jc w:val="both"/>
        <w:rPr>
          <w:b/>
          <w:sz w:val="24"/>
          <w:szCs w:val="24"/>
        </w:rPr>
      </w:pPr>
    </w:p>
    <w:p w14:paraId="7BB0759B">
      <w:pPr>
        <w:spacing w:before="120" w:after="120" w:line="360" w:lineRule="auto"/>
        <w:ind w:firstLine="567"/>
        <w:jc w:val="both"/>
        <w:rPr>
          <w:b/>
          <w:sz w:val="24"/>
          <w:szCs w:val="24"/>
        </w:rPr>
      </w:pPr>
      <w:r>
        <w:rPr>
          <w:b/>
          <w:sz w:val="24"/>
          <w:szCs w:val="24"/>
        </w:rPr>
        <w:t>H2.3: Sanal rekreasyon deneyimleri ile öğretmenlerin eğitim düzeyleri arasında anlamlı bir farklılık vardır.</w:t>
      </w:r>
      <w:bookmarkEnd w:id="164"/>
      <w:bookmarkEnd w:id="165"/>
    </w:p>
    <w:p w14:paraId="11B2E53E">
      <w:pPr>
        <w:pStyle w:val="9"/>
        <w:spacing w:before="120" w:after="120" w:line="360" w:lineRule="auto"/>
        <w:ind w:left="0" w:firstLine="567"/>
      </w:pPr>
      <w:r>
        <w:t>Bu</w:t>
      </w:r>
      <w:r>
        <w:rPr>
          <w:spacing w:val="-15"/>
        </w:rPr>
        <w:t xml:space="preserve"> </w:t>
      </w:r>
      <w:r>
        <w:t>hipotez,</w:t>
      </w:r>
      <w:r>
        <w:rPr>
          <w:spacing w:val="-15"/>
        </w:rPr>
        <w:t xml:space="preserve"> </w:t>
      </w:r>
      <w:r>
        <w:t>öğretmenlerin</w:t>
      </w:r>
      <w:r>
        <w:rPr>
          <w:spacing w:val="-15"/>
        </w:rPr>
        <w:t xml:space="preserve"> </w:t>
      </w:r>
      <w:r>
        <w:t>eğitim</w:t>
      </w:r>
      <w:r>
        <w:rPr>
          <w:spacing w:val="-15"/>
        </w:rPr>
        <w:t xml:space="preserve"> </w:t>
      </w:r>
      <w:r>
        <w:t>düzeylerine</w:t>
      </w:r>
      <w:r>
        <w:rPr>
          <w:spacing w:val="-15"/>
        </w:rPr>
        <w:t xml:space="preserve"> </w:t>
      </w:r>
      <w:r>
        <w:t>göre</w:t>
      </w:r>
      <w:r>
        <w:rPr>
          <w:spacing w:val="-15"/>
        </w:rPr>
        <w:t xml:space="preserve"> </w:t>
      </w:r>
      <w:r>
        <w:t>sanal</w:t>
      </w:r>
      <w:r>
        <w:rPr>
          <w:spacing w:val="-15"/>
        </w:rPr>
        <w:t xml:space="preserve"> </w:t>
      </w:r>
      <w:r>
        <w:t>rekreasyon</w:t>
      </w:r>
      <w:r>
        <w:rPr>
          <w:spacing w:val="-15"/>
        </w:rPr>
        <w:t xml:space="preserve"> </w:t>
      </w:r>
      <w:r>
        <w:t>deneyimlerinde</w:t>
      </w:r>
      <w:r>
        <w:rPr>
          <w:spacing w:val="-15"/>
        </w:rPr>
        <w:t xml:space="preserve"> </w:t>
      </w:r>
      <w:r>
        <w:t>farklılık olup olmadığını incelemektedir. Önlisans, lisans, yüksek lisans ve doktora mezunu öğretmenlerin sanal rekreasyon faaliyetlerine katılım düzeyleri karşılaştırılmıştır.</w:t>
      </w:r>
    </w:p>
    <w:p w14:paraId="198ECB42">
      <w:pPr>
        <w:spacing w:before="120" w:after="120" w:line="360" w:lineRule="auto"/>
        <w:ind w:firstLine="567"/>
        <w:jc w:val="both"/>
        <w:rPr>
          <w:b/>
          <w:sz w:val="24"/>
          <w:szCs w:val="24"/>
        </w:rPr>
      </w:pPr>
      <w:bookmarkStart w:id="166" w:name="_Toc195877139"/>
      <w:bookmarkStart w:id="167" w:name="_Toc195875830"/>
      <w:r>
        <w:rPr>
          <w:b/>
          <w:sz w:val="24"/>
          <w:szCs w:val="24"/>
        </w:rPr>
        <w:t>H2.4: Sanal rekreasyon deneyimleri ile öğretmenlerin yaşları arasında anlamlı bir farklılık vardır.</w:t>
      </w:r>
      <w:bookmarkEnd w:id="166"/>
      <w:bookmarkEnd w:id="167"/>
    </w:p>
    <w:p w14:paraId="0C12C239">
      <w:pPr>
        <w:pStyle w:val="9"/>
        <w:spacing w:before="120" w:after="120" w:line="360" w:lineRule="auto"/>
        <w:ind w:left="0" w:firstLine="567"/>
      </w:pPr>
      <w:r>
        <w:t>Bu hipotez, öğretmenlerin yaşlarına göre sanal rekreasyon deneyimlerinde farklılık olup olmadığını incelemektedir. Genç ve ileri yaş gruplarındaki öğretmenlerin sanal rekreasyon faaliyetlerinden elde ettikleri deneyimlerin karşılaştırılması yapılmıştır.</w:t>
      </w:r>
    </w:p>
    <w:p w14:paraId="757CC757">
      <w:pPr>
        <w:spacing w:before="120" w:after="120" w:line="360" w:lineRule="auto"/>
        <w:ind w:firstLine="567"/>
        <w:jc w:val="both"/>
        <w:rPr>
          <w:b/>
          <w:sz w:val="24"/>
          <w:szCs w:val="24"/>
        </w:rPr>
      </w:pPr>
      <w:bookmarkStart w:id="168" w:name="_Toc195877140"/>
      <w:bookmarkStart w:id="169" w:name="_Toc195875831"/>
      <w:r>
        <w:rPr>
          <w:b/>
          <w:sz w:val="24"/>
          <w:szCs w:val="24"/>
        </w:rPr>
        <w:t>H2.5: Sanal rekreasyon deneyimleri ile öğretmenlerin medeni durumları arasında anlamlı bir farklılık vardır.</w:t>
      </w:r>
      <w:bookmarkEnd w:id="168"/>
      <w:bookmarkEnd w:id="169"/>
    </w:p>
    <w:p w14:paraId="1C81C423">
      <w:pPr>
        <w:pStyle w:val="9"/>
        <w:spacing w:before="120" w:after="120" w:line="360" w:lineRule="auto"/>
        <w:ind w:left="0" w:firstLine="567"/>
      </w:pPr>
      <w:r>
        <w:t>Bu hipotez, öğretmenlerin medeni durumlarına göre sanal rekreasyon deneyimlerinde bir farklılık olup olmadığını incelemektedir. Evli ve bekar öğretmenlerin sanal rekreasyon faaliyetlerine katılım düzeyleri ve bu faaliyetlerden sağladıkları faydalar karşılaştırılmıştır.</w:t>
      </w:r>
    </w:p>
    <w:p w14:paraId="369BE76D">
      <w:pPr>
        <w:spacing w:before="120" w:after="120" w:line="360" w:lineRule="auto"/>
        <w:ind w:firstLine="567"/>
        <w:jc w:val="both"/>
        <w:rPr>
          <w:b/>
          <w:sz w:val="24"/>
          <w:szCs w:val="24"/>
        </w:rPr>
      </w:pPr>
      <w:bookmarkStart w:id="170" w:name="_Toc195875832"/>
      <w:bookmarkStart w:id="171" w:name="_Toc195877141"/>
      <w:r>
        <w:rPr>
          <w:b/>
          <w:sz w:val="24"/>
          <w:szCs w:val="24"/>
        </w:rPr>
        <w:t>H2.6:</w:t>
      </w:r>
      <w:r>
        <w:rPr>
          <w:b/>
          <w:spacing w:val="-9"/>
          <w:sz w:val="24"/>
          <w:szCs w:val="24"/>
        </w:rPr>
        <w:t xml:space="preserve"> </w:t>
      </w:r>
      <w:r>
        <w:rPr>
          <w:b/>
          <w:sz w:val="24"/>
          <w:szCs w:val="24"/>
        </w:rPr>
        <w:t>Sanal</w:t>
      </w:r>
      <w:r>
        <w:rPr>
          <w:b/>
          <w:spacing w:val="-10"/>
          <w:sz w:val="24"/>
          <w:szCs w:val="24"/>
        </w:rPr>
        <w:t xml:space="preserve"> </w:t>
      </w:r>
      <w:r>
        <w:rPr>
          <w:b/>
          <w:sz w:val="24"/>
          <w:szCs w:val="24"/>
        </w:rPr>
        <w:t>rekreasyon</w:t>
      </w:r>
      <w:r>
        <w:rPr>
          <w:b/>
          <w:spacing w:val="-7"/>
          <w:sz w:val="24"/>
          <w:szCs w:val="24"/>
        </w:rPr>
        <w:t xml:space="preserve"> </w:t>
      </w:r>
      <w:r>
        <w:rPr>
          <w:b/>
          <w:sz w:val="24"/>
          <w:szCs w:val="24"/>
        </w:rPr>
        <w:t>deneyimleri</w:t>
      </w:r>
      <w:r>
        <w:rPr>
          <w:b/>
          <w:spacing w:val="-7"/>
          <w:sz w:val="24"/>
          <w:szCs w:val="24"/>
        </w:rPr>
        <w:t xml:space="preserve"> </w:t>
      </w:r>
      <w:r>
        <w:rPr>
          <w:b/>
          <w:sz w:val="24"/>
          <w:szCs w:val="24"/>
        </w:rPr>
        <w:t>ile</w:t>
      </w:r>
      <w:r>
        <w:rPr>
          <w:b/>
          <w:spacing w:val="-9"/>
          <w:sz w:val="24"/>
          <w:szCs w:val="24"/>
        </w:rPr>
        <w:t xml:space="preserve"> </w:t>
      </w:r>
      <w:r>
        <w:rPr>
          <w:b/>
          <w:sz w:val="24"/>
          <w:szCs w:val="24"/>
        </w:rPr>
        <w:t>öğretmenlerin</w:t>
      </w:r>
      <w:r>
        <w:rPr>
          <w:b/>
          <w:spacing w:val="-7"/>
          <w:sz w:val="24"/>
          <w:szCs w:val="24"/>
        </w:rPr>
        <w:t xml:space="preserve"> </w:t>
      </w:r>
      <w:r>
        <w:rPr>
          <w:b/>
          <w:sz w:val="24"/>
          <w:szCs w:val="24"/>
        </w:rPr>
        <w:t>gelir</w:t>
      </w:r>
      <w:r>
        <w:rPr>
          <w:b/>
          <w:spacing w:val="-9"/>
          <w:sz w:val="24"/>
          <w:szCs w:val="24"/>
        </w:rPr>
        <w:t xml:space="preserve"> </w:t>
      </w:r>
      <w:r>
        <w:rPr>
          <w:b/>
          <w:sz w:val="24"/>
          <w:szCs w:val="24"/>
        </w:rPr>
        <w:t>düzeyleri</w:t>
      </w:r>
      <w:r>
        <w:rPr>
          <w:b/>
          <w:spacing w:val="-7"/>
          <w:sz w:val="24"/>
          <w:szCs w:val="24"/>
        </w:rPr>
        <w:t xml:space="preserve"> </w:t>
      </w:r>
      <w:r>
        <w:rPr>
          <w:b/>
          <w:sz w:val="24"/>
          <w:szCs w:val="24"/>
        </w:rPr>
        <w:t>arasında</w:t>
      </w:r>
      <w:r>
        <w:rPr>
          <w:b/>
          <w:spacing w:val="-8"/>
          <w:sz w:val="24"/>
          <w:szCs w:val="24"/>
        </w:rPr>
        <w:t xml:space="preserve"> </w:t>
      </w:r>
      <w:r>
        <w:rPr>
          <w:b/>
          <w:sz w:val="24"/>
          <w:szCs w:val="24"/>
        </w:rPr>
        <w:t>anlamlı bir farklılık vardır.</w:t>
      </w:r>
      <w:bookmarkEnd w:id="170"/>
      <w:bookmarkEnd w:id="171"/>
    </w:p>
    <w:p w14:paraId="4D6D6A2F">
      <w:pPr>
        <w:pStyle w:val="9"/>
        <w:spacing w:before="120" w:after="120" w:line="360" w:lineRule="auto"/>
        <w:ind w:left="0" w:firstLine="567"/>
      </w:pPr>
      <w:r>
        <w:t>Bu hipotez, öğretmenlerin gelir</w:t>
      </w:r>
      <w:r>
        <w:rPr>
          <w:spacing w:val="-1"/>
        </w:rPr>
        <w:t xml:space="preserve"> </w:t>
      </w:r>
      <w:r>
        <w:t>düzeylerine göre sanal rekreasyon deneyimlerinde</w:t>
      </w:r>
      <w:r>
        <w:rPr>
          <w:spacing w:val="-1"/>
        </w:rPr>
        <w:t xml:space="preserve"> </w:t>
      </w:r>
      <w:r>
        <w:t>farklılık olup olmadığını test etmektedir. Gelir düzeyi farklı olan öğretmenlerin sanal rekreasyon faaliyetlerinden elde ettikleri deneyimler ve katılım düzeyleri analiz edilmiştir.</w:t>
      </w:r>
    </w:p>
    <w:p w14:paraId="36C37782">
      <w:pPr>
        <w:pStyle w:val="3"/>
        <w:tabs>
          <w:tab w:val="left" w:pos="580"/>
        </w:tabs>
        <w:spacing w:before="240" w:after="240" w:line="360" w:lineRule="auto"/>
        <w:ind w:left="567"/>
      </w:pPr>
      <w:bookmarkStart w:id="172" w:name="_Toc195877811"/>
      <w:bookmarkStart w:id="173" w:name="_Toc195875833"/>
      <w:bookmarkStart w:id="174" w:name="_Toc197351264"/>
      <w:r>
        <w:t>3.4. Veri</w:t>
      </w:r>
      <w:r>
        <w:rPr>
          <w:spacing w:val="-4"/>
        </w:rPr>
        <w:t xml:space="preserve"> </w:t>
      </w:r>
      <w:r>
        <w:t>Toplama</w:t>
      </w:r>
      <w:r>
        <w:rPr>
          <w:spacing w:val="-3"/>
        </w:rPr>
        <w:t xml:space="preserve"> </w:t>
      </w:r>
      <w:r>
        <w:rPr>
          <w:spacing w:val="-2"/>
        </w:rPr>
        <w:t>Araçları</w:t>
      </w:r>
      <w:bookmarkEnd w:id="172"/>
      <w:bookmarkEnd w:id="173"/>
      <w:bookmarkEnd w:id="174"/>
    </w:p>
    <w:p w14:paraId="3943B23C">
      <w:pPr>
        <w:pStyle w:val="9"/>
        <w:spacing w:before="120" w:after="120" w:line="360" w:lineRule="auto"/>
        <w:ind w:left="0" w:firstLine="567"/>
      </w:pPr>
      <w:r>
        <w:t>Bu araştırmada veri toplama sürecinde iki farklı ölçek kullanılmıştır: Sanal Rekreasyon Ölçeği ve Yaşam Kalitesi Ölçeği (WHOQOL-Bref). Her iki ölçek de araştırmanın amaçlarına uygun olarak katılımcılardan veri toplamak üzere oluşturulmuştur.</w:t>
      </w:r>
    </w:p>
    <w:p w14:paraId="1240609C">
      <w:pPr>
        <w:pStyle w:val="4"/>
        <w:spacing w:before="240" w:after="240" w:line="360" w:lineRule="auto"/>
        <w:ind w:left="567" w:firstLine="0"/>
        <w:rPr>
          <w:i w:val="0"/>
        </w:rPr>
      </w:pPr>
      <w:bookmarkStart w:id="175" w:name="_Toc197351265"/>
      <w:bookmarkStart w:id="176" w:name="_Toc195877812"/>
      <w:r>
        <w:rPr>
          <w:i w:val="0"/>
        </w:rPr>
        <w:t xml:space="preserve">3.4.1. </w:t>
      </w:r>
      <w:bookmarkStart w:id="177" w:name="_Toc195875834"/>
      <w:r>
        <w:rPr>
          <w:i w:val="0"/>
        </w:rPr>
        <w:t>Sanal Rekreasyon Ölçeği</w:t>
      </w:r>
      <w:bookmarkEnd w:id="175"/>
      <w:bookmarkEnd w:id="176"/>
      <w:bookmarkEnd w:id="177"/>
    </w:p>
    <w:p w14:paraId="4DF03AD8">
      <w:pPr>
        <w:pStyle w:val="9"/>
        <w:spacing w:before="120" w:after="120" w:line="360" w:lineRule="auto"/>
        <w:ind w:left="0" w:firstLine="567"/>
      </w:pPr>
      <w:r>
        <w:t>Araştırma</w:t>
      </w:r>
      <w:r>
        <w:rPr>
          <w:spacing w:val="-15"/>
        </w:rPr>
        <w:t xml:space="preserve"> </w:t>
      </w:r>
      <w:r>
        <w:t>kapsamında</w:t>
      </w:r>
      <w:r>
        <w:rPr>
          <w:spacing w:val="-15"/>
        </w:rPr>
        <w:t xml:space="preserve"> </w:t>
      </w:r>
      <w:r>
        <w:t>geliştirilen</w:t>
      </w:r>
      <w:r>
        <w:rPr>
          <w:spacing w:val="-15"/>
        </w:rPr>
        <w:t xml:space="preserve"> </w:t>
      </w:r>
      <w:r>
        <w:t>Sanal</w:t>
      </w:r>
      <w:r>
        <w:rPr>
          <w:spacing w:val="-15"/>
        </w:rPr>
        <w:t xml:space="preserve"> </w:t>
      </w:r>
      <w:r>
        <w:t>Rekreasyon</w:t>
      </w:r>
      <w:r>
        <w:rPr>
          <w:spacing w:val="-15"/>
        </w:rPr>
        <w:t xml:space="preserve"> </w:t>
      </w:r>
      <w:r>
        <w:t>Ölçeği,</w:t>
      </w:r>
      <w:r>
        <w:rPr>
          <w:spacing w:val="-15"/>
        </w:rPr>
        <w:t xml:space="preserve"> </w:t>
      </w:r>
      <w:r>
        <w:t>öğretmenlerin</w:t>
      </w:r>
      <w:r>
        <w:rPr>
          <w:spacing w:val="-15"/>
        </w:rPr>
        <w:t xml:space="preserve"> </w:t>
      </w:r>
      <w:r>
        <w:t>sanal</w:t>
      </w:r>
      <w:r>
        <w:rPr>
          <w:spacing w:val="-15"/>
        </w:rPr>
        <w:t xml:space="preserve"> </w:t>
      </w:r>
      <w:r>
        <w:t>rekreasyon faaliyetlerine katılımlarını ve bu faaliyetlerden elde ettikleri deneyimleri ölçmek amacıyla hazırlanmıştır. Toplam 44 maddeden oluşan bu ölçek, öğretmenlerin sanal rekreasyon faaliyetleri</w:t>
      </w:r>
      <w:r>
        <w:rPr>
          <w:spacing w:val="-5"/>
        </w:rPr>
        <w:t xml:space="preserve"> </w:t>
      </w:r>
      <w:r>
        <w:t>onların</w:t>
      </w:r>
      <w:r>
        <w:rPr>
          <w:spacing w:val="-1"/>
        </w:rPr>
        <w:t xml:space="preserve"> </w:t>
      </w:r>
      <w:r>
        <w:t>yaşam kalitelerine</w:t>
      </w:r>
      <w:r>
        <w:rPr>
          <w:spacing w:val="-4"/>
        </w:rPr>
        <w:t xml:space="preserve"> </w:t>
      </w:r>
      <w:r>
        <w:t>olan</w:t>
      </w:r>
      <w:r>
        <w:rPr>
          <w:spacing w:val="-2"/>
        </w:rPr>
        <w:t xml:space="preserve"> </w:t>
      </w:r>
      <w:r>
        <w:t>etkilerini</w:t>
      </w:r>
      <w:r>
        <w:rPr>
          <w:spacing w:val="-2"/>
        </w:rPr>
        <w:t xml:space="preserve"> </w:t>
      </w:r>
      <w:r>
        <w:t>değerlendirmek</w:t>
      </w:r>
      <w:r>
        <w:rPr>
          <w:spacing w:val="-2"/>
        </w:rPr>
        <w:t xml:space="preserve"> </w:t>
      </w:r>
      <w:r>
        <w:t>için</w:t>
      </w:r>
      <w:r>
        <w:rPr>
          <w:spacing w:val="4"/>
        </w:rPr>
        <w:t xml:space="preserve"> </w:t>
      </w:r>
      <w:r>
        <w:rPr>
          <w:spacing w:val="-2"/>
        </w:rPr>
        <w:t>yapılandırılmıştır.</w:t>
      </w:r>
    </w:p>
    <w:p w14:paraId="18043CA1">
      <w:pPr>
        <w:pStyle w:val="9"/>
        <w:spacing w:before="120" w:after="120" w:line="360" w:lineRule="auto"/>
        <w:ind w:left="0" w:firstLine="567"/>
      </w:pPr>
      <w:r>
        <w:t>Ölçek, 5'li Likert tipi yanıt formatı ile hazırlanmıştır. Katılımcılar, kendilerini mutlu hissetmelerine, iş birliği becerilerinin gelişmesine ve stres düzeylerinin azalmasına nasıl katkı</w:t>
      </w:r>
      <w:r>
        <w:rPr>
          <w:spacing w:val="-14"/>
        </w:rPr>
        <w:t xml:space="preserve"> </w:t>
      </w:r>
      <w:r>
        <w:t>sağladığını</w:t>
      </w:r>
      <w:r>
        <w:rPr>
          <w:spacing w:val="-14"/>
        </w:rPr>
        <w:t xml:space="preserve"> </w:t>
      </w:r>
      <w:r>
        <w:t>değerlendirmektedir.</w:t>
      </w:r>
      <w:r>
        <w:rPr>
          <w:spacing w:val="-15"/>
        </w:rPr>
        <w:t xml:space="preserve"> </w:t>
      </w:r>
      <w:r>
        <w:t>Aynı</w:t>
      </w:r>
      <w:r>
        <w:rPr>
          <w:spacing w:val="-15"/>
        </w:rPr>
        <w:t xml:space="preserve"> </w:t>
      </w:r>
      <w:r>
        <w:t>zamanda,</w:t>
      </w:r>
      <w:r>
        <w:rPr>
          <w:spacing w:val="-13"/>
        </w:rPr>
        <w:t xml:space="preserve"> </w:t>
      </w:r>
      <w:r>
        <w:t>sanal</w:t>
      </w:r>
      <w:r>
        <w:rPr>
          <w:spacing w:val="-15"/>
        </w:rPr>
        <w:t xml:space="preserve"> </w:t>
      </w:r>
      <w:r>
        <w:t>rekreasyonun</w:t>
      </w:r>
      <w:r>
        <w:rPr>
          <w:spacing w:val="-12"/>
        </w:rPr>
        <w:t xml:space="preserve"> </w:t>
      </w:r>
      <w:r>
        <w:t>onların</w:t>
      </w:r>
      <w:r>
        <w:rPr>
          <w:spacing w:val="-11"/>
        </w:rPr>
        <w:t xml:space="preserve"> </w:t>
      </w:r>
      <w:r>
        <w:t>yaratıcılık becerilerini</w:t>
      </w:r>
      <w:r>
        <w:rPr>
          <w:spacing w:val="-15"/>
        </w:rPr>
        <w:t xml:space="preserve"> </w:t>
      </w:r>
      <w:r>
        <w:t>geliştirip,</w:t>
      </w:r>
      <w:r>
        <w:rPr>
          <w:spacing w:val="-15"/>
        </w:rPr>
        <w:t xml:space="preserve"> </w:t>
      </w:r>
      <w:r>
        <w:t>günlük</w:t>
      </w:r>
      <w:r>
        <w:rPr>
          <w:spacing w:val="-15"/>
        </w:rPr>
        <w:t xml:space="preserve"> </w:t>
      </w:r>
      <w:r>
        <w:t>yaşamın</w:t>
      </w:r>
      <w:r>
        <w:rPr>
          <w:spacing w:val="-15"/>
        </w:rPr>
        <w:t xml:space="preserve"> </w:t>
      </w:r>
      <w:r>
        <w:t>sıkıcılığından</w:t>
      </w:r>
      <w:r>
        <w:rPr>
          <w:spacing w:val="-15"/>
        </w:rPr>
        <w:t xml:space="preserve"> </w:t>
      </w:r>
      <w:r>
        <w:t>kurtulmalarına</w:t>
      </w:r>
      <w:r>
        <w:rPr>
          <w:spacing w:val="-15"/>
        </w:rPr>
        <w:t xml:space="preserve"> </w:t>
      </w:r>
      <w:r>
        <w:t>nasıl</w:t>
      </w:r>
      <w:r>
        <w:rPr>
          <w:spacing w:val="-15"/>
        </w:rPr>
        <w:t xml:space="preserve"> </w:t>
      </w:r>
      <w:r>
        <w:t>yardımcı</w:t>
      </w:r>
      <w:r>
        <w:rPr>
          <w:spacing w:val="-15"/>
        </w:rPr>
        <w:t xml:space="preserve"> </w:t>
      </w:r>
      <w:r>
        <w:t>olduğunu da sorgulamaktadır. Bu ölçek ayrıca öğretmenlerin sanal dünyalarda etkileşime geçerek farklı kültürlerle uyum sağlama becerilerini geliştirdiğini ve günlük işlerini daha kolay bir şekilde yürütebilmelerine olanak tanıdığını incelemektedir.</w:t>
      </w:r>
    </w:p>
    <w:p w14:paraId="2B1B0847">
      <w:pPr>
        <w:pStyle w:val="9"/>
        <w:spacing w:before="120" w:after="120" w:line="360" w:lineRule="auto"/>
        <w:ind w:left="0" w:firstLine="567"/>
      </w:pPr>
      <w:r>
        <w:t>Bu bağlamda, sanal rekreasyon faaliyetlerinin öğretmenlerin sosyal ilişkilerini geliştirdiği, duygusal yönden olgunlaşmalarına katkı sağladığı ve zorluklarla yüzleşmelerini kolaylaştırdığı gibi sonuçları da değerlendirmeye alınmıştır. Ayrıca, öğretmenlerin sanal dünyaya dalarak gerçek dünyadaki duygu ve düşüncelerinden uzaklaştıklarını, yaratıcılıklarının arttığını ve zamanın nasıl geçtiğini fark edemediklerini belirledikleri maddeler</w:t>
      </w:r>
      <w:r>
        <w:rPr>
          <w:spacing w:val="-10"/>
        </w:rPr>
        <w:t xml:space="preserve"> </w:t>
      </w:r>
      <w:r>
        <w:t>de</w:t>
      </w:r>
      <w:r>
        <w:rPr>
          <w:spacing w:val="-5"/>
        </w:rPr>
        <w:t xml:space="preserve"> </w:t>
      </w:r>
      <w:r>
        <w:t>yer</w:t>
      </w:r>
      <w:r>
        <w:rPr>
          <w:spacing w:val="-8"/>
        </w:rPr>
        <w:t xml:space="preserve"> </w:t>
      </w:r>
      <w:r>
        <w:t>almaktadır.</w:t>
      </w:r>
      <w:r>
        <w:rPr>
          <w:spacing w:val="-10"/>
        </w:rPr>
        <w:t xml:space="preserve"> </w:t>
      </w:r>
      <w:r>
        <w:t>Böylece</w:t>
      </w:r>
      <w:r>
        <w:rPr>
          <w:spacing w:val="-8"/>
        </w:rPr>
        <w:t xml:space="preserve"> </w:t>
      </w:r>
      <w:r>
        <w:t>ölçek,</w:t>
      </w:r>
      <w:r>
        <w:rPr>
          <w:spacing w:val="-7"/>
        </w:rPr>
        <w:t xml:space="preserve"> </w:t>
      </w:r>
      <w:r>
        <w:t>öğretmenlerin</w:t>
      </w:r>
      <w:r>
        <w:rPr>
          <w:spacing w:val="-10"/>
        </w:rPr>
        <w:t xml:space="preserve"> </w:t>
      </w:r>
      <w:r>
        <w:t>sanal</w:t>
      </w:r>
      <w:r>
        <w:rPr>
          <w:spacing w:val="-9"/>
        </w:rPr>
        <w:t xml:space="preserve"> </w:t>
      </w:r>
      <w:r>
        <w:t>rekreasyon</w:t>
      </w:r>
      <w:r>
        <w:rPr>
          <w:spacing w:val="-9"/>
        </w:rPr>
        <w:t xml:space="preserve"> </w:t>
      </w:r>
      <w:r>
        <w:t>faaliyetlerinden ne kadar zevk aldıklarını, işbirliği ve yaratıcılık becerilerinin nasıl geliştiğini çok boyutlu bir perspektiften ele almaktadır. Yapılan analizler sonucunda Cronbach alpha güvenirlik katsayısı 0.977 olarak bulunmuştur.</w:t>
      </w:r>
    </w:p>
    <w:p w14:paraId="69C69B2B">
      <w:pPr>
        <w:pStyle w:val="4"/>
        <w:spacing w:before="240" w:after="240" w:line="360" w:lineRule="auto"/>
        <w:ind w:left="567" w:firstLine="0"/>
        <w:rPr>
          <w:i w:val="0"/>
        </w:rPr>
      </w:pPr>
      <w:bookmarkStart w:id="178" w:name="_Toc195877813"/>
      <w:bookmarkStart w:id="179" w:name="_Toc195875835"/>
      <w:bookmarkStart w:id="180" w:name="_Toc197351266"/>
      <w:r>
        <w:rPr>
          <w:i w:val="0"/>
        </w:rPr>
        <w:t>3.4.2. Yaşam Kalitesi Ölçeği</w:t>
      </w:r>
      <w:bookmarkEnd w:id="178"/>
      <w:bookmarkEnd w:id="179"/>
      <w:bookmarkEnd w:id="180"/>
    </w:p>
    <w:p w14:paraId="4EADDC99">
      <w:pPr>
        <w:pStyle w:val="9"/>
        <w:spacing w:before="120" w:after="120" w:line="360" w:lineRule="auto"/>
        <w:ind w:left="0" w:firstLine="567"/>
      </w:pPr>
      <w:r>
        <w:t>İkinci veri toplama aracı olan Yaşam Kalitesi Ölçeği (WHOQOL-Bref), yaşam kalitesini dört</w:t>
      </w:r>
      <w:r>
        <w:rPr>
          <w:spacing w:val="-16"/>
        </w:rPr>
        <w:t xml:space="preserve"> </w:t>
      </w:r>
      <w:r>
        <w:t>temel</w:t>
      </w:r>
      <w:r>
        <w:rPr>
          <w:spacing w:val="-13"/>
        </w:rPr>
        <w:t xml:space="preserve"> </w:t>
      </w:r>
      <w:r>
        <w:t>boyutta</w:t>
      </w:r>
      <w:r>
        <w:rPr>
          <w:spacing w:val="-14"/>
        </w:rPr>
        <w:t xml:space="preserve"> </w:t>
      </w:r>
      <w:r>
        <w:t>(bedensel</w:t>
      </w:r>
      <w:r>
        <w:rPr>
          <w:spacing w:val="-12"/>
        </w:rPr>
        <w:t xml:space="preserve"> </w:t>
      </w:r>
      <w:r>
        <w:t>sağlık,</w:t>
      </w:r>
      <w:r>
        <w:rPr>
          <w:spacing w:val="-13"/>
        </w:rPr>
        <w:t xml:space="preserve"> </w:t>
      </w:r>
      <w:r>
        <w:t>ruhsal</w:t>
      </w:r>
      <w:r>
        <w:rPr>
          <w:spacing w:val="-13"/>
        </w:rPr>
        <w:t xml:space="preserve"> </w:t>
      </w:r>
      <w:r>
        <w:t>sağlık,</w:t>
      </w:r>
      <w:r>
        <w:rPr>
          <w:spacing w:val="-11"/>
        </w:rPr>
        <w:t xml:space="preserve"> </w:t>
      </w:r>
      <w:r>
        <w:t>sosyal</w:t>
      </w:r>
      <w:r>
        <w:rPr>
          <w:spacing w:val="-13"/>
        </w:rPr>
        <w:t xml:space="preserve"> </w:t>
      </w:r>
      <w:r>
        <w:t>ilişkiler</w:t>
      </w:r>
      <w:r>
        <w:rPr>
          <w:spacing w:val="-14"/>
        </w:rPr>
        <w:t xml:space="preserve"> </w:t>
      </w:r>
      <w:r>
        <w:t>ve</w:t>
      </w:r>
      <w:r>
        <w:rPr>
          <w:spacing w:val="-14"/>
        </w:rPr>
        <w:t xml:space="preserve"> </w:t>
      </w:r>
      <w:r>
        <w:t>çevre)</w:t>
      </w:r>
      <w:r>
        <w:rPr>
          <w:spacing w:val="-14"/>
        </w:rPr>
        <w:t xml:space="preserve"> </w:t>
      </w:r>
      <w:r>
        <w:t>ölçen</w:t>
      </w:r>
      <w:r>
        <w:rPr>
          <w:spacing w:val="-12"/>
        </w:rPr>
        <w:t xml:space="preserve"> </w:t>
      </w:r>
      <w:r>
        <w:rPr>
          <w:spacing w:val="-2"/>
        </w:rPr>
        <w:t>uluslararası</w:t>
      </w:r>
      <w:r>
        <w:t xml:space="preserve"> geçerliliğe</w:t>
      </w:r>
      <w:r>
        <w:rPr>
          <w:spacing w:val="-13"/>
        </w:rPr>
        <w:t xml:space="preserve"> </w:t>
      </w:r>
      <w:r>
        <w:t>sahip</w:t>
      </w:r>
      <w:r>
        <w:rPr>
          <w:spacing w:val="-11"/>
        </w:rPr>
        <w:t xml:space="preserve"> </w:t>
      </w:r>
      <w:r>
        <w:t>bir</w:t>
      </w:r>
      <w:r>
        <w:rPr>
          <w:spacing w:val="-12"/>
        </w:rPr>
        <w:t xml:space="preserve"> </w:t>
      </w:r>
      <w:r>
        <w:t>ölçektir</w:t>
      </w:r>
      <w:r>
        <w:rPr>
          <w:spacing w:val="-11"/>
        </w:rPr>
        <w:t xml:space="preserve"> </w:t>
      </w:r>
      <w:r>
        <w:t>(Whoqol</w:t>
      </w:r>
      <w:r>
        <w:rPr>
          <w:spacing w:val="-11"/>
        </w:rPr>
        <w:t xml:space="preserve"> </w:t>
      </w:r>
      <w:r>
        <w:t>Group,</w:t>
      </w:r>
      <w:r>
        <w:rPr>
          <w:spacing w:val="-12"/>
        </w:rPr>
        <w:t xml:space="preserve"> </w:t>
      </w:r>
      <w:r>
        <w:t>1998).</w:t>
      </w:r>
      <w:r>
        <w:rPr>
          <w:spacing w:val="-12"/>
        </w:rPr>
        <w:t xml:space="preserve"> </w:t>
      </w:r>
      <w:r>
        <w:t>Ölçek,</w:t>
      </w:r>
      <w:r>
        <w:rPr>
          <w:spacing w:val="-12"/>
        </w:rPr>
        <w:t xml:space="preserve"> </w:t>
      </w:r>
      <w:r>
        <w:t>Dünya</w:t>
      </w:r>
      <w:r>
        <w:rPr>
          <w:spacing w:val="-13"/>
        </w:rPr>
        <w:t xml:space="preserve"> </w:t>
      </w:r>
      <w:r>
        <w:t>Sağlık</w:t>
      </w:r>
      <w:r>
        <w:rPr>
          <w:spacing w:val="-9"/>
        </w:rPr>
        <w:t xml:space="preserve"> </w:t>
      </w:r>
      <w:r>
        <w:t>Örgütü</w:t>
      </w:r>
      <w:r>
        <w:rPr>
          <w:spacing w:val="-11"/>
        </w:rPr>
        <w:t xml:space="preserve"> </w:t>
      </w:r>
      <w:r>
        <w:t>tarafından 1992 yılında geliştirilmiş ve 40’tan fazla dil ve kültürde geçerliliği sağlanmıştır. Ölçeğin Türkçeye uyarlanması ile geçerlilik ve güvenirlik çalışmaları Eser ve diğerleri (1999) tarafından yapılmıştır.</w:t>
      </w:r>
    </w:p>
    <w:p w14:paraId="39C87153">
      <w:pPr>
        <w:pStyle w:val="9"/>
        <w:spacing w:before="120" w:after="120" w:line="360" w:lineRule="auto"/>
        <w:ind w:left="0" w:firstLine="567"/>
      </w:pPr>
      <w:r>
        <w:t xml:space="preserve">WHOQOL-Bref, Dünya Sağlık Örgütü'nün daha önce geliştirdiği WHOQOL-100'ün kısa formudur. WHOQOL-100, toplamda 100 sorudan oluşan uzun bir formdur ve 6 boyutta (bedensel, ruhsal, sosyal ilişkiler, çevre, genel bölüm, Türkiye’ye özgü ek bölüm) yaşam kalitesini ölçmektedir. WHOQOL-Bref ise, bu uzun formun daha kısa ve uygulanabilir bir sürümü olup, toplam 27 maddeden oluşmaktadır. Ölçek, dört ana boyutta (bedensel sağlık, </w:t>
      </w:r>
      <w:r>
        <w:rPr>
          <w:spacing w:val="-2"/>
        </w:rPr>
        <w:t>ruhsal sağlık,</w:t>
      </w:r>
      <w:r>
        <w:rPr>
          <w:spacing w:val="-3"/>
        </w:rPr>
        <w:t xml:space="preserve"> </w:t>
      </w:r>
      <w:r>
        <w:rPr>
          <w:spacing w:val="-2"/>
        </w:rPr>
        <w:t>sosyal ilişkiler</w:t>
      </w:r>
      <w:r>
        <w:rPr>
          <w:spacing w:val="-4"/>
        </w:rPr>
        <w:t xml:space="preserve"> </w:t>
      </w:r>
      <w:r>
        <w:rPr>
          <w:spacing w:val="-2"/>
        </w:rPr>
        <w:t>ve</w:t>
      </w:r>
      <w:r>
        <w:rPr>
          <w:spacing w:val="-4"/>
        </w:rPr>
        <w:t xml:space="preserve"> </w:t>
      </w:r>
      <w:r>
        <w:rPr>
          <w:spacing w:val="-2"/>
        </w:rPr>
        <w:t>çevre) yaşam kalitesini değerlendirmeye</w:t>
      </w:r>
      <w:r>
        <w:rPr>
          <w:spacing w:val="-4"/>
        </w:rPr>
        <w:t xml:space="preserve"> </w:t>
      </w:r>
      <w:r>
        <w:rPr>
          <w:spacing w:val="-2"/>
        </w:rPr>
        <w:t>odaklanır.</w:t>
      </w:r>
      <w:r>
        <w:rPr>
          <w:spacing w:val="-3"/>
        </w:rPr>
        <w:t xml:space="preserve"> </w:t>
      </w:r>
      <w:r>
        <w:rPr>
          <w:spacing w:val="-2"/>
        </w:rPr>
        <w:t xml:space="preserve">Bedensel </w:t>
      </w:r>
      <w:r>
        <w:t xml:space="preserve">sağlık, katılımcının fiziksel güç durumu, ağrı, hareket yeteneği ve yorgunluk düzeylerini sorgular. Ruhsal sağlık ise bireyin yaşamdan aldığı keyfi, kişisel anlamı ve duygusal durumunu ölçmektedir. Sosyal ilişkiler boyutu, katılımcıların yakın ilişkilerden ne ölçüde memnun olduklarını değerlendirirken; çevre boyutu, bireylerin yaşam koşulları, güvenlik duygusu, mali durum, ulaşım ve sağlık hizmetlerine erişim gibi dışsal faktörlere </w:t>
      </w:r>
      <w:r>
        <w:rPr>
          <w:spacing w:val="-2"/>
        </w:rPr>
        <w:t>odaklanmaktadır.</w:t>
      </w:r>
    </w:p>
    <w:p w14:paraId="7ACFD1BE">
      <w:pPr>
        <w:pStyle w:val="9"/>
        <w:spacing w:before="120" w:after="120" w:line="360" w:lineRule="auto"/>
        <w:ind w:left="0" w:firstLine="567"/>
      </w:pPr>
      <w:r>
        <w:t>WHOQOL-Bref, 5’li Likert tipi bir yanıt formatına sahiptir. Katılımcılardan, belirlenen maddelere "Hiç", "Az", "Orta", "Çok" ve "Tamamen" gibi seçenekler arasında bir yanıt vermeleri beklenir. Bu yanıtlar, katılımcıların fiziksel, duygusal ve sosyal iyilik halleri ile çevre</w:t>
      </w:r>
      <w:r>
        <w:rPr>
          <w:spacing w:val="-14"/>
        </w:rPr>
        <w:t xml:space="preserve"> </w:t>
      </w:r>
      <w:r>
        <w:t>koşullarını</w:t>
      </w:r>
      <w:r>
        <w:rPr>
          <w:spacing w:val="-13"/>
        </w:rPr>
        <w:t xml:space="preserve"> </w:t>
      </w:r>
      <w:r>
        <w:t>değerlendirme</w:t>
      </w:r>
      <w:r>
        <w:rPr>
          <w:spacing w:val="-15"/>
        </w:rPr>
        <w:t xml:space="preserve"> </w:t>
      </w:r>
      <w:r>
        <w:t>imkanı</w:t>
      </w:r>
      <w:r>
        <w:rPr>
          <w:spacing w:val="-14"/>
        </w:rPr>
        <w:t xml:space="preserve"> </w:t>
      </w:r>
      <w:r>
        <w:t>sağlamaktadır.</w:t>
      </w:r>
      <w:r>
        <w:rPr>
          <w:spacing w:val="-15"/>
        </w:rPr>
        <w:t xml:space="preserve"> </w:t>
      </w:r>
      <w:r>
        <w:t>Örneğin,</w:t>
      </w:r>
      <w:r>
        <w:rPr>
          <w:spacing w:val="-14"/>
        </w:rPr>
        <w:t xml:space="preserve"> </w:t>
      </w:r>
      <w:r>
        <w:t>katılımcılara</w:t>
      </w:r>
      <w:r>
        <w:rPr>
          <w:spacing w:val="-15"/>
        </w:rPr>
        <w:t xml:space="preserve"> </w:t>
      </w:r>
      <w:r>
        <w:t>sağlıklarından ne kadar memnun oldukları, günlük yaşamlarını sürdürebilmek için ne kadar fiziksel güçlerinin olduğu ya da boş zamanlarını değerlendirme fırsatlarının olup olmadığı gibi sorular yöneltilmektedir.</w:t>
      </w:r>
    </w:p>
    <w:p w14:paraId="7B36725A">
      <w:pPr>
        <w:pStyle w:val="9"/>
        <w:spacing w:before="120" w:after="120" w:line="360" w:lineRule="auto"/>
        <w:ind w:left="0" w:firstLine="567"/>
      </w:pPr>
      <w:r>
        <w:t>Bu ölçek, öğretmenlerin sağlıklarından ne kadar memnun olduklarını, kendilerini ne kadar güvende</w:t>
      </w:r>
      <w:r>
        <w:rPr>
          <w:spacing w:val="-11"/>
        </w:rPr>
        <w:t xml:space="preserve"> </w:t>
      </w:r>
      <w:r>
        <w:t>hissettiklerini</w:t>
      </w:r>
      <w:r>
        <w:rPr>
          <w:spacing w:val="-10"/>
        </w:rPr>
        <w:t xml:space="preserve"> </w:t>
      </w:r>
      <w:r>
        <w:t>ve</w:t>
      </w:r>
      <w:r>
        <w:rPr>
          <w:spacing w:val="-11"/>
        </w:rPr>
        <w:t xml:space="preserve"> </w:t>
      </w:r>
      <w:r>
        <w:t>günlük</w:t>
      </w:r>
      <w:r>
        <w:rPr>
          <w:spacing w:val="-7"/>
        </w:rPr>
        <w:t xml:space="preserve"> </w:t>
      </w:r>
      <w:r>
        <w:t>yaşamlarını</w:t>
      </w:r>
      <w:r>
        <w:rPr>
          <w:spacing w:val="-10"/>
        </w:rPr>
        <w:t xml:space="preserve"> </w:t>
      </w:r>
      <w:r>
        <w:t>sürdürmek</w:t>
      </w:r>
      <w:r>
        <w:rPr>
          <w:spacing w:val="-10"/>
        </w:rPr>
        <w:t xml:space="preserve"> </w:t>
      </w:r>
      <w:r>
        <w:t>için</w:t>
      </w:r>
      <w:r>
        <w:rPr>
          <w:spacing w:val="-10"/>
        </w:rPr>
        <w:t xml:space="preserve"> </w:t>
      </w:r>
      <w:r>
        <w:t>fiziksel</w:t>
      </w:r>
      <w:r>
        <w:rPr>
          <w:spacing w:val="-10"/>
        </w:rPr>
        <w:t xml:space="preserve"> </w:t>
      </w:r>
      <w:r>
        <w:t>güçlerinin</w:t>
      </w:r>
      <w:r>
        <w:rPr>
          <w:spacing w:val="-8"/>
        </w:rPr>
        <w:t xml:space="preserve"> </w:t>
      </w:r>
      <w:r>
        <w:t>yeterli</w:t>
      </w:r>
      <w:r>
        <w:rPr>
          <w:spacing w:val="-10"/>
        </w:rPr>
        <w:t xml:space="preserve"> </w:t>
      </w:r>
      <w:r>
        <w:t>olup olmadığını değerlendirmelerine olanak tanımaktadır. Bunun yanı sıra, öğretmenlerin bedensel görünüşlerinden memnuniyet düzeyleri, finansal yeterlilikleri ve boş zamanlarını değerlendirme</w:t>
      </w:r>
      <w:r>
        <w:rPr>
          <w:spacing w:val="34"/>
        </w:rPr>
        <w:t xml:space="preserve"> </w:t>
      </w:r>
      <w:r>
        <w:t>fırsatları</w:t>
      </w:r>
      <w:r>
        <w:rPr>
          <w:spacing w:val="35"/>
        </w:rPr>
        <w:t xml:space="preserve"> </w:t>
      </w:r>
      <w:r>
        <w:t>da</w:t>
      </w:r>
      <w:r>
        <w:rPr>
          <w:spacing w:val="34"/>
        </w:rPr>
        <w:t xml:space="preserve"> </w:t>
      </w:r>
      <w:r>
        <w:t>sorgulanmaktadır.</w:t>
      </w:r>
      <w:r>
        <w:rPr>
          <w:spacing w:val="36"/>
        </w:rPr>
        <w:t xml:space="preserve"> </w:t>
      </w:r>
      <w:r>
        <w:t>Ölçeğin</w:t>
      </w:r>
      <w:r>
        <w:rPr>
          <w:spacing w:val="35"/>
        </w:rPr>
        <w:t xml:space="preserve"> </w:t>
      </w:r>
      <w:r>
        <w:t>sosyal</w:t>
      </w:r>
      <w:r>
        <w:rPr>
          <w:spacing w:val="35"/>
        </w:rPr>
        <w:t xml:space="preserve"> </w:t>
      </w:r>
      <w:r>
        <w:t>ilişkiler</w:t>
      </w:r>
      <w:r>
        <w:rPr>
          <w:spacing w:val="34"/>
        </w:rPr>
        <w:t xml:space="preserve"> </w:t>
      </w:r>
      <w:r>
        <w:t>boyutu</w:t>
      </w:r>
      <w:r>
        <w:rPr>
          <w:spacing w:val="35"/>
        </w:rPr>
        <w:t xml:space="preserve"> </w:t>
      </w:r>
      <w:r>
        <w:rPr>
          <w:spacing w:val="-4"/>
        </w:rPr>
        <w:t>ise,</w:t>
      </w:r>
      <w:r>
        <w:t xml:space="preserve"> öğretmenlerin aile dışı kişilerle olan ilişkilerini, cinsel yaşamlarını ve sosyal destek kaynaklarını değerlendirmektedir.</w:t>
      </w:r>
    </w:p>
    <w:p w14:paraId="72807D13">
      <w:pPr>
        <w:pStyle w:val="9"/>
        <w:spacing w:before="120" w:after="120" w:line="360" w:lineRule="auto"/>
        <w:ind w:left="0" w:firstLine="567"/>
      </w:pPr>
      <w:r>
        <w:t>WHOQOL-Bref ayrıca, katılımcıların fiziksel çevrelerinin sağlık üzerindeki etkilerini, barınma</w:t>
      </w:r>
      <w:r>
        <w:rPr>
          <w:spacing w:val="-15"/>
        </w:rPr>
        <w:t xml:space="preserve"> </w:t>
      </w:r>
      <w:r>
        <w:t>koşullarını</w:t>
      </w:r>
      <w:r>
        <w:rPr>
          <w:spacing w:val="-15"/>
        </w:rPr>
        <w:t xml:space="preserve"> </w:t>
      </w:r>
      <w:r>
        <w:t>ve</w:t>
      </w:r>
      <w:r>
        <w:rPr>
          <w:spacing w:val="-15"/>
        </w:rPr>
        <w:t xml:space="preserve"> </w:t>
      </w:r>
      <w:r>
        <w:t>ulaşım</w:t>
      </w:r>
      <w:r>
        <w:rPr>
          <w:spacing w:val="-15"/>
        </w:rPr>
        <w:t xml:space="preserve"> </w:t>
      </w:r>
      <w:r>
        <w:t>olanaklarına</w:t>
      </w:r>
      <w:r>
        <w:rPr>
          <w:spacing w:val="-15"/>
        </w:rPr>
        <w:t xml:space="preserve"> </w:t>
      </w:r>
      <w:r>
        <w:t>erişimlerini</w:t>
      </w:r>
      <w:r>
        <w:rPr>
          <w:spacing w:val="-15"/>
        </w:rPr>
        <w:t xml:space="preserve"> </w:t>
      </w:r>
      <w:r>
        <w:t>de</w:t>
      </w:r>
      <w:r>
        <w:rPr>
          <w:spacing w:val="-15"/>
        </w:rPr>
        <w:t xml:space="preserve"> </w:t>
      </w:r>
      <w:r>
        <w:t>sorgulamaktadır.</w:t>
      </w:r>
      <w:r>
        <w:rPr>
          <w:spacing w:val="-15"/>
        </w:rPr>
        <w:t xml:space="preserve"> </w:t>
      </w:r>
      <w:r>
        <w:t>Bu</w:t>
      </w:r>
      <w:r>
        <w:rPr>
          <w:spacing w:val="-15"/>
        </w:rPr>
        <w:t xml:space="preserve"> </w:t>
      </w:r>
      <w:r>
        <w:t>ölçek</w:t>
      </w:r>
      <w:r>
        <w:rPr>
          <w:spacing w:val="-15"/>
        </w:rPr>
        <w:t xml:space="preserve"> </w:t>
      </w:r>
      <w:r>
        <w:t>ile</w:t>
      </w:r>
      <w:r>
        <w:rPr>
          <w:spacing w:val="-15"/>
        </w:rPr>
        <w:t xml:space="preserve"> </w:t>
      </w:r>
      <w:r>
        <w:t>elde edilen</w:t>
      </w:r>
      <w:r>
        <w:rPr>
          <w:spacing w:val="-13"/>
        </w:rPr>
        <w:t xml:space="preserve"> </w:t>
      </w:r>
      <w:r>
        <w:t>veriler,</w:t>
      </w:r>
      <w:r>
        <w:rPr>
          <w:spacing w:val="-13"/>
        </w:rPr>
        <w:t xml:space="preserve"> </w:t>
      </w:r>
      <w:r>
        <w:t>öğretmenlerin</w:t>
      </w:r>
      <w:r>
        <w:rPr>
          <w:spacing w:val="-12"/>
        </w:rPr>
        <w:t xml:space="preserve"> </w:t>
      </w:r>
      <w:r>
        <w:t>sanal</w:t>
      </w:r>
      <w:r>
        <w:rPr>
          <w:spacing w:val="-12"/>
        </w:rPr>
        <w:t xml:space="preserve"> </w:t>
      </w:r>
      <w:r>
        <w:t>rekreasyon</w:t>
      </w:r>
      <w:r>
        <w:rPr>
          <w:spacing w:val="-11"/>
        </w:rPr>
        <w:t xml:space="preserve"> </w:t>
      </w:r>
      <w:r>
        <w:t>faaliyetlerine</w:t>
      </w:r>
      <w:r>
        <w:rPr>
          <w:spacing w:val="-14"/>
        </w:rPr>
        <w:t xml:space="preserve"> </w:t>
      </w:r>
      <w:r>
        <w:t>katılımının</w:t>
      </w:r>
      <w:r>
        <w:rPr>
          <w:spacing w:val="-12"/>
        </w:rPr>
        <w:t xml:space="preserve"> </w:t>
      </w:r>
      <w:r>
        <w:t>genel</w:t>
      </w:r>
      <w:r>
        <w:rPr>
          <w:spacing w:val="-11"/>
        </w:rPr>
        <w:t xml:space="preserve"> </w:t>
      </w:r>
      <w:r>
        <w:t>yaşam</w:t>
      </w:r>
      <w:r>
        <w:rPr>
          <w:spacing w:val="-12"/>
        </w:rPr>
        <w:t xml:space="preserve"> </w:t>
      </w:r>
      <w:r>
        <w:t>kalitesi üzerindeki etkilerini değerlendirmek için kullanılmıştır. Katılımcıların, yaşamlarını ne ölçüde</w:t>
      </w:r>
      <w:r>
        <w:rPr>
          <w:spacing w:val="-12"/>
        </w:rPr>
        <w:t xml:space="preserve"> </w:t>
      </w:r>
      <w:r>
        <w:t>anlamlı</w:t>
      </w:r>
      <w:r>
        <w:rPr>
          <w:spacing w:val="-10"/>
        </w:rPr>
        <w:t xml:space="preserve"> </w:t>
      </w:r>
      <w:r>
        <w:t>buldukları</w:t>
      </w:r>
      <w:r>
        <w:rPr>
          <w:spacing w:val="-11"/>
        </w:rPr>
        <w:t xml:space="preserve"> </w:t>
      </w:r>
      <w:r>
        <w:t>ne</w:t>
      </w:r>
      <w:r>
        <w:rPr>
          <w:spacing w:val="-12"/>
        </w:rPr>
        <w:t xml:space="preserve"> </w:t>
      </w:r>
      <w:r>
        <w:t>sıklıkta</w:t>
      </w:r>
      <w:r>
        <w:rPr>
          <w:spacing w:val="-12"/>
        </w:rPr>
        <w:t xml:space="preserve"> </w:t>
      </w:r>
      <w:r>
        <w:t>hüzün</w:t>
      </w:r>
      <w:r>
        <w:rPr>
          <w:spacing w:val="-8"/>
        </w:rPr>
        <w:t xml:space="preserve"> </w:t>
      </w:r>
      <w:r>
        <w:t>ya</w:t>
      </w:r>
      <w:r>
        <w:rPr>
          <w:spacing w:val="-12"/>
        </w:rPr>
        <w:t xml:space="preserve"> </w:t>
      </w:r>
      <w:r>
        <w:t>da</w:t>
      </w:r>
      <w:r>
        <w:rPr>
          <w:spacing w:val="-12"/>
        </w:rPr>
        <w:t xml:space="preserve"> </w:t>
      </w:r>
      <w:r>
        <w:t>ümitsizlik</w:t>
      </w:r>
      <w:r>
        <w:rPr>
          <w:spacing w:val="-11"/>
        </w:rPr>
        <w:t xml:space="preserve"> </w:t>
      </w:r>
      <w:r>
        <w:t>hissettikleri</w:t>
      </w:r>
      <w:r>
        <w:rPr>
          <w:spacing w:val="-11"/>
        </w:rPr>
        <w:t xml:space="preserve"> </w:t>
      </w:r>
      <w:r>
        <w:t>ve</w:t>
      </w:r>
      <w:r>
        <w:rPr>
          <w:spacing w:val="-12"/>
        </w:rPr>
        <w:t xml:space="preserve"> </w:t>
      </w:r>
      <w:r>
        <w:t>boş</w:t>
      </w:r>
      <w:r>
        <w:rPr>
          <w:spacing w:val="-10"/>
        </w:rPr>
        <w:t xml:space="preserve"> </w:t>
      </w:r>
      <w:r>
        <w:t>zamanlarını değerlendirme fırsatları gibi faktörler de bu ölçek aracılığıyla ölçülmüştür.</w:t>
      </w:r>
    </w:p>
    <w:p w14:paraId="15E73CEF">
      <w:pPr>
        <w:pStyle w:val="9"/>
        <w:spacing w:before="120" w:after="120" w:line="360" w:lineRule="auto"/>
        <w:ind w:left="0" w:firstLine="567"/>
      </w:pPr>
      <w:r>
        <w:t>Türkiye’de WHOQOL-Bref ölçeği, Dünya Sağlık Örgütü’nün yönergelerine uygun olarak çeviri ve geri çeviri yöntemiyle Türkçeye uyarlanmıştır. Bu süreçte, ölçeğin kültürel uygunluğu sağlanmış ve Türkiye’ye özgü ek maddeler eklenmiştir. Türkçe versiyonunun uyarlaması Eser ve diğerleri (1999) tarafından gerçekleştirilmiştir; bu adaptasyonda, çevre ile ilgili bir ek soru bulunmakta ve ölçek toplamda 27 soruyu içermektedir. Türkiye’de geçerlilik ve güvenirlilik çalışmaları yapılan ve 27 sorudan oluşan DSÖ Yaşam Kalitesi ölçeği kısa formu (WHOQOL-BREF) uygulanmıştır. Ölçeğin iç tutarlılık “Cronbach alfa” değerleri bedensel alanda 0.83, ruhsal alanda 0.66, sosyal alanda 0.53, çevre alanında 0.73 ve ulusal çevre alanında 0.73 bulunmuştur (Eser, Fidaner, Fidaner ve diğerleri, 1999a; 1999b).</w:t>
      </w:r>
      <w:r>
        <w:rPr>
          <w:spacing w:val="-7"/>
        </w:rPr>
        <w:t xml:space="preserve"> </w:t>
      </w:r>
      <w:r>
        <w:t>Ölçeğin</w:t>
      </w:r>
      <w:r>
        <w:rPr>
          <w:spacing w:val="-6"/>
        </w:rPr>
        <w:t xml:space="preserve"> </w:t>
      </w:r>
      <w:r>
        <w:t>bu</w:t>
      </w:r>
      <w:r>
        <w:rPr>
          <w:spacing w:val="-7"/>
        </w:rPr>
        <w:t xml:space="preserve"> </w:t>
      </w:r>
      <w:r>
        <w:t>çalışma</w:t>
      </w:r>
      <w:r>
        <w:rPr>
          <w:spacing w:val="-7"/>
        </w:rPr>
        <w:t xml:space="preserve"> </w:t>
      </w:r>
      <w:r>
        <w:t>için</w:t>
      </w:r>
      <w:r>
        <w:rPr>
          <w:spacing w:val="-7"/>
        </w:rPr>
        <w:t xml:space="preserve"> </w:t>
      </w:r>
      <w:r>
        <w:t>tekrarlanan</w:t>
      </w:r>
      <w:r>
        <w:rPr>
          <w:spacing w:val="-7"/>
        </w:rPr>
        <w:t xml:space="preserve"> </w:t>
      </w:r>
      <w:r>
        <w:t>güvenirlilik</w:t>
      </w:r>
      <w:r>
        <w:rPr>
          <w:spacing w:val="-6"/>
        </w:rPr>
        <w:t xml:space="preserve"> </w:t>
      </w:r>
      <w:r>
        <w:t>çalışması</w:t>
      </w:r>
      <w:r>
        <w:rPr>
          <w:spacing w:val="-9"/>
        </w:rPr>
        <w:t xml:space="preserve"> </w:t>
      </w:r>
      <w:r>
        <w:t>sonucunda</w:t>
      </w:r>
      <w:r>
        <w:rPr>
          <w:spacing w:val="-8"/>
        </w:rPr>
        <w:t xml:space="preserve"> </w:t>
      </w:r>
      <w:r>
        <w:t>ise;</w:t>
      </w:r>
      <w:r>
        <w:rPr>
          <w:spacing w:val="-7"/>
        </w:rPr>
        <w:t xml:space="preserve"> </w:t>
      </w:r>
      <w:r>
        <w:t>Cronbach Alpha</w:t>
      </w:r>
      <w:r>
        <w:rPr>
          <w:spacing w:val="-8"/>
        </w:rPr>
        <w:t xml:space="preserve"> </w:t>
      </w:r>
      <w:r>
        <w:t>katsayısı</w:t>
      </w:r>
      <w:r>
        <w:rPr>
          <w:spacing w:val="-6"/>
        </w:rPr>
        <w:t xml:space="preserve"> </w:t>
      </w:r>
      <w:r>
        <w:t>(n=116)</w:t>
      </w:r>
      <w:r>
        <w:rPr>
          <w:spacing w:val="-8"/>
        </w:rPr>
        <w:t xml:space="preserve"> </w:t>
      </w:r>
      <w:r>
        <w:t>değerleri</w:t>
      </w:r>
      <w:r>
        <w:rPr>
          <w:spacing w:val="-7"/>
        </w:rPr>
        <w:t xml:space="preserve"> </w:t>
      </w:r>
      <w:r>
        <w:t>bedensel</w:t>
      </w:r>
      <w:r>
        <w:rPr>
          <w:spacing w:val="-6"/>
        </w:rPr>
        <w:t xml:space="preserve"> </w:t>
      </w:r>
      <w:r>
        <w:t>alanda</w:t>
      </w:r>
      <w:r>
        <w:rPr>
          <w:spacing w:val="-6"/>
        </w:rPr>
        <w:t xml:space="preserve"> </w:t>
      </w:r>
      <w:r>
        <w:t>0.865,</w:t>
      </w:r>
      <w:r>
        <w:rPr>
          <w:spacing w:val="-7"/>
        </w:rPr>
        <w:t xml:space="preserve"> </w:t>
      </w:r>
      <w:r>
        <w:t>ruhsal</w:t>
      </w:r>
      <w:r>
        <w:rPr>
          <w:spacing w:val="-6"/>
        </w:rPr>
        <w:t xml:space="preserve"> </w:t>
      </w:r>
      <w:r>
        <w:t>alanda</w:t>
      </w:r>
      <w:r>
        <w:rPr>
          <w:spacing w:val="-8"/>
        </w:rPr>
        <w:t xml:space="preserve"> </w:t>
      </w:r>
      <w:r>
        <w:t>0.618,</w:t>
      </w:r>
      <w:r>
        <w:rPr>
          <w:spacing w:val="-7"/>
        </w:rPr>
        <w:t xml:space="preserve"> </w:t>
      </w:r>
      <w:r>
        <w:t>sosyal</w:t>
      </w:r>
      <w:r>
        <w:rPr>
          <w:spacing w:val="-6"/>
        </w:rPr>
        <w:t xml:space="preserve"> </w:t>
      </w:r>
      <w:r>
        <w:t>alanda 0.777, çevre alanında 0.834 olarak bulunmuştur.</w:t>
      </w:r>
    </w:p>
    <w:p w14:paraId="11D07AE8">
      <w:pPr>
        <w:pStyle w:val="3"/>
        <w:tabs>
          <w:tab w:val="left" w:pos="580"/>
        </w:tabs>
        <w:spacing w:before="240" w:after="240" w:line="360" w:lineRule="auto"/>
        <w:ind w:left="567"/>
      </w:pPr>
      <w:bookmarkStart w:id="181" w:name="_Toc197351267"/>
      <w:r>
        <w:t xml:space="preserve">3.5. </w:t>
      </w:r>
      <w:bookmarkStart w:id="182" w:name="_Toc195875836"/>
      <w:bookmarkStart w:id="183" w:name="_Toc195877814"/>
      <w:r>
        <w:t>Verilerin</w:t>
      </w:r>
      <w:r>
        <w:rPr>
          <w:spacing w:val="-5"/>
        </w:rPr>
        <w:t xml:space="preserve"> </w:t>
      </w:r>
      <w:r>
        <w:rPr>
          <w:spacing w:val="-2"/>
        </w:rPr>
        <w:t>Toplanması</w:t>
      </w:r>
      <w:bookmarkEnd w:id="181"/>
      <w:bookmarkEnd w:id="182"/>
      <w:bookmarkEnd w:id="183"/>
    </w:p>
    <w:p w14:paraId="6395428F">
      <w:pPr>
        <w:pStyle w:val="9"/>
        <w:spacing w:before="120" w:after="120" w:line="360" w:lineRule="auto"/>
        <w:ind w:left="0" w:firstLine="567"/>
      </w:pPr>
      <w:r>
        <w:t>Veri toplama süreci, araştırmaya katılmayı gönüllü olarak kabul eden sanal rekreasyon deneyimi yaşayan öğretmenlere ölçeklerin dağıtılması ve cevaplandırılması şeklinde yürütülmüştür. Anketler, öğretmenlerin iş yükünü hafifletmek amacıyla uygun zaman dilimlerinde okul yönetimleri ile koordinasyon içinde sanal rekreasyon deneyimi yaşayan öğretmenlere dağıtılmış ve geri toplanmıştır. Verilerin toplanması aşamasında herhangi</w:t>
      </w:r>
      <w:r>
        <w:rPr>
          <w:spacing w:val="-9"/>
        </w:rPr>
        <w:t xml:space="preserve"> </w:t>
      </w:r>
      <w:r>
        <w:t>bir</w:t>
      </w:r>
      <w:r>
        <w:rPr>
          <w:spacing w:val="-7"/>
        </w:rPr>
        <w:t xml:space="preserve"> </w:t>
      </w:r>
      <w:r>
        <w:t>veri</w:t>
      </w:r>
      <w:r>
        <w:rPr>
          <w:spacing w:val="-7"/>
        </w:rPr>
        <w:t xml:space="preserve"> </w:t>
      </w:r>
      <w:r>
        <w:t>kaybını</w:t>
      </w:r>
      <w:r>
        <w:rPr>
          <w:spacing w:val="-6"/>
        </w:rPr>
        <w:t xml:space="preserve"> </w:t>
      </w:r>
      <w:r>
        <w:t>önlemek</w:t>
      </w:r>
      <w:r>
        <w:rPr>
          <w:spacing w:val="-9"/>
        </w:rPr>
        <w:t xml:space="preserve"> </w:t>
      </w:r>
      <w:r>
        <w:t>adına</w:t>
      </w:r>
      <w:r>
        <w:rPr>
          <w:spacing w:val="-8"/>
        </w:rPr>
        <w:t xml:space="preserve"> </w:t>
      </w:r>
      <w:r>
        <w:t>anketler</w:t>
      </w:r>
      <w:r>
        <w:rPr>
          <w:spacing w:val="-4"/>
        </w:rPr>
        <w:t xml:space="preserve"> </w:t>
      </w:r>
      <w:r>
        <w:t>yüz</w:t>
      </w:r>
      <w:r>
        <w:rPr>
          <w:spacing w:val="-6"/>
        </w:rPr>
        <w:t xml:space="preserve"> </w:t>
      </w:r>
      <w:r>
        <w:t>yüze</w:t>
      </w:r>
      <w:r>
        <w:rPr>
          <w:spacing w:val="-10"/>
        </w:rPr>
        <w:t xml:space="preserve"> </w:t>
      </w:r>
      <w:r>
        <w:t>uygulanmış</w:t>
      </w:r>
      <w:r>
        <w:rPr>
          <w:spacing w:val="-9"/>
        </w:rPr>
        <w:t xml:space="preserve"> </w:t>
      </w:r>
      <w:r>
        <w:t>ve</w:t>
      </w:r>
      <w:r>
        <w:rPr>
          <w:spacing w:val="-8"/>
        </w:rPr>
        <w:t xml:space="preserve"> </w:t>
      </w:r>
      <w:r>
        <w:t>eksik</w:t>
      </w:r>
      <w:r>
        <w:rPr>
          <w:spacing w:val="-6"/>
        </w:rPr>
        <w:t xml:space="preserve"> </w:t>
      </w:r>
      <w:r>
        <w:t>ya</w:t>
      </w:r>
      <w:r>
        <w:rPr>
          <w:spacing w:val="-8"/>
        </w:rPr>
        <w:t xml:space="preserve"> </w:t>
      </w:r>
      <w:r>
        <w:t>da</w:t>
      </w:r>
      <w:r>
        <w:rPr>
          <w:spacing w:val="-3"/>
        </w:rPr>
        <w:t xml:space="preserve"> </w:t>
      </w:r>
      <w:r>
        <w:t>yanlış doldurulan formlar tekrar gözden geçirilmiştir. Tüm anketler toplandıktan sonra veriler kodlanarak analiz süreci başlatılmıştır.</w:t>
      </w:r>
    </w:p>
    <w:p w14:paraId="1886D350">
      <w:pPr>
        <w:pStyle w:val="3"/>
        <w:tabs>
          <w:tab w:val="left" w:pos="580"/>
        </w:tabs>
        <w:spacing w:before="240" w:after="240" w:line="360" w:lineRule="auto"/>
        <w:ind w:left="567"/>
      </w:pPr>
      <w:bookmarkStart w:id="184" w:name="_Toc195875837"/>
      <w:bookmarkStart w:id="185" w:name="_Toc195877815"/>
      <w:r>
        <w:t xml:space="preserve"> </w:t>
      </w:r>
      <w:bookmarkStart w:id="186" w:name="_Toc197351268"/>
      <w:r>
        <w:t>3.6. Verilerin</w:t>
      </w:r>
      <w:r>
        <w:rPr>
          <w:spacing w:val="-4"/>
        </w:rPr>
        <w:t xml:space="preserve"> </w:t>
      </w:r>
      <w:r>
        <w:rPr>
          <w:spacing w:val="-2"/>
        </w:rPr>
        <w:t>Analizi</w:t>
      </w:r>
      <w:bookmarkEnd w:id="184"/>
      <w:bookmarkEnd w:id="185"/>
      <w:bookmarkEnd w:id="186"/>
    </w:p>
    <w:p w14:paraId="7BF26DCC">
      <w:pPr>
        <w:pStyle w:val="9"/>
        <w:spacing w:before="120" w:after="120" w:line="360" w:lineRule="auto"/>
        <w:ind w:left="0" w:firstLine="567"/>
      </w:pPr>
      <w:r>
        <w:t>Verilerin analizi sürecinde, araştırma kapsamında toplanan veriler büyük bir titizlikle incelenmiş ve istatistiksel olarak değerlendirilmiştir. Bu süreçte, SPSS ve AMOS gibi ileri düzey</w:t>
      </w:r>
      <w:r>
        <w:rPr>
          <w:spacing w:val="-15"/>
        </w:rPr>
        <w:t xml:space="preserve"> </w:t>
      </w:r>
      <w:r>
        <w:t>istatistiksel</w:t>
      </w:r>
      <w:r>
        <w:rPr>
          <w:spacing w:val="-15"/>
        </w:rPr>
        <w:t xml:space="preserve"> </w:t>
      </w:r>
      <w:r>
        <w:t>analiz</w:t>
      </w:r>
      <w:r>
        <w:rPr>
          <w:spacing w:val="-15"/>
        </w:rPr>
        <w:t xml:space="preserve"> </w:t>
      </w:r>
      <w:r>
        <w:t>programları</w:t>
      </w:r>
      <w:r>
        <w:rPr>
          <w:spacing w:val="-15"/>
        </w:rPr>
        <w:t xml:space="preserve"> </w:t>
      </w:r>
      <w:r>
        <w:t>kullanılarak</w:t>
      </w:r>
      <w:r>
        <w:rPr>
          <w:spacing w:val="-13"/>
        </w:rPr>
        <w:t xml:space="preserve"> </w:t>
      </w:r>
      <w:r>
        <w:t>verilerin</w:t>
      </w:r>
      <w:r>
        <w:rPr>
          <w:spacing w:val="-12"/>
        </w:rPr>
        <w:t xml:space="preserve"> </w:t>
      </w:r>
      <w:r>
        <w:t>güvenilirlik</w:t>
      </w:r>
      <w:r>
        <w:rPr>
          <w:spacing w:val="-13"/>
        </w:rPr>
        <w:t xml:space="preserve"> </w:t>
      </w:r>
      <w:r>
        <w:t>ve</w:t>
      </w:r>
      <w:r>
        <w:rPr>
          <w:spacing w:val="-13"/>
        </w:rPr>
        <w:t xml:space="preserve"> </w:t>
      </w:r>
      <w:r>
        <w:t>geçerlik</w:t>
      </w:r>
      <w:r>
        <w:rPr>
          <w:spacing w:val="-14"/>
        </w:rPr>
        <w:t xml:space="preserve"> </w:t>
      </w:r>
      <w:r>
        <w:t>analizleri yapılmıştır. Verilerin analizinde ilk aşama, katılımcıların demografik özelliklerinin incelenmesi ve betimleyici istatistiklerin kullanılması olmuştur. Frekans dağılımları, ortalama ve standart sapma gibi temel istatistiksel göstergeler yardımıyla veriler analiz edilerek katılımcıların genel profili çıkarılmıştır.</w:t>
      </w:r>
    </w:p>
    <w:p w14:paraId="7F19A6DE">
      <w:pPr>
        <w:pStyle w:val="9"/>
        <w:spacing w:before="120" w:after="120" w:line="360" w:lineRule="auto"/>
        <w:ind w:left="0" w:firstLine="567"/>
      </w:pPr>
      <w:r>
        <w:t>Verilerin analiz edilmesinde, eksik veya hatalı girilen verilerin temizlenmesi ve düzenlenmesiyle</w:t>
      </w:r>
      <w:r>
        <w:rPr>
          <w:spacing w:val="-15"/>
        </w:rPr>
        <w:t xml:space="preserve"> </w:t>
      </w:r>
      <w:r>
        <w:t>başlayan</w:t>
      </w:r>
      <w:r>
        <w:rPr>
          <w:spacing w:val="-15"/>
        </w:rPr>
        <w:t xml:space="preserve"> </w:t>
      </w:r>
      <w:r>
        <w:t>veri</w:t>
      </w:r>
      <w:r>
        <w:rPr>
          <w:spacing w:val="-15"/>
        </w:rPr>
        <w:t xml:space="preserve"> </w:t>
      </w:r>
      <w:r>
        <w:t>temizleme</w:t>
      </w:r>
      <w:r>
        <w:rPr>
          <w:spacing w:val="-15"/>
        </w:rPr>
        <w:t xml:space="preserve"> </w:t>
      </w:r>
      <w:r>
        <w:t>ve</w:t>
      </w:r>
      <w:r>
        <w:rPr>
          <w:spacing w:val="-15"/>
        </w:rPr>
        <w:t xml:space="preserve"> </w:t>
      </w:r>
      <w:r>
        <w:t>ön</w:t>
      </w:r>
      <w:r>
        <w:rPr>
          <w:spacing w:val="-15"/>
        </w:rPr>
        <w:t xml:space="preserve"> </w:t>
      </w:r>
      <w:r>
        <w:t>işleme</w:t>
      </w:r>
      <w:r>
        <w:rPr>
          <w:spacing w:val="-15"/>
        </w:rPr>
        <w:t xml:space="preserve"> </w:t>
      </w:r>
      <w:r>
        <w:t>adımı</w:t>
      </w:r>
      <w:r>
        <w:rPr>
          <w:spacing w:val="-15"/>
        </w:rPr>
        <w:t xml:space="preserve"> </w:t>
      </w:r>
      <w:r>
        <w:t>uygulanmıştır.</w:t>
      </w:r>
      <w:r>
        <w:rPr>
          <w:spacing w:val="-15"/>
        </w:rPr>
        <w:t xml:space="preserve"> </w:t>
      </w:r>
      <w:r>
        <w:t>Anket</w:t>
      </w:r>
      <w:r>
        <w:rPr>
          <w:spacing w:val="-15"/>
        </w:rPr>
        <w:t xml:space="preserve"> </w:t>
      </w:r>
      <w:r>
        <w:t>sonuçları toplandıktan</w:t>
      </w:r>
      <w:r>
        <w:rPr>
          <w:spacing w:val="-12"/>
        </w:rPr>
        <w:t xml:space="preserve"> </w:t>
      </w:r>
      <w:r>
        <w:t>sonra</w:t>
      </w:r>
      <w:r>
        <w:rPr>
          <w:spacing w:val="-13"/>
        </w:rPr>
        <w:t xml:space="preserve"> </w:t>
      </w:r>
      <w:r>
        <w:t>veriler</w:t>
      </w:r>
      <w:r>
        <w:rPr>
          <w:spacing w:val="-10"/>
        </w:rPr>
        <w:t xml:space="preserve"> </w:t>
      </w:r>
      <w:r>
        <w:t>kontrol</w:t>
      </w:r>
      <w:r>
        <w:rPr>
          <w:spacing w:val="-11"/>
        </w:rPr>
        <w:t xml:space="preserve"> </w:t>
      </w:r>
      <w:r>
        <w:t>edilerek</w:t>
      </w:r>
      <w:r>
        <w:rPr>
          <w:spacing w:val="-9"/>
        </w:rPr>
        <w:t xml:space="preserve"> </w:t>
      </w:r>
      <w:r>
        <w:t>eksik</w:t>
      </w:r>
      <w:r>
        <w:rPr>
          <w:spacing w:val="-11"/>
        </w:rPr>
        <w:t xml:space="preserve"> </w:t>
      </w:r>
      <w:r>
        <w:t>veya</w:t>
      </w:r>
      <w:r>
        <w:rPr>
          <w:spacing w:val="-6"/>
        </w:rPr>
        <w:t xml:space="preserve"> </w:t>
      </w:r>
      <w:r>
        <w:t>yanlış</w:t>
      </w:r>
      <w:r>
        <w:rPr>
          <w:spacing w:val="-11"/>
        </w:rPr>
        <w:t xml:space="preserve"> </w:t>
      </w:r>
      <w:r>
        <w:t>doldurulmuş</w:t>
      </w:r>
      <w:r>
        <w:rPr>
          <w:spacing w:val="-11"/>
        </w:rPr>
        <w:t xml:space="preserve"> </w:t>
      </w:r>
      <w:r>
        <w:t>anketler</w:t>
      </w:r>
      <w:r>
        <w:rPr>
          <w:spacing w:val="-12"/>
        </w:rPr>
        <w:t xml:space="preserve"> </w:t>
      </w:r>
      <w:r>
        <w:t>analizden çıkarılmış, böylece analiz için uygun hale getirilmiştir. Temizlenen veri seti, daha sonra betimleyici istatistikler yardımıyla analiz edilmiştir. Katılımcıların cinsiyet, yaş, eğitim durumu</w:t>
      </w:r>
      <w:r>
        <w:rPr>
          <w:spacing w:val="-15"/>
        </w:rPr>
        <w:t xml:space="preserve"> </w:t>
      </w:r>
      <w:r>
        <w:t>gibi</w:t>
      </w:r>
      <w:r>
        <w:rPr>
          <w:spacing w:val="-15"/>
        </w:rPr>
        <w:t xml:space="preserve"> </w:t>
      </w:r>
      <w:r>
        <w:t>demografik</w:t>
      </w:r>
      <w:r>
        <w:rPr>
          <w:spacing w:val="-15"/>
        </w:rPr>
        <w:t xml:space="preserve"> </w:t>
      </w:r>
      <w:r>
        <w:t>özelliklerine</w:t>
      </w:r>
      <w:r>
        <w:rPr>
          <w:spacing w:val="-15"/>
        </w:rPr>
        <w:t xml:space="preserve"> </w:t>
      </w:r>
      <w:r>
        <w:t>ilişkin</w:t>
      </w:r>
      <w:r>
        <w:rPr>
          <w:spacing w:val="-15"/>
        </w:rPr>
        <w:t xml:space="preserve"> </w:t>
      </w:r>
      <w:r>
        <w:t>dağılımlar,</w:t>
      </w:r>
      <w:r>
        <w:rPr>
          <w:spacing w:val="-15"/>
        </w:rPr>
        <w:t xml:space="preserve"> </w:t>
      </w:r>
      <w:r>
        <w:t>frekans</w:t>
      </w:r>
      <w:r>
        <w:rPr>
          <w:spacing w:val="-15"/>
        </w:rPr>
        <w:t xml:space="preserve"> </w:t>
      </w:r>
      <w:r>
        <w:t>tabloları</w:t>
      </w:r>
      <w:r>
        <w:rPr>
          <w:spacing w:val="-15"/>
        </w:rPr>
        <w:t xml:space="preserve"> </w:t>
      </w:r>
      <w:r>
        <w:t>ve</w:t>
      </w:r>
      <w:r>
        <w:rPr>
          <w:spacing w:val="-15"/>
        </w:rPr>
        <w:t xml:space="preserve"> </w:t>
      </w:r>
      <w:r>
        <w:t>yüzdelik</w:t>
      </w:r>
      <w:r>
        <w:rPr>
          <w:spacing w:val="-15"/>
        </w:rPr>
        <w:t xml:space="preserve"> </w:t>
      </w:r>
      <w:r>
        <w:t>oranlar ile sunulmuş ve bu analizler çalışmanın temel bulgularını desteklemiştir.</w:t>
      </w:r>
    </w:p>
    <w:p w14:paraId="25DABA9A">
      <w:pPr>
        <w:pStyle w:val="9"/>
        <w:spacing w:before="120" w:after="120" w:line="360" w:lineRule="auto"/>
        <w:ind w:left="0" w:firstLine="567"/>
      </w:pPr>
      <w:r>
        <w:t>Geçerlik ve güvenirlik analizleri, ölçeklerin araştırma kapsamındaki kullanımının ne kadar güvenilir ve geçerli olduğunu test etmek amacıyla gerçekleştirilmiştir. Geçerlik analizlerinde, kullanılan ölçeklerin faktör yapılarının teorik temellere uygunluğu ve veri setiyle olan uyumu incelenmiştir. Bu bağlamda, Açımlayıcı Faktör Analizi (AFA), ölçeklerin</w:t>
      </w:r>
      <w:r>
        <w:rPr>
          <w:spacing w:val="-15"/>
        </w:rPr>
        <w:t xml:space="preserve"> </w:t>
      </w:r>
      <w:r>
        <w:t>altında</w:t>
      </w:r>
      <w:r>
        <w:rPr>
          <w:spacing w:val="-15"/>
        </w:rPr>
        <w:t xml:space="preserve"> </w:t>
      </w:r>
      <w:r>
        <w:t>yatan</w:t>
      </w:r>
      <w:r>
        <w:rPr>
          <w:spacing w:val="-15"/>
        </w:rPr>
        <w:t xml:space="preserve"> </w:t>
      </w:r>
      <w:r>
        <w:t>faktör</w:t>
      </w:r>
      <w:r>
        <w:rPr>
          <w:spacing w:val="-15"/>
        </w:rPr>
        <w:t xml:space="preserve"> </w:t>
      </w:r>
      <w:r>
        <w:t>yapısını</w:t>
      </w:r>
      <w:r>
        <w:rPr>
          <w:spacing w:val="-15"/>
        </w:rPr>
        <w:t xml:space="preserve"> </w:t>
      </w:r>
      <w:r>
        <w:t>ortaya</w:t>
      </w:r>
      <w:r>
        <w:rPr>
          <w:spacing w:val="-15"/>
        </w:rPr>
        <w:t xml:space="preserve"> </w:t>
      </w:r>
      <w:r>
        <w:t>koymak</w:t>
      </w:r>
      <w:r>
        <w:rPr>
          <w:spacing w:val="-15"/>
        </w:rPr>
        <w:t xml:space="preserve"> </w:t>
      </w:r>
      <w:r>
        <w:t>ve</w:t>
      </w:r>
      <w:r>
        <w:rPr>
          <w:spacing w:val="-15"/>
        </w:rPr>
        <w:t xml:space="preserve"> </w:t>
      </w:r>
      <w:r>
        <w:t>maddelerin</w:t>
      </w:r>
      <w:r>
        <w:rPr>
          <w:spacing w:val="-15"/>
        </w:rPr>
        <w:t xml:space="preserve"> </w:t>
      </w:r>
      <w:r>
        <w:t>hangi</w:t>
      </w:r>
      <w:r>
        <w:rPr>
          <w:spacing w:val="-15"/>
        </w:rPr>
        <w:t xml:space="preserve"> </w:t>
      </w:r>
      <w:r>
        <w:t>boyutlarla</w:t>
      </w:r>
      <w:r>
        <w:rPr>
          <w:spacing w:val="-15"/>
        </w:rPr>
        <w:t xml:space="preserve"> </w:t>
      </w:r>
      <w:r>
        <w:t>ilişkili olduğunu belirlemek için kullanılmıştır. Sonraki aşamada, Doğrulayıcı Faktör Analizi (DFA)</w:t>
      </w:r>
      <w:r>
        <w:rPr>
          <w:spacing w:val="-2"/>
        </w:rPr>
        <w:t xml:space="preserve"> </w:t>
      </w:r>
      <w:r>
        <w:t>ile</w:t>
      </w:r>
      <w:r>
        <w:rPr>
          <w:spacing w:val="-2"/>
        </w:rPr>
        <w:t xml:space="preserve"> </w:t>
      </w:r>
      <w:r>
        <w:t>ölçeklerin yapı geçerliliği</w:t>
      </w:r>
      <w:r>
        <w:rPr>
          <w:spacing w:val="-1"/>
        </w:rPr>
        <w:t xml:space="preserve"> </w:t>
      </w:r>
      <w:r>
        <w:t>test</w:t>
      </w:r>
      <w:r>
        <w:rPr>
          <w:spacing w:val="-1"/>
        </w:rPr>
        <w:t xml:space="preserve"> </w:t>
      </w:r>
      <w:r>
        <w:t>edilmiş</w:t>
      </w:r>
      <w:r>
        <w:rPr>
          <w:spacing w:val="-1"/>
        </w:rPr>
        <w:t xml:space="preserve"> </w:t>
      </w:r>
      <w:r>
        <w:t>ve</w:t>
      </w:r>
      <w:r>
        <w:rPr>
          <w:spacing w:val="-2"/>
        </w:rPr>
        <w:t xml:space="preserve"> </w:t>
      </w:r>
      <w:r>
        <w:t>faktör yapılarının</w:t>
      </w:r>
      <w:r>
        <w:rPr>
          <w:spacing w:val="-1"/>
        </w:rPr>
        <w:t xml:space="preserve"> </w:t>
      </w:r>
      <w:r>
        <w:t>veri</w:t>
      </w:r>
      <w:r>
        <w:rPr>
          <w:spacing w:val="-2"/>
        </w:rPr>
        <w:t xml:space="preserve"> </w:t>
      </w:r>
      <w:r>
        <w:t>seti</w:t>
      </w:r>
      <w:r>
        <w:rPr>
          <w:spacing w:val="-1"/>
        </w:rPr>
        <w:t xml:space="preserve"> </w:t>
      </w:r>
      <w:r>
        <w:t>ile</w:t>
      </w:r>
      <w:r>
        <w:rPr>
          <w:spacing w:val="-2"/>
        </w:rPr>
        <w:t xml:space="preserve"> </w:t>
      </w:r>
      <w:r>
        <w:t>ne</w:t>
      </w:r>
      <w:r>
        <w:rPr>
          <w:spacing w:val="-2"/>
        </w:rPr>
        <w:t xml:space="preserve"> </w:t>
      </w:r>
      <w:r>
        <w:t>derece uyumlu olduğu değerlendirilmiştir.</w:t>
      </w:r>
    </w:p>
    <w:p w14:paraId="4FF15068">
      <w:pPr>
        <w:pStyle w:val="9"/>
        <w:spacing w:before="120" w:after="120" w:line="360" w:lineRule="auto"/>
        <w:ind w:left="0" w:firstLine="567"/>
      </w:pPr>
      <w:r>
        <w:t>Güvenirlik analizlerinde</w:t>
      </w:r>
      <w:r>
        <w:rPr>
          <w:spacing w:val="-1"/>
        </w:rPr>
        <w:t xml:space="preserve"> </w:t>
      </w:r>
      <w:r>
        <w:t>ise Cronbach</w:t>
      </w:r>
      <w:r>
        <w:rPr>
          <w:spacing w:val="-1"/>
        </w:rPr>
        <w:t xml:space="preserve"> </w:t>
      </w:r>
      <w:r>
        <w:t>Alfa</w:t>
      </w:r>
      <w:r>
        <w:rPr>
          <w:spacing w:val="-2"/>
        </w:rPr>
        <w:t xml:space="preserve"> </w:t>
      </w:r>
      <w:r>
        <w:t>katsayısı kullanılarak</w:t>
      </w:r>
      <w:r>
        <w:rPr>
          <w:spacing w:val="-1"/>
        </w:rPr>
        <w:t xml:space="preserve"> </w:t>
      </w:r>
      <w:r>
        <w:t>ölçeklerin iç</w:t>
      </w:r>
      <w:r>
        <w:rPr>
          <w:spacing w:val="-1"/>
        </w:rPr>
        <w:t xml:space="preserve"> </w:t>
      </w:r>
      <w:r>
        <w:t>tutarlılığı ve güvenilirliği</w:t>
      </w:r>
      <w:r>
        <w:rPr>
          <w:spacing w:val="-15"/>
        </w:rPr>
        <w:t xml:space="preserve"> </w:t>
      </w:r>
      <w:r>
        <w:t>değerlendirilmiştir.</w:t>
      </w:r>
      <w:r>
        <w:rPr>
          <w:spacing w:val="-15"/>
        </w:rPr>
        <w:t xml:space="preserve"> </w:t>
      </w:r>
      <w:r>
        <w:t>Bu</w:t>
      </w:r>
      <w:r>
        <w:rPr>
          <w:spacing w:val="-15"/>
        </w:rPr>
        <w:t xml:space="preserve"> </w:t>
      </w:r>
      <w:r>
        <w:t>analiz,</w:t>
      </w:r>
      <w:r>
        <w:rPr>
          <w:spacing w:val="-15"/>
        </w:rPr>
        <w:t xml:space="preserve"> </w:t>
      </w:r>
      <w:r>
        <w:t>ölçeğin</w:t>
      </w:r>
      <w:r>
        <w:rPr>
          <w:spacing w:val="-15"/>
        </w:rPr>
        <w:t xml:space="preserve"> </w:t>
      </w:r>
      <w:r>
        <w:t>farklı</w:t>
      </w:r>
      <w:r>
        <w:rPr>
          <w:spacing w:val="-15"/>
        </w:rPr>
        <w:t xml:space="preserve"> </w:t>
      </w:r>
      <w:r>
        <w:t>maddelerinin</w:t>
      </w:r>
      <w:r>
        <w:rPr>
          <w:spacing w:val="-15"/>
        </w:rPr>
        <w:t xml:space="preserve"> </w:t>
      </w:r>
      <w:r>
        <w:t>birbirleriyle</w:t>
      </w:r>
      <w:r>
        <w:rPr>
          <w:spacing w:val="-15"/>
        </w:rPr>
        <w:t xml:space="preserve"> </w:t>
      </w:r>
      <w:r>
        <w:t>ne</w:t>
      </w:r>
      <w:r>
        <w:rPr>
          <w:spacing w:val="-15"/>
        </w:rPr>
        <w:t xml:space="preserve"> </w:t>
      </w:r>
      <w:r>
        <w:t>kadar tutarlı olduğunu ve ölçme aracının genel güvenilirliğini ortaya koymuştur. Elde edilen sonuçlar, ölçeklerin araştırmada kullanılabilecek güvenilir araçlar olduğunu göstermiştir.</w:t>
      </w:r>
    </w:p>
    <w:p w14:paraId="0E7C1CDF">
      <w:pPr>
        <w:pStyle w:val="9"/>
        <w:spacing w:before="120" w:after="120" w:line="360" w:lineRule="auto"/>
        <w:ind w:left="0" w:firstLine="567"/>
      </w:pPr>
      <w:r>
        <w:t>Verilerin</w:t>
      </w:r>
      <w:r>
        <w:rPr>
          <w:spacing w:val="-15"/>
        </w:rPr>
        <w:t xml:space="preserve"> </w:t>
      </w:r>
      <w:r>
        <w:t>analizine</w:t>
      </w:r>
      <w:r>
        <w:rPr>
          <w:spacing w:val="-15"/>
        </w:rPr>
        <w:t xml:space="preserve"> </w:t>
      </w:r>
      <w:r>
        <w:t>başlamadan</w:t>
      </w:r>
      <w:r>
        <w:rPr>
          <w:spacing w:val="-15"/>
        </w:rPr>
        <w:t xml:space="preserve"> </w:t>
      </w:r>
      <w:r>
        <w:t>önce,</w:t>
      </w:r>
      <w:r>
        <w:rPr>
          <w:spacing w:val="-15"/>
        </w:rPr>
        <w:t xml:space="preserve"> </w:t>
      </w:r>
      <w:r>
        <w:t>normal</w:t>
      </w:r>
      <w:r>
        <w:rPr>
          <w:spacing w:val="-15"/>
        </w:rPr>
        <w:t xml:space="preserve"> </w:t>
      </w:r>
      <w:r>
        <w:t>dağılımın</w:t>
      </w:r>
      <w:r>
        <w:rPr>
          <w:spacing w:val="-15"/>
        </w:rPr>
        <w:t xml:space="preserve"> </w:t>
      </w:r>
      <w:r>
        <w:t>kontrol</w:t>
      </w:r>
      <w:r>
        <w:rPr>
          <w:spacing w:val="-15"/>
        </w:rPr>
        <w:t xml:space="preserve"> </w:t>
      </w:r>
      <w:r>
        <w:t>edilmesi,</w:t>
      </w:r>
      <w:r>
        <w:rPr>
          <w:spacing w:val="-15"/>
        </w:rPr>
        <w:t xml:space="preserve"> </w:t>
      </w:r>
      <w:r>
        <w:t>parametrik</w:t>
      </w:r>
      <w:r>
        <w:rPr>
          <w:spacing w:val="-15"/>
        </w:rPr>
        <w:t xml:space="preserve"> </w:t>
      </w:r>
      <w:r>
        <w:t>testlerin geçerliliği açısından kritik bir adımdır. Normal dağılım, özellikle parametrik testlerin uygulanabilmesi için önemli bir ön koşuldur. Bu nedenle, verilerin normal dağılıma uygunluğu, Shapiro-Wilk testi ve Kolmogorov-Smirnov testi gibi istatistiksel yöntemlerle incelenmiştir. Bu testler, verilerin normal dağılıma uyup uymadığını belirlemede yaygın olarak kullanılmaktadır.</w:t>
      </w:r>
    </w:p>
    <w:p w14:paraId="38C0AFCE">
      <w:pPr>
        <w:pStyle w:val="9"/>
        <w:spacing w:before="120" w:after="120" w:line="360" w:lineRule="auto"/>
        <w:ind w:left="0" w:firstLine="567"/>
      </w:pPr>
      <w:r>
        <w:t>Shapiro-Wilk testi, verilerin normal dağılıma uygunluğunu test etmek için kullanılmıştır. Test sonuçları, p değerlerinin 0.05'ten büyük olduğunu göstermiştir. Bu bulgular, değişkenlerin normal dağıldığını göstermektedir. Kolmogorov-Smirnov testi sonuçlarına göre</w:t>
      </w:r>
      <w:r>
        <w:rPr>
          <w:spacing w:val="-10"/>
        </w:rPr>
        <w:t xml:space="preserve"> </w:t>
      </w:r>
      <w:r>
        <w:t>de,</w:t>
      </w:r>
      <w:r>
        <w:rPr>
          <w:spacing w:val="-9"/>
        </w:rPr>
        <w:t xml:space="preserve"> </w:t>
      </w:r>
      <w:r>
        <w:t>p</w:t>
      </w:r>
      <w:r>
        <w:rPr>
          <w:spacing w:val="-9"/>
        </w:rPr>
        <w:t xml:space="preserve"> </w:t>
      </w:r>
      <w:r>
        <w:t>değerleri</w:t>
      </w:r>
      <w:r>
        <w:rPr>
          <w:spacing w:val="-9"/>
        </w:rPr>
        <w:t xml:space="preserve"> </w:t>
      </w:r>
      <w:r>
        <w:t>0.05'ten</w:t>
      </w:r>
      <w:r>
        <w:rPr>
          <w:spacing w:val="-10"/>
        </w:rPr>
        <w:t xml:space="preserve"> </w:t>
      </w:r>
      <w:r>
        <w:t>büyük</w:t>
      </w:r>
      <w:r>
        <w:rPr>
          <w:spacing w:val="-9"/>
        </w:rPr>
        <w:t xml:space="preserve"> </w:t>
      </w:r>
      <w:r>
        <w:t>bulunmuştur.</w:t>
      </w:r>
      <w:r>
        <w:rPr>
          <w:spacing w:val="-7"/>
        </w:rPr>
        <w:t xml:space="preserve"> </w:t>
      </w:r>
      <w:r>
        <w:t>Bu</w:t>
      </w:r>
      <w:r>
        <w:rPr>
          <w:spacing w:val="-9"/>
        </w:rPr>
        <w:t xml:space="preserve"> </w:t>
      </w:r>
      <w:r>
        <w:t>sonuçlar,</w:t>
      </w:r>
      <w:r>
        <w:rPr>
          <w:spacing w:val="-7"/>
        </w:rPr>
        <w:t xml:space="preserve"> </w:t>
      </w:r>
      <w:r>
        <w:t>değişkenlerin</w:t>
      </w:r>
      <w:r>
        <w:rPr>
          <w:spacing w:val="-6"/>
        </w:rPr>
        <w:t xml:space="preserve"> </w:t>
      </w:r>
      <w:r>
        <w:t>normal</w:t>
      </w:r>
      <w:r>
        <w:rPr>
          <w:spacing w:val="-9"/>
        </w:rPr>
        <w:t xml:space="preserve"> </w:t>
      </w:r>
      <w:r>
        <w:t>dağılım gösterdiğini doğrulamaktadır.</w:t>
      </w:r>
    </w:p>
    <w:p w14:paraId="0B808782">
      <w:pPr>
        <w:pStyle w:val="4"/>
        <w:spacing w:before="240" w:after="240" w:line="360" w:lineRule="auto"/>
        <w:ind w:left="567" w:firstLine="0"/>
        <w:rPr>
          <w:i w:val="0"/>
        </w:rPr>
      </w:pPr>
      <w:bookmarkStart w:id="187" w:name="_Toc195877816"/>
      <w:bookmarkStart w:id="188" w:name="_Toc197351269"/>
      <w:r>
        <w:rPr>
          <w:i w:val="0"/>
        </w:rPr>
        <w:t xml:space="preserve">3.6.1. </w:t>
      </w:r>
      <w:bookmarkStart w:id="189" w:name="_Toc195875838"/>
      <w:r>
        <w:rPr>
          <w:i w:val="0"/>
        </w:rPr>
        <w:t>Sanal Rekreasyon Ölçeği'nin Araştırma Kapsamında Geliştirilmesi ve Geçerlik Güvenirlik Analizlerinin Süreçleri</w:t>
      </w:r>
      <w:bookmarkEnd w:id="187"/>
      <w:bookmarkEnd w:id="188"/>
      <w:bookmarkEnd w:id="189"/>
    </w:p>
    <w:p w14:paraId="67B053B2">
      <w:pPr>
        <w:pStyle w:val="9"/>
        <w:spacing w:before="120" w:after="120" w:line="360" w:lineRule="auto"/>
        <w:ind w:left="0" w:firstLine="567"/>
      </w:pPr>
      <w:r>
        <w:t xml:space="preserve">Sanal Rekreasyon Ölçeği'nin geçerlik ve güvenilirlik analizleri, söz konusu ölçeğin araştırma alanında etkinlik ve uygulanabilirlik açısından ne derece başarılı olduğunu tespit etmede kritik bir öneme sahiptir. Bu analizler kapsamında, kapsam geçerliği, ölçeğin içeriğinin araştırma konusunu ne kadar kapsamlı ve amaca uygun şekilde ele aldığını değerlendirirken; yapı geçerliği, ölçeğin teorik ve faktör yapısının veri setiyle ne derece uyumlu olduğunu sorgulamaktadır. Testin ayırt ediciliği analizi, ölçeğin farklı durumlar </w:t>
      </w:r>
      <w:r>
        <w:rPr>
          <w:spacing w:val="-2"/>
        </w:rPr>
        <w:t>veya özellikler</w:t>
      </w:r>
      <w:r>
        <w:rPr>
          <w:spacing w:val="-3"/>
        </w:rPr>
        <w:t xml:space="preserve"> </w:t>
      </w:r>
      <w:r>
        <w:rPr>
          <w:spacing w:val="-2"/>
        </w:rPr>
        <w:t xml:space="preserve">taşıyan bireyleri ayırt edebilme kapasitesini incelemekte, madde-toplam puan </w:t>
      </w:r>
      <w:r>
        <w:t>korelasyonu ise her bir maddenin ölçeğin bütünsel yapısıyla olan ilişkisini ve uyumunu göstermektedir. Ayrıca, Cronbach'ın Alfa güvenirlik değeri, ölçeğin iç tutarlılığını ve maddeler arasındaki uyumu ölçmekte, böylece ölçeğin güvenirliğini tespit etmektedir. Bu detaylı analizlerin sonuçları, Sanal Rekreasyon Ölçeği'nin araştırma alanında geçerli ve güvenilir bir araç olduğunu ortaya koymaktadır. Bu bölümde bu analizlere ilişkin bulgular yer almaktadır.</w:t>
      </w:r>
    </w:p>
    <w:p w14:paraId="7CD200B4">
      <w:pPr>
        <w:pStyle w:val="5"/>
        <w:spacing w:before="240" w:after="240" w:line="360" w:lineRule="auto"/>
        <w:ind w:left="567"/>
        <w:rPr>
          <w:rFonts w:ascii="Times New Roman" w:hAnsi="Times New Roman" w:cs="Times New Roman"/>
          <w:b/>
          <w:i w:val="0"/>
          <w:color w:val="auto"/>
          <w:sz w:val="24"/>
        </w:rPr>
      </w:pPr>
      <w:bookmarkStart w:id="190" w:name="_Toc195877817"/>
      <w:bookmarkStart w:id="191" w:name="_Toc197351270"/>
      <w:r>
        <w:rPr>
          <w:rFonts w:ascii="Times New Roman" w:hAnsi="Times New Roman" w:cs="Times New Roman"/>
          <w:b/>
          <w:i w:val="0"/>
          <w:color w:val="auto"/>
          <w:sz w:val="24"/>
        </w:rPr>
        <w:t xml:space="preserve">3.6.1.1. </w:t>
      </w:r>
      <w:bookmarkStart w:id="192" w:name="_Toc195875839"/>
      <w:r>
        <w:rPr>
          <w:rFonts w:ascii="Times New Roman" w:hAnsi="Times New Roman" w:cs="Times New Roman"/>
          <w:b/>
          <w:i w:val="0"/>
          <w:color w:val="auto"/>
          <w:sz w:val="24"/>
        </w:rPr>
        <w:t>Ölçek Geliştirme Süreci</w:t>
      </w:r>
      <w:bookmarkEnd w:id="190"/>
      <w:bookmarkEnd w:id="191"/>
      <w:bookmarkEnd w:id="192"/>
    </w:p>
    <w:p w14:paraId="675D5E3F">
      <w:pPr>
        <w:pStyle w:val="9"/>
        <w:spacing w:before="120" w:after="120" w:line="360" w:lineRule="auto"/>
        <w:ind w:left="0" w:firstLine="567"/>
        <w:rPr>
          <w:color w:val="000000"/>
        </w:rPr>
      </w:pPr>
      <w:r>
        <w:t>Bu</w:t>
      </w:r>
      <w:r>
        <w:rPr>
          <w:spacing w:val="-8"/>
        </w:rPr>
        <w:t xml:space="preserve"> </w:t>
      </w:r>
      <w:r>
        <w:t>çalışma</w:t>
      </w:r>
      <w:r>
        <w:rPr>
          <w:spacing w:val="-8"/>
        </w:rPr>
        <w:t xml:space="preserve"> </w:t>
      </w:r>
      <w:r>
        <w:t>kapsamında</w:t>
      </w:r>
      <w:r>
        <w:rPr>
          <w:spacing w:val="-7"/>
        </w:rPr>
        <w:t xml:space="preserve"> </w:t>
      </w:r>
      <w:r>
        <w:t>gerçekleştirilen</w:t>
      </w:r>
      <w:r>
        <w:rPr>
          <w:spacing w:val="-8"/>
        </w:rPr>
        <w:t xml:space="preserve"> </w:t>
      </w:r>
      <w:r>
        <w:t>Sanal</w:t>
      </w:r>
      <w:r>
        <w:rPr>
          <w:spacing w:val="-7"/>
        </w:rPr>
        <w:t xml:space="preserve"> </w:t>
      </w:r>
      <w:r>
        <w:t>Rekreasyon</w:t>
      </w:r>
      <w:r>
        <w:rPr>
          <w:spacing w:val="-4"/>
        </w:rPr>
        <w:t xml:space="preserve"> </w:t>
      </w:r>
      <w:r>
        <w:t>Faaliyet</w:t>
      </w:r>
      <w:r>
        <w:rPr>
          <w:spacing w:val="-7"/>
        </w:rPr>
        <w:t xml:space="preserve"> </w:t>
      </w:r>
      <w:r>
        <w:t>Ölçeği'nin</w:t>
      </w:r>
      <w:r>
        <w:rPr>
          <w:spacing w:val="-7"/>
        </w:rPr>
        <w:t xml:space="preserve"> </w:t>
      </w:r>
      <w:r>
        <w:t>geliştirilmesi süreci, araştırmacı tarafından dikkatli ve titiz bir yaklaşımla yürütülmüştür. Öncelikle literatürde sanal rekreasyon deneyimine ilişkin yapılan çalışmalar incelenmiştir.Bu süreçte sanal rekreasyon deneyimini betimleyen, kuramsal yapıya uygun bir ölçeğe rastlanmamıştır.Ölçek geliştirmeye karar verilmiş olup</w:t>
      </w:r>
      <w:r>
        <w:rPr>
          <w:spacing w:val="40"/>
        </w:rPr>
        <w:t xml:space="preserve"> </w:t>
      </w:r>
      <w:r>
        <w:t>alanyazında var olan sanal rekreasyon</w:t>
      </w:r>
      <w:r>
        <w:rPr>
          <w:spacing w:val="-6"/>
        </w:rPr>
        <w:t xml:space="preserve"> </w:t>
      </w:r>
      <w:r>
        <w:t>deneyimini</w:t>
      </w:r>
      <w:r>
        <w:rPr>
          <w:spacing w:val="-5"/>
        </w:rPr>
        <w:t xml:space="preserve"> </w:t>
      </w:r>
      <w:r>
        <w:t>ifade</w:t>
      </w:r>
      <w:r>
        <w:rPr>
          <w:spacing w:val="-4"/>
        </w:rPr>
        <w:t xml:space="preserve"> </w:t>
      </w:r>
      <w:r>
        <w:t>eden</w:t>
      </w:r>
      <w:r>
        <w:rPr>
          <w:spacing w:val="40"/>
        </w:rPr>
        <w:t xml:space="preserve"> </w:t>
      </w:r>
      <w:r>
        <w:t>51</w:t>
      </w:r>
      <w:r>
        <w:rPr>
          <w:spacing w:val="-6"/>
        </w:rPr>
        <w:t xml:space="preserve"> </w:t>
      </w:r>
      <w:r>
        <w:t>tane</w:t>
      </w:r>
      <w:r>
        <w:rPr>
          <w:spacing w:val="-7"/>
        </w:rPr>
        <w:t xml:space="preserve"> </w:t>
      </w:r>
      <w:r>
        <w:t>soruyu</w:t>
      </w:r>
      <w:r>
        <w:rPr>
          <w:spacing w:val="-1"/>
        </w:rPr>
        <w:t xml:space="preserve"> </w:t>
      </w:r>
      <w:r>
        <w:t>içeren</w:t>
      </w:r>
      <w:r>
        <w:rPr>
          <w:spacing w:val="-4"/>
        </w:rPr>
        <w:t xml:space="preserve"> </w:t>
      </w:r>
      <w:r>
        <w:t>madde</w:t>
      </w:r>
      <w:r>
        <w:rPr>
          <w:spacing w:val="-5"/>
        </w:rPr>
        <w:t xml:space="preserve"> </w:t>
      </w:r>
      <w:r>
        <w:t>havuzu</w:t>
      </w:r>
      <w:r>
        <w:rPr>
          <w:spacing w:val="-6"/>
        </w:rPr>
        <w:t xml:space="preserve"> </w:t>
      </w:r>
      <w:r>
        <w:t>oluşturulmuştur.Bu maddeler</w:t>
      </w:r>
      <w:r>
        <w:rPr>
          <w:spacing w:val="-12"/>
        </w:rPr>
        <w:t xml:space="preserve"> </w:t>
      </w:r>
      <w:r>
        <w:t>e-posta</w:t>
      </w:r>
      <w:r>
        <w:rPr>
          <w:spacing w:val="-8"/>
        </w:rPr>
        <w:t xml:space="preserve"> </w:t>
      </w:r>
      <w:r>
        <w:t>yoluyla</w:t>
      </w:r>
      <w:r>
        <w:rPr>
          <w:spacing w:val="-11"/>
        </w:rPr>
        <w:t xml:space="preserve"> </w:t>
      </w:r>
      <w:r>
        <w:t>tüm</w:t>
      </w:r>
      <w:r>
        <w:rPr>
          <w:spacing w:val="-12"/>
        </w:rPr>
        <w:t xml:space="preserve"> </w:t>
      </w:r>
      <w:r>
        <w:t>paydaşlara(Rekreasyon</w:t>
      </w:r>
      <w:r>
        <w:rPr>
          <w:spacing w:val="-11"/>
        </w:rPr>
        <w:t xml:space="preserve"> </w:t>
      </w:r>
      <w:r>
        <w:t>Ana</w:t>
      </w:r>
      <w:r>
        <w:rPr>
          <w:spacing w:val="-12"/>
        </w:rPr>
        <w:t xml:space="preserve"> </w:t>
      </w:r>
      <w:r>
        <w:t>Bilim</w:t>
      </w:r>
      <w:r>
        <w:rPr>
          <w:spacing w:val="-9"/>
        </w:rPr>
        <w:t xml:space="preserve"> </w:t>
      </w:r>
      <w:r>
        <w:t>Dalı’nda,Turizm</w:t>
      </w:r>
      <w:r>
        <w:rPr>
          <w:spacing w:val="-12"/>
        </w:rPr>
        <w:t xml:space="preserve"> </w:t>
      </w:r>
      <w:r>
        <w:t>Fakültesi ve</w:t>
      </w:r>
      <w:r>
        <w:rPr>
          <w:spacing w:val="-15"/>
        </w:rPr>
        <w:t xml:space="preserve"> </w:t>
      </w:r>
      <w:r>
        <w:t>Yüksekokullarında</w:t>
      </w:r>
      <w:r>
        <w:rPr>
          <w:spacing w:val="-12"/>
        </w:rPr>
        <w:t xml:space="preserve"> </w:t>
      </w:r>
      <w:r>
        <w:t>görev</w:t>
      </w:r>
      <w:r>
        <w:rPr>
          <w:spacing w:val="-9"/>
        </w:rPr>
        <w:t xml:space="preserve"> </w:t>
      </w:r>
      <w:r>
        <w:t>yapan</w:t>
      </w:r>
      <w:r>
        <w:rPr>
          <w:spacing w:val="-14"/>
        </w:rPr>
        <w:t xml:space="preserve"> </w:t>
      </w:r>
      <w:r>
        <w:t>akademisyenlere,uzmanlara)</w:t>
      </w:r>
      <w:r>
        <w:rPr>
          <w:spacing w:val="-14"/>
        </w:rPr>
        <w:t xml:space="preserve"> </w:t>
      </w:r>
      <w:r>
        <w:t>mail</w:t>
      </w:r>
      <w:r>
        <w:rPr>
          <w:spacing w:val="-9"/>
        </w:rPr>
        <w:t xml:space="preserve"> </w:t>
      </w:r>
      <w:r>
        <w:t>yoluyla</w:t>
      </w:r>
      <w:r>
        <w:rPr>
          <w:spacing w:val="-14"/>
        </w:rPr>
        <w:t xml:space="preserve"> </w:t>
      </w:r>
      <w:r>
        <w:t>ulaşılarak</w:t>
      </w:r>
      <w:r>
        <w:rPr>
          <w:spacing w:val="-14"/>
        </w:rPr>
        <w:t xml:space="preserve"> </w:t>
      </w:r>
      <w:r>
        <w:t>108 uzmanın görüşüne başvurulmuştur.Yaklaşık 3 aylık bekleme sürecinden sonra “Sanal Rekreasyon Faaliyet Ölçeği” görüş bildiren uzman ve akademisyenlerin (4 akademisyen, 5 bilgisayar mühendisi, 2 eğitim uzmanı, 1 yönetici  ve 3 rekreasyon sektör çalışanı) değerlendirmeleri neticesinde madde sayısı 44 olarak son halini almıştır.Pilot uygulama için ise Mamak ilçesine</w:t>
      </w:r>
      <w:r>
        <w:rPr>
          <w:spacing w:val="-1"/>
        </w:rPr>
        <w:t xml:space="preserve"> </w:t>
      </w:r>
      <w:r>
        <w:t>komşu ilçe olan ve</w:t>
      </w:r>
      <w:r>
        <w:rPr>
          <w:spacing w:val="-1"/>
        </w:rPr>
        <w:t xml:space="preserve"> </w:t>
      </w:r>
      <w:r>
        <w:t>demografik</w:t>
      </w:r>
      <w:r>
        <w:rPr>
          <w:spacing w:val="-1"/>
        </w:rPr>
        <w:t xml:space="preserve"> </w:t>
      </w:r>
      <w:r>
        <w:t>özellikleri</w:t>
      </w:r>
      <w:r>
        <w:rPr>
          <w:spacing w:val="-1"/>
        </w:rPr>
        <w:t xml:space="preserve"> </w:t>
      </w:r>
      <w:r>
        <w:t>gibi benzer yönleri</w:t>
      </w:r>
      <w:r>
        <w:rPr>
          <w:spacing w:val="-1"/>
        </w:rPr>
        <w:t xml:space="preserve"> </w:t>
      </w:r>
      <w:r>
        <w:t xml:space="preserve">ele alınarak Altındağ ilçesi seçilmiştir. </w:t>
      </w:r>
      <w:r>
        <w:rPr>
          <w:color w:val="000000"/>
        </w:rPr>
        <w:t>Alanyazında ölçek geliştirme çalışmaları çeşitlilik göstermektedir. Churchill (1979:66) aşağıdaki gibi açıklanmaktadır:</w:t>
      </w:r>
    </w:p>
    <w:p w14:paraId="3C620C1B">
      <w:pPr>
        <w:pStyle w:val="9"/>
        <w:spacing w:before="132" w:line="360" w:lineRule="auto"/>
        <w:ind w:right="113"/>
        <w:rPr>
          <w:color w:val="000000"/>
        </w:rPr>
      </w:pPr>
      <w:r>
        <w:rPr>
          <w:b/>
          <w:color w:val="000000"/>
          <w:sz w:val="23"/>
          <w:lang w:eastAsia="tr-TR"/>
        </w:rPr>
        <w:drawing>
          <wp:inline distT="0" distB="0" distL="0" distR="0">
            <wp:extent cx="5486400" cy="1189355"/>
            <wp:effectExtent l="19050" t="0" r="0" b="0"/>
            <wp:docPr id="56" name="Diy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60AD3D82">
      <w:pPr>
        <w:spacing w:line="360" w:lineRule="auto"/>
        <w:rPr>
          <w:color w:val="000000"/>
          <w:sz w:val="24"/>
          <w:szCs w:val="24"/>
        </w:rPr>
      </w:pPr>
      <w:r>
        <w:rPr>
          <w:b/>
          <w:color w:val="000000"/>
          <w:sz w:val="24"/>
          <w:szCs w:val="24"/>
        </w:rPr>
        <w:t xml:space="preserve">Şekil 3.2. </w:t>
      </w:r>
      <w:r>
        <w:rPr>
          <w:color w:val="000000"/>
          <w:sz w:val="24"/>
          <w:szCs w:val="24"/>
        </w:rPr>
        <w:t>Churchill, (1979:66). Ölçek Geliştirme Örneği</w:t>
      </w:r>
    </w:p>
    <w:p w14:paraId="1E47B1C3">
      <w:pPr>
        <w:pStyle w:val="9"/>
        <w:spacing w:before="120" w:after="120" w:line="360" w:lineRule="auto"/>
        <w:ind w:left="0" w:firstLine="567"/>
      </w:pPr>
      <w:r>
        <w:t>Ölçek</w:t>
      </w:r>
      <w:r>
        <w:rPr>
          <w:spacing w:val="-4"/>
        </w:rPr>
        <w:t xml:space="preserve"> </w:t>
      </w:r>
      <w:r>
        <w:t>geliştirme</w:t>
      </w:r>
      <w:r>
        <w:rPr>
          <w:spacing w:val="-8"/>
        </w:rPr>
        <w:t xml:space="preserve"> </w:t>
      </w:r>
      <w:r>
        <w:t>süreci,</w:t>
      </w:r>
      <w:r>
        <w:rPr>
          <w:spacing w:val="-7"/>
        </w:rPr>
        <w:t xml:space="preserve"> </w:t>
      </w:r>
      <w:r>
        <w:t>iki</w:t>
      </w:r>
      <w:r>
        <w:rPr>
          <w:spacing w:val="-6"/>
        </w:rPr>
        <w:t xml:space="preserve"> </w:t>
      </w:r>
      <w:r>
        <w:t>aşamalı</w:t>
      </w:r>
      <w:r>
        <w:rPr>
          <w:spacing w:val="-6"/>
        </w:rPr>
        <w:t xml:space="preserve"> </w:t>
      </w:r>
      <w:r>
        <w:t>bir</w:t>
      </w:r>
      <w:r>
        <w:rPr>
          <w:spacing w:val="-5"/>
        </w:rPr>
        <w:t xml:space="preserve"> </w:t>
      </w:r>
      <w:r>
        <w:t>analiz</w:t>
      </w:r>
      <w:r>
        <w:rPr>
          <w:spacing w:val="-1"/>
        </w:rPr>
        <w:t xml:space="preserve"> </w:t>
      </w:r>
      <w:r>
        <w:t>yaklaşımı</w:t>
      </w:r>
      <w:r>
        <w:rPr>
          <w:spacing w:val="-6"/>
        </w:rPr>
        <w:t xml:space="preserve"> </w:t>
      </w:r>
      <w:r>
        <w:t>benimsenmiştir.</w:t>
      </w:r>
      <w:r>
        <w:rPr>
          <w:spacing w:val="-4"/>
        </w:rPr>
        <w:t xml:space="preserve"> </w:t>
      </w:r>
      <w:r>
        <w:t>İlk</w:t>
      </w:r>
      <w:r>
        <w:rPr>
          <w:spacing w:val="-4"/>
        </w:rPr>
        <w:t xml:space="preserve"> </w:t>
      </w:r>
      <w:r>
        <w:t>aşamada,</w:t>
      </w:r>
      <w:r>
        <w:rPr>
          <w:spacing w:val="-7"/>
        </w:rPr>
        <w:t xml:space="preserve"> </w:t>
      </w:r>
      <w:r>
        <w:t>ölçek geliştirme</w:t>
      </w:r>
      <w:r>
        <w:rPr>
          <w:spacing w:val="-1"/>
        </w:rPr>
        <w:t xml:space="preserve"> </w:t>
      </w:r>
      <w:r>
        <w:t>sürecinin önemli bir parçası olan ön analiz, araştırmada yer</w:t>
      </w:r>
      <w:r>
        <w:rPr>
          <w:spacing w:val="-1"/>
        </w:rPr>
        <w:t xml:space="preserve"> </w:t>
      </w:r>
      <w:r>
        <w:t xml:space="preserve">alan 104 örneklemin yarısı olan 52 kişi üzerinde yapılmıştır. Bu ön analiz, ölçeğin ilk taslağının pratik uygulamalarında karşılaşılacak potansiyel sorunları belirlemek ve ölçeğin ilk halinin etkinliğini test etmek amacıyla gerçekleştirilmiştir. Bu karar, maddelerin ölçeğin genel yapısıyla olan uyumları, ayırt edici özellikleri ve katılımcılar tarafından nasıl algılandıkları gibi kriterlere dayanarak alınmıştır. Ön analiz sonucunda ölçekten herhangi bir madde </w:t>
      </w:r>
      <w:r>
        <w:rPr>
          <w:spacing w:val="-2"/>
        </w:rPr>
        <w:t>çıkarılmamıştır.</w:t>
      </w:r>
    </w:p>
    <w:p w14:paraId="2F7FAD3E">
      <w:pPr>
        <w:pStyle w:val="9"/>
        <w:spacing w:before="120" w:after="120" w:line="360" w:lineRule="auto"/>
        <w:ind w:left="0" w:firstLine="567"/>
        <w:rPr>
          <w:color w:val="000000"/>
          <w:sz w:val="23"/>
        </w:rPr>
      </w:pPr>
      <w:r>
        <w:rPr>
          <w:color w:val="000000"/>
          <w:sz w:val="23"/>
        </w:rPr>
        <w:t>DeVellis ve Thorpe (2021),  “ölçmenin bilim için önemli bir faaliyeti olduğunu ifade ederek ölçek geliştirmenin mantığı ve aşamalarını aşağıda uyarlanarak belirtmiştir.</w:t>
      </w:r>
    </w:p>
    <w:tbl>
      <w:tblPr>
        <w:tblStyle w:val="27"/>
        <w:tblpPr w:leftFromText="180" w:rightFromText="180" w:vertAnchor="text" w:horzAnchor="margin" w:tblpY="721"/>
        <w:tblOverlap w:val="never"/>
        <w:tblW w:w="9138" w:type="dxa"/>
        <w:tblInd w:w="0" w:type="dxa"/>
        <w:tblLayout w:type="autofit"/>
        <w:tblCellMar>
          <w:top w:w="0" w:type="dxa"/>
          <w:left w:w="0" w:type="dxa"/>
          <w:bottom w:w="0" w:type="dxa"/>
          <w:right w:w="0" w:type="dxa"/>
        </w:tblCellMar>
      </w:tblPr>
      <w:tblGrid>
        <w:gridCol w:w="2800"/>
        <w:gridCol w:w="2697"/>
        <w:gridCol w:w="3641"/>
      </w:tblGrid>
      <w:tr w14:paraId="5535C505">
        <w:tblPrEx>
          <w:tblCellMar>
            <w:top w:w="0" w:type="dxa"/>
            <w:left w:w="0" w:type="dxa"/>
            <w:bottom w:w="0" w:type="dxa"/>
            <w:right w:w="0" w:type="dxa"/>
          </w:tblCellMar>
        </w:tblPrEx>
        <w:trPr>
          <w:trHeight w:val="318" w:hRule="atLeast"/>
        </w:trPr>
        <w:tc>
          <w:tcPr>
            <w:tcW w:w="2800" w:type="dxa"/>
          </w:tcPr>
          <w:p w14:paraId="2CCD7CC0">
            <w:pPr>
              <w:pBdr>
                <w:top w:val="single" w:color="000000" w:themeColor="text1" w:sz="2" w:space="0"/>
              </w:pBdr>
              <w:tabs>
                <w:tab w:val="left" w:pos="204"/>
              </w:tabs>
              <w:spacing w:line="360" w:lineRule="auto"/>
              <w:rPr>
                <w:color w:val="000000"/>
                <w:sz w:val="23"/>
                <w:szCs w:val="24"/>
              </w:rPr>
            </w:pPr>
            <w:r>
              <w:rPr>
                <w:color w:val="000000"/>
                <w:sz w:val="23"/>
                <w:szCs w:val="24"/>
              </w:rPr>
              <w:t>Soru Havuzunun Oluşturulması</w:t>
            </w:r>
          </w:p>
        </w:tc>
        <w:tc>
          <w:tcPr>
            <w:tcW w:w="2697" w:type="dxa"/>
          </w:tcPr>
          <w:p w14:paraId="08076228">
            <w:pPr>
              <w:pBdr>
                <w:top w:val="single" w:color="000000" w:themeColor="text1" w:sz="2" w:space="0"/>
              </w:pBdr>
              <w:spacing w:line="360" w:lineRule="auto"/>
              <w:rPr>
                <w:color w:val="000000"/>
                <w:sz w:val="23"/>
                <w:szCs w:val="24"/>
              </w:rPr>
            </w:pPr>
            <w:r>
              <w:rPr>
                <w:color w:val="000000"/>
                <w:sz w:val="23"/>
                <w:szCs w:val="24"/>
              </w:rPr>
              <w:t>Ölçeğin Yapılandırılması</w:t>
            </w:r>
          </w:p>
        </w:tc>
        <w:tc>
          <w:tcPr>
            <w:tcW w:w="3641" w:type="dxa"/>
          </w:tcPr>
          <w:p w14:paraId="7E7EBEE0">
            <w:pPr>
              <w:pBdr>
                <w:top w:val="single" w:color="000000" w:themeColor="text1" w:sz="2" w:space="0"/>
              </w:pBdr>
              <w:spacing w:line="360" w:lineRule="auto"/>
              <w:rPr>
                <w:color w:val="000000"/>
                <w:sz w:val="23"/>
                <w:szCs w:val="24"/>
              </w:rPr>
            </w:pPr>
            <w:r>
              <w:rPr>
                <w:color w:val="000000"/>
                <w:sz w:val="23"/>
                <w:szCs w:val="24"/>
              </w:rPr>
              <w:t>Ölçeğin Değerlendirilmesi</w:t>
            </w:r>
          </w:p>
        </w:tc>
      </w:tr>
      <w:tr w14:paraId="214A6A19">
        <w:tblPrEx>
          <w:tblCellMar>
            <w:top w:w="0" w:type="dxa"/>
            <w:left w:w="0" w:type="dxa"/>
            <w:bottom w:w="0" w:type="dxa"/>
            <w:right w:w="0" w:type="dxa"/>
          </w:tblCellMar>
        </w:tblPrEx>
        <w:trPr>
          <w:trHeight w:val="2149" w:hRule="atLeast"/>
        </w:trPr>
        <w:tc>
          <w:tcPr>
            <w:tcW w:w="2800" w:type="dxa"/>
          </w:tcPr>
          <w:p w14:paraId="6CAC3724">
            <w:pPr>
              <w:numPr>
                <w:ilvl w:val="0"/>
                <w:numId w:val="13"/>
              </w:numPr>
              <w:pBdr>
                <w:top w:val="single" w:color="000000" w:themeColor="text1" w:sz="2" w:space="0"/>
              </w:pBdr>
              <w:spacing w:line="360" w:lineRule="auto"/>
              <w:ind w:left="414" w:hanging="357"/>
              <w:contextualSpacing/>
              <w:rPr>
                <w:color w:val="000000"/>
                <w:sz w:val="23"/>
                <w:szCs w:val="24"/>
                <w:lang w:eastAsia="tr-TR"/>
              </w:rPr>
            </w:pPr>
            <w:r>
              <w:rPr>
                <w:color w:val="000000"/>
                <w:sz w:val="23"/>
                <w:szCs w:val="24"/>
                <w:lang w:eastAsia="tr-TR"/>
              </w:rPr>
              <w:t xml:space="preserve">Literatürün ve kuramsal çerçevenin belirlenmesi </w:t>
            </w:r>
          </w:p>
          <w:p w14:paraId="0A3D4737">
            <w:pPr>
              <w:numPr>
                <w:ilvl w:val="0"/>
                <w:numId w:val="13"/>
              </w:numPr>
              <w:pBdr>
                <w:top w:val="single" w:color="000000" w:themeColor="text1" w:sz="2" w:space="0"/>
              </w:pBdr>
              <w:spacing w:line="360" w:lineRule="auto"/>
              <w:ind w:left="414" w:hanging="357"/>
              <w:contextualSpacing/>
              <w:rPr>
                <w:color w:val="000000"/>
                <w:sz w:val="23"/>
                <w:szCs w:val="24"/>
                <w:lang w:eastAsia="tr-TR"/>
              </w:rPr>
            </w:pPr>
            <w:r>
              <w:rPr>
                <w:color w:val="000000"/>
                <w:sz w:val="23"/>
                <w:szCs w:val="24"/>
                <w:lang w:eastAsia="tr-TR"/>
              </w:rPr>
              <w:t>Ölçek maddelerinin oluşturulması (52 madde)</w:t>
            </w:r>
          </w:p>
          <w:p w14:paraId="5C923D59">
            <w:pPr>
              <w:numPr>
                <w:ilvl w:val="0"/>
                <w:numId w:val="13"/>
              </w:numPr>
              <w:pBdr>
                <w:top w:val="single" w:color="000000" w:themeColor="text1" w:sz="2" w:space="0"/>
              </w:pBdr>
              <w:spacing w:line="360" w:lineRule="auto"/>
              <w:ind w:left="414" w:hanging="357"/>
              <w:contextualSpacing/>
              <w:rPr>
                <w:color w:val="000000"/>
                <w:sz w:val="23"/>
                <w:szCs w:val="24"/>
                <w:lang w:eastAsia="tr-TR"/>
              </w:rPr>
            </w:pPr>
            <w:r>
              <w:rPr>
                <w:color w:val="000000"/>
                <w:sz w:val="23"/>
                <w:szCs w:val="24"/>
                <w:lang w:eastAsia="tr-TR"/>
              </w:rPr>
              <w:t>Görünüm geçerliliği ve redaksiyon tespiti yapılması</w:t>
            </w:r>
          </w:p>
          <w:p w14:paraId="47D5B4AC">
            <w:pPr>
              <w:numPr>
                <w:ilvl w:val="0"/>
                <w:numId w:val="13"/>
              </w:numPr>
              <w:pBdr>
                <w:top w:val="single" w:color="000000" w:themeColor="text1" w:sz="2" w:space="0"/>
              </w:pBdr>
              <w:spacing w:line="360" w:lineRule="auto"/>
              <w:ind w:left="414" w:hanging="357"/>
              <w:contextualSpacing/>
              <w:rPr>
                <w:color w:val="000000"/>
                <w:sz w:val="23"/>
                <w:szCs w:val="24"/>
                <w:lang w:eastAsia="tr-TR"/>
              </w:rPr>
            </w:pPr>
            <w:r>
              <w:rPr>
                <w:color w:val="000000"/>
                <w:sz w:val="23"/>
                <w:szCs w:val="24"/>
                <w:lang w:eastAsia="tr-TR"/>
              </w:rPr>
              <w:t>İçeriğe uygun olmayan maddelerin elenmesi</w:t>
            </w:r>
          </w:p>
        </w:tc>
        <w:tc>
          <w:tcPr>
            <w:tcW w:w="2697" w:type="dxa"/>
          </w:tcPr>
          <w:p w14:paraId="34C12C29">
            <w:pPr>
              <w:numPr>
                <w:ilvl w:val="0"/>
                <w:numId w:val="13"/>
              </w:numPr>
              <w:pBdr>
                <w:top w:val="single" w:color="000000" w:themeColor="text1" w:sz="2" w:space="0"/>
              </w:pBdr>
              <w:spacing w:line="360" w:lineRule="auto"/>
              <w:ind w:left="414" w:hanging="357"/>
              <w:contextualSpacing/>
              <w:rPr>
                <w:color w:val="000000"/>
                <w:sz w:val="23"/>
                <w:szCs w:val="24"/>
                <w:lang w:eastAsia="tr-TR"/>
              </w:rPr>
            </w:pPr>
            <w:r>
              <w:rPr>
                <w:color w:val="000000"/>
                <w:sz w:val="23"/>
                <w:szCs w:val="24"/>
                <w:lang w:eastAsia="tr-TR"/>
              </w:rPr>
              <w:t>İçerik geçerliliği çalışmasının yapılması</w:t>
            </w:r>
          </w:p>
          <w:p w14:paraId="389E6311">
            <w:pPr>
              <w:numPr>
                <w:ilvl w:val="0"/>
                <w:numId w:val="13"/>
              </w:numPr>
              <w:pBdr>
                <w:top w:val="single" w:color="000000" w:themeColor="text1" w:sz="2" w:space="0"/>
              </w:pBdr>
              <w:spacing w:line="360" w:lineRule="auto"/>
              <w:ind w:left="414" w:hanging="357"/>
              <w:contextualSpacing/>
              <w:rPr>
                <w:color w:val="000000"/>
                <w:sz w:val="23"/>
                <w:szCs w:val="24"/>
                <w:lang w:eastAsia="tr-TR"/>
              </w:rPr>
            </w:pPr>
            <w:r>
              <w:rPr>
                <w:color w:val="000000"/>
                <w:sz w:val="23"/>
                <w:szCs w:val="24"/>
                <w:lang w:eastAsia="tr-TR"/>
              </w:rPr>
              <w:t>Görünüm geçerliliği ve redaksiyon tespitinin yapılması</w:t>
            </w:r>
          </w:p>
          <w:p w14:paraId="1950C436">
            <w:pPr>
              <w:numPr>
                <w:ilvl w:val="0"/>
                <w:numId w:val="13"/>
              </w:numPr>
              <w:pBdr>
                <w:top w:val="single" w:color="000000" w:themeColor="text1" w:sz="2" w:space="0"/>
              </w:pBdr>
              <w:spacing w:line="360" w:lineRule="auto"/>
              <w:ind w:left="414" w:hanging="357"/>
              <w:contextualSpacing/>
              <w:rPr>
                <w:color w:val="000000"/>
                <w:sz w:val="23"/>
                <w:szCs w:val="24"/>
                <w:lang w:eastAsia="tr-TR"/>
              </w:rPr>
            </w:pPr>
            <w:r>
              <w:rPr>
                <w:color w:val="000000"/>
                <w:sz w:val="23"/>
                <w:szCs w:val="24"/>
                <w:lang w:eastAsia="tr-TR"/>
              </w:rPr>
              <w:t>İçeriğe uygun olmayan maddelerin elenmesinin</w:t>
            </w:r>
          </w:p>
        </w:tc>
        <w:tc>
          <w:tcPr>
            <w:tcW w:w="3641" w:type="dxa"/>
          </w:tcPr>
          <w:p w14:paraId="0B9806E9">
            <w:pPr>
              <w:numPr>
                <w:ilvl w:val="0"/>
                <w:numId w:val="14"/>
              </w:numPr>
              <w:pBdr>
                <w:top w:val="single" w:color="000000" w:themeColor="text1" w:sz="2" w:space="0"/>
              </w:pBdr>
              <w:spacing w:line="360" w:lineRule="auto"/>
              <w:ind w:left="414" w:hanging="357"/>
              <w:contextualSpacing/>
              <w:rPr>
                <w:color w:val="000000"/>
                <w:sz w:val="23"/>
                <w:szCs w:val="24"/>
                <w:lang w:eastAsia="tr-TR"/>
              </w:rPr>
            </w:pPr>
            <w:r>
              <w:rPr>
                <w:color w:val="000000"/>
                <w:sz w:val="23"/>
                <w:szCs w:val="24"/>
                <w:lang w:eastAsia="tr-TR"/>
              </w:rPr>
              <w:t>İç tutarlılık hesaplanması</w:t>
            </w:r>
          </w:p>
          <w:p w14:paraId="408BD2BF">
            <w:pPr>
              <w:numPr>
                <w:ilvl w:val="0"/>
                <w:numId w:val="14"/>
              </w:numPr>
              <w:pBdr>
                <w:top w:val="single" w:color="000000" w:themeColor="text1" w:sz="2" w:space="0"/>
              </w:pBdr>
              <w:spacing w:line="360" w:lineRule="auto"/>
              <w:ind w:left="414" w:hanging="357"/>
              <w:contextualSpacing/>
              <w:rPr>
                <w:color w:val="000000"/>
                <w:sz w:val="23"/>
                <w:szCs w:val="24"/>
                <w:lang w:eastAsia="tr-TR"/>
              </w:rPr>
            </w:pPr>
            <w:r>
              <w:rPr>
                <w:color w:val="000000"/>
                <w:sz w:val="23"/>
                <w:szCs w:val="24"/>
                <w:lang w:eastAsia="tr-TR"/>
              </w:rPr>
              <w:t>Madde analizi(ilk test 52)</w:t>
            </w:r>
          </w:p>
          <w:p w14:paraId="6A434566">
            <w:pPr>
              <w:numPr>
                <w:ilvl w:val="0"/>
                <w:numId w:val="14"/>
              </w:numPr>
              <w:pBdr>
                <w:top w:val="single" w:color="000000" w:themeColor="text1" w:sz="2" w:space="0"/>
              </w:pBdr>
              <w:spacing w:line="360" w:lineRule="auto"/>
              <w:ind w:left="414" w:hanging="357"/>
              <w:contextualSpacing/>
              <w:rPr>
                <w:color w:val="000000"/>
                <w:sz w:val="23"/>
                <w:szCs w:val="24"/>
                <w:lang w:eastAsia="tr-TR"/>
              </w:rPr>
            </w:pPr>
            <w:r>
              <w:rPr>
                <w:color w:val="000000"/>
                <w:sz w:val="23"/>
                <w:szCs w:val="24"/>
                <w:lang w:eastAsia="tr-TR"/>
              </w:rPr>
              <w:t>Madde analizi(son test 52)</w:t>
            </w:r>
          </w:p>
          <w:p w14:paraId="7D8AEFE8">
            <w:pPr>
              <w:numPr>
                <w:ilvl w:val="0"/>
                <w:numId w:val="14"/>
              </w:numPr>
              <w:pBdr>
                <w:top w:val="single" w:color="000000" w:themeColor="text1" w:sz="2" w:space="0"/>
              </w:pBdr>
              <w:spacing w:line="360" w:lineRule="auto"/>
              <w:ind w:left="414" w:hanging="357"/>
              <w:contextualSpacing/>
              <w:rPr>
                <w:color w:val="000000"/>
                <w:sz w:val="23"/>
                <w:szCs w:val="24"/>
                <w:lang w:eastAsia="tr-TR"/>
              </w:rPr>
            </w:pPr>
            <w:r>
              <w:rPr>
                <w:color w:val="000000"/>
                <w:sz w:val="23"/>
                <w:szCs w:val="24"/>
                <w:lang w:eastAsia="tr-TR"/>
              </w:rPr>
              <w:t>Güveniriliğin ölçülmesi( 0.977)</w:t>
            </w:r>
          </w:p>
          <w:p w14:paraId="713626E8">
            <w:pPr>
              <w:numPr>
                <w:ilvl w:val="0"/>
                <w:numId w:val="14"/>
              </w:numPr>
              <w:pBdr>
                <w:top w:val="single" w:color="000000" w:themeColor="text1" w:sz="2" w:space="0"/>
              </w:pBdr>
              <w:spacing w:line="360" w:lineRule="auto"/>
              <w:ind w:left="414" w:hanging="357"/>
              <w:contextualSpacing/>
              <w:rPr>
                <w:color w:val="000000"/>
                <w:sz w:val="23"/>
                <w:szCs w:val="24"/>
                <w:lang w:eastAsia="tr-TR"/>
              </w:rPr>
            </w:pPr>
            <w:r>
              <w:rPr>
                <w:color w:val="000000"/>
                <w:sz w:val="23"/>
                <w:szCs w:val="24"/>
                <w:lang w:eastAsia="tr-TR"/>
              </w:rPr>
              <w:t>DFA analizinin yapılması</w:t>
            </w:r>
          </w:p>
          <w:p w14:paraId="0922362C">
            <w:pPr>
              <w:numPr>
                <w:ilvl w:val="0"/>
                <w:numId w:val="14"/>
              </w:numPr>
              <w:pBdr>
                <w:top w:val="single" w:color="000000" w:themeColor="text1" w:sz="2" w:space="0"/>
              </w:pBdr>
              <w:spacing w:line="360" w:lineRule="auto"/>
              <w:ind w:left="414" w:hanging="357"/>
              <w:contextualSpacing/>
              <w:rPr>
                <w:color w:val="000000"/>
                <w:sz w:val="23"/>
                <w:szCs w:val="24"/>
                <w:lang w:eastAsia="tr-TR"/>
              </w:rPr>
            </w:pPr>
            <w:r>
              <w:rPr>
                <w:sz w:val="20"/>
                <w:szCs w:val="20"/>
                <w:lang w:eastAsia="tr-TR"/>
              </w:rPr>
              <w:t>Açımlayıcı</w:t>
            </w:r>
            <w:r>
              <w:rPr>
                <w:spacing w:val="-3"/>
                <w:sz w:val="20"/>
                <w:szCs w:val="20"/>
                <w:lang w:eastAsia="tr-TR"/>
              </w:rPr>
              <w:t xml:space="preserve"> </w:t>
            </w:r>
            <w:r>
              <w:rPr>
                <w:sz w:val="20"/>
                <w:szCs w:val="20"/>
                <w:lang w:eastAsia="tr-TR"/>
              </w:rPr>
              <w:t>faktör</w:t>
            </w:r>
            <w:r>
              <w:rPr>
                <w:spacing w:val="-3"/>
                <w:sz w:val="20"/>
                <w:szCs w:val="20"/>
                <w:lang w:eastAsia="tr-TR"/>
              </w:rPr>
              <w:t xml:space="preserve"> </w:t>
            </w:r>
            <w:r>
              <w:rPr>
                <w:sz w:val="20"/>
                <w:szCs w:val="20"/>
                <w:lang w:eastAsia="tr-TR"/>
              </w:rPr>
              <w:t>analizi</w:t>
            </w:r>
            <w:r>
              <w:rPr>
                <w:spacing w:val="-2"/>
                <w:sz w:val="20"/>
                <w:szCs w:val="20"/>
                <w:lang w:eastAsia="tr-TR"/>
              </w:rPr>
              <w:t xml:space="preserve"> (AFA)</w:t>
            </w:r>
          </w:p>
          <w:p w14:paraId="7C5CD49C">
            <w:pPr>
              <w:numPr>
                <w:ilvl w:val="0"/>
                <w:numId w:val="14"/>
              </w:numPr>
              <w:pBdr>
                <w:top w:val="single" w:color="000000" w:themeColor="text1" w:sz="2" w:space="0"/>
              </w:pBdr>
              <w:spacing w:line="360" w:lineRule="auto"/>
              <w:ind w:left="414" w:hanging="357"/>
              <w:contextualSpacing/>
              <w:rPr>
                <w:color w:val="000000"/>
                <w:sz w:val="23"/>
                <w:szCs w:val="24"/>
                <w:lang w:eastAsia="tr-TR"/>
              </w:rPr>
            </w:pPr>
            <w:r>
              <w:rPr>
                <w:color w:val="000000"/>
                <w:sz w:val="23"/>
                <w:szCs w:val="24"/>
                <w:lang w:eastAsia="tr-TR"/>
              </w:rPr>
              <w:t>-Kaiser-Meyer-Olkin (KMO) Testi(0,918)</w:t>
            </w:r>
          </w:p>
          <w:p w14:paraId="636EF5B3">
            <w:pPr>
              <w:numPr>
                <w:ilvl w:val="0"/>
                <w:numId w:val="14"/>
              </w:numPr>
              <w:pBdr>
                <w:top w:val="single" w:color="000000" w:themeColor="text1" w:sz="2" w:space="0"/>
              </w:pBdr>
              <w:spacing w:line="360" w:lineRule="auto"/>
              <w:ind w:left="414" w:hanging="357"/>
              <w:contextualSpacing/>
              <w:rPr>
                <w:spacing w:val="-2"/>
                <w:sz w:val="24"/>
                <w:szCs w:val="20"/>
                <w:lang w:eastAsia="tr-TR"/>
              </w:rPr>
            </w:pPr>
            <w:r>
              <w:rPr>
                <w:color w:val="000000"/>
                <w:sz w:val="23"/>
                <w:szCs w:val="24"/>
                <w:lang w:eastAsia="tr-TR"/>
              </w:rPr>
              <w:t xml:space="preserve">-Barlett Küresellik Testi </w:t>
            </w:r>
            <w:r>
              <w:rPr>
                <w:sz w:val="24"/>
                <w:szCs w:val="20"/>
                <w:lang w:eastAsia="tr-TR"/>
              </w:rPr>
              <w:t>(p &lt;</w:t>
            </w:r>
            <w:r>
              <w:rPr>
                <w:spacing w:val="40"/>
                <w:sz w:val="24"/>
                <w:szCs w:val="20"/>
                <w:lang w:eastAsia="tr-TR"/>
              </w:rPr>
              <w:t xml:space="preserve"> </w:t>
            </w:r>
            <w:r>
              <w:rPr>
                <w:spacing w:val="-2"/>
                <w:sz w:val="24"/>
                <w:szCs w:val="20"/>
                <w:lang w:eastAsia="tr-TR"/>
              </w:rPr>
              <w:t>0.05)</w:t>
            </w:r>
          </w:p>
        </w:tc>
      </w:tr>
    </w:tbl>
    <w:p w14:paraId="382528AE">
      <w:pPr>
        <w:pStyle w:val="9"/>
        <w:spacing w:line="360" w:lineRule="auto"/>
        <w:ind w:left="0"/>
        <w:jc w:val="left"/>
        <w:rPr>
          <w:b/>
        </w:rPr>
      </w:pPr>
      <w:r>
        <w:rPr>
          <w:b/>
        </w:rPr>
        <w:t>Tablo 3.2.</w:t>
      </w:r>
      <w:r>
        <w:t>Ölçek Geliştirme Örneği.</w:t>
      </w:r>
    </w:p>
    <w:p w14:paraId="0642F76D">
      <w:pPr>
        <w:pStyle w:val="9"/>
        <w:spacing w:before="132" w:line="360" w:lineRule="auto"/>
        <w:ind w:right="113"/>
      </w:pPr>
      <w:r>
        <w:rPr>
          <w:b/>
        </w:rPr>
        <w:t>Kaynak:(</w:t>
      </w:r>
      <w:r>
        <w:t>DeVellis ve Thorpe, 2021:27).</w:t>
      </w:r>
    </w:p>
    <w:p w14:paraId="57D450C0">
      <w:pPr>
        <w:pStyle w:val="5"/>
        <w:spacing w:before="240" w:after="240" w:line="360" w:lineRule="auto"/>
        <w:ind w:left="567"/>
        <w:rPr>
          <w:rFonts w:ascii="Times New Roman" w:hAnsi="Times New Roman" w:cs="Times New Roman"/>
          <w:b/>
          <w:i w:val="0"/>
          <w:color w:val="auto"/>
          <w:sz w:val="24"/>
        </w:rPr>
      </w:pPr>
      <w:bookmarkStart w:id="193" w:name="_Toc195875840"/>
      <w:bookmarkStart w:id="194" w:name="_Toc197351271"/>
      <w:bookmarkStart w:id="195" w:name="_Toc195877818"/>
      <w:r>
        <w:rPr>
          <w:rFonts w:ascii="Times New Roman" w:hAnsi="Times New Roman" w:cs="Times New Roman"/>
          <w:b/>
          <w:i w:val="0"/>
          <w:color w:val="auto"/>
          <w:sz w:val="24"/>
        </w:rPr>
        <w:t>3.6.1.2. Kapsam Geçerliği</w:t>
      </w:r>
      <w:bookmarkEnd w:id="193"/>
      <w:bookmarkEnd w:id="194"/>
      <w:bookmarkEnd w:id="195"/>
    </w:p>
    <w:p w14:paraId="32AB51BF">
      <w:pPr>
        <w:pStyle w:val="9"/>
        <w:spacing w:before="120" w:after="120" w:line="360" w:lineRule="auto"/>
        <w:ind w:left="0" w:firstLine="567"/>
      </w:pPr>
      <w:r>
        <w:t>Ölçeğin kapsam geçerliğinin sağlanması amacıyla, uzman görüşlerine başvurulması büyük önem taşımaktadır. Bu doğrultuda, ölçeğin geliştirilmesinin ilk aşamasında kapsamlı bir madde havuzu oluşturulmuştur. Bu havuz, ölçeğin hedeflediği kavram ve özellikleri yansıtacak biçimde tasarlanmış maddeleri içermektedir. Rekreasyon, bilgi ve iletişim teknolojileri ve ölçme-değerlendirme alanlarında uzmanlaşmış akademisyenlerin görüşleri, bu</w:t>
      </w:r>
      <w:r>
        <w:rPr>
          <w:spacing w:val="-13"/>
        </w:rPr>
        <w:t xml:space="preserve"> </w:t>
      </w:r>
      <w:r>
        <w:t>sürecin</w:t>
      </w:r>
      <w:r>
        <w:rPr>
          <w:spacing w:val="-12"/>
        </w:rPr>
        <w:t xml:space="preserve"> </w:t>
      </w:r>
      <w:r>
        <w:t>temelini</w:t>
      </w:r>
      <w:r>
        <w:rPr>
          <w:spacing w:val="-13"/>
        </w:rPr>
        <w:t xml:space="preserve"> </w:t>
      </w:r>
      <w:r>
        <w:t>oluşturmuş</w:t>
      </w:r>
      <w:r>
        <w:rPr>
          <w:spacing w:val="-13"/>
        </w:rPr>
        <w:t xml:space="preserve"> </w:t>
      </w:r>
      <w:r>
        <w:t>ve</w:t>
      </w:r>
      <w:r>
        <w:rPr>
          <w:spacing w:val="-14"/>
        </w:rPr>
        <w:t xml:space="preserve"> </w:t>
      </w:r>
      <w:r>
        <w:t>maddelerin</w:t>
      </w:r>
      <w:r>
        <w:rPr>
          <w:spacing w:val="-13"/>
        </w:rPr>
        <w:t xml:space="preserve"> </w:t>
      </w:r>
      <w:r>
        <w:t>içerik,</w:t>
      </w:r>
      <w:r>
        <w:rPr>
          <w:spacing w:val="-13"/>
        </w:rPr>
        <w:t xml:space="preserve"> </w:t>
      </w:r>
      <w:r>
        <w:t>dilbilgisi</w:t>
      </w:r>
      <w:r>
        <w:rPr>
          <w:spacing w:val="-12"/>
        </w:rPr>
        <w:t xml:space="preserve"> </w:t>
      </w:r>
      <w:r>
        <w:t>ve</w:t>
      </w:r>
      <w:r>
        <w:rPr>
          <w:spacing w:val="-14"/>
        </w:rPr>
        <w:t xml:space="preserve"> </w:t>
      </w:r>
      <w:r>
        <w:t>anlam</w:t>
      </w:r>
      <w:r>
        <w:rPr>
          <w:spacing w:val="-13"/>
        </w:rPr>
        <w:t xml:space="preserve"> </w:t>
      </w:r>
      <w:r>
        <w:t>bütünlüğü</w:t>
      </w:r>
      <w:r>
        <w:rPr>
          <w:spacing w:val="-11"/>
        </w:rPr>
        <w:t xml:space="preserve"> </w:t>
      </w:r>
      <w:r>
        <w:rPr>
          <w:spacing w:val="-2"/>
        </w:rPr>
        <w:t>açısından</w:t>
      </w:r>
      <w:r>
        <w:t xml:space="preserve"> incelenmesine katkıda bulunmuştur. Bu süreç, ölçeğin geçerliği ve güvenirliği açısından hayati öneme sahiptir ve ölçeğin hedeflenen kavramları doğru bir şekilde ölçebilmesini sağlamak için kritik bir adımı temsil etmektedir. Bu süreçte dikkat edilen kriterler aşağıda yer almaktadır.</w:t>
      </w:r>
    </w:p>
    <w:p w14:paraId="512C2D0B">
      <w:pPr>
        <w:spacing w:before="120" w:after="120" w:line="360" w:lineRule="auto"/>
        <w:ind w:firstLine="567"/>
        <w:jc w:val="both"/>
        <w:rPr>
          <w:sz w:val="24"/>
        </w:rPr>
      </w:pPr>
      <w:r>
        <w:rPr>
          <w:b/>
          <w:sz w:val="24"/>
        </w:rPr>
        <w:t xml:space="preserve">Yönlendirici Olmamak: </w:t>
      </w:r>
      <w:r>
        <w:rPr>
          <w:sz w:val="24"/>
        </w:rPr>
        <w:t xml:space="preserve">Maddelerin tarafsız olması ve katılımcıları belirli bir yanıta </w:t>
      </w:r>
      <w:r>
        <w:rPr>
          <w:spacing w:val="-2"/>
          <w:sz w:val="24"/>
        </w:rPr>
        <w:t>yönlendirmemesi.</w:t>
      </w:r>
    </w:p>
    <w:p w14:paraId="58069B3B">
      <w:pPr>
        <w:spacing w:before="120" w:after="120" w:line="360" w:lineRule="auto"/>
        <w:ind w:firstLine="567"/>
        <w:jc w:val="both"/>
        <w:rPr>
          <w:sz w:val="24"/>
        </w:rPr>
      </w:pPr>
      <w:r>
        <w:rPr>
          <w:b/>
          <w:sz w:val="24"/>
        </w:rPr>
        <w:t>Uygun</w:t>
      </w:r>
      <w:r>
        <w:rPr>
          <w:b/>
          <w:spacing w:val="-15"/>
          <w:sz w:val="24"/>
        </w:rPr>
        <w:t xml:space="preserve"> </w:t>
      </w:r>
      <w:r>
        <w:rPr>
          <w:b/>
          <w:sz w:val="24"/>
        </w:rPr>
        <w:t>Zorluk</w:t>
      </w:r>
      <w:r>
        <w:rPr>
          <w:b/>
          <w:spacing w:val="-15"/>
          <w:sz w:val="24"/>
        </w:rPr>
        <w:t xml:space="preserve"> </w:t>
      </w:r>
      <w:r>
        <w:rPr>
          <w:b/>
          <w:sz w:val="24"/>
        </w:rPr>
        <w:t>Seviyesi:</w:t>
      </w:r>
      <w:r>
        <w:rPr>
          <w:b/>
          <w:spacing w:val="-13"/>
          <w:sz w:val="24"/>
        </w:rPr>
        <w:t xml:space="preserve"> </w:t>
      </w:r>
      <w:r>
        <w:rPr>
          <w:sz w:val="24"/>
        </w:rPr>
        <w:t>Maddelerin</w:t>
      </w:r>
      <w:r>
        <w:rPr>
          <w:spacing w:val="-14"/>
          <w:sz w:val="24"/>
        </w:rPr>
        <w:t xml:space="preserve"> </w:t>
      </w:r>
      <w:r>
        <w:rPr>
          <w:sz w:val="24"/>
        </w:rPr>
        <w:t>ne</w:t>
      </w:r>
      <w:r>
        <w:rPr>
          <w:spacing w:val="-15"/>
          <w:sz w:val="24"/>
        </w:rPr>
        <w:t xml:space="preserve"> </w:t>
      </w:r>
      <w:r>
        <w:rPr>
          <w:sz w:val="24"/>
        </w:rPr>
        <w:t>çok</w:t>
      </w:r>
      <w:r>
        <w:rPr>
          <w:spacing w:val="-13"/>
          <w:sz w:val="24"/>
        </w:rPr>
        <w:t xml:space="preserve"> </w:t>
      </w:r>
      <w:r>
        <w:rPr>
          <w:sz w:val="24"/>
        </w:rPr>
        <w:t>zor</w:t>
      </w:r>
      <w:r>
        <w:rPr>
          <w:spacing w:val="-15"/>
          <w:sz w:val="24"/>
        </w:rPr>
        <w:t xml:space="preserve"> </w:t>
      </w:r>
      <w:r>
        <w:rPr>
          <w:sz w:val="24"/>
        </w:rPr>
        <w:t>ne</w:t>
      </w:r>
      <w:r>
        <w:rPr>
          <w:spacing w:val="-14"/>
          <w:sz w:val="24"/>
        </w:rPr>
        <w:t xml:space="preserve"> </w:t>
      </w:r>
      <w:r>
        <w:rPr>
          <w:sz w:val="24"/>
        </w:rPr>
        <w:t>de</w:t>
      </w:r>
      <w:r>
        <w:rPr>
          <w:spacing w:val="-15"/>
          <w:sz w:val="24"/>
        </w:rPr>
        <w:t xml:space="preserve"> </w:t>
      </w:r>
      <w:r>
        <w:rPr>
          <w:sz w:val="24"/>
        </w:rPr>
        <w:t>çok</w:t>
      </w:r>
      <w:r>
        <w:rPr>
          <w:spacing w:val="-13"/>
          <w:sz w:val="24"/>
        </w:rPr>
        <w:t xml:space="preserve"> </w:t>
      </w:r>
      <w:r>
        <w:rPr>
          <w:sz w:val="24"/>
        </w:rPr>
        <w:t>kolay</w:t>
      </w:r>
      <w:r>
        <w:rPr>
          <w:spacing w:val="-15"/>
          <w:sz w:val="24"/>
        </w:rPr>
        <w:t xml:space="preserve"> </w:t>
      </w:r>
      <w:r>
        <w:rPr>
          <w:sz w:val="24"/>
        </w:rPr>
        <w:t>olması,</w:t>
      </w:r>
      <w:r>
        <w:rPr>
          <w:spacing w:val="-15"/>
          <w:sz w:val="24"/>
        </w:rPr>
        <w:t xml:space="preserve"> </w:t>
      </w:r>
      <w:r>
        <w:rPr>
          <w:sz w:val="24"/>
        </w:rPr>
        <w:t>hedef</w:t>
      </w:r>
      <w:r>
        <w:rPr>
          <w:spacing w:val="-15"/>
          <w:sz w:val="24"/>
        </w:rPr>
        <w:t xml:space="preserve"> </w:t>
      </w:r>
      <w:r>
        <w:rPr>
          <w:sz w:val="24"/>
        </w:rPr>
        <w:t>kitleye</w:t>
      </w:r>
      <w:r>
        <w:rPr>
          <w:spacing w:val="-14"/>
          <w:sz w:val="24"/>
        </w:rPr>
        <w:t xml:space="preserve"> </w:t>
      </w:r>
      <w:r>
        <w:rPr>
          <w:sz w:val="24"/>
        </w:rPr>
        <w:t>uygun seviyede bulunması.</w:t>
      </w:r>
    </w:p>
    <w:p w14:paraId="4AFC555A">
      <w:pPr>
        <w:spacing w:before="120" w:after="120" w:line="360" w:lineRule="auto"/>
        <w:ind w:firstLine="567"/>
        <w:jc w:val="both"/>
        <w:rPr>
          <w:sz w:val="24"/>
        </w:rPr>
      </w:pPr>
      <w:r>
        <w:rPr>
          <w:b/>
          <w:sz w:val="24"/>
        </w:rPr>
        <w:t>Dilbilgisi</w:t>
      </w:r>
      <w:r>
        <w:rPr>
          <w:b/>
          <w:spacing w:val="-5"/>
          <w:sz w:val="24"/>
        </w:rPr>
        <w:t xml:space="preserve"> </w:t>
      </w:r>
      <w:r>
        <w:rPr>
          <w:b/>
          <w:sz w:val="24"/>
        </w:rPr>
        <w:t>ve</w:t>
      </w:r>
      <w:r>
        <w:rPr>
          <w:b/>
          <w:spacing w:val="-5"/>
          <w:sz w:val="24"/>
        </w:rPr>
        <w:t xml:space="preserve"> </w:t>
      </w:r>
      <w:r>
        <w:rPr>
          <w:b/>
          <w:sz w:val="24"/>
        </w:rPr>
        <w:t>Anlam</w:t>
      </w:r>
      <w:r>
        <w:rPr>
          <w:b/>
          <w:spacing w:val="-7"/>
          <w:sz w:val="24"/>
        </w:rPr>
        <w:t xml:space="preserve"> </w:t>
      </w:r>
      <w:r>
        <w:rPr>
          <w:b/>
          <w:sz w:val="24"/>
        </w:rPr>
        <w:t>Bütünlüğü:</w:t>
      </w:r>
      <w:r>
        <w:rPr>
          <w:b/>
          <w:spacing w:val="-3"/>
          <w:sz w:val="24"/>
        </w:rPr>
        <w:t xml:space="preserve"> </w:t>
      </w:r>
      <w:r>
        <w:rPr>
          <w:sz w:val="24"/>
        </w:rPr>
        <w:t>Cümle</w:t>
      </w:r>
      <w:r>
        <w:rPr>
          <w:spacing w:val="-4"/>
          <w:sz w:val="24"/>
        </w:rPr>
        <w:t xml:space="preserve"> </w:t>
      </w:r>
      <w:r>
        <w:rPr>
          <w:sz w:val="24"/>
        </w:rPr>
        <w:t>yapısında</w:t>
      </w:r>
      <w:r>
        <w:rPr>
          <w:spacing w:val="-6"/>
          <w:sz w:val="24"/>
        </w:rPr>
        <w:t xml:space="preserve"> </w:t>
      </w:r>
      <w:r>
        <w:rPr>
          <w:sz w:val="24"/>
        </w:rPr>
        <w:t>dilbilgisi</w:t>
      </w:r>
      <w:r>
        <w:rPr>
          <w:spacing w:val="-4"/>
          <w:sz w:val="24"/>
        </w:rPr>
        <w:t xml:space="preserve"> </w:t>
      </w:r>
      <w:r>
        <w:rPr>
          <w:sz w:val="24"/>
        </w:rPr>
        <w:t>kurallarına</w:t>
      </w:r>
      <w:r>
        <w:rPr>
          <w:spacing w:val="-6"/>
          <w:sz w:val="24"/>
        </w:rPr>
        <w:t xml:space="preserve"> </w:t>
      </w:r>
      <w:r>
        <w:rPr>
          <w:sz w:val="24"/>
        </w:rPr>
        <w:t>uygunluk</w:t>
      </w:r>
      <w:r>
        <w:rPr>
          <w:spacing w:val="-5"/>
          <w:sz w:val="24"/>
        </w:rPr>
        <w:t xml:space="preserve"> </w:t>
      </w:r>
      <w:r>
        <w:rPr>
          <w:sz w:val="24"/>
        </w:rPr>
        <w:t>ve</w:t>
      </w:r>
      <w:r>
        <w:rPr>
          <w:spacing w:val="-5"/>
          <w:sz w:val="24"/>
        </w:rPr>
        <w:t xml:space="preserve"> </w:t>
      </w:r>
      <w:r>
        <w:rPr>
          <w:sz w:val="24"/>
        </w:rPr>
        <w:t>anlam açısından bütünlük.</w:t>
      </w:r>
    </w:p>
    <w:p w14:paraId="1CA393E2">
      <w:pPr>
        <w:spacing w:before="120" w:after="120" w:line="360" w:lineRule="auto"/>
        <w:ind w:firstLine="567"/>
        <w:jc w:val="both"/>
        <w:rPr>
          <w:sz w:val="24"/>
        </w:rPr>
      </w:pPr>
      <w:r>
        <w:rPr>
          <w:b/>
          <w:sz w:val="24"/>
        </w:rPr>
        <w:t>Ölçme</w:t>
      </w:r>
      <w:r>
        <w:rPr>
          <w:b/>
          <w:spacing w:val="-5"/>
          <w:sz w:val="24"/>
        </w:rPr>
        <w:t xml:space="preserve"> </w:t>
      </w:r>
      <w:r>
        <w:rPr>
          <w:b/>
          <w:sz w:val="24"/>
        </w:rPr>
        <w:t>Özellikleri:</w:t>
      </w:r>
      <w:r>
        <w:rPr>
          <w:b/>
          <w:spacing w:val="-1"/>
          <w:sz w:val="24"/>
        </w:rPr>
        <w:t xml:space="preserve"> </w:t>
      </w:r>
      <w:r>
        <w:rPr>
          <w:sz w:val="24"/>
        </w:rPr>
        <w:t>Her madde,</w:t>
      </w:r>
      <w:r>
        <w:rPr>
          <w:spacing w:val="-1"/>
          <w:sz w:val="24"/>
        </w:rPr>
        <w:t xml:space="preserve"> </w:t>
      </w:r>
      <w:r>
        <w:rPr>
          <w:sz w:val="24"/>
        </w:rPr>
        <w:t>istenen</w:t>
      </w:r>
      <w:r>
        <w:rPr>
          <w:spacing w:val="-1"/>
          <w:sz w:val="24"/>
        </w:rPr>
        <w:t xml:space="preserve"> </w:t>
      </w:r>
      <w:r>
        <w:rPr>
          <w:sz w:val="24"/>
        </w:rPr>
        <w:t>özelliği</w:t>
      </w:r>
      <w:r>
        <w:rPr>
          <w:spacing w:val="-1"/>
          <w:sz w:val="24"/>
        </w:rPr>
        <w:t xml:space="preserve"> </w:t>
      </w:r>
      <w:r>
        <w:rPr>
          <w:sz w:val="24"/>
        </w:rPr>
        <w:t>doğru</w:t>
      </w:r>
      <w:r>
        <w:rPr>
          <w:spacing w:val="-1"/>
          <w:sz w:val="24"/>
        </w:rPr>
        <w:t xml:space="preserve"> </w:t>
      </w:r>
      <w:r>
        <w:rPr>
          <w:sz w:val="24"/>
        </w:rPr>
        <w:t>bir</w:t>
      </w:r>
      <w:r>
        <w:rPr>
          <w:spacing w:val="-2"/>
          <w:sz w:val="24"/>
        </w:rPr>
        <w:t xml:space="preserve"> </w:t>
      </w:r>
      <w:r>
        <w:rPr>
          <w:sz w:val="24"/>
        </w:rPr>
        <w:t>şekilde</w:t>
      </w:r>
      <w:r>
        <w:rPr>
          <w:spacing w:val="-2"/>
          <w:sz w:val="24"/>
        </w:rPr>
        <w:t xml:space="preserve"> ölçebilmeli.</w:t>
      </w:r>
    </w:p>
    <w:p w14:paraId="43B860C0">
      <w:pPr>
        <w:spacing w:before="120" w:after="120" w:line="360" w:lineRule="auto"/>
        <w:ind w:firstLine="567"/>
        <w:jc w:val="both"/>
        <w:rPr>
          <w:sz w:val="24"/>
        </w:rPr>
      </w:pPr>
      <w:r>
        <w:rPr>
          <w:b/>
          <w:sz w:val="24"/>
        </w:rPr>
        <w:t xml:space="preserve">Tek Değişken Ölçümü: </w:t>
      </w:r>
      <w:r>
        <w:rPr>
          <w:sz w:val="24"/>
        </w:rPr>
        <w:t xml:space="preserve">Maddelerin sadece bir değişkeni ölçmesi ve birden fazla konuyu </w:t>
      </w:r>
      <w:r>
        <w:rPr>
          <w:spacing w:val="-2"/>
          <w:sz w:val="24"/>
        </w:rPr>
        <w:t>içermemesi.</w:t>
      </w:r>
    </w:p>
    <w:p w14:paraId="39697A40">
      <w:pPr>
        <w:pStyle w:val="9"/>
        <w:spacing w:before="120" w:after="120" w:line="360" w:lineRule="auto"/>
        <w:ind w:left="0" w:firstLine="567"/>
      </w:pPr>
      <w:r>
        <w:t>Bu süreçte belirlenen kriterler, ölçeğin kapsam geçerliği ve uygulanabilirliğinin sağlanmasında hayati bir rol oynamaktadır. Ölçeğin geliştirilmesi sürecinde yapılan bu detaylı</w:t>
      </w:r>
      <w:r>
        <w:rPr>
          <w:spacing w:val="-6"/>
        </w:rPr>
        <w:t xml:space="preserve"> </w:t>
      </w:r>
      <w:r>
        <w:t>değerlendirme</w:t>
      </w:r>
      <w:r>
        <w:rPr>
          <w:spacing w:val="-8"/>
        </w:rPr>
        <w:t xml:space="preserve"> </w:t>
      </w:r>
      <w:r>
        <w:t>ve</w:t>
      </w:r>
      <w:r>
        <w:rPr>
          <w:spacing w:val="-5"/>
        </w:rPr>
        <w:t xml:space="preserve"> </w:t>
      </w:r>
      <w:r>
        <w:t>düzenleme,</w:t>
      </w:r>
      <w:r>
        <w:rPr>
          <w:spacing w:val="-7"/>
        </w:rPr>
        <w:t xml:space="preserve"> </w:t>
      </w:r>
      <w:r>
        <w:t>ölçeğin</w:t>
      </w:r>
      <w:r>
        <w:rPr>
          <w:spacing w:val="-4"/>
        </w:rPr>
        <w:t xml:space="preserve"> </w:t>
      </w:r>
      <w:r>
        <w:t>güvenilirliğini</w:t>
      </w:r>
      <w:r>
        <w:rPr>
          <w:spacing w:val="-6"/>
        </w:rPr>
        <w:t xml:space="preserve"> </w:t>
      </w:r>
      <w:r>
        <w:t>ve</w:t>
      </w:r>
      <w:r>
        <w:rPr>
          <w:spacing w:val="-8"/>
        </w:rPr>
        <w:t xml:space="preserve"> </w:t>
      </w:r>
      <w:r>
        <w:t>hedeflenen</w:t>
      </w:r>
      <w:r>
        <w:rPr>
          <w:spacing w:val="-4"/>
        </w:rPr>
        <w:t xml:space="preserve"> </w:t>
      </w:r>
      <w:r>
        <w:t>özellikleri</w:t>
      </w:r>
      <w:r>
        <w:rPr>
          <w:spacing w:val="-7"/>
        </w:rPr>
        <w:t xml:space="preserve"> </w:t>
      </w:r>
      <w:r>
        <w:t>doğru bir şekilde ölçebilme kapasitesini önemli ölçüde artırmıştır. Bu kapsamlı inceleme ve düzenleme</w:t>
      </w:r>
      <w:r>
        <w:rPr>
          <w:spacing w:val="-13"/>
        </w:rPr>
        <w:t xml:space="preserve"> </w:t>
      </w:r>
      <w:r>
        <w:t>sürecinin</w:t>
      </w:r>
      <w:r>
        <w:rPr>
          <w:spacing w:val="-11"/>
        </w:rPr>
        <w:t xml:space="preserve"> </w:t>
      </w:r>
      <w:r>
        <w:t>tamamlanmasının</w:t>
      </w:r>
      <w:r>
        <w:rPr>
          <w:spacing w:val="-12"/>
        </w:rPr>
        <w:t xml:space="preserve"> </w:t>
      </w:r>
      <w:r>
        <w:t>ardından,</w:t>
      </w:r>
      <w:r>
        <w:rPr>
          <w:spacing w:val="-8"/>
        </w:rPr>
        <w:t xml:space="preserve"> </w:t>
      </w:r>
      <w:r>
        <w:t>ölçek</w:t>
      </w:r>
      <w:r>
        <w:rPr>
          <w:spacing w:val="-12"/>
        </w:rPr>
        <w:t xml:space="preserve"> </w:t>
      </w:r>
      <w:r>
        <w:t>nihai</w:t>
      </w:r>
      <w:r>
        <w:rPr>
          <w:spacing w:val="-10"/>
        </w:rPr>
        <w:t xml:space="preserve"> </w:t>
      </w:r>
      <w:r>
        <w:t>formunu</w:t>
      </w:r>
      <w:r>
        <w:rPr>
          <w:spacing w:val="-10"/>
        </w:rPr>
        <w:t xml:space="preserve"> </w:t>
      </w:r>
      <w:r>
        <w:t>almış</w:t>
      </w:r>
      <w:r>
        <w:rPr>
          <w:spacing w:val="-11"/>
        </w:rPr>
        <w:t xml:space="preserve"> </w:t>
      </w:r>
      <w:r>
        <w:t>ve</w:t>
      </w:r>
      <w:r>
        <w:rPr>
          <w:spacing w:val="-10"/>
        </w:rPr>
        <w:t xml:space="preserve"> </w:t>
      </w:r>
      <w:r>
        <w:t>araştırmanın sonraki aşamalarında kullanılmak üzere hazır hale gelmiştir. Bu aşamalar, ölçeğin hem teorik temellerinin sağlamlaştırılmasına hem de pratik uygulamalarında etkinliğinin artırılmasına</w:t>
      </w:r>
      <w:r>
        <w:rPr>
          <w:spacing w:val="-6"/>
        </w:rPr>
        <w:t xml:space="preserve"> </w:t>
      </w:r>
      <w:r>
        <w:t>katkı</w:t>
      </w:r>
      <w:r>
        <w:rPr>
          <w:spacing w:val="-6"/>
        </w:rPr>
        <w:t xml:space="preserve"> </w:t>
      </w:r>
      <w:r>
        <w:t>sağlamıştır,</w:t>
      </w:r>
      <w:r>
        <w:rPr>
          <w:spacing w:val="-7"/>
        </w:rPr>
        <w:t xml:space="preserve"> </w:t>
      </w:r>
      <w:r>
        <w:t>böylece</w:t>
      </w:r>
      <w:r>
        <w:rPr>
          <w:spacing w:val="-7"/>
        </w:rPr>
        <w:t xml:space="preserve"> </w:t>
      </w:r>
      <w:r>
        <w:t>ölçeğin</w:t>
      </w:r>
      <w:r>
        <w:rPr>
          <w:spacing w:val="-6"/>
        </w:rPr>
        <w:t xml:space="preserve"> </w:t>
      </w:r>
      <w:r>
        <w:t>araştırma</w:t>
      </w:r>
      <w:r>
        <w:rPr>
          <w:spacing w:val="-7"/>
        </w:rPr>
        <w:t xml:space="preserve"> </w:t>
      </w:r>
      <w:r>
        <w:t>ve</w:t>
      </w:r>
      <w:r>
        <w:rPr>
          <w:spacing w:val="-7"/>
        </w:rPr>
        <w:t xml:space="preserve"> </w:t>
      </w:r>
      <w:r>
        <w:t>uygulama</w:t>
      </w:r>
      <w:r>
        <w:rPr>
          <w:spacing w:val="-6"/>
        </w:rPr>
        <w:t xml:space="preserve"> </w:t>
      </w:r>
      <w:r>
        <w:t>alanlarında</w:t>
      </w:r>
      <w:r>
        <w:rPr>
          <w:spacing w:val="-4"/>
        </w:rPr>
        <w:t xml:space="preserve"> </w:t>
      </w:r>
      <w:r>
        <w:t>güvenilir ve geçerli bir araç olarak kullanılabilmesinin önünü açmıştır.</w:t>
      </w:r>
    </w:p>
    <w:p w14:paraId="38F22BAB">
      <w:pPr>
        <w:pStyle w:val="5"/>
        <w:spacing w:before="240" w:after="240" w:line="360" w:lineRule="auto"/>
        <w:ind w:left="567"/>
        <w:rPr>
          <w:rFonts w:ascii="Times New Roman" w:hAnsi="Times New Roman" w:cs="Times New Roman"/>
          <w:b/>
          <w:i w:val="0"/>
          <w:color w:val="auto"/>
          <w:sz w:val="24"/>
        </w:rPr>
      </w:pPr>
      <w:bookmarkStart w:id="196" w:name="_Toc195875841"/>
      <w:bookmarkStart w:id="197" w:name="_Toc197351272"/>
      <w:bookmarkStart w:id="198" w:name="_Toc195877819"/>
      <w:r>
        <w:rPr>
          <w:rFonts w:ascii="Times New Roman" w:hAnsi="Times New Roman" w:cs="Times New Roman"/>
          <w:b/>
          <w:i w:val="0"/>
          <w:color w:val="auto"/>
          <w:sz w:val="24"/>
        </w:rPr>
        <w:t>3.6.1.3. Yapı Geçerliği</w:t>
      </w:r>
      <w:bookmarkEnd w:id="196"/>
      <w:bookmarkEnd w:id="197"/>
      <w:bookmarkEnd w:id="198"/>
    </w:p>
    <w:p w14:paraId="4B4237D3">
      <w:pPr>
        <w:pStyle w:val="9"/>
        <w:spacing w:before="120" w:after="120" w:line="360" w:lineRule="auto"/>
        <w:ind w:left="0" w:firstLine="567"/>
        <w:rPr>
          <w:spacing w:val="-2"/>
        </w:rPr>
      </w:pPr>
      <w:r>
        <w:t>Yapı geçerliliğinin test edilmesinde, Büyüköztürk (2012) tarafından da vurgulandığı üzere, faktör analizi, iç tutarlılık analizi ve hipotez testleri gibi istatistiksel yöntemler temel alınmaktadır. Bu çalışma kapsamında, yapı geçerliliğinin belirlenmesi süreci, kapsamlı ve çok</w:t>
      </w:r>
      <w:r>
        <w:rPr>
          <w:spacing w:val="51"/>
          <w:w w:val="150"/>
        </w:rPr>
        <w:t xml:space="preserve"> </w:t>
      </w:r>
      <w:r>
        <w:t>aşamalı</w:t>
      </w:r>
      <w:r>
        <w:rPr>
          <w:spacing w:val="53"/>
          <w:w w:val="150"/>
        </w:rPr>
        <w:t xml:space="preserve"> </w:t>
      </w:r>
      <w:r>
        <w:t>bir</w:t>
      </w:r>
      <w:r>
        <w:rPr>
          <w:spacing w:val="55"/>
          <w:w w:val="150"/>
        </w:rPr>
        <w:t xml:space="preserve"> </w:t>
      </w:r>
      <w:r>
        <w:t>yaklaşım</w:t>
      </w:r>
      <w:r>
        <w:rPr>
          <w:spacing w:val="53"/>
          <w:w w:val="150"/>
        </w:rPr>
        <w:t xml:space="preserve"> </w:t>
      </w:r>
      <w:r>
        <w:t>ile</w:t>
      </w:r>
      <w:r>
        <w:rPr>
          <w:spacing w:val="52"/>
          <w:w w:val="150"/>
        </w:rPr>
        <w:t xml:space="preserve"> </w:t>
      </w:r>
      <w:r>
        <w:t>ele</w:t>
      </w:r>
      <w:r>
        <w:rPr>
          <w:spacing w:val="52"/>
          <w:w w:val="150"/>
        </w:rPr>
        <w:t xml:space="preserve"> </w:t>
      </w:r>
      <w:r>
        <w:t>alınmıştır.</w:t>
      </w:r>
      <w:r>
        <w:rPr>
          <w:spacing w:val="52"/>
          <w:w w:val="150"/>
        </w:rPr>
        <w:t xml:space="preserve"> </w:t>
      </w:r>
      <w:r>
        <w:t>İlk</w:t>
      </w:r>
      <w:r>
        <w:rPr>
          <w:spacing w:val="53"/>
          <w:w w:val="150"/>
        </w:rPr>
        <w:t xml:space="preserve"> </w:t>
      </w:r>
      <w:r>
        <w:t>olarak,</w:t>
      </w:r>
      <w:r>
        <w:rPr>
          <w:spacing w:val="53"/>
          <w:w w:val="150"/>
        </w:rPr>
        <w:t xml:space="preserve"> </w:t>
      </w:r>
      <w:r>
        <w:t>ölçeğin</w:t>
      </w:r>
      <w:r>
        <w:rPr>
          <w:spacing w:val="58"/>
          <w:w w:val="150"/>
        </w:rPr>
        <w:t xml:space="preserve"> </w:t>
      </w:r>
      <w:r>
        <w:t>yapısal</w:t>
      </w:r>
      <w:r>
        <w:rPr>
          <w:spacing w:val="54"/>
          <w:w w:val="150"/>
        </w:rPr>
        <w:t xml:space="preserve"> </w:t>
      </w:r>
      <w:r>
        <w:rPr>
          <w:spacing w:val="-2"/>
        </w:rPr>
        <w:t>özelliklerin</w:t>
      </w:r>
      <w:r>
        <w:t xml:space="preserve"> anlamlandırmak amacıyla açımlayıcı faktör analizi (AFA) uygulanmıştır. AFA, ölçeğin altında yatan faktör yapılarını keşfetmek ve maddelerin bu faktörlerle olan ilişkisini ortaya koymak için kullanılmıştır. Bu analiz sürecinde, faktör yüklemeleri ve özdeğerler gibi istatistiksel</w:t>
      </w:r>
      <w:r>
        <w:rPr>
          <w:spacing w:val="-15"/>
        </w:rPr>
        <w:t xml:space="preserve"> </w:t>
      </w:r>
      <w:r>
        <w:t>göstergeler</w:t>
      </w:r>
      <w:r>
        <w:rPr>
          <w:spacing w:val="-15"/>
        </w:rPr>
        <w:t xml:space="preserve"> </w:t>
      </w:r>
      <w:r>
        <w:t>dikkatli</w:t>
      </w:r>
      <w:r>
        <w:rPr>
          <w:spacing w:val="-15"/>
        </w:rPr>
        <w:t xml:space="preserve"> </w:t>
      </w:r>
      <w:r>
        <w:t>bir</w:t>
      </w:r>
      <w:r>
        <w:rPr>
          <w:spacing w:val="-15"/>
        </w:rPr>
        <w:t xml:space="preserve"> </w:t>
      </w:r>
      <w:r>
        <w:t>şekilde</w:t>
      </w:r>
      <w:r>
        <w:rPr>
          <w:spacing w:val="-15"/>
        </w:rPr>
        <w:t xml:space="preserve"> </w:t>
      </w:r>
      <w:r>
        <w:t>incelenmiştir.</w:t>
      </w:r>
      <w:r>
        <w:rPr>
          <w:spacing w:val="-15"/>
        </w:rPr>
        <w:t xml:space="preserve"> </w:t>
      </w:r>
      <w:r>
        <w:t>Elde</w:t>
      </w:r>
      <w:r>
        <w:rPr>
          <w:spacing w:val="-15"/>
        </w:rPr>
        <w:t xml:space="preserve"> </w:t>
      </w:r>
      <w:r>
        <w:t>edilen</w:t>
      </w:r>
      <w:r>
        <w:rPr>
          <w:spacing w:val="-13"/>
        </w:rPr>
        <w:t xml:space="preserve"> </w:t>
      </w:r>
      <w:r>
        <w:t>AFA</w:t>
      </w:r>
      <w:r>
        <w:rPr>
          <w:spacing w:val="-14"/>
        </w:rPr>
        <w:t xml:space="preserve"> </w:t>
      </w:r>
      <w:r>
        <w:t>sonuçları,</w:t>
      </w:r>
      <w:r>
        <w:rPr>
          <w:spacing w:val="-15"/>
        </w:rPr>
        <w:t xml:space="preserve"> </w:t>
      </w:r>
      <w:r>
        <w:t>ölçeğin teorik temelleriyle uyumu ve maddelerin belirlenen faktörlerle ilişkisini değerlendirmede kullanılmıştır.Daha sonraki aşamada, AFA sonuçlarına dayanarak, ölçeğin yapısal geçerliliğini doğrulamak amacıyla doğrulayıcı faktör analizi (DFA) gerçekleştirilmiştir. DFA,</w:t>
      </w:r>
      <w:r>
        <w:rPr>
          <w:spacing w:val="-11"/>
        </w:rPr>
        <w:t xml:space="preserve"> </w:t>
      </w:r>
      <w:r>
        <w:t>önceden</w:t>
      </w:r>
      <w:r>
        <w:rPr>
          <w:spacing w:val="-11"/>
        </w:rPr>
        <w:t xml:space="preserve"> </w:t>
      </w:r>
      <w:r>
        <w:t>belirlenmiş</w:t>
      </w:r>
      <w:r>
        <w:rPr>
          <w:spacing w:val="-10"/>
        </w:rPr>
        <w:t xml:space="preserve"> </w:t>
      </w:r>
      <w:r>
        <w:t>faktör</w:t>
      </w:r>
      <w:r>
        <w:rPr>
          <w:spacing w:val="-6"/>
        </w:rPr>
        <w:t xml:space="preserve"> </w:t>
      </w:r>
      <w:r>
        <w:t>yapısının</w:t>
      </w:r>
      <w:r>
        <w:rPr>
          <w:spacing w:val="-8"/>
        </w:rPr>
        <w:t xml:space="preserve"> </w:t>
      </w:r>
      <w:r>
        <w:t>toplanan</w:t>
      </w:r>
      <w:r>
        <w:rPr>
          <w:spacing w:val="-11"/>
        </w:rPr>
        <w:t xml:space="preserve"> </w:t>
      </w:r>
      <w:r>
        <w:t>veri</w:t>
      </w:r>
      <w:r>
        <w:rPr>
          <w:spacing w:val="-11"/>
        </w:rPr>
        <w:t xml:space="preserve"> </w:t>
      </w:r>
      <w:r>
        <w:t>setiyle</w:t>
      </w:r>
      <w:r>
        <w:rPr>
          <w:spacing w:val="-9"/>
        </w:rPr>
        <w:t xml:space="preserve"> </w:t>
      </w:r>
      <w:r>
        <w:t>ne</w:t>
      </w:r>
      <w:r>
        <w:rPr>
          <w:spacing w:val="-12"/>
        </w:rPr>
        <w:t xml:space="preserve"> </w:t>
      </w:r>
      <w:r>
        <w:t>derece</w:t>
      </w:r>
      <w:r>
        <w:rPr>
          <w:spacing w:val="-9"/>
        </w:rPr>
        <w:t xml:space="preserve"> </w:t>
      </w:r>
      <w:r>
        <w:t>uyumlu</w:t>
      </w:r>
      <w:r>
        <w:rPr>
          <w:spacing w:val="-11"/>
        </w:rPr>
        <w:t xml:space="preserve"> </w:t>
      </w:r>
      <w:r>
        <w:t>olduğunu test</w:t>
      </w:r>
      <w:r>
        <w:rPr>
          <w:spacing w:val="-1"/>
        </w:rPr>
        <w:t xml:space="preserve"> </w:t>
      </w:r>
      <w:r>
        <w:t>etmek</w:t>
      </w:r>
      <w:r>
        <w:rPr>
          <w:spacing w:val="-1"/>
        </w:rPr>
        <w:t xml:space="preserve"> </w:t>
      </w:r>
      <w:r>
        <w:t>için</w:t>
      </w:r>
      <w:r>
        <w:rPr>
          <w:spacing w:val="-1"/>
        </w:rPr>
        <w:t xml:space="preserve"> </w:t>
      </w:r>
      <w:r>
        <w:t>kullanılmıştır.</w:t>
      </w:r>
      <w:r>
        <w:rPr>
          <w:spacing w:val="-2"/>
        </w:rPr>
        <w:t xml:space="preserve"> </w:t>
      </w:r>
      <w:r>
        <w:t>Bu aşamada,</w:t>
      </w:r>
      <w:r>
        <w:rPr>
          <w:spacing w:val="-1"/>
        </w:rPr>
        <w:t xml:space="preserve"> </w:t>
      </w:r>
      <w:r>
        <w:t>model uyum</w:t>
      </w:r>
      <w:r>
        <w:rPr>
          <w:spacing w:val="-1"/>
        </w:rPr>
        <w:t xml:space="preserve"> </w:t>
      </w:r>
      <w:r>
        <w:t>indeksleri</w:t>
      </w:r>
      <w:r>
        <w:rPr>
          <w:spacing w:val="-2"/>
        </w:rPr>
        <w:t xml:space="preserve"> </w:t>
      </w:r>
      <w:r>
        <w:t>(örneğin,</w:t>
      </w:r>
      <w:r>
        <w:rPr>
          <w:spacing w:val="-1"/>
        </w:rPr>
        <w:t xml:space="preserve"> </w:t>
      </w:r>
      <w:r>
        <w:t>RMSEA,</w:t>
      </w:r>
      <w:r>
        <w:rPr>
          <w:spacing w:val="-1"/>
        </w:rPr>
        <w:t xml:space="preserve"> </w:t>
      </w:r>
      <w:r>
        <w:t>CFI, TLI) ve yapısal eşitlik modellemesi gibi yöntemler kullanılarak ölçeğin faktör yapısının doğruluğu değerlendirilmiştir. DFA sonuçları, ölçeğin faktör yapısının verilerle ne derece uyumlu olduğunu ortaya koymuş ve yapısal geçerliliğe dair güçlü kanıtlar sunmuştur.Ek olarak, ölçeğin iç tutarlılığını değerlendirmek için Cronbach Alfa güvenirlik analizi uygulanmıştır. Bu analiz, ölçeğin tutarlılık ve güvenilirlik açısından değerlendirilmesinde önemli bir rol oynamıştır. Bu çok yönlü ve kapsamlı analiz süreci, ölçeğin yapısal geçerliliğini ve güvenirliğini derinlemesine test etmek ve araştırmanın güvenilirliğini artırmak için büyük öneme sahiptir.</w:t>
      </w:r>
    </w:p>
    <w:p w14:paraId="53876DA2">
      <w:pPr>
        <w:pStyle w:val="5"/>
        <w:spacing w:before="240" w:after="240" w:line="360" w:lineRule="auto"/>
        <w:ind w:left="567"/>
        <w:rPr>
          <w:rFonts w:ascii="Times New Roman" w:hAnsi="Times New Roman" w:cs="Times New Roman"/>
          <w:b/>
          <w:i w:val="0"/>
          <w:color w:val="auto"/>
          <w:sz w:val="24"/>
        </w:rPr>
      </w:pPr>
      <w:bookmarkStart w:id="199" w:name="_Toc197351273"/>
      <w:bookmarkStart w:id="200" w:name="_Toc195875842"/>
      <w:bookmarkStart w:id="201" w:name="_Toc195877820"/>
      <w:r>
        <w:rPr>
          <w:rFonts w:ascii="Times New Roman" w:hAnsi="Times New Roman" w:cs="Times New Roman"/>
          <w:b/>
          <w:i w:val="0"/>
          <w:color w:val="auto"/>
          <w:sz w:val="24"/>
        </w:rPr>
        <w:t>3.6.1.4. Açımlayıcı faktör analizi (AFA)</w:t>
      </w:r>
      <w:bookmarkEnd w:id="199"/>
      <w:bookmarkEnd w:id="200"/>
      <w:bookmarkEnd w:id="201"/>
    </w:p>
    <w:p w14:paraId="6B6CE4E4">
      <w:pPr>
        <w:pStyle w:val="9"/>
        <w:spacing w:before="120" w:after="120" w:line="360" w:lineRule="auto"/>
        <w:ind w:left="0" w:firstLine="567"/>
      </w:pPr>
      <w:r>
        <w:t>Açımlayıcı</w:t>
      </w:r>
      <w:r>
        <w:rPr>
          <w:spacing w:val="-6"/>
        </w:rPr>
        <w:t xml:space="preserve"> </w:t>
      </w:r>
      <w:r>
        <w:t>faktör</w:t>
      </w:r>
      <w:r>
        <w:rPr>
          <w:spacing w:val="-5"/>
        </w:rPr>
        <w:t xml:space="preserve"> </w:t>
      </w:r>
      <w:r>
        <w:t>analizi</w:t>
      </w:r>
      <w:r>
        <w:rPr>
          <w:spacing w:val="-6"/>
        </w:rPr>
        <w:t xml:space="preserve"> </w:t>
      </w:r>
      <w:r>
        <w:t>(AFA)</w:t>
      </w:r>
      <w:r>
        <w:rPr>
          <w:spacing w:val="-8"/>
        </w:rPr>
        <w:t xml:space="preserve"> </w:t>
      </w:r>
      <w:r>
        <w:t>sürecinin</w:t>
      </w:r>
      <w:r>
        <w:rPr>
          <w:spacing w:val="-7"/>
        </w:rPr>
        <w:t xml:space="preserve"> </w:t>
      </w:r>
      <w:r>
        <w:t>başlangıcında,</w:t>
      </w:r>
      <w:r>
        <w:rPr>
          <w:spacing w:val="-7"/>
        </w:rPr>
        <w:t xml:space="preserve"> </w:t>
      </w:r>
      <w:r>
        <w:t>toplanan</w:t>
      </w:r>
      <w:r>
        <w:rPr>
          <w:spacing w:val="-5"/>
        </w:rPr>
        <w:t xml:space="preserve"> </w:t>
      </w:r>
      <w:r>
        <w:t>verilerin</w:t>
      </w:r>
      <w:r>
        <w:rPr>
          <w:spacing w:val="-4"/>
        </w:rPr>
        <w:t xml:space="preserve"> </w:t>
      </w:r>
      <w:r>
        <w:t>faktör</w:t>
      </w:r>
      <w:r>
        <w:rPr>
          <w:spacing w:val="-7"/>
        </w:rPr>
        <w:t xml:space="preserve"> </w:t>
      </w:r>
      <w:r>
        <w:t>analizine uygunluğunun test edilmesi, analizin başarısı açısından kritik bir adımdır. Bu test, veri setinin faktör analizi yapmaya ne kadar elverişli olduğunu belirlemek amacıyla gerçekleştirilir. Etkili bir faktör analizi uygulaması için, veri setinin belirli istatistiksel özelliklere sahip olması şarttır. Bu doğrultuda, veri setinin faktör analizine uygunluğunu belirleyen iki önemli istatistiksel test bulunmaktadır: Kaiser-Meyer-Olkin (KMO) Örnekleme Yeterliliği İstatistiği ve Barlett Küresellik Testi. KMO testi, veri setindeki değişkenlerin birbirleriyle yeterli düzeyde ilişkili olup olmadığını ölçer, Barlett Küresellik Testi ise veri setindeki değişkenler arasında genel olarak anlamlı bir ilişki olup olmadığını test</w:t>
      </w:r>
      <w:r>
        <w:rPr>
          <w:spacing w:val="-8"/>
        </w:rPr>
        <w:t xml:space="preserve"> </w:t>
      </w:r>
      <w:r>
        <w:t>etmektedir.</w:t>
      </w:r>
      <w:r>
        <w:rPr>
          <w:spacing w:val="-8"/>
        </w:rPr>
        <w:t xml:space="preserve"> </w:t>
      </w:r>
      <w:r>
        <w:t>Bu</w:t>
      </w:r>
      <w:r>
        <w:rPr>
          <w:spacing w:val="-8"/>
        </w:rPr>
        <w:t xml:space="preserve"> </w:t>
      </w:r>
      <w:r>
        <w:t>iki</w:t>
      </w:r>
      <w:r>
        <w:rPr>
          <w:spacing w:val="-8"/>
        </w:rPr>
        <w:t xml:space="preserve"> </w:t>
      </w:r>
      <w:r>
        <w:t>testin</w:t>
      </w:r>
      <w:r>
        <w:rPr>
          <w:spacing w:val="-8"/>
        </w:rPr>
        <w:t xml:space="preserve"> </w:t>
      </w:r>
      <w:r>
        <w:t>sonuçları,</w:t>
      </w:r>
      <w:r>
        <w:rPr>
          <w:spacing w:val="-8"/>
        </w:rPr>
        <w:t xml:space="preserve"> </w:t>
      </w:r>
      <w:r>
        <w:t>veri</w:t>
      </w:r>
      <w:r>
        <w:rPr>
          <w:spacing w:val="-8"/>
        </w:rPr>
        <w:t xml:space="preserve"> </w:t>
      </w:r>
      <w:r>
        <w:t>setinin</w:t>
      </w:r>
      <w:r>
        <w:rPr>
          <w:spacing w:val="-8"/>
        </w:rPr>
        <w:t xml:space="preserve"> </w:t>
      </w:r>
      <w:r>
        <w:t>faktör</w:t>
      </w:r>
      <w:r>
        <w:rPr>
          <w:spacing w:val="-9"/>
        </w:rPr>
        <w:t xml:space="preserve"> </w:t>
      </w:r>
      <w:r>
        <w:t>analizi</w:t>
      </w:r>
      <w:r>
        <w:rPr>
          <w:spacing w:val="-8"/>
        </w:rPr>
        <w:t xml:space="preserve"> </w:t>
      </w:r>
      <w:r>
        <w:t>için</w:t>
      </w:r>
      <w:r>
        <w:rPr>
          <w:spacing w:val="-8"/>
        </w:rPr>
        <w:t xml:space="preserve"> </w:t>
      </w:r>
      <w:r>
        <w:t>uygun</w:t>
      </w:r>
      <w:r>
        <w:rPr>
          <w:spacing w:val="-6"/>
        </w:rPr>
        <w:t xml:space="preserve"> </w:t>
      </w:r>
      <w:r>
        <w:t>olup</w:t>
      </w:r>
      <w:r>
        <w:rPr>
          <w:spacing w:val="-8"/>
        </w:rPr>
        <w:t xml:space="preserve"> </w:t>
      </w:r>
      <w:r>
        <w:t>olmadığını ve analizin geçerli sonuçlar üretebileceğini belirlemede hayati öneme sahiptir.</w:t>
      </w:r>
    </w:p>
    <w:p w14:paraId="3A5D7C63">
      <w:pPr>
        <w:pStyle w:val="9"/>
        <w:spacing w:before="120" w:after="120" w:line="360" w:lineRule="auto"/>
        <w:ind w:left="0" w:firstLine="567"/>
      </w:pPr>
    </w:p>
    <w:p w14:paraId="01B75D67">
      <w:pPr>
        <w:pStyle w:val="28"/>
        <w:numPr>
          <w:ilvl w:val="3"/>
          <w:numId w:val="15"/>
        </w:numPr>
        <w:tabs>
          <w:tab w:val="left" w:pos="940"/>
        </w:tabs>
        <w:spacing w:before="240" w:after="240" w:line="360" w:lineRule="auto"/>
        <w:ind w:left="567" w:firstLine="0"/>
        <w:jc w:val="both"/>
        <w:outlineLvl w:val="3"/>
        <w:rPr>
          <w:b/>
          <w:sz w:val="28"/>
        </w:rPr>
      </w:pPr>
      <w:bookmarkStart w:id="202" w:name="_Toc195877821"/>
      <w:bookmarkStart w:id="203" w:name="_Toc197351274"/>
      <w:r>
        <w:rPr>
          <w:b/>
          <w:sz w:val="24"/>
        </w:rPr>
        <w:t>Kaiser-Meyer-Olkin (KMO) Örnekleme Yeterliliği ve Barlett Küresellik Testi</w:t>
      </w:r>
      <w:bookmarkEnd w:id="202"/>
      <w:bookmarkEnd w:id="203"/>
      <w:r>
        <w:rPr>
          <w:b/>
          <w:i/>
          <w:sz w:val="28"/>
        </w:rPr>
        <w:t xml:space="preserve"> </w:t>
      </w:r>
    </w:p>
    <w:p w14:paraId="749232D0">
      <w:pPr>
        <w:pStyle w:val="28"/>
        <w:tabs>
          <w:tab w:val="left" w:pos="940"/>
        </w:tabs>
        <w:spacing w:before="240" w:after="240" w:line="360" w:lineRule="auto"/>
        <w:ind w:left="0" w:firstLine="567"/>
        <w:jc w:val="both"/>
        <w:rPr>
          <w:sz w:val="24"/>
        </w:rPr>
      </w:pPr>
      <w:r>
        <w:rPr>
          <w:sz w:val="24"/>
        </w:rPr>
        <w:t>KMO</w:t>
      </w:r>
      <w:r>
        <w:rPr>
          <w:spacing w:val="33"/>
          <w:sz w:val="24"/>
        </w:rPr>
        <w:t xml:space="preserve"> </w:t>
      </w:r>
      <w:r>
        <w:rPr>
          <w:sz w:val="24"/>
        </w:rPr>
        <w:t>testi,</w:t>
      </w:r>
      <w:r>
        <w:rPr>
          <w:spacing w:val="34"/>
          <w:sz w:val="24"/>
        </w:rPr>
        <w:t xml:space="preserve"> </w:t>
      </w:r>
      <w:r>
        <w:rPr>
          <w:sz w:val="24"/>
        </w:rPr>
        <w:t>veri</w:t>
      </w:r>
      <w:r>
        <w:rPr>
          <w:spacing w:val="33"/>
          <w:sz w:val="24"/>
        </w:rPr>
        <w:t xml:space="preserve"> </w:t>
      </w:r>
      <w:r>
        <w:rPr>
          <w:sz w:val="24"/>
        </w:rPr>
        <w:t>setinde</w:t>
      </w:r>
      <w:r>
        <w:rPr>
          <w:spacing w:val="35"/>
          <w:sz w:val="24"/>
        </w:rPr>
        <w:t xml:space="preserve"> </w:t>
      </w:r>
      <w:r>
        <w:rPr>
          <w:sz w:val="24"/>
        </w:rPr>
        <w:t>bulunan</w:t>
      </w:r>
      <w:r>
        <w:rPr>
          <w:spacing w:val="33"/>
          <w:sz w:val="24"/>
        </w:rPr>
        <w:t xml:space="preserve"> </w:t>
      </w:r>
      <w:r>
        <w:rPr>
          <w:sz w:val="24"/>
        </w:rPr>
        <w:t>değişkenler</w:t>
      </w:r>
      <w:r>
        <w:rPr>
          <w:spacing w:val="35"/>
          <w:sz w:val="24"/>
        </w:rPr>
        <w:t xml:space="preserve"> </w:t>
      </w:r>
      <w:r>
        <w:rPr>
          <w:sz w:val="24"/>
        </w:rPr>
        <w:t>arasındaki</w:t>
      </w:r>
      <w:r>
        <w:rPr>
          <w:spacing w:val="34"/>
          <w:sz w:val="24"/>
        </w:rPr>
        <w:t xml:space="preserve"> </w:t>
      </w:r>
      <w:r>
        <w:rPr>
          <w:sz w:val="24"/>
        </w:rPr>
        <w:t>ilişkilerin</w:t>
      </w:r>
      <w:r>
        <w:rPr>
          <w:spacing w:val="37"/>
          <w:sz w:val="24"/>
        </w:rPr>
        <w:t xml:space="preserve"> </w:t>
      </w:r>
      <w:r>
        <w:rPr>
          <w:sz w:val="24"/>
        </w:rPr>
        <w:t>yeterliliğini</w:t>
      </w:r>
      <w:r>
        <w:rPr>
          <w:spacing w:val="34"/>
          <w:sz w:val="24"/>
        </w:rPr>
        <w:t xml:space="preserve"> </w:t>
      </w:r>
      <w:r>
        <w:rPr>
          <w:sz w:val="24"/>
        </w:rPr>
        <w:t>ölçer.</w:t>
      </w:r>
      <w:r>
        <w:rPr>
          <w:spacing w:val="33"/>
          <w:sz w:val="24"/>
        </w:rPr>
        <w:t xml:space="preserve"> </w:t>
      </w:r>
      <w:r>
        <w:rPr>
          <w:sz w:val="24"/>
        </w:rPr>
        <w:t>Bu istatistiksel değer, 0 ile 1 arasında değişmekte olup, genellikle 0.6'nın üzerindeki değerler faktör analizi için uygunluk göstergesi olarak kabul edilir. Yüksek bir KMO değeri, veri</w:t>
      </w:r>
      <w:r>
        <w:rPr>
          <w:spacing w:val="80"/>
          <w:sz w:val="24"/>
        </w:rPr>
        <w:t xml:space="preserve"> </w:t>
      </w:r>
      <w:r>
        <w:rPr>
          <w:sz w:val="24"/>
        </w:rPr>
        <w:t>setindeki</w:t>
      </w:r>
      <w:r>
        <w:rPr>
          <w:spacing w:val="-13"/>
          <w:sz w:val="24"/>
        </w:rPr>
        <w:t xml:space="preserve"> </w:t>
      </w:r>
      <w:r>
        <w:rPr>
          <w:sz w:val="24"/>
        </w:rPr>
        <w:t>değişkenler</w:t>
      </w:r>
      <w:r>
        <w:rPr>
          <w:spacing w:val="-14"/>
          <w:sz w:val="24"/>
        </w:rPr>
        <w:t xml:space="preserve"> </w:t>
      </w:r>
      <w:r>
        <w:rPr>
          <w:sz w:val="24"/>
        </w:rPr>
        <w:t>arasında</w:t>
      </w:r>
      <w:r>
        <w:rPr>
          <w:spacing w:val="-14"/>
          <w:sz w:val="24"/>
        </w:rPr>
        <w:t xml:space="preserve"> </w:t>
      </w:r>
      <w:r>
        <w:rPr>
          <w:sz w:val="24"/>
        </w:rPr>
        <w:t>faktör</w:t>
      </w:r>
      <w:r>
        <w:rPr>
          <w:spacing w:val="-14"/>
          <w:sz w:val="24"/>
        </w:rPr>
        <w:t xml:space="preserve"> </w:t>
      </w:r>
      <w:r>
        <w:rPr>
          <w:sz w:val="24"/>
        </w:rPr>
        <w:t>analizi</w:t>
      </w:r>
      <w:r>
        <w:rPr>
          <w:spacing w:val="-11"/>
          <w:sz w:val="24"/>
        </w:rPr>
        <w:t xml:space="preserve"> </w:t>
      </w:r>
      <w:r>
        <w:rPr>
          <w:sz w:val="24"/>
        </w:rPr>
        <w:t>yapmaya</w:t>
      </w:r>
      <w:r>
        <w:rPr>
          <w:spacing w:val="-10"/>
          <w:sz w:val="24"/>
        </w:rPr>
        <w:t xml:space="preserve"> </w:t>
      </w:r>
      <w:r>
        <w:rPr>
          <w:sz w:val="24"/>
        </w:rPr>
        <w:t>elverişli</w:t>
      </w:r>
      <w:r>
        <w:rPr>
          <w:spacing w:val="-13"/>
          <w:sz w:val="24"/>
        </w:rPr>
        <w:t xml:space="preserve"> </w:t>
      </w:r>
      <w:r>
        <w:rPr>
          <w:sz w:val="24"/>
        </w:rPr>
        <w:t>ilişkilerin</w:t>
      </w:r>
      <w:r>
        <w:rPr>
          <w:spacing w:val="-13"/>
          <w:sz w:val="24"/>
        </w:rPr>
        <w:t xml:space="preserve"> </w:t>
      </w:r>
      <w:r>
        <w:rPr>
          <w:sz w:val="24"/>
        </w:rPr>
        <w:t>bulunduğuna</w:t>
      </w:r>
      <w:r>
        <w:rPr>
          <w:spacing w:val="-14"/>
          <w:sz w:val="24"/>
        </w:rPr>
        <w:t xml:space="preserve"> </w:t>
      </w:r>
      <w:r>
        <w:rPr>
          <w:sz w:val="24"/>
        </w:rPr>
        <w:t>işaret etmektedir. Barlett Küresellik Testiveri setindeki değişkenler arasında genel bir ilişki olup olmadığını değerlendirmek için kullanılmaktadır. Barlett testinin anlamlı bir sonucu (p &lt;</w:t>
      </w:r>
      <w:r>
        <w:rPr>
          <w:spacing w:val="40"/>
          <w:sz w:val="24"/>
        </w:rPr>
        <w:t xml:space="preserve"> </w:t>
      </w:r>
      <w:r>
        <w:rPr>
          <w:spacing w:val="-2"/>
          <w:sz w:val="24"/>
        </w:rPr>
        <w:t>0.05),</w:t>
      </w:r>
      <w:r>
        <w:rPr>
          <w:spacing w:val="-6"/>
          <w:sz w:val="24"/>
        </w:rPr>
        <w:t xml:space="preserve"> </w:t>
      </w:r>
      <w:r>
        <w:rPr>
          <w:spacing w:val="-2"/>
          <w:sz w:val="24"/>
        </w:rPr>
        <w:t>veri</w:t>
      </w:r>
      <w:r>
        <w:rPr>
          <w:spacing w:val="-4"/>
          <w:sz w:val="24"/>
        </w:rPr>
        <w:t xml:space="preserve"> </w:t>
      </w:r>
      <w:r>
        <w:rPr>
          <w:spacing w:val="-2"/>
          <w:sz w:val="24"/>
        </w:rPr>
        <w:t>setinde</w:t>
      </w:r>
      <w:r>
        <w:rPr>
          <w:spacing w:val="-1"/>
          <w:sz w:val="24"/>
        </w:rPr>
        <w:t xml:space="preserve"> </w:t>
      </w:r>
      <w:r>
        <w:rPr>
          <w:spacing w:val="-2"/>
          <w:sz w:val="24"/>
        </w:rPr>
        <w:t>faktör analizi</w:t>
      </w:r>
      <w:r>
        <w:rPr>
          <w:sz w:val="24"/>
        </w:rPr>
        <w:t xml:space="preserve"> </w:t>
      </w:r>
      <w:r>
        <w:rPr>
          <w:spacing w:val="-2"/>
          <w:sz w:val="24"/>
        </w:rPr>
        <w:t>yapmaya uygun</w:t>
      </w:r>
      <w:r>
        <w:rPr>
          <w:spacing w:val="-4"/>
          <w:sz w:val="24"/>
        </w:rPr>
        <w:t xml:space="preserve"> </w:t>
      </w:r>
      <w:r>
        <w:rPr>
          <w:spacing w:val="-2"/>
          <w:sz w:val="24"/>
        </w:rPr>
        <w:t>ilişkilerin</w:t>
      </w:r>
      <w:r>
        <w:rPr>
          <w:spacing w:val="-3"/>
          <w:sz w:val="24"/>
        </w:rPr>
        <w:t xml:space="preserve"> </w:t>
      </w:r>
      <w:r>
        <w:rPr>
          <w:spacing w:val="-2"/>
          <w:sz w:val="24"/>
        </w:rPr>
        <w:t>mevcut olduğunu</w:t>
      </w:r>
      <w:r>
        <w:rPr>
          <w:spacing w:val="-1"/>
          <w:sz w:val="24"/>
        </w:rPr>
        <w:t xml:space="preserve"> </w:t>
      </w:r>
      <w:r>
        <w:rPr>
          <w:spacing w:val="-2"/>
          <w:sz w:val="24"/>
        </w:rPr>
        <w:t>göstermektedir.</w:t>
      </w:r>
    </w:p>
    <w:p w14:paraId="75CE4671">
      <w:pPr>
        <w:pStyle w:val="9"/>
        <w:spacing w:before="120" w:after="120" w:line="360" w:lineRule="auto"/>
        <w:ind w:left="0" w:firstLine="567"/>
      </w:pPr>
      <w:r>
        <w:t>Bu</w:t>
      </w:r>
      <w:r>
        <w:rPr>
          <w:spacing w:val="-1"/>
        </w:rPr>
        <w:t xml:space="preserve"> </w:t>
      </w:r>
      <w:r>
        <w:t>çalışmada</w:t>
      </w:r>
      <w:r>
        <w:rPr>
          <w:spacing w:val="-2"/>
        </w:rPr>
        <w:t xml:space="preserve"> </w:t>
      </w:r>
      <w:r>
        <w:t>ölçeğin</w:t>
      </w:r>
      <w:r>
        <w:rPr>
          <w:spacing w:val="-1"/>
        </w:rPr>
        <w:t xml:space="preserve"> </w:t>
      </w:r>
      <w:r>
        <w:t>KMO</w:t>
      </w:r>
      <w:r>
        <w:rPr>
          <w:spacing w:val="-2"/>
        </w:rPr>
        <w:t xml:space="preserve"> </w:t>
      </w:r>
      <w:r>
        <w:t>ve</w:t>
      </w:r>
      <w:r>
        <w:rPr>
          <w:spacing w:val="-2"/>
        </w:rPr>
        <w:t xml:space="preserve"> </w:t>
      </w:r>
      <w:r>
        <w:t>Barlett</w:t>
      </w:r>
      <w:r>
        <w:rPr>
          <w:spacing w:val="-1"/>
        </w:rPr>
        <w:t xml:space="preserve"> </w:t>
      </w:r>
      <w:r>
        <w:t>testi</w:t>
      </w:r>
      <w:r>
        <w:rPr>
          <w:spacing w:val="-1"/>
        </w:rPr>
        <w:t xml:space="preserve"> </w:t>
      </w:r>
      <w:r>
        <w:t>değerleri</w:t>
      </w:r>
      <w:r>
        <w:rPr>
          <w:spacing w:val="-1"/>
        </w:rPr>
        <w:t xml:space="preserve"> </w:t>
      </w:r>
      <w:r>
        <w:t>Tablo 3.1’de</w:t>
      </w:r>
      <w:r>
        <w:rPr>
          <w:spacing w:val="-2"/>
        </w:rPr>
        <w:t xml:space="preserve"> </w:t>
      </w:r>
      <w:r>
        <w:t>sunulmuştur.</w:t>
      </w:r>
      <w:r>
        <w:rPr>
          <w:spacing w:val="-2"/>
        </w:rPr>
        <w:t xml:space="preserve"> </w:t>
      </w:r>
      <w:r>
        <w:t>Bu</w:t>
      </w:r>
      <w:r>
        <w:rPr>
          <w:spacing w:val="-1"/>
        </w:rPr>
        <w:t xml:space="preserve"> </w:t>
      </w:r>
      <w:r>
        <w:t>tabloda yer alan değerler, ölçeğin faktör analizine uygunluğunu değerlendirmede kullanılmaktadır. Söz</w:t>
      </w:r>
      <w:r>
        <w:rPr>
          <w:spacing w:val="-12"/>
        </w:rPr>
        <w:t xml:space="preserve"> </w:t>
      </w:r>
      <w:r>
        <w:t>konusu</w:t>
      </w:r>
      <w:r>
        <w:rPr>
          <w:spacing w:val="-13"/>
        </w:rPr>
        <w:t xml:space="preserve"> </w:t>
      </w:r>
      <w:r>
        <w:t>istatistiksel</w:t>
      </w:r>
      <w:r>
        <w:rPr>
          <w:spacing w:val="-13"/>
        </w:rPr>
        <w:t xml:space="preserve"> </w:t>
      </w:r>
      <w:r>
        <w:t>testlerin</w:t>
      </w:r>
      <w:r>
        <w:rPr>
          <w:spacing w:val="-13"/>
        </w:rPr>
        <w:t xml:space="preserve"> </w:t>
      </w:r>
      <w:r>
        <w:t>sonuçları,</w:t>
      </w:r>
      <w:r>
        <w:rPr>
          <w:spacing w:val="-13"/>
        </w:rPr>
        <w:t xml:space="preserve"> </w:t>
      </w:r>
      <w:r>
        <w:t>ölçeğin</w:t>
      </w:r>
      <w:r>
        <w:rPr>
          <w:spacing w:val="-10"/>
        </w:rPr>
        <w:t xml:space="preserve"> </w:t>
      </w:r>
      <w:r>
        <w:t>veri</w:t>
      </w:r>
      <w:r>
        <w:rPr>
          <w:spacing w:val="-13"/>
        </w:rPr>
        <w:t xml:space="preserve"> </w:t>
      </w:r>
      <w:r>
        <w:t>setinin</w:t>
      </w:r>
      <w:r>
        <w:rPr>
          <w:spacing w:val="-13"/>
        </w:rPr>
        <w:t xml:space="preserve"> </w:t>
      </w:r>
      <w:r>
        <w:t>faktör</w:t>
      </w:r>
      <w:r>
        <w:rPr>
          <w:spacing w:val="-11"/>
        </w:rPr>
        <w:t xml:space="preserve"> </w:t>
      </w:r>
      <w:r>
        <w:t>analizi</w:t>
      </w:r>
      <w:r>
        <w:rPr>
          <w:spacing w:val="-13"/>
        </w:rPr>
        <w:t xml:space="preserve"> </w:t>
      </w:r>
      <w:r>
        <w:t>için</w:t>
      </w:r>
      <w:r>
        <w:rPr>
          <w:spacing w:val="-13"/>
        </w:rPr>
        <w:t xml:space="preserve"> </w:t>
      </w:r>
      <w:r>
        <w:t>uygun</w:t>
      </w:r>
      <w:r>
        <w:rPr>
          <w:spacing w:val="-8"/>
        </w:rPr>
        <w:t xml:space="preserve"> </w:t>
      </w:r>
      <w:r>
        <w:t>olup olmadığını tespit etmede kritik bir rol oynamaktadır. Yüksek KMO ve anlamlı Barlett testi sonuçları, veri setinin faktör analizi için uygun olduğunu ve analizin geçerli sonuçlar üretebileceğini</w:t>
      </w:r>
      <w:r>
        <w:rPr>
          <w:spacing w:val="-12"/>
        </w:rPr>
        <w:t xml:space="preserve"> </w:t>
      </w:r>
      <w:r>
        <w:t>göstermektedir.</w:t>
      </w:r>
      <w:r>
        <w:rPr>
          <w:spacing w:val="-13"/>
        </w:rPr>
        <w:t xml:space="preserve"> </w:t>
      </w:r>
      <w:r>
        <w:t>Bu</w:t>
      </w:r>
      <w:r>
        <w:rPr>
          <w:spacing w:val="-13"/>
        </w:rPr>
        <w:t xml:space="preserve"> </w:t>
      </w:r>
      <w:r>
        <w:t>durum,</w:t>
      </w:r>
      <w:r>
        <w:rPr>
          <w:spacing w:val="-13"/>
        </w:rPr>
        <w:t xml:space="preserve"> </w:t>
      </w:r>
      <w:r>
        <w:t>AFA</w:t>
      </w:r>
      <w:r>
        <w:rPr>
          <w:spacing w:val="-13"/>
        </w:rPr>
        <w:t xml:space="preserve"> </w:t>
      </w:r>
      <w:r>
        <w:t>sürecinin</w:t>
      </w:r>
      <w:r>
        <w:rPr>
          <w:spacing w:val="-13"/>
        </w:rPr>
        <w:t xml:space="preserve"> </w:t>
      </w:r>
      <w:r>
        <w:t>ilk</w:t>
      </w:r>
      <w:r>
        <w:rPr>
          <w:spacing w:val="-13"/>
        </w:rPr>
        <w:t xml:space="preserve"> </w:t>
      </w:r>
      <w:r>
        <w:t>ve</w:t>
      </w:r>
      <w:r>
        <w:rPr>
          <w:spacing w:val="-14"/>
        </w:rPr>
        <w:t xml:space="preserve"> </w:t>
      </w:r>
      <w:r>
        <w:t>en</w:t>
      </w:r>
      <w:r>
        <w:rPr>
          <w:spacing w:val="-11"/>
        </w:rPr>
        <w:t xml:space="preserve"> </w:t>
      </w:r>
      <w:r>
        <w:t>önemli</w:t>
      </w:r>
      <w:r>
        <w:rPr>
          <w:spacing w:val="-11"/>
        </w:rPr>
        <w:t xml:space="preserve"> </w:t>
      </w:r>
      <w:r>
        <w:t>adımlarından</w:t>
      </w:r>
      <w:r>
        <w:rPr>
          <w:spacing w:val="-14"/>
        </w:rPr>
        <w:t xml:space="preserve"> </w:t>
      </w:r>
      <w:r>
        <w:t>biri olarak kabul edilir ve analizin ileri aşamaları için sağlam bir temel oluşturmaktadır.</w:t>
      </w:r>
    </w:p>
    <w:p w14:paraId="1571CEF2">
      <w:pPr>
        <w:pStyle w:val="9"/>
        <w:spacing w:line="360" w:lineRule="auto"/>
        <w:ind w:left="0"/>
        <w:jc w:val="left"/>
        <w:rPr>
          <w:b/>
        </w:rPr>
      </w:pPr>
      <w:r>
        <w:rPr>
          <w:b/>
        </w:rPr>
        <w:t>Tablo</w:t>
      </w:r>
      <w:r>
        <w:rPr>
          <w:b/>
          <w:spacing w:val="-2"/>
        </w:rPr>
        <w:t xml:space="preserve"> </w:t>
      </w:r>
      <w:r>
        <w:rPr>
          <w:b/>
        </w:rPr>
        <w:t>3.3.</w:t>
      </w:r>
      <w:r>
        <w:rPr>
          <w:b/>
          <w:spacing w:val="-1"/>
        </w:rPr>
        <w:t xml:space="preserve"> </w:t>
      </w:r>
      <w:r>
        <w:t>KMO</w:t>
      </w:r>
      <w:r>
        <w:rPr>
          <w:spacing w:val="-2"/>
        </w:rPr>
        <w:t xml:space="preserve"> </w:t>
      </w:r>
      <w:r>
        <w:t>ve Bartlett</w:t>
      </w:r>
      <w:r>
        <w:rPr>
          <w:spacing w:val="-1"/>
        </w:rPr>
        <w:t xml:space="preserve"> </w:t>
      </w:r>
      <w:r>
        <w:rPr>
          <w:spacing w:val="-2"/>
        </w:rPr>
        <w:t>Değerleri</w:t>
      </w:r>
    </w:p>
    <w:tbl>
      <w:tblPr>
        <w:tblStyle w:val="7"/>
        <w:tblW w:w="0" w:type="auto"/>
        <w:tblInd w:w="167" w:type="dxa"/>
        <w:tblLayout w:type="fixed"/>
        <w:tblCellMar>
          <w:top w:w="0" w:type="dxa"/>
          <w:left w:w="0" w:type="dxa"/>
          <w:bottom w:w="0" w:type="dxa"/>
          <w:right w:w="0" w:type="dxa"/>
        </w:tblCellMar>
      </w:tblPr>
      <w:tblGrid>
        <w:gridCol w:w="3002"/>
        <w:gridCol w:w="3185"/>
        <w:gridCol w:w="2597"/>
      </w:tblGrid>
      <w:tr w14:paraId="6CCB0BD6">
        <w:tblPrEx>
          <w:tblCellMar>
            <w:top w:w="0" w:type="dxa"/>
            <w:left w:w="0" w:type="dxa"/>
            <w:bottom w:w="0" w:type="dxa"/>
            <w:right w:w="0" w:type="dxa"/>
          </w:tblCellMar>
        </w:tblPrEx>
        <w:trPr>
          <w:trHeight w:val="230" w:hRule="atLeast"/>
        </w:trPr>
        <w:tc>
          <w:tcPr>
            <w:tcW w:w="3002" w:type="dxa"/>
            <w:tcBorders>
              <w:top w:val="single" w:color="000000" w:sz="2" w:space="0"/>
              <w:bottom w:val="single" w:color="000000" w:sz="2" w:space="0"/>
            </w:tcBorders>
          </w:tcPr>
          <w:p w14:paraId="3E4B1317">
            <w:pPr>
              <w:pStyle w:val="29"/>
              <w:spacing w:line="210" w:lineRule="exact"/>
              <w:ind w:left="60"/>
              <w:rPr>
                <w:sz w:val="20"/>
              </w:rPr>
            </w:pPr>
            <w:r>
              <w:rPr>
                <w:sz w:val="20"/>
              </w:rPr>
              <w:t>KMO</w:t>
            </w:r>
            <w:r>
              <w:rPr>
                <w:spacing w:val="-9"/>
                <w:sz w:val="20"/>
              </w:rPr>
              <w:t xml:space="preserve"> </w:t>
            </w:r>
            <w:r>
              <w:rPr>
                <w:sz w:val="20"/>
              </w:rPr>
              <w:t>Örnekleme</w:t>
            </w:r>
            <w:r>
              <w:rPr>
                <w:spacing w:val="-8"/>
                <w:sz w:val="20"/>
              </w:rPr>
              <w:t xml:space="preserve"> </w:t>
            </w:r>
            <w:r>
              <w:rPr>
                <w:spacing w:val="-2"/>
                <w:sz w:val="20"/>
              </w:rPr>
              <w:t>Yeterliği</w:t>
            </w:r>
          </w:p>
        </w:tc>
        <w:tc>
          <w:tcPr>
            <w:tcW w:w="3185" w:type="dxa"/>
            <w:tcBorders>
              <w:top w:val="single" w:color="000000" w:sz="2" w:space="0"/>
              <w:bottom w:val="single" w:color="000000" w:sz="2" w:space="0"/>
            </w:tcBorders>
          </w:tcPr>
          <w:p w14:paraId="0A286D21">
            <w:pPr>
              <w:pStyle w:val="29"/>
              <w:rPr>
                <w:sz w:val="16"/>
              </w:rPr>
            </w:pPr>
          </w:p>
        </w:tc>
        <w:tc>
          <w:tcPr>
            <w:tcW w:w="2597" w:type="dxa"/>
            <w:tcBorders>
              <w:top w:val="single" w:color="000000" w:sz="2" w:space="0"/>
              <w:bottom w:val="single" w:color="000000" w:sz="2" w:space="0"/>
            </w:tcBorders>
          </w:tcPr>
          <w:p w14:paraId="3BE112BA">
            <w:pPr>
              <w:pStyle w:val="29"/>
              <w:spacing w:line="210" w:lineRule="exact"/>
              <w:ind w:right="56"/>
              <w:jc w:val="right"/>
              <w:rPr>
                <w:sz w:val="20"/>
              </w:rPr>
            </w:pPr>
            <w:r>
              <w:rPr>
                <w:spacing w:val="-2"/>
                <w:sz w:val="20"/>
              </w:rPr>
              <w:t>0.918</w:t>
            </w:r>
          </w:p>
        </w:tc>
      </w:tr>
      <w:tr w14:paraId="386B2D82">
        <w:tblPrEx>
          <w:tblCellMar>
            <w:top w:w="0" w:type="dxa"/>
            <w:left w:w="0" w:type="dxa"/>
            <w:bottom w:w="0" w:type="dxa"/>
            <w:right w:w="0" w:type="dxa"/>
          </w:tblCellMar>
        </w:tblPrEx>
        <w:trPr>
          <w:trHeight w:val="227" w:hRule="atLeast"/>
        </w:trPr>
        <w:tc>
          <w:tcPr>
            <w:tcW w:w="3002" w:type="dxa"/>
            <w:tcBorders>
              <w:top w:val="single" w:color="000000" w:sz="2" w:space="0"/>
            </w:tcBorders>
          </w:tcPr>
          <w:p w14:paraId="2BC03832">
            <w:pPr>
              <w:pStyle w:val="29"/>
              <w:rPr>
                <w:sz w:val="16"/>
              </w:rPr>
            </w:pPr>
          </w:p>
        </w:tc>
        <w:tc>
          <w:tcPr>
            <w:tcW w:w="3185" w:type="dxa"/>
            <w:tcBorders>
              <w:top w:val="single" w:color="000000" w:sz="2" w:space="0"/>
            </w:tcBorders>
          </w:tcPr>
          <w:p w14:paraId="33CFF203">
            <w:pPr>
              <w:pStyle w:val="29"/>
              <w:spacing w:line="208" w:lineRule="exact"/>
              <w:ind w:left="747"/>
              <w:rPr>
                <w:sz w:val="20"/>
              </w:rPr>
            </w:pPr>
            <w:r>
              <w:rPr>
                <w:spacing w:val="-2"/>
                <w:sz w:val="20"/>
              </w:rPr>
              <w:t>Ki-</w:t>
            </w:r>
            <w:r>
              <w:rPr>
                <w:spacing w:val="-4"/>
                <w:sz w:val="20"/>
              </w:rPr>
              <w:t>Kare</w:t>
            </w:r>
          </w:p>
        </w:tc>
        <w:tc>
          <w:tcPr>
            <w:tcW w:w="2597" w:type="dxa"/>
            <w:tcBorders>
              <w:top w:val="single" w:color="000000" w:sz="2" w:space="0"/>
            </w:tcBorders>
          </w:tcPr>
          <w:p w14:paraId="67A253D1">
            <w:pPr>
              <w:pStyle w:val="29"/>
              <w:spacing w:line="208" w:lineRule="exact"/>
              <w:ind w:right="56"/>
              <w:jc w:val="right"/>
              <w:rPr>
                <w:sz w:val="20"/>
              </w:rPr>
            </w:pPr>
            <w:r>
              <w:rPr>
                <w:spacing w:val="-2"/>
                <w:sz w:val="20"/>
              </w:rPr>
              <w:t>4462.544</w:t>
            </w:r>
          </w:p>
        </w:tc>
      </w:tr>
      <w:tr w14:paraId="606099A4">
        <w:tblPrEx>
          <w:tblCellMar>
            <w:top w:w="0" w:type="dxa"/>
            <w:left w:w="0" w:type="dxa"/>
            <w:bottom w:w="0" w:type="dxa"/>
            <w:right w:w="0" w:type="dxa"/>
          </w:tblCellMar>
        </w:tblPrEx>
        <w:trPr>
          <w:trHeight w:val="229" w:hRule="atLeast"/>
        </w:trPr>
        <w:tc>
          <w:tcPr>
            <w:tcW w:w="3002" w:type="dxa"/>
          </w:tcPr>
          <w:p w14:paraId="36D1435C">
            <w:pPr>
              <w:pStyle w:val="29"/>
              <w:spacing w:line="209" w:lineRule="exact"/>
              <w:ind w:left="60"/>
              <w:rPr>
                <w:sz w:val="20"/>
              </w:rPr>
            </w:pPr>
            <w:r>
              <w:rPr>
                <w:sz w:val="20"/>
              </w:rPr>
              <w:t>Bartlett's</w:t>
            </w:r>
            <w:r>
              <w:rPr>
                <w:spacing w:val="-5"/>
                <w:sz w:val="20"/>
              </w:rPr>
              <w:t xml:space="preserve"> </w:t>
            </w:r>
            <w:r>
              <w:rPr>
                <w:sz w:val="20"/>
              </w:rPr>
              <w:t>Test</w:t>
            </w:r>
            <w:r>
              <w:rPr>
                <w:spacing w:val="-4"/>
                <w:sz w:val="20"/>
              </w:rPr>
              <w:t xml:space="preserve"> </w:t>
            </w:r>
            <w:r>
              <w:rPr>
                <w:sz w:val="20"/>
              </w:rPr>
              <w:t>of</w:t>
            </w:r>
            <w:r>
              <w:rPr>
                <w:spacing w:val="-6"/>
                <w:sz w:val="20"/>
              </w:rPr>
              <w:t xml:space="preserve"> </w:t>
            </w:r>
            <w:r>
              <w:rPr>
                <w:spacing w:val="-2"/>
                <w:sz w:val="20"/>
              </w:rPr>
              <w:t>Sphericity</w:t>
            </w:r>
          </w:p>
        </w:tc>
        <w:tc>
          <w:tcPr>
            <w:tcW w:w="3185" w:type="dxa"/>
          </w:tcPr>
          <w:p w14:paraId="4306C7DD">
            <w:pPr>
              <w:pStyle w:val="29"/>
              <w:spacing w:line="209" w:lineRule="exact"/>
              <w:ind w:left="747"/>
              <w:rPr>
                <w:sz w:val="20"/>
              </w:rPr>
            </w:pPr>
            <w:r>
              <w:rPr>
                <w:spacing w:val="-5"/>
                <w:sz w:val="20"/>
              </w:rPr>
              <w:t>Sd</w:t>
            </w:r>
          </w:p>
        </w:tc>
        <w:tc>
          <w:tcPr>
            <w:tcW w:w="2597" w:type="dxa"/>
          </w:tcPr>
          <w:p w14:paraId="153126E2">
            <w:pPr>
              <w:pStyle w:val="29"/>
              <w:spacing w:line="209" w:lineRule="exact"/>
              <w:ind w:right="56"/>
              <w:jc w:val="right"/>
              <w:rPr>
                <w:sz w:val="20"/>
              </w:rPr>
            </w:pPr>
            <w:r>
              <w:rPr>
                <w:spacing w:val="-5"/>
                <w:sz w:val="20"/>
              </w:rPr>
              <w:t>946</w:t>
            </w:r>
          </w:p>
        </w:tc>
      </w:tr>
      <w:tr w14:paraId="4D6356D7">
        <w:tblPrEx>
          <w:tblCellMar>
            <w:top w:w="0" w:type="dxa"/>
            <w:left w:w="0" w:type="dxa"/>
            <w:bottom w:w="0" w:type="dxa"/>
            <w:right w:w="0" w:type="dxa"/>
          </w:tblCellMar>
        </w:tblPrEx>
        <w:trPr>
          <w:trHeight w:val="231" w:hRule="atLeast"/>
        </w:trPr>
        <w:tc>
          <w:tcPr>
            <w:tcW w:w="3002" w:type="dxa"/>
            <w:tcBorders>
              <w:bottom w:val="single" w:color="000000" w:sz="2" w:space="0"/>
            </w:tcBorders>
          </w:tcPr>
          <w:p w14:paraId="4983FE60">
            <w:pPr>
              <w:pStyle w:val="29"/>
              <w:rPr>
                <w:sz w:val="16"/>
              </w:rPr>
            </w:pPr>
          </w:p>
        </w:tc>
        <w:tc>
          <w:tcPr>
            <w:tcW w:w="3185" w:type="dxa"/>
            <w:tcBorders>
              <w:bottom w:val="single" w:color="000000" w:sz="2" w:space="0"/>
            </w:tcBorders>
          </w:tcPr>
          <w:p w14:paraId="08C56777">
            <w:pPr>
              <w:pStyle w:val="29"/>
              <w:spacing w:line="212" w:lineRule="exact"/>
              <w:ind w:left="747"/>
              <w:rPr>
                <w:sz w:val="20"/>
              </w:rPr>
            </w:pPr>
            <w:r>
              <w:rPr>
                <w:w w:val="99"/>
                <w:sz w:val="20"/>
              </w:rPr>
              <w:t>P</w:t>
            </w:r>
          </w:p>
        </w:tc>
        <w:tc>
          <w:tcPr>
            <w:tcW w:w="2597" w:type="dxa"/>
            <w:tcBorders>
              <w:bottom w:val="single" w:color="000000" w:sz="2" w:space="0"/>
            </w:tcBorders>
          </w:tcPr>
          <w:p w14:paraId="27481671">
            <w:pPr>
              <w:pStyle w:val="29"/>
              <w:spacing w:line="212" w:lineRule="exact"/>
              <w:ind w:right="56"/>
              <w:jc w:val="right"/>
              <w:rPr>
                <w:sz w:val="20"/>
              </w:rPr>
            </w:pPr>
            <w:r>
              <w:rPr>
                <w:spacing w:val="-2"/>
                <w:sz w:val="20"/>
              </w:rPr>
              <w:t>0.000</w:t>
            </w:r>
          </w:p>
        </w:tc>
      </w:tr>
    </w:tbl>
    <w:p w14:paraId="4CADDCD8">
      <w:pPr>
        <w:pStyle w:val="9"/>
        <w:spacing w:before="120" w:after="120" w:line="360" w:lineRule="auto"/>
        <w:ind w:left="0" w:firstLine="567"/>
      </w:pPr>
      <w:r>
        <w:t>Tablo 3.1'de sunulan Kaiser-Meyer-Olkin (KMO) ve Bartlett Testi değerlerinin analizi, Sanal Rekreasyon Ölçeği'nin faktör analizine uygunluğunu ortaya koymaktadır. Ölçeğin KMO örnekleme yeterliliği değeri 0.918 olarak hesaplanmıştır; bu değer, ölçeğin faktör analizine</w:t>
      </w:r>
      <w:r>
        <w:rPr>
          <w:spacing w:val="-2"/>
        </w:rPr>
        <w:t xml:space="preserve"> </w:t>
      </w:r>
      <w:r>
        <w:t>mükemmel</w:t>
      </w:r>
      <w:r>
        <w:rPr>
          <w:spacing w:val="-2"/>
        </w:rPr>
        <w:t xml:space="preserve"> </w:t>
      </w:r>
      <w:r>
        <w:t>düzeyde</w:t>
      </w:r>
      <w:r>
        <w:rPr>
          <w:spacing w:val="-3"/>
        </w:rPr>
        <w:t xml:space="preserve"> </w:t>
      </w:r>
      <w:r>
        <w:t>uygun</w:t>
      </w:r>
      <w:r>
        <w:rPr>
          <w:spacing w:val="-2"/>
        </w:rPr>
        <w:t xml:space="preserve"> </w:t>
      </w:r>
      <w:r>
        <w:t>olduğunu gösterir.</w:t>
      </w:r>
      <w:r>
        <w:rPr>
          <w:spacing w:val="-3"/>
        </w:rPr>
        <w:t xml:space="preserve"> </w:t>
      </w:r>
      <w:r>
        <w:t>Şencan (2005)</w:t>
      </w:r>
      <w:r>
        <w:rPr>
          <w:spacing w:val="-3"/>
        </w:rPr>
        <w:t xml:space="preserve"> </w:t>
      </w:r>
      <w:r>
        <w:t>tarafından</w:t>
      </w:r>
      <w:r>
        <w:rPr>
          <w:spacing w:val="-2"/>
        </w:rPr>
        <w:t xml:space="preserve"> </w:t>
      </w:r>
      <w:r>
        <w:t>belirtilen üzere, KMO değeri 0.90 ve üzeri olması, mükemmel düzeyde uygunluk olarak kabul edilmektedir. Ayrıca, Bartlett Testi'nin anlamlılık değeri (p &lt; 0.05) 0.000 olarak bulunmuştur, bu da veri setindeki değişkenler arasında anlamlı bir ilişkinin olduğunu göstermektedir. Bu sonuçlar, ölçeğin faktör analizi için gerekli olan iki temel koşulu karşıladığını göstermektedir: Birincisi, KMO örnekleme yeterliliği yüksek bir değere</w:t>
      </w:r>
      <w:r>
        <w:rPr>
          <w:spacing w:val="-2"/>
        </w:rPr>
        <w:t xml:space="preserve"> </w:t>
      </w:r>
      <w:r>
        <w:t xml:space="preserve">sahip olması, bu da veri setindeki değişkenlerin birbirleriyle yeterince ilişkili olduğunu ve faktör </w:t>
      </w:r>
      <w:r>
        <w:rPr>
          <w:spacing w:val="-2"/>
        </w:rPr>
        <w:t>analizi</w:t>
      </w:r>
      <w:r>
        <w:rPr>
          <w:spacing w:val="-3"/>
        </w:rPr>
        <w:t xml:space="preserve"> </w:t>
      </w:r>
      <w:r>
        <w:rPr>
          <w:spacing w:val="-2"/>
        </w:rPr>
        <w:t>için uygun olduğunu işaret</w:t>
      </w:r>
      <w:r>
        <w:rPr>
          <w:spacing w:val="-1"/>
        </w:rPr>
        <w:t xml:space="preserve"> </w:t>
      </w:r>
      <w:r>
        <w:rPr>
          <w:spacing w:val="-2"/>
        </w:rPr>
        <w:t>etmektedir.</w:t>
      </w:r>
      <w:r>
        <w:rPr>
          <w:spacing w:val="1"/>
        </w:rPr>
        <w:t xml:space="preserve"> </w:t>
      </w:r>
      <w:r>
        <w:rPr>
          <w:spacing w:val="-2"/>
        </w:rPr>
        <w:t>İkincisi, Bartlett</w:t>
      </w:r>
      <w:r>
        <w:rPr>
          <w:spacing w:val="-1"/>
        </w:rPr>
        <w:t xml:space="preserve"> </w:t>
      </w:r>
      <w:r>
        <w:rPr>
          <w:spacing w:val="-2"/>
        </w:rPr>
        <w:t>Testi'nin</w:t>
      </w:r>
      <w:r>
        <w:rPr>
          <w:spacing w:val="2"/>
        </w:rPr>
        <w:t xml:space="preserve"> </w:t>
      </w:r>
      <w:r>
        <w:rPr>
          <w:spacing w:val="-2"/>
        </w:rPr>
        <w:t>anlamlı</w:t>
      </w:r>
      <w:r>
        <w:rPr>
          <w:spacing w:val="-1"/>
        </w:rPr>
        <w:t xml:space="preserve"> </w:t>
      </w:r>
      <w:r>
        <w:rPr>
          <w:spacing w:val="-2"/>
        </w:rPr>
        <w:t>sonucu,</w:t>
      </w:r>
      <w:r>
        <w:rPr>
          <w:spacing w:val="-1"/>
        </w:rPr>
        <w:t xml:space="preserve"> </w:t>
      </w:r>
      <w:r>
        <w:rPr>
          <w:spacing w:val="-4"/>
        </w:rPr>
        <w:t>veri</w:t>
      </w:r>
      <w:r>
        <w:t xml:space="preserve"> setinin faktör analizi yapmaya uygun olduğunu desteklemektedir. Bu bulgular, ölçeğin faktör analizine uygunluğunu ve dolayısıyla analizin geçerli sonuçlar üretebileceğini göstermektedir. Bunun yanı sıra, korelasyon matrisinde yer alan Measure of Sampling Adequacy</w:t>
      </w:r>
      <w:r>
        <w:rPr>
          <w:spacing w:val="-15"/>
        </w:rPr>
        <w:t xml:space="preserve"> </w:t>
      </w:r>
      <w:r>
        <w:t>(MSA)</w:t>
      </w:r>
      <w:r>
        <w:rPr>
          <w:spacing w:val="-15"/>
        </w:rPr>
        <w:t xml:space="preserve"> </w:t>
      </w:r>
      <w:r>
        <w:t>değerlerinin</w:t>
      </w:r>
      <w:r>
        <w:rPr>
          <w:spacing w:val="-15"/>
        </w:rPr>
        <w:t xml:space="preserve"> </w:t>
      </w:r>
      <w:r>
        <w:t>50'den</w:t>
      </w:r>
      <w:r>
        <w:rPr>
          <w:spacing w:val="-14"/>
        </w:rPr>
        <w:t xml:space="preserve"> </w:t>
      </w:r>
      <w:r>
        <w:t>büyük</w:t>
      </w:r>
      <w:r>
        <w:rPr>
          <w:spacing w:val="-14"/>
        </w:rPr>
        <w:t xml:space="preserve"> </w:t>
      </w:r>
      <w:r>
        <w:t>olması,</w:t>
      </w:r>
      <w:r>
        <w:rPr>
          <w:spacing w:val="-13"/>
        </w:rPr>
        <w:t xml:space="preserve"> </w:t>
      </w:r>
      <w:r>
        <w:t>ölçeğin</w:t>
      </w:r>
      <w:r>
        <w:rPr>
          <w:spacing w:val="-14"/>
        </w:rPr>
        <w:t xml:space="preserve"> </w:t>
      </w:r>
      <w:r>
        <w:t>maddelerinin</w:t>
      </w:r>
      <w:r>
        <w:rPr>
          <w:spacing w:val="-14"/>
        </w:rPr>
        <w:t xml:space="preserve"> </w:t>
      </w:r>
      <w:r>
        <w:t>faktör</w:t>
      </w:r>
      <w:r>
        <w:rPr>
          <w:spacing w:val="-15"/>
        </w:rPr>
        <w:t xml:space="preserve"> </w:t>
      </w:r>
      <w:r>
        <w:t>analizi</w:t>
      </w:r>
      <w:r>
        <w:rPr>
          <w:spacing w:val="-14"/>
        </w:rPr>
        <w:t xml:space="preserve"> </w:t>
      </w:r>
      <w:r>
        <w:t>için yeterli örnekleme yeterliliğine sahip olduğunu göstermektedir. Bu istatistiksel analizlerin sonuçları, ölçeğin faktör yapısının daha detaylı bir şekilde incelenmesine ve güvenirlik analizlerine</w:t>
      </w:r>
      <w:r>
        <w:rPr>
          <w:spacing w:val="-3"/>
        </w:rPr>
        <w:t xml:space="preserve"> </w:t>
      </w:r>
      <w:r>
        <w:t>geçiş</w:t>
      </w:r>
      <w:r>
        <w:rPr>
          <w:spacing w:val="-2"/>
        </w:rPr>
        <w:t xml:space="preserve"> </w:t>
      </w:r>
      <w:r>
        <w:t>için</w:t>
      </w:r>
      <w:r>
        <w:rPr>
          <w:spacing w:val="-2"/>
        </w:rPr>
        <w:t xml:space="preserve"> </w:t>
      </w:r>
      <w:r>
        <w:t>gerekli</w:t>
      </w:r>
      <w:r>
        <w:rPr>
          <w:spacing w:val="-2"/>
        </w:rPr>
        <w:t xml:space="preserve"> </w:t>
      </w:r>
      <w:r>
        <w:t>bilgi</w:t>
      </w:r>
      <w:r>
        <w:rPr>
          <w:spacing w:val="-2"/>
        </w:rPr>
        <w:t xml:space="preserve"> </w:t>
      </w:r>
      <w:r>
        <w:t>ve</w:t>
      </w:r>
      <w:r>
        <w:rPr>
          <w:spacing w:val="-3"/>
        </w:rPr>
        <w:t xml:space="preserve"> </w:t>
      </w:r>
      <w:r>
        <w:t>güvenilirliği</w:t>
      </w:r>
      <w:r>
        <w:rPr>
          <w:spacing w:val="-1"/>
        </w:rPr>
        <w:t xml:space="preserve"> </w:t>
      </w:r>
      <w:r>
        <w:t>sağlamaktadır.</w:t>
      </w:r>
      <w:r>
        <w:rPr>
          <w:spacing w:val="-3"/>
        </w:rPr>
        <w:t xml:space="preserve"> </w:t>
      </w:r>
      <w:r>
        <w:t>Dolayısıyla,</w:t>
      </w:r>
      <w:r>
        <w:rPr>
          <w:spacing w:val="-2"/>
        </w:rPr>
        <w:t xml:space="preserve"> </w:t>
      </w:r>
      <w:r>
        <w:t>bu</w:t>
      </w:r>
      <w:r>
        <w:rPr>
          <w:spacing w:val="-2"/>
        </w:rPr>
        <w:t xml:space="preserve"> </w:t>
      </w:r>
      <w:r>
        <w:t xml:space="preserve">bulgular, ölçeğin yapısal geçerliliğinin ve güvenirliğinin değerlendirilmesinde önemli bir rol </w:t>
      </w:r>
      <w:r>
        <w:rPr>
          <w:spacing w:val="-2"/>
        </w:rPr>
        <w:t>oynamaktadır.</w:t>
      </w:r>
    </w:p>
    <w:p w14:paraId="116F5ACA">
      <w:pPr>
        <w:pStyle w:val="9"/>
        <w:spacing w:before="120" w:after="120" w:line="360" w:lineRule="auto"/>
        <w:ind w:left="0" w:firstLine="567"/>
      </w:pPr>
      <w:r>
        <w:t>Faktör analizi sürecinde, maddelerin faktör yük değerleri kritik bir öneme sahiptir. Büyüköztürk,</w:t>
      </w:r>
      <w:r>
        <w:rPr>
          <w:spacing w:val="29"/>
        </w:rPr>
        <w:t xml:space="preserve"> </w:t>
      </w:r>
      <w:r>
        <w:t>Çakmak,</w:t>
      </w:r>
      <w:r>
        <w:rPr>
          <w:spacing w:val="30"/>
        </w:rPr>
        <w:t xml:space="preserve"> </w:t>
      </w:r>
      <w:r>
        <w:t>Akgün,</w:t>
      </w:r>
      <w:r>
        <w:rPr>
          <w:spacing w:val="31"/>
        </w:rPr>
        <w:t xml:space="preserve"> </w:t>
      </w:r>
      <w:r>
        <w:t>Karadeniz</w:t>
      </w:r>
      <w:r>
        <w:rPr>
          <w:spacing w:val="33"/>
        </w:rPr>
        <w:t xml:space="preserve"> </w:t>
      </w:r>
      <w:r>
        <w:t>ve</w:t>
      </w:r>
      <w:r>
        <w:rPr>
          <w:spacing w:val="31"/>
        </w:rPr>
        <w:t xml:space="preserve"> </w:t>
      </w:r>
      <w:r>
        <w:t>Demirel</w:t>
      </w:r>
      <w:r>
        <w:rPr>
          <w:spacing w:val="31"/>
        </w:rPr>
        <w:t xml:space="preserve"> </w:t>
      </w:r>
      <w:r>
        <w:t>(2013)</w:t>
      </w:r>
      <w:r>
        <w:rPr>
          <w:spacing w:val="30"/>
        </w:rPr>
        <w:t xml:space="preserve"> </w:t>
      </w:r>
      <w:r>
        <w:t>tarafından</w:t>
      </w:r>
      <w:r>
        <w:rPr>
          <w:spacing w:val="33"/>
        </w:rPr>
        <w:t xml:space="preserve"> </w:t>
      </w:r>
      <w:r>
        <w:t>belirtilen</w:t>
      </w:r>
      <w:r>
        <w:rPr>
          <w:spacing w:val="32"/>
        </w:rPr>
        <w:t xml:space="preserve"> </w:t>
      </w:r>
      <w:r>
        <w:rPr>
          <w:spacing w:val="-2"/>
        </w:rPr>
        <w:t>üzere,</w:t>
      </w:r>
      <w:r>
        <w:t xml:space="preserve"> 0.30</w:t>
      </w:r>
      <w:r>
        <w:rPr>
          <w:spacing w:val="19"/>
        </w:rPr>
        <w:t xml:space="preserve"> </w:t>
      </w:r>
      <w:r>
        <w:t>ve</w:t>
      </w:r>
      <w:r>
        <w:rPr>
          <w:spacing w:val="21"/>
        </w:rPr>
        <w:t xml:space="preserve"> </w:t>
      </w:r>
      <w:r>
        <w:t>üzerindeki</w:t>
      </w:r>
      <w:r>
        <w:rPr>
          <w:spacing w:val="23"/>
        </w:rPr>
        <w:t xml:space="preserve"> </w:t>
      </w:r>
      <w:r>
        <w:t>faktör</w:t>
      </w:r>
      <w:r>
        <w:rPr>
          <w:spacing w:val="24"/>
        </w:rPr>
        <w:t xml:space="preserve"> </w:t>
      </w:r>
      <w:r>
        <w:t>yük</w:t>
      </w:r>
      <w:r>
        <w:rPr>
          <w:spacing w:val="24"/>
        </w:rPr>
        <w:t xml:space="preserve"> </w:t>
      </w:r>
      <w:r>
        <w:t>değerlerine</w:t>
      </w:r>
      <w:r>
        <w:rPr>
          <w:spacing w:val="21"/>
        </w:rPr>
        <w:t xml:space="preserve"> </w:t>
      </w:r>
      <w:r>
        <w:t>sahip</w:t>
      </w:r>
      <w:r>
        <w:rPr>
          <w:spacing w:val="25"/>
        </w:rPr>
        <w:t xml:space="preserve"> </w:t>
      </w:r>
      <w:r>
        <w:t>maddeler</w:t>
      </w:r>
      <w:r>
        <w:rPr>
          <w:spacing w:val="21"/>
        </w:rPr>
        <w:t xml:space="preserve"> </w:t>
      </w:r>
      <w:r>
        <w:t>iyi</w:t>
      </w:r>
      <w:r>
        <w:rPr>
          <w:spacing w:val="23"/>
        </w:rPr>
        <w:t xml:space="preserve"> </w:t>
      </w:r>
      <w:r>
        <w:t>bir</w:t>
      </w:r>
      <w:r>
        <w:rPr>
          <w:spacing w:val="22"/>
        </w:rPr>
        <w:t xml:space="preserve"> </w:t>
      </w:r>
      <w:r>
        <w:t>ayırt</w:t>
      </w:r>
      <w:r>
        <w:rPr>
          <w:spacing w:val="22"/>
        </w:rPr>
        <w:t xml:space="preserve"> </w:t>
      </w:r>
      <w:r>
        <w:t>ediciliğe</w:t>
      </w:r>
      <w:r>
        <w:rPr>
          <w:spacing w:val="21"/>
        </w:rPr>
        <w:t xml:space="preserve"> </w:t>
      </w:r>
      <w:r>
        <w:rPr>
          <w:spacing w:val="-2"/>
        </w:rPr>
        <w:t>sahipken,</w:t>
      </w:r>
      <w:r>
        <w:t xml:space="preserve"> 0.40 ve üzerindeki değerler maddelerin çok iyi olduğunu işaret etmektedir. Bu kriterlere dayanarak, ilk faktör analizi döndürmesinde 0.40'ın altında hiçbir madde kalmadığından, ölçekten herhangi bir madde çıkarılmamıştır. Bu adım, faktör analizinde aynı yapıyı ölçmeyen maddelerin ayıklanması ve ölçeğin daha temiz bir faktör yapısına kavuşması açısından büyük önem taşımaktadır.</w:t>
      </w:r>
    </w:p>
    <w:p w14:paraId="5F5A7C89">
      <w:pPr>
        <w:pStyle w:val="9"/>
        <w:spacing w:before="120" w:after="120" w:line="360" w:lineRule="auto"/>
        <w:ind w:left="0" w:firstLine="567"/>
      </w:pPr>
      <w:r>
        <w:t>Açımlayıcı faktör analizi (EFA) sonuçları, verilerin önerilen tek faktörlü çözümü desteklediğini, 44 orijinal maddenin korunduğu tek faktör yapısının uygun olduğunu göstermiştir. Her faktöre karşılık gelen maddelerle nihai faktör düzeni, Tablo 3.2'de sunulmuştur. Faktör sayısına karar vermede kullanılan Kaiser-Guttman kriterine göre, özdeğerleri 1'den büyük olan tek bir faktör seçilmiştir. Bu faktörün özdeğeri belirtilmemiş olup, toplamda varyansın %51.28' sini açıklamaktadır. Tablo 3.2, bu faktörün madde sayılarını,</w:t>
      </w:r>
      <w:r>
        <w:rPr>
          <w:spacing w:val="-10"/>
        </w:rPr>
        <w:t xml:space="preserve"> </w:t>
      </w:r>
      <w:r>
        <w:t>özdeğerlerini</w:t>
      </w:r>
      <w:r>
        <w:rPr>
          <w:spacing w:val="-8"/>
        </w:rPr>
        <w:t xml:space="preserve"> </w:t>
      </w:r>
      <w:r>
        <w:t>ve</w:t>
      </w:r>
      <w:r>
        <w:rPr>
          <w:spacing w:val="-8"/>
        </w:rPr>
        <w:t xml:space="preserve"> </w:t>
      </w:r>
      <w:r>
        <w:t>açıklanan</w:t>
      </w:r>
      <w:r>
        <w:rPr>
          <w:spacing w:val="-8"/>
        </w:rPr>
        <w:t xml:space="preserve"> </w:t>
      </w:r>
      <w:r>
        <w:t>varyans</w:t>
      </w:r>
      <w:r>
        <w:rPr>
          <w:spacing w:val="-4"/>
        </w:rPr>
        <w:t xml:space="preserve"> </w:t>
      </w:r>
      <w:r>
        <w:t>yüzdelerini</w:t>
      </w:r>
      <w:r>
        <w:rPr>
          <w:spacing w:val="-8"/>
        </w:rPr>
        <w:t xml:space="preserve"> </w:t>
      </w:r>
      <w:r>
        <w:t>detaylı</w:t>
      </w:r>
      <w:r>
        <w:rPr>
          <w:spacing w:val="-7"/>
        </w:rPr>
        <w:t xml:space="preserve"> </w:t>
      </w:r>
      <w:r>
        <w:t>bir</w:t>
      </w:r>
      <w:r>
        <w:rPr>
          <w:spacing w:val="-9"/>
        </w:rPr>
        <w:t xml:space="preserve"> </w:t>
      </w:r>
      <w:r>
        <w:t>şekilde</w:t>
      </w:r>
      <w:r>
        <w:rPr>
          <w:spacing w:val="-8"/>
        </w:rPr>
        <w:t xml:space="preserve"> </w:t>
      </w:r>
      <w:r>
        <w:rPr>
          <w:spacing w:val="-2"/>
        </w:rPr>
        <w:t>göstermektedir.</w:t>
      </w:r>
    </w:p>
    <w:p w14:paraId="4CE128B8">
      <w:pPr>
        <w:spacing w:line="360" w:lineRule="auto"/>
        <w:rPr>
          <w:sz w:val="24"/>
        </w:rPr>
      </w:pPr>
      <w:r>
        <w:rPr>
          <w:b/>
          <w:sz w:val="24"/>
          <w:szCs w:val="24"/>
        </w:rPr>
        <w:t>Tablo</w:t>
      </w:r>
      <w:r>
        <w:rPr>
          <w:b/>
          <w:spacing w:val="-1"/>
          <w:sz w:val="24"/>
          <w:szCs w:val="24"/>
        </w:rPr>
        <w:t xml:space="preserve"> </w:t>
      </w:r>
      <w:r>
        <w:rPr>
          <w:b/>
          <w:sz w:val="24"/>
          <w:szCs w:val="24"/>
        </w:rPr>
        <w:t>3.4.</w:t>
      </w:r>
      <w:r>
        <w:rPr>
          <w:b/>
          <w:spacing w:val="-1"/>
          <w:sz w:val="24"/>
        </w:rPr>
        <w:t xml:space="preserve"> </w:t>
      </w:r>
      <w:r>
        <w:rPr>
          <w:sz w:val="24"/>
          <w:szCs w:val="24"/>
        </w:rPr>
        <w:t>Faktör</w:t>
      </w:r>
      <w:r>
        <w:rPr>
          <w:spacing w:val="-1"/>
          <w:sz w:val="24"/>
          <w:szCs w:val="24"/>
        </w:rPr>
        <w:t xml:space="preserve"> </w:t>
      </w:r>
      <w:r>
        <w:rPr>
          <w:sz w:val="24"/>
          <w:szCs w:val="24"/>
        </w:rPr>
        <w:t>Analizi</w:t>
      </w:r>
      <w:r>
        <w:rPr>
          <w:spacing w:val="-1"/>
          <w:sz w:val="24"/>
          <w:szCs w:val="24"/>
        </w:rPr>
        <w:t xml:space="preserve"> </w:t>
      </w:r>
      <w:r>
        <w:rPr>
          <w:spacing w:val="-2"/>
          <w:sz w:val="24"/>
          <w:szCs w:val="24"/>
        </w:rPr>
        <w:t>Sonuçları</w:t>
      </w:r>
    </w:p>
    <w:p w14:paraId="5A4EE29A">
      <w:pPr>
        <w:pStyle w:val="9"/>
        <w:spacing w:before="8"/>
        <w:ind w:left="0"/>
        <w:jc w:val="left"/>
        <w:rPr>
          <w:sz w:val="29"/>
        </w:rPr>
      </w:pPr>
    </w:p>
    <w:tbl>
      <w:tblPr>
        <w:tblStyle w:val="7"/>
        <w:tblW w:w="0" w:type="auto"/>
        <w:tblInd w:w="153" w:type="dxa"/>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Layout w:type="fixed"/>
        <w:tblCellMar>
          <w:top w:w="0" w:type="dxa"/>
          <w:left w:w="0" w:type="dxa"/>
          <w:bottom w:w="0" w:type="dxa"/>
          <w:right w:w="0" w:type="dxa"/>
        </w:tblCellMar>
      </w:tblPr>
      <w:tblGrid>
        <w:gridCol w:w="866"/>
        <w:gridCol w:w="6236"/>
        <w:gridCol w:w="851"/>
        <w:gridCol w:w="849"/>
      </w:tblGrid>
      <w:tr w14:paraId="2A7AD22D">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830" w:hRule="atLeast"/>
        </w:trPr>
        <w:tc>
          <w:tcPr>
            <w:tcW w:w="866" w:type="dxa"/>
            <w:vMerge w:val="restart"/>
            <w:tcBorders>
              <w:left w:val="nil"/>
              <w:bottom w:val="single" w:color="000000" w:sz="4" w:space="0"/>
              <w:right w:val="single" w:color="000000" w:sz="4" w:space="0"/>
            </w:tcBorders>
          </w:tcPr>
          <w:p w14:paraId="29FF29FD">
            <w:pPr>
              <w:pStyle w:val="29"/>
              <w:spacing w:before="2"/>
              <w:ind w:left="122" w:right="189"/>
              <w:rPr>
                <w:b/>
                <w:sz w:val="18"/>
              </w:rPr>
            </w:pPr>
            <w:r>
              <w:rPr>
                <w:b/>
                <w:spacing w:val="-2"/>
                <w:sz w:val="18"/>
              </w:rPr>
              <w:t xml:space="preserve">Madde </w:t>
            </w:r>
            <w:r>
              <w:rPr>
                <w:b/>
                <w:spacing w:val="-6"/>
                <w:sz w:val="18"/>
              </w:rPr>
              <w:t>No</w:t>
            </w:r>
          </w:p>
        </w:tc>
        <w:tc>
          <w:tcPr>
            <w:tcW w:w="6236" w:type="dxa"/>
            <w:vMerge w:val="restart"/>
            <w:tcBorders>
              <w:left w:val="single" w:color="000000" w:sz="4" w:space="0"/>
              <w:bottom w:val="single" w:color="000000" w:sz="4" w:space="0"/>
              <w:right w:val="single" w:color="000000" w:sz="4" w:space="0"/>
            </w:tcBorders>
          </w:tcPr>
          <w:p w14:paraId="2035F7A9">
            <w:pPr>
              <w:pStyle w:val="29"/>
              <w:spacing w:before="2"/>
              <w:ind w:left="100"/>
              <w:rPr>
                <w:b/>
                <w:sz w:val="18"/>
              </w:rPr>
            </w:pPr>
            <w:r>
              <w:rPr>
                <w:b/>
                <w:spacing w:val="-2"/>
                <w:sz w:val="18"/>
              </w:rPr>
              <w:t>Maddeler</w:t>
            </w:r>
          </w:p>
        </w:tc>
        <w:tc>
          <w:tcPr>
            <w:tcW w:w="851" w:type="dxa"/>
            <w:tcBorders>
              <w:left w:val="single" w:color="000000" w:sz="4" w:space="0"/>
              <w:bottom w:val="single" w:color="000000" w:sz="4" w:space="0"/>
              <w:right w:val="single" w:color="000000" w:sz="4" w:space="0"/>
            </w:tcBorders>
          </w:tcPr>
          <w:p w14:paraId="0CCAB0F1">
            <w:pPr>
              <w:pStyle w:val="29"/>
              <w:spacing w:before="2"/>
              <w:ind w:left="104"/>
              <w:rPr>
                <w:b/>
                <w:sz w:val="18"/>
              </w:rPr>
            </w:pPr>
            <w:r>
              <w:rPr>
                <w:b/>
                <w:spacing w:val="-2"/>
                <w:sz w:val="18"/>
              </w:rPr>
              <w:t>Faktör</w:t>
            </w:r>
          </w:p>
        </w:tc>
        <w:tc>
          <w:tcPr>
            <w:tcW w:w="849" w:type="dxa"/>
            <w:tcBorders>
              <w:left w:val="single" w:color="000000" w:sz="4" w:space="0"/>
              <w:bottom w:val="single" w:color="000000" w:sz="4" w:space="0"/>
              <w:right w:val="nil"/>
            </w:tcBorders>
          </w:tcPr>
          <w:p w14:paraId="2251CE8E">
            <w:pPr>
              <w:pStyle w:val="29"/>
              <w:spacing w:line="206" w:lineRule="exact"/>
              <w:ind w:left="102" w:right="150"/>
              <w:rPr>
                <w:sz w:val="18"/>
              </w:rPr>
            </w:pPr>
            <w:r>
              <w:rPr>
                <w:spacing w:val="-2"/>
                <w:sz w:val="18"/>
              </w:rPr>
              <w:t xml:space="preserve">Ortak </w:t>
            </w:r>
            <w:r>
              <w:rPr>
                <w:spacing w:val="-4"/>
                <w:sz w:val="18"/>
              </w:rPr>
              <w:t xml:space="preserve">Varyans </w:t>
            </w:r>
            <w:r>
              <w:rPr>
                <w:spacing w:val="-2"/>
                <w:sz w:val="18"/>
              </w:rPr>
              <w:t xml:space="preserve">Analizi </w:t>
            </w:r>
            <w:r>
              <w:rPr>
                <w:spacing w:val="-4"/>
                <w:sz w:val="18"/>
              </w:rPr>
              <w:t>(h2)</w:t>
            </w:r>
          </w:p>
        </w:tc>
      </w:tr>
      <w:tr w14:paraId="669426E5">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313" w:hRule="atLeast"/>
        </w:trPr>
        <w:tc>
          <w:tcPr>
            <w:tcW w:w="866" w:type="dxa"/>
            <w:vMerge w:val="continue"/>
            <w:tcBorders>
              <w:top w:val="nil"/>
              <w:left w:val="nil"/>
              <w:bottom w:val="single" w:color="000000" w:sz="4" w:space="0"/>
              <w:right w:val="single" w:color="000000" w:sz="4" w:space="0"/>
            </w:tcBorders>
          </w:tcPr>
          <w:p w14:paraId="0BA8BD05">
            <w:pPr>
              <w:rPr>
                <w:sz w:val="2"/>
                <w:szCs w:val="2"/>
              </w:rPr>
            </w:pPr>
          </w:p>
        </w:tc>
        <w:tc>
          <w:tcPr>
            <w:tcW w:w="6236" w:type="dxa"/>
            <w:vMerge w:val="continue"/>
            <w:tcBorders>
              <w:top w:val="nil"/>
              <w:left w:val="single" w:color="000000" w:sz="4" w:space="0"/>
              <w:bottom w:val="single" w:color="000000" w:sz="4" w:space="0"/>
              <w:right w:val="single" w:color="000000" w:sz="4" w:space="0"/>
            </w:tcBorders>
          </w:tcPr>
          <w:p w14:paraId="1CE4082E">
            <w:pPr>
              <w:rPr>
                <w:sz w:val="2"/>
                <w:szCs w:val="2"/>
              </w:rPr>
            </w:pPr>
          </w:p>
        </w:tc>
        <w:tc>
          <w:tcPr>
            <w:tcW w:w="851" w:type="dxa"/>
            <w:tcBorders>
              <w:top w:val="single" w:color="000000" w:sz="4" w:space="0"/>
              <w:left w:val="single" w:color="000000" w:sz="4" w:space="0"/>
              <w:bottom w:val="single" w:color="000000" w:sz="4" w:space="0"/>
              <w:right w:val="single" w:color="000000" w:sz="4" w:space="0"/>
            </w:tcBorders>
            <w:shd w:val="clear" w:color="auto" w:fill="ECECEC"/>
          </w:tcPr>
          <w:p w14:paraId="15C0B3F0">
            <w:pPr>
              <w:pStyle w:val="29"/>
              <w:spacing w:line="202" w:lineRule="exact"/>
              <w:ind w:left="104"/>
              <w:rPr>
                <w:sz w:val="18"/>
              </w:rPr>
            </w:pPr>
            <w:r>
              <w:rPr>
                <w:sz w:val="18"/>
              </w:rPr>
              <w:t>1</w:t>
            </w:r>
          </w:p>
        </w:tc>
        <w:tc>
          <w:tcPr>
            <w:tcW w:w="849" w:type="dxa"/>
            <w:tcBorders>
              <w:top w:val="single" w:color="000000" w:sz="4" w:space="0"/>
              <w:left w:val="single" w:color="000000" w:sz="4" w:space="0"/>
              <w:bottom w:val="single" w:color="000000" w:sz="4" w:space="0"/>
              <w:right w:val="nil"/>
            </w:tcBorders>
            <w:shd w:val="clear" w:color="auto" w:fill="ECECEC"/>
          </w:tcPr>
          <w:p w14:paraId="14691C21">
            <w:pPr>
              <w:pStyle w:val="29"/>
            </w:pPr>
          </w:p>
        </w:tc>
      </w:tr>
      <w:tr w14:paraId="0D30EDF0">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230" w:hRule="atLeast"/>
        </w:trPr>
        <w:tc>
          <w:tcPr>
            <w:tcW w:w="866" w:type="dxa"/>
            <w:tcBorders>
              <w:top w:val="single" w:color="000000" w:sz="4" w:space="0"/>
              <w:left w:val="nil"/>
              <w:right w:val="single" w:color="000000" w:sz="4" w:space="0"/>
            </w:tcBorders>
          </w:tcPr>
          <w:p w14:paraId="74E80031">
            <w:pPr>
              <w:pStyle w:val="29"/>
              <w:spacing w:line="207" w:lineRule="exact"/>
              <w:ind w:left="122"/>
              <w:rPr>
                <w:b/>
                <w:sz w:val="18"/>
              </w:rPr>
            </w:pPr>
            <w:r>
              <w:rPr>
                <w:b/>
                <w:sz w:val="18"/>
              </w:rPr>
              <w:t>1</w:t>
            </w:r>
          </w:p>
        </w:tc>
        <w:tc>
          <w:tcPr>
            <w:tcW w:w="6236" w:type="dxa"/>
            <w:tcBorders>
              <w:top w:val="single" w:color="000000" w:sz="4" w:space="0"/>
              <w:left w:val="single" w:color="000000" w:sz="4" w:space="0"/>
              <w:right w:val="single" w:color="000000" w:sz="4" w:space="0"/>
            </w:tcBorders>
          </w:tcPr>
          <w:p w14:paraId="0713B0EB">
            <w:pPr>
              <w:pStyle w:val="29"/>
              <w:spacing w:line="210" w:lineRule="exact"/>
              <w:ind w:left="100"/>
              <w:rPr>
                <w:sz w:val="20"/>
              </w:rPr>
            </w:pPr>
            <w:r>
              <w:rPr>
                <w:sz w:val="20"/>
              </w:rPr>
              <w:t>Sanal</w:t>
            </w:r>
            <w:r>
              <w:rPr>
                <w:spacing w:val="-9"/>
                <w:sz w:val="20"/>
              </w:rPr>
              <w:t xml:space="preserve"> </w:t>
            </w:r>
            <w:r>
              <w:rPr>
                <w:sz w:val="20"/>
              </w:rPr>
              <w:t>rekreasyon</w:t>
            </w:r>
            <w:r>
              <w:rPr>
                <w:spacing w:val="-9"/>
                <w:sz w:val="20"/>
              </w:rPr>
              <w:t xml:space="preserve"> </w:t>
            </w:r>
            <w:r>
              <w:rPr>
                <w:sz w:val="20"/>
              </w:rPr>
              <w:t>faaliyetleri,</w:t>
            </w:r>
            <w:r>
              <w:rPr>
                <w:spacing w:val="-6"/>
                <w:sz w:val="20"/>
              </w:rPr>
              <w:t xml:space="preserve"> </w:t>
            </w:r>
            <w:r>
              <w:rPr>
                <w:sz w:val="20"/>
              </w:rPr>
              <w:t>kendimi</w:t>
            </w:r>
            <w:r>
              <w:rPr>
                <w:spacing w:val="-7"/>
                <w:sz w:val="20"/>
              </w:rPr>
              <w:t xml:space="preserve"> </w:t>
            </w:r>
            <w:r>
              <w:rPr>
                <w:sz w:val="20"/>
              </w:rPr>
              <w:t>mutlu</w:t>
            </w:r>
            <w:r>
              <w:rPr>
                <w:spacing w:val="-7"/>
                <w:sz w:val="20"/>
              </w:rPr>
              <w:t xml:space="preserve"> </w:t>
            </w:r>
            <w:r>
              <w:rPr>
                <w:sz w:val="20"/>
              </w:rPr>
              <w:t>hissetmemi</w:t>
            </w:r>
            <w:r>
              <w:rPr>
                <w:spacing w:val="-9"/>
                <w:sz w:val="20"/>
              </w:rPr>
              <w:t xml:space="preserve"> </w:t>
            </w:r>
            <w:r>
              <w:rPr>
                <w:spacing w:val="-2"/>
                <w:sz w:val="20"/>
              </w:rPr>
              <w:t>sağlar.</w:t>
            </w:r>
          </w:p>
        </w:tc>
        <w:tc>
          <w:tcPr>
            <w:tcW w:w="851" w:type="dxa"/>
            <w:tcBorders>
              <w:top w:val="single" w:color="000000" w:sz="4" w:space="0"/>
              <w:left w:val="single" w:color="000000" w:sz="4" w:space="0"/>
              <w:right w:val="single" w:color="000000" w:sz="4" w:space="0"/>
            </w:tcBorders>
          </w:tcPr>
          <w:p w14:paraId="6597FFC7">
            <w:pPr>
              <w:pStyle w:val="29"/>
              <w:spacing w:line="202" w:lineRule="exact"/>
              <w:ind w:left="104"/>
              <w:rPr>
                <w:sz w:val="18"/>
              </w:rPr>
            </w:pPr>
            <w:r>
              <w:rPr>
                <w:spacing w:val="-2"/>
                <w:sz w:val="18"/>
              </w:rPr>
              <w:t>0.628</w:t>
            </w:r>
          </w:p>
        </w:tc>
        <w:tc>
          <w:tcPr>
            <w:tcW w:w="849" w:type="dxa"/>
            <w:tcBorders>
              <w:top w:val="single" w:color="000000" w:sz="4" w:space="0"/>
              <w:left w:val="single" w:color="000000" w:sz="4" w:space="0"/>
              <w:right w:val="nil"/>
            </w:tcBorders>
          </w:tcPr>
          <w:p w14:paraId="15FDFA87">
            <w:pPr>
              <w:pStyle w:val="29"/>
              <w:spacing w:line="202" w:lineRule="exact"/>
              <w:ind w:left="102"/>
              <w:rPr>
                <w:sz w:val="18"/>
              </w:rPr>
            </w:pPr>
            <w:r>
              <w:rPr>
                <w:spacing w:val="-2"/>
                <w:sz w:val="18"/>
              </w:rPr>
              <w:t>0.616</w:t>
            </w:r>
          </w:p>
        </w:tc>
      </w:tr>
    </w:tbl>
    <w:p w14:paraId="58DB4856">
      <w:pPr>
        <w:pStyle w:val="9"/>
        <w:spacing w:before="5"/>
        <w:ind w:left="0"/>
        <w:jc w:val="left"/>
        <w:rPr>
          <w:sz w:val="2"/>
        </w:rPr>
      </w:pPr>
    </w:p>
    <w:tbl>
      <w:tblPr>
        <w:tblStyle w:val="7"/>
        <w:tblW w:w="0" w:type="auto"/>
        <w:tblInd w:w="153" w:type="dxa"/>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Layout w:type="fixed"/>
        <w:tblCellMar>
          <w:top w:w="0" w:type="dxa"/>
          <w:left w:w="0" w:type="dxa"/>
          <w:bottom w:w="0" w:type="dxa"/>
          <w:right w:w="0" w:type="dxa"/>
        </w:tblCellMar>
      </w:tblPr>
      <w:tblGrid>
        <w:gridCol w:w="866"/>
        <w:gridCol w:w="6237"/>
        <w:gridCol w:w="852"/>
        <w:gridCol w:w="850"/>
      </w:tblGrid>
      <w:tr w14:paraId="736D989E">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230" w:hRule="atLeast"/>
        </w:trPr>
        <w:tc>
          <w:tcPr>
            <w:tcW w:w="866" w:type="dxa"/>
            <w:tcBorders>
              <w:left w:val="nil"/>
              <w:bottom w:val="single" w:color="000000" w:sz="4" w:space="0"/>
              <w:right w:val="single" w:color="000000" w:sz="4" w:space="0"/>
            </w:tcBorders>
            <w:shd w:val="clear" w:color="auto" w:fill="ECECEC"/>
          </w:tcPr>
          <w:p w14:paraId="7B9AB525">
            <w:pPr>
              <w:pStyle w:val="29"/>
              <w:spacing w:line="207" w:lineRule="exact"/>
              <w:ind w:left="122"/>
              <w:rPr>
                <w:b/>
                <w:sz w:val="18"/>
              </w:rPr>
            </w:pPr>
            <w:r>
              <w:rPr>
                <w:b/>
                <w:sz w:val="18"/>
              </w:rPr>
              <w:t>2</w:t>
            </w:r>
          </w:p>
        </w:tc>
        <w:tc>
          <w:tcPr>
            <w:tcW w:w="6237" w:type="dxa"/>
            <w:tcBorders>
              <w:left w:val="single" w:color="000000" w:sz="4" w:space="0"/>
              <w:bottom w:val="single" w:color="000000" w:sz="4" w:space="0"/>
              <w:right w:val="single" w:color="000000" w:sz="4" w:space="0"/>
            </w:tcBorders>
            <w:shd w:val="clear" w:color="auto" w:fill="ECECEC"/>
          </w:tcPr>
          <w:p w14:paraId="192955F6">
            <w:pPr>
              <w:pStyle w:val="29"/>
              <w:spacing w:line="210" w:lineRule="exact"/>
              <w:ind w:left="100"/>
              <w:rPr>
                <w:sz w:val="20"/>
              </w:rPr>
            </w:pPr>
            <w:r>
              <w:rPr>
                <w:sz w:val="20"/>
              </w:rPr>
              <w:t>Sanal</w:t>
            </w:r>
            <w:r>
              <w:rPr>
                <w:spacing w:val="-7"/>
                <w:sz w:val="20"/>
              </w:rPr>
              <w:t xml:space="preserve"> </w:t>
            </w:r>
            <w:r>
              <w:rPr>
                <w:sz w:val="20"/>
              </w:rPr>
              <w:t>rekreasyon</w:t>
            </w:r>
            <w:r>
              <w:rPr>
                <w:spacing w:val="-7"/>
                <w:sz w:val="20"/>
              </w:rPr>
              <w:t xml:space="preserve"> </w:t>
            </w:r>
            <w:r>
              <w:rPr>
                <w:sz w:val="20"/>
              </w:rPr>
              <w:t>faaliyetleri,</w:t>
            </w:r>
            <w:r>
              <w:rPr>
                <w:spacing w:val="-6"/>
                <w:sz w:val="20"/>
              </w:rPr>
              <w:t xml:space="preserve"> </w:t>
            </w:r>
            <w:r>
              <w:rPr>
                <w:sz w:val="20"/>
              </w:rPr>
              <w:t>iş</w:t>
            </w:r>
            <w:r>
              <w:rPr>
                <w:spacing w:val="-7"/>
                <w:sz w:val="20"/>
              </w:rPr>
              <w:t xml:space="preserve"> </w:t>
            </w:r>
            <w:r>
              <w:rPr>
                <w:sz w:val="20"/>
              </w:rPr>
              <w:t>birliği</w:t>
            </w:r>
            <w:r>
              <w:rPr>
                <w:spacing w:val="-7"/>
                <w:sz w:val="20"/>
              </w:rPr>
              <w:t xml:space="preserve"> </w:t>
            </w:r>
            <w:r>
              <w:rPr>
                <w:sz w:val="20"/>
              </w:rPr>
              <w:t>becerimi</w:t>
            </w:r>
            <w:r>
              <w:rPr>
                <w:spacing w:val="-4"/>
                <w:sz w:val="20"/>
              </w:rPr>
              <w:t xml:space="preserve"> </w:t>
            </w:r>
            <w:r>
              <w:rPr>
                <w:spacing w:val="-2"/>
                <w:sz w:val="20"/>
              </w:rPr>
              <w:t>geliştirir.</w:t>
            </w:r>
          </w:p>
        </w:tc>
        <w:tc>
          <w:tcPr>
            <w:tcW w:w="852" w:type="dxa"/>
            <w:tcBorders>
              <w:left w:val="single" w:color="000000" w:sz="4" w:space="0"/>
              <w:bottom w:val="single" w:color="000000" w:sz="4" w:space="0"/>
              <w:right w:val="single" w:color="000000" w:sz="4" w:space="0"/>
            </w:tcBorders>
            <w:shd w:val="clear" w:color="auto" w:fill="ECECEC"/>
          </w:tcPr>
          <w:p w14:paraId="145A10AE">
            <w:pPr>
              <w:pStyle w:val="29"/>
              <w:spacing w:line="202" w:lineRule="exact"/>
              <w:ind w:left="103"/>
              <w:rPr>
                <w:sz w:val="18"/>
              </w:rPr>
            </w:pPr>
            <w:r>
              <w:rPr>
                <w:spacing w:val="-2"/>
                <w:sz w:val="18"/>
              </w:rPr>
              <w:t>0.644</w:t>
            </w:r>
          </w:p>
        </w:tc>
        <w:tc>
          <w:tcPr>
            <w:tcW w:w="850" w:type="dxa"/>
            <w:tcBorders>
              <w:left w:val="single" w:color="000000" w:sz="4" w:space="0"/>
              <w:bottom w:val="single" w:color="000000" w:sz="4" w:space="0"/>
              <w:right w:val="nil"/>
            </w:tcBorders>
            <w:shd w:val="clear" w:color="auto" w:fill="ECECEC"/>
          </w:tcPr>
          <w:p w14:paraId="424B608C">
            <w:pPr>
              <w:pStyle w:val="29"/>
              <w:spacing w:line="202" w:lineRule="exact"/>
              <w:ind w:left="100"/>
              <w:rPr>
                <w:sz w:val="18"/>
              </w:rPr>
            </w:pPr>
            <w:r>
              <w:rPr>
                <w:spacing w:val="-2"/>
                <w:sz w:val="18"/>
              </w:rPr>
              <w:t>0.628</w:t>
            </w:r>
          </w:p>
        </w:tc>
      </w:tr>
      <w:tr w14:paraId="350D824F">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460" w:hRule="atLeast"/>
        </w:trPr>
        <w:tc>
          <w:tcPr>
            <w:tcW w:w="866" w:type="dxa"/>
            <w:tcBorders>
              <w:top w:val="single" w:color="000000" w:sz="4" w:space="0"/>
              <w:left w:val="nil"/>
              <w:bottom w:val="single" w:color="000000" w:sz="4" w:space="0"/>
              <w:right w:val="single" w:color="000000" w:sz="4" w:space="0"/>
            </w:tcBorders>
          </w:tcPr>
          <w:p w14:paraId="3B3D7A8D">
            <w:pPr>
              <w:pStyle w:val="29"/>
              <w:spacing w:line="207" w:lineRule="exact"/>
              <w:ind w:left="122"/>
              <w:rPr>
                <w:b/>
                <w:sz w:val="18"/>
              </w:rPr>
            </w:pPr>
            <w:r>
              <w:rPr>
                <w:b/>
                <w:sz w:val="18"/>
              </w:rPr>
              <w:t>3</w:t>
            </w:r>
          </w:p>
        </w:tc>
        <w:tc>
          <w:tcPr>
            <w:tcW w:w="6237" w:type="dxa"/>
            <w:tcBorders>
              <w:top w:val="single" w:color="000000" w:sz="4" w:space="0"/>
              <w:left w:val="single" w:color="000000" w:sz="4" w:space="0"/>
              <w:bottom w:val="single" w:color="000000" w:sz="4" w:space="0"/>
              <w:right w:val="single" w:color="000000" w:sz="4" w:space="0"/>
            </w:tcBorders>
          </w:tcPr>
          <w:p w14:paraId="5ADC099B">
            <w:pPr>
              <w:pStyle w:val="29"/>
              <w:spacing w:line="223" w:lineRule="exact"/>
              <w:ind w:left="100"/>
              <w:rPr>
                <w:sz w:val="20"/>
              </w:rPr>
            </w:pPr>
            <w:r>
              <w:rPr>
                <w:sz w:val="20"/>
              </w:rPr>
              <w:t>Sanal</w:t>
            </w:r>
            <w:r>
              <w:rPr>
                <w:spacing w:val="29"/>
                <w:sz w:val="20"/>
              </w:rPr>
              <w:t xml:space="preserve"> </w:t>
            </w:r>
            <w:r>
              <w:rPr>
                <w:sz w:val="20"/>
              </w:rPr>
              <w:t>rekreasyon</w:t>
            </w:r>
            <w:r>
              <w:rPr>
                <w:spacing w:val="30"/>
                <w:sz w:val="20"/>
              </w:rPr>
              <w:t xml:space="preserve"> </w:t>
            </w:r>
            <w:r>
              <w:rPr>
                <w:sz w:val="20"/>
              </w:rPr>
              <w:t>faaliyetleri,</w:t>
            </w:r>
            <w:r>
              <w:rPr>
                <w:spacing w:val="32"/>
                <w:sz w:val="20"/>
              </w:rPr>
              <w:t xml:space="preserve"> </w:t>
            </w:r>
            <w:r>
              <w:rPr>
                <w:sz w:val="20"/>
              </w:rPr>
              <w:t>başkalarının</w:t>
            </w:r>
            <w:r>
              <w:rPr>
                <w:spacing w:val="28"/>
                <w:sz w:val="20"/>
              </w:rPr>
              <w:t xml:space="preserve"> </w:t>
            </w:r>
            <w:r>
              <w:rPr>
                <w:sz w:val="20"/>
              </w:rPr>
              <w:t>güvenini</w:t>
            </w:r>
            <w:r>
              <w:rPr>
                <w:spacing w:val="30"/>
                <w:sz w:val="20"/>
              </w:rPr>
              <w:t xml:space="preserve"> </w:t>
            </w:r>
            <w:r>
              <w:rPr>
                <w:sz w:val="20"/>
              </w:rPr>
              <w:t>kazanma</w:t>
            </w:r>
            <w:r>
              <w:rPr>
                <w:spacing w:val="30"/>
                <w:sz w:val="20"/>
              </w:rPr>
              <w:t xml:space="preserve"> </w:t>
            </w:r>
            <w:r>
              <w:rPr>
                <w:spacing w:val="-2"/>
                <w:sz w:val="20"/>
              </w:rPr>
              <w:t>konusunda</w:t>
            </w:r>
          </w:p>
          <w:p w14:paraId="1D19E60C">
            <w:pPr>
              <w:pStyle w:val="29"/>
              <w:spacing w:line="217" w:lineRule="exact"/>
              <w:ind w:left="100"/>
              <w:rPr>
                <w:sz w:val="20"/>
              </w:rPr>
            </w:pPr>
            <w:r>
              <w:rPr>
                <w:sz w:val="20"/>
              </w:rPr>
              <w:t>bana</w:t>
            </w:r>
            <w:r>
              <w:rPr>
                <w:spacing w:val="-5"/>
                <w:sz w:val="20"/>
              </w:rPr>
              <w:t xml:space="preserve"> </w:t>
            </w:r>
            <w:r>
              <w:rPr>
                <w:sz w:val="20"/>
              </w:rPr>
              <w:t>yardımcı</w:t>
            </w:r>
            <w:r>
              <w:rPr>
                <w:spacing w:val="-7"/>
                <w:sz w:val="20"/>
              </w:rPr>
              <w:t xml:space="preserve"> </w:t>
            </w:r>
            <w:r>
              <w:rPr>
                <w:spacing w:val="-4"/>
                <w:sz w:val="20"/>
              </w:rPr>
              <w:t>olur.</w:t>
            </w:r>
          </w:p>
        </w:tc>
        <w:tc>
          <w:tcPr>
            <w:tcW w:w="852" w:type="dxa"/>
            <w:tcBorders>
              <w:top w:val="single" w:color="000000" w:sz="4" w:space="0"/>
              <w:left w:val="single" w:color="000000" w:sz="4" w:space="0"/>
              <w:bottom w:val="single" w:color="000000" w:sz="4" w:space="0"/>
              <w:right w:val="single" w:color="000000" w:sz="4" w:space="0"/>
            </w:tcBorders>
          </w:tcPr>
          <w:p w14:paraId="78B68211">
            <w:pPr>
              <w:pStyle w:val="29"/>
              <w:spacing w:line="202" w:lineRule="exact"/>
              <w:ind w:left="103"/>
              <w:rPr>
                <w:sz w:val="18"/>
              </w:rPr>
            </w:pPr>
            <w:r>
              <w:rPr>
                <w:spacing w:val="-2"/>
                <w:sz w:val="18"/>
              </w:rPr>
              <w:t>0.679</w:t>
            </w:r>
          </w:p>
        </w:tc>
        <w:tc>
          <w:tcPr>
            <w:tcW w:w="850" w:type="dxa"/>
            <w:tcBorders>
              <w:top w:val="single" w:color="000000" w:sz="4" w:space="0"/>
              <w:left w:val="single" w:color="000000" w:sz="4" w:space="0"/>
              <w:bottom w:val="single" w:color="000000" w:sz="4" w:space="0"/>
              <w:right w:val="nil"/>
            </w:tcBorders>
          </w:tcPr>
          <w:p w14:paraId="2BF6A4D6">
            <w:pPr>
              <w:pStyle w:val="29"/>
              <w:spacing w:line="202" w:lineRule="exact"/>
              <w:ind w:left="100"/>
              <w:rPr>
                <w:sz w:val="18"/>
              </w:rPr>
            </w:pPr>
            <w:r>
              <w:rPr>
                <w:spacing w:val="-2"/>
                <w:sz w:val="18"/>
              </w:rPr>
              <w:t>0.663</w:t>
            </w:r>
          </w:p>
        </w:tc>
      </w:tr>
      <w:tr w14:paraId="51450209">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229" w:hRule="atLeast"/>
        </w:trPr>
        <w:tc>
          <w:tcPr>
            <w:tcW w:w="866" w:type="dxa"/>
            <w:tcBorders>
              <w:top w:val="single" w:color="000000" w:sz="4" w:space="0"/>
              <w:left w:val="nil"/>
              <w:bottom w:val="single" w:color="000000" w:sz="4" w:space="0"/>
              <w:right w:val="single" w:color="000000" w:sz="4" w:space="0"/>
            </w:tcBorders>
            <w:shd w:val="clear" w:color="auto" w:fill="ECECEC"/>
          </w:tcPr>
          <w:p w14:paraId="5E910CC6">
            <w:pPr>
              <w:pStyle w:val="29"/>
              <w:spacing w:line="207" w:lineRule="exact"/>
              <w:ind w:left="122"/>
              <w:rPr>
                <w:b/>
                <w:sz w:val="18"/>
              </w:rPr>
            </w:pPr>
            <w:r>
              <w:rPr>
                <w:b/>
                <w:sz w:val="18"/>
              </w:rPr>
              <w:t>4</w:t>
            </w:r>
          </w:p>
        </w:tc>
        <w:tc>
          <w:tcPr>
            <w:tcW w:w="6237" w:type="dxa"/>
            <w:tcBorders>
              <w:top w:val="single" w:color="000000" w:sz="4" w:space="0"/>
              <w:left w:val="single" w:color="000000" w:sz="4" w:space="0"/>
              <w:bottom w:val="single" w:color="000000" w:sz="4" w:space="0"/>
              <w:right w:val="single" w:color="000000" w:sz="4" w:space="0"/>
            </w:tcBorders>
            <w:shd w:val="clear" w:color="auto" w:fill="ECECEC"/>
          </w:tcPr>
          <w:p w14:paraId="68058FFA">
            <w:pPr>
              <w:pStyle w:val="29"/>
              <w:spacing w:line="210" w:lineRule="exact"/>
              <w:ind w:left="100"/>
              <w:rPr>
                <w:sz w:val="20"/>
              </w:rPr>
            </w:pPr>
            <w:r>
              <w:rPr>
                <w:sz w:val="20"/>
              </w:rPr>
              <w:t>Sanal</w:t>
            </w:r>
            <w:r>
              <w:rPr>
                <w:spacing w:val="-7"/>
                <w:sz w:val="20"/>
              </w:rPr>
              <w:t xml:space="preserve"> </w:t>
            </w:r>
            <w:r>
              <w:rPr>
                <w:sz w:val="20"/>
              </w:rPr>
              <w:t>rekreasyon</w:t>
            </w:r>
            <w:r>
              <w:rPr>
                <w:spacing w:val="-8"/>
                <w:sz w:val="20"/>
              </w:rPr>
              <w:t xml:space="preserve"> </w:t>
            </w:r>
            <w:r>
              <w:rPr>
                <w:sz w:val="20"/>
              </w:rPr>
              <w:t>faaliyetleri,</w:t>
            </w:r>
            <w:r>
              <w:rPr>
                <w:spacing w:val="-6"/>
                <w:sz w:val="20"/>
              </w:rPr>
              <w:t xml:space="preserve"> </w:t>
            </w:r>
            <w:r>
              <w:rPr>
                <w:sz w:val="20"/>
              </w:rPr>
              <w:t>diğer</w:t>
            </w:r>
            <w:r>
              <w:rPr>
                <w:spacing w:val="-6"/>
                <w:sz w:val="20"/>
              </w:rPr>
              <w:t xml:space="preserve"> </w:t>
            </w:r>
            <w:r>
              <w:rPr>
                <w:sz w:val="20"/>
              </w:rPr>
              <w:t>insanlardan</w:t>
            </w:r>
            <w:r>
              <w:rPr>
                <w:spacing w:val="-8"/>
                <w:sz w:val="20"/>
              </w:rPr>
              <w:t xml:space="preserve"> </w:t>
            </w:r>
            <w:r>
              <w:rPr>
                <w:sz w:val="20"/>
              </w:rPr>
              <w:t>destek</w:t>
            </w:r>
            <w:r>
              <w:rPr>
                <w:spacing w:val="-7"/>
                <w:sz w:val="20"/>
              </w:rPr>
              <w:t xml:space="preserve"> </w:t>
            </w:r>
            <w:r>
              <w:rPr>
                <w:sz w:val="20"/>
              </w:rPr>
              <w:t>almamı</w:t>
            </w:r>
            <w:r>
              <w:rPr>
                <w:spacing w:val="-8"/>
                <w:sz w:val="20"/>
              </w:rPr>
              <w:t xml:space="preserve"> </w:t>
            </w:r>
            <w:r>
              <w:rPr>
                <w:spacing w:val="-2"/>
                <w:sz w:val="20"/>
              </w:rPr>
              <w:t>sağlar.</w:t>
            </w:r>
          </w:p>
        </w:tc>
        <w:tc>
          <w:tcPr>
            <w:tcW w:w="852" w:type="dxa"/>
            <w:tcBorders>
              <w:top w:val="single" w:color="000000" w:sz="4" w:space="0"/>
              <w:left w:val="single" w:color="000000" w:sz="4" w:space="0"/>
              <w:bottom w:val="single" w:color="000000" w:sz="4" w:space="0"/>
              <w:right w:val="single" w:color="000000" w:sz="4" w:space="0"/>
            </w:tcBorders>
            <w:shd w:val="clear" w:color="auto" w:fill="ECECEC"/>
          </w:tcPr>
          <w:p w14:paraId="5B93AF53">
            <w:pPr>
              <w:pStyle w:val="29"/>
              <w:spacing w:line="202" w:lineRule="exact"/>
              <w:ind w:left="103"/>
              <w:rPr>
                <w:sz w:val="18"/>
              </w:rPr>
            </w:pPr>
            <w:r>
              <w:rPr>
                <w:spacing w:val="-2"/>
                <w:sz w:val="18"/>
              </w:rPr>
              <w:t>0.694</w:t>
            </w:r>
          </w:p>
        </w:tc>
        <w:tc>
          <w:tcPr>
            <w:tcW w:w="850" w:type="dxa"/>
            <w:tcBorders>
              <w:top w:val="single" w:color="000000" w:sz="4" w:space="0"/>
              <w:left w:val="single" w:color="000000" w:sz="4" w:space="0"/>
              <w:bottom w:val="single" w:color="000000" w:sz="4" w:space="0"/>
              <w:right w:val="nil"/>
            </w:tcBorders>
            <w:shd w:val="clear" w:color="auto" w:fill="ECECEC"/>
          </w:tcPr>
          <w:p w14:paraId="65E0A3D6">
            <w:pPr>
              <w:pStyle w:val="29"/>
              <w:spacing w:line="202" w:lineRule="exact"/>
              <w:ind w:left="100"/>
              <w:rPr>
                <w:sz w:val="18"/>
              </w:rPr>
            </w:pPr>
            <w:r>
              <w:rPr>
                <w:spacing w:val="-2"/>
                <w:sz w:val="18"/>
              </w:rPr>
              <w:t>0.682</w:t>
            </w:r>
          </w:p>
        </w:tc>
      </w:tr>
      <w:tr w14:paraId="1C77E1B9">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460" w:hRule="atLeast"/>
        </w:trPr>
        <w:tc>
          <w:tcPr>
            <w:tcW w:w="866" w:type="dxa"/>
            <w:tcBorders>
              <w:top w:val="single" w:color="000000" w:sz="4" w:space="0"/>
              <w:left w:val="nil"/>
              <w:bottom w:val="single" w:color="000000" w:sz="4" w:space="0"/>
              <w:right w:val="single" w:color="000000" w:sz="4" w:space="0"/>
            </w:tcBorders>
          </w:tcPr>
          <w:p w14:paraId="334CCDEF">
            <w:pPr>
              <w:pStyle w:val="29"/>
              <w:spacing w:line="207" w:lineRule="exact"/>
              <w:ind w:left="122"/>
              <w:rPr>
                <w:b/>
                <w:sz w:val="18"/>
              </w:rPr>
            </w:pPr>
            <w:r>
              <w:rPr>
                <w:b/>
                <w:sz w:val="18"/>
              </w:rPr>
              <w:t>5</w:t>
            </w:r>
          </w:p>
        </w:tc>
        <w:tc>
          <w:tcPr>
            <w:tcW w:w="6237" w:type="dxa"/>
            <w:tcBorders>
              <w:top w:val="single" w:color="000000" w:sz="4" w:space="0"/>
              <w:left w:val="single" w:color="000000" w:sz="4" w:space="0"/>
              <w:bottom w:val="single" w:color="000000" w:sz="4" w:space="0"/>
              <w:right w:val="single" w:color="000000" w:sz="4" w:space="0"/>
            </w:tcBorders>
          </w:tcPr>
          <w:p w14:paraId="0D8DF07B">
            <w:pPr>
              <w:pStyle w:val="29"/>
              <w:spacing w:line="223" w:lineRule="exact"/>
              <w:ind w:left="100"/>
              <w:rPr>
                <w:sz w:val="20"/>
              </w:rPr>
            </w:pPr>
            <w:r>
              <w:rPr>
                <w:sz w:val="20"/>
              </w:rPr>
              <w:t>Sanal</w:t>
            </w:r>
            <w:r>
              <w:rPr>
                <w:spacing w:val="32"/>
                <w:sz w:val="20"/>
              </w:rPr>
              <w:t xml:space="preserve"> </w:t>
            </w:r>
            <w:r>
              <w:rPr>
                <w:sz w:val="20"/>
              </w:rPr>
              <w:t>rekreasyon</w:t>
            </w:r>
            <w:r>
              <w:rPr>
                <w:spacing w:val="30"/>
                <w:sz w:val="20"/>
              </w:rPr>
              <w:t xml:space="preserve"> </w:t>
            </w:r>
            <w:r>
              <w:rPr>
                <w:sz w:val="20"/>
              </w:rPr>
              <w:t>faaliyetleri,</w:t>
            </w:r>
            <w:r>
              <w:rPr>
                <w:spacing w:val="33"/>
                <w:sz w:val="20"/>
              </w:rPr>
              <w:t xml:space="preserve"> </w:t>
            </w:r>
            <w:r>
              <w:rPr>
                <w:sz w:val="20"/>
              </w:rPr>
              <w:t>günlük</w:t>
            </w:r>
            <w:r>
              <w:rPr>
                <w:spacing w:val="33"/>
                <w:sz w:val="20"/>
              </w:rPr>
              <w:t xml:space="preserve"> </w:t>
            </w:r>
            <w:r>
              <w:rPr>
                <w:sz w:val="20"/>
              </w:rPr>
              <w:t>yaşamın</w:t>
            </w:r>
            <w:r>
              <w:rPr>
                <w:spacing w:val="30"/>
                <w:sz w:val="20"/>
              </w:rPr>
              <w:t xml:space="preserve"> </w:t>
            </w:r>
            <w:r>
              <w:rPr>
                <w:sz w:val="20"/>
              </w:rPr>
              <w:t>sıkıcılığından</w:t>
            </w:r>
            <w:r>
              <w:rPr>
                <w:spacing w:val="36"/>
                <w:sz w:val="20"/>
              </w:rPr>
              <w:t xml:space="preserve"> </w:t>
            </w:r>
            <w:r>
              <w:rPr>
                <w:spacing w:val="-2"/>
                <w:sz w:val="20"/>
              </w:rPr>
              <w:t>kurtulmamı</w:t>
            </w:r>
          </w:p>
          <w:p w14:paraId="12BA2C76">
            <w:pPr>
              <w:pStyle w:val="29"/>
              <w:spacing w:line="217" w:lineRule="exact"/>
              <w:ind w:left="100"/>
              <w:rPr>
                <w:sz w:val="20"/>
              </w:rPr>
            </w:pPr>
            <w:r>
              <w:rPr>
                <w:spacing w:val="-2"/>
                <w:sz w:val="20"/>
              </w:rPr>
              <w:t>sağlar.</w:t>
            </w:r>
          </w:p>
        </w:tc>
        <w:tc>
          <w:tcPr>
            <w:tcW w:w="852" w:type="dxa"/>
            <w:tcBorders>
              <w:top w:val="single" w:color="000000" w:sz="4" w:space="0"/>
              <w:left w:val="single" w:color="000000" w:sz="4" w:space="0"/>
              <w:bottom w:val="single" w:color="000000" w:sz="4" w:space="0"/>
              <w:right w:val="single" w:color="000000" w:sz="4" w:space="0"/>
            </w:tcBorders>
          </w:tcPr>
          <w:p w14:paraId="4604B74F">
            <w:pPr>
              <w:pStyle w:val="29"/>
              <w:spacing w:line="202" w:lineRule="exact"/>
              <w:ind w:left="103"/>
              <w:rPr>
                <w:sz w:val="18"/>
              </w:rPr>
            </w:pPr>
            <w:r>
              <w:rPr>
                <w:spacing w:val="-2"/>
                <w:sz w:val="18"/>
              </w:rPr>
              <w:t>0.737</w:t>
            </w:r>
          </w:p>
        </w:tc>
        <w:tc>
          <w:tcPr>
            <w:tcW w:w="850" w:type="dxa"/>
            <w:tcBorders>
              <w:top w:val="single" w:color="000000" w:sz="4" w:space="0"/>
              <w:left w:val="single" w:color="000000" w:sz="4" w:space="0"/>
              <w:bottom w:val="single" w:color="000000" w:sz="4" w:space="0"/>
              <w:right w:val="nil"/>
            </w:tcBorders>
          </w:tcPr>
          <w:p w14:paraId="45420240">
            <w:pPr>
              <w:pStyle w:val="29"/>
              <w:spacing w:line="202" w:lineRule="exact"/>
              <w:ind w:left="100"/>
              <w:rPr>
                <w:sz w:val="18"/>
              </w:rPr>
            </w:pPr>
            <w:r>
              <w:rPr>
                <w:spacing w:val="-2"/>
                <w:sz w:val="18"/>
              </w:rPr>
              <w:t>0.765</w:t>
            </w:r>
          </w:p>
        </w:tc>
      </w:tr>
      <w:tr w14:paraId="0AD32CBB">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230" w:hRule="atLeast"/>
        </w:trPr>
        <w:tc>
          <w:tcPr>
            <w:tcW w:w="866" w:type="dxa"/>
            <w:tcBorders>
              <w:top w:val="single" w:color="000000" w:sz="4" w:space="0"/>
              <w:left w:val="nil"/>
              <w:bottom w:val="single" w:color="000000" w:sz="4" w:space="0"/>
              <w:right w:val="single" w:color="000000" w:sz="4" w:space="0"/>
            </w:tcBorders>
            <w:shd w:val="clear" w:color="auto" w:fill="ECECEC"/>
          </w:tcPr>
          <w:p w14:paraId="74C73070">
            <w:pPr>
              <w:pStyle w:val="29"/>
              <w:spacing w:line="207" w:lineRule="exact"/>
              <w:ind w:left="122"/>
              <w:rPr>
                <w:b/>
                <w:sz w:val="18"/>
              </w:rPr>
            </w:pPr>
            <w:r>
              <w:rPr>
                <w:b/>
                <w:sz w:val="18"/>
              </w:rPr>
              <w:t>6</w:t>
            </w:r>
          </w:p>
        </w:tc>
        <w:tc>
          <w:tcPr>
            <w:tcW w:w="6237" w:type="dxa"/>
            <w:tcBorders>
              <w:top w:val="single" w:color="000000" w:sz="4" w:space="0"/>
              <w:left w:val="single" w:color="000000" w:sz="4" w:space="0"/>
              <w:bottom w:val="single" w:color="000000" w:sz="4" w:space="0"/>
              <w:right w:val="single" w:color="000000" w:sz="4" w:space="0"/>
            </w:tcBorders>
            <w:shd w:val="clear" w:color="auto" w:fill="ECECEC"/>
          </w:tcPr>
          <w:p w14:paraId="1E1F921A">
            <w:pPr>
              <w:pStyle w:val="29"/>
              <w:spacing w:line="210" w:lineRule="exact"/>
              <w:ind w:left="100"/>
              <w:rPr>
                <w:sz w:val="20"/>
              </w:rPr>
            </w:pPr>
            <w:r>
              <w:rPr>
                <w:sz w:val="20"/>
              </w:rPr>
              <w:t>Sanal</w:t>
            </w:r>
            <w:r>
              <w:rPr>
                <w:spacing w:val="-9"/>
                <w:sz w:val="20"/>
              </w:rPr>
              <w:t xml:space="preserve"> </w:t>
            </w:r>
            <w:r>
              <w:rPr>
                <w:sz w:val="20"/>
              </w:rPr>
              <w:t>rekreasyon</w:t>
            </w:r>
            <w:r>
              <w:rPr>
                <w:spacing w:val="-9"/>
                <w:sz w:val="20"/>
              </w:rPr>
              <w:t xml:space="preserve"> </w:t>
            </w:r>
            <w:r>
              <w:rPr>
                <w:sz w:val="20"/>
              </w:rPr>
              <w:t>faaliyetleri,</w:t>
            </w:r>
            <w:r>
              <w:rPr>
                <w:spacing w:val="-7"/>
                <w:sz w:val="20"/>
              </w:rPr>
              <w:t xml:space="preserve"> </w:t>
            </w:r>
            <w:r>
              <w:rPr>
                <w:sz w:val="20"/>
              </w:rPr>
              <w:t>sosyal</w:t>
            </w:r>
            <w:r>
              <w:rPr>
                <w:spacing w:val="-8"/>
                <w:sz w:val="20"/>
              </w:rPr>
              <w:t xml:space="preserve"> </w:t>
            </w:r>
            <w:r>
              <w:rPr>
                <w:sz w:val="20"/>
              </w:rPr>
              <w:t>ilişkilerimi</w:t>
            </w:r>
            <w:r>
              <w:rPr>
                <w:spacing w:val="-10"/>
                <w:sz w:val="20"/>
              </w:rPr>
              <w:t xml:space="preserve"> </w:t>
            </w:r>
            <w:r>
              <w:rPr>
                <w:spacing w:val="-2"/>
                <w:sz w:val="20"/>
              </w:rPr>
              <w:t>geliştirir.</w:t>
            </w:r>
          </w:p>
        </w:tc>
        <w:tc>
          <w:tcPr>
            <w:tcW w:w="852" w:type="dxa"/>
            <w:tcBorders>
              <w:top w:val="single" w:color="000000" w:sz="4" w:space="0"/>
              <w:left w:val="single" w:color="000000" w:sz="4" w:space="0"/>
              <w:bottom w:val="single" w:color="000000" w:sz="4" w:space="0"/>
              <w:right w:val="single" w:color="000000" w:sz="4" w:space="0"/>
            </w:tcBorders>
            <w:shd w:val="clear" w:color="auto" w:fill="ECECEC"/>
          </w:tcPr>
          <w:p w14:paraId="09777FC4">
            <w:pPr>
              <w:pStyle w:val="29"/>
              <w:spacing w:line="202" w:lineRule="exact"/>
              <w:ind w:left="103"/>
              <w:rPr>
                <w:sz w:val="18"/>
              </w:rPr>
            </w:pPr>
            <w:r>
              <w:rPr>
                <w:spacing w:val="-2"/>
                <w:sz w:val="18"/>
              </w:rPr>
              <w:t>0.724</w:t>
            </w:r>
          </w:p>
        </w:tc>
        <w:tc>
          <w:tcPr>
            <w:tcW w:w="850" w:type="dxa"/>
            <w:tcBorders>
              <w:top w:val="single" w:color="000000" w:sz="4" w:space="0"/>
              <w:left w:val="single" w:color="000000" w:sz="4" w:space="0"/>
              <w:bottom w:val="single" w:color="000000" w:sz="4" w:space="0"/>
              <w:right w:val="nil"/>
            </w:tcBorders>
            <w:shd w:val="clear" w:color="auto" w:fill="ECECEC"/>
          </w:tcPr>
          <w:p w14:paraId="2CC2FE7E">
            <w:pPr>
              <w:pStyle w:val="29"/>
              <w:spacing w:line="202" w:lineRule="exact"/>
              <w:ind w:left="100"/>
              <w:rPr>
                <w:sz w:val="18"/>
              </w:rPr>
            </w:pPr>
            <w:r>
              <w:rPr>
                <w:spacing w:val="-2"/>
                <w:sz w:val="18"/>
              </w:rPr>
              <w:t>0.697</w:t>
            </w:r>
          </w:p>
        </w:tc>
      </w:tr>
      <w:tr w14:paraId="1DF683BD">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227" w:hRule="atLeast"/>
        </w:trPr>
        <w:tc>
          <w:tcPr>
            <w:tcW w:w="866" w:type="dxa"/>
            <w:tcBorders>
              <w:top w:val="single" w:color="000000" w:sz="4" w:space="0"/>
              <w:left w:val="nil"/>
              <w:bottom w:val="single" w:color="000000" w:sz="4" w:space="0"/>
              <w:right w:val="single" w:color="000000" w:sz="4" w:space="0"/>
            </w:tcBorders>
          </w:tcPr>
          <w:p w14:paraId="014AD1D6">
            <w:pPr>
              <w:pStyle w:val="29"/>
              <w:spacing w:line="207" w:lineRule="exact"/>
              <w:ind w:left="122"/>
              <w:rPr>
                <w:b/>
                <w:sz w:val="18"/>
              </w:rPr>
            </w:pPr>
            <w:r>
              <w:rPr>
                <w:b/>
                <w:sz w:val="18"/>
              </w:rPr>
              <w:t>7</w:t>
            </w:r>
          </w:p>
        </w:tc>
        <w:tc>
          <w:tcPr>
            <w:tcW w:w="6237" w:type="dxa"/>
            <w:tcBorders>
              <w:top w:val="single" w:color="000000" w:sz="4" w:space="0"/>
              <w:left w:val="single" w:color="000000" w:sz="4" w:space="0"/>
              <w:bottom w:val="single" w:color="000000" w:sz="4" w:space="0"/>
              <w:right w:val="single" w:color="000000" w:sz="4" w:space="0"/>
            </w:tcBorders>
          </w:tcPr>
          <w:p w14:paraId="3E7F1986">
            <w:pPr>
              <w:pStyle w:val="29"/>
              <w:spacing w:line="208" w:lineRule="exact"/>
              <w:ind w:left="100"/>
              <w:rPr>
                <w:sz w:val="20"/>
              </w:rPr>
            </w:pPr>
            <w:r>
              <w:rPr>
                <w:sz w:val="20"/>
              </w:rPr>
              <w:t>Sanal</w:t>
            </w:r>
            <w:r>
              <w:rPr>
                <w:spacing w:val="-8"/>
                <w:sz w:val="20"/>
              </w:rPr>
              <w:t xml:space="preserve"> </w:t>
            </w:r>
            <w:r>
              <w:rPr>
                <w:sz w:val="20"/>
              </w:rPr>
              <w:t>rekreasyon</w:t>
            </w:r>
            <w:r>
              <w:rPr>
                <w:spacing w:val="-8"/>
                <w:sz w:val="20"/>
              </w:rPr>
              <w:t xml:space="preserve"> </w:t>
            </w:r>
            <w:r>
              <w:rPr>
                <w:sz w:val="20"/>
              </w:rPr>
              <w:t>faaliyetleri,</w:t>
            </w:r>
            <w:r>
              <w:rPr>
                <w:spacing w:val="-8"/>
                <w:sz w:val="20"/>
              </w:rPr>
              <w:t xml:space="preserve"> </w:t>
            </w:r>
            <w:r>
              <w:rPr>
                <w:sz w:val="20"/>
              </w:rPr>
              <w:t>toplumsal</w:t>
            </w:r>
            <w:r>
              <w:rPr>
                <w:spacing w:val="-8"/>
                <w:sz w:val="20"/>
              </w:rPr>
              <w:t xml:space="preserve"> </w:t>
            </w:r>
            <w:r>
              <w:rPr>
                <w:sz w:val="20"/>
              </w:rPr>
              <w:t>iletişim</w:t>
            </w:r>
            <w:r>
              <w:rPr>
                <w:spacing w:val="-11"/>
                <w:sz w:val="20"/>
              </w:rPr>
              <w:t xml:space="preserve"> </w:t>
            </w:r>
            <w:r>
              <w:rPr>
                <w:sz w:val="20"/>
              </w:rPr>
              <w:t>becerimi</w:t>
            </w:r>
            <w:r>
              <w:rPr>
                <w:spacing w:val="-9"/>
                <w:sz w:val="20"/>
              </w:rPr>
              <w:t xml:space="preserve"> </w:t>
            </w:r>
            <w:r>
              <w:rPr>
                <w:spacing w:val="-2"/>
                <w:sz w:val="20"/>
              </w:rPr>
              <w:t>geliştirir.</w:t>
            </w:r>
          </w:p>
        </w:tc>
        <w:tc>
          <w:tcPr>
            <w:tcW w:w="852" w:type="dxa"/>
            <w:tcBorders>
              <w:top w:val="single" w:color="000000" w:sz="4" w:space="0"/>
              <w:left w:val="single" w:color="000000" w:sz="4" w:space="0"/>
              <w:bottom w:val="single" w:color="000000" w:sz="4" w:space="0"/>
              <w:right w:val="single" w:color="000000" w:sz="4" w:space="0"/>
            </w:tcBorders>
          </w:tcPr>
          <w:p w14:paraId="4DA360E9">
            <w:pPr>
              <w:pStyle w:val="29"/>
              <w:spacing w:line="202" w:lineRule="exact"/>
              <w:ind w:left="103"/>
              <w:rPr>
                <w:sz w:val="18"/>
              </w:rPr>
            </w:pPr>
            <w:r>
              <w:rPr>
                <w:spacing w:val="-2"/>
                <w:sz w:val="18"/>
              </w:rPr>
              <w:t>0.680</w:t>
            </w:r>
          </w:p>
        </w:tc>
        <w:tc>
          <w:tcPr>
            <w:tcW w:w="850" w:type="dxa"/>
            <w:tcBorders>
              <w:top w:val="single" w:color="000000" w:sz="4" w:space="0"/>
              <w:left w:val="single" w:color="000000" w:sz="4" w:space="0"/>
              <w:bottom w:val="single" w:color="000000" w:sz="4" w:space="0"/>
              <w:right w:val="nil"/>
            </w:tcBorders>
          </w:tcPr>
          <w:p w14:paraId="2C536F17">
            <w:pPr>
              <w:pStyle w:val="29"/>
              <w:spacing w:line="202" w:lineRule="exact"/>
              <w:ind w:left="100"/>
              <w:rPr>
                <w:sz w:val="18"/>
              </w:rPr>
            </w:pPr>
            <w:r>
              <w:rPr>
                <w:spacing w:val="-2"/>
                <w:sz w:val="18"/>
              </w:rPr>
              <w:t>0.650</w:t>
            </w:r>
          </w:p>
        </w:tc>
      </w:tr>
      <w:tr w14:paraId="299FBB49">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460" w:hRule="atLeast"/>
        </w:trPr>
        <w:tc>
          <w:tcPr>
            <w:tcW w:w="866" w:type="dxa"/>
            <w:tcBorders>
              <w:top w:val="single" w:color="000000" w:sz="4" w:space="0"/>
              <w:left w:val="nil"/>
              <w:bottom w:val="single" w:color="000000" w:sz="4" w:space="0"/>
              <w:right w:val="single" w:color="000000" w:sz="4" w:space="0"/>
            </w:tcBorders>
            <w:shd w:val="clear" w:color="auto" w:fill="ECECEC"/>
          </w:tcPr>
          <w:p w14:paraId="4B98411D">
            <w:pPr>
              <w:pStyle w:val="29"/>
              <w:spacing w:before="2"/>
              <w:ind w:left="122"/>
              <w:rPr>
                <w:b/>
                <w:sz w:val="18"/>
              </w:rPr>
            </w:pPr>
            <w:r>
              <w:rPr>
                <w:b/>
                <w:sz w:val="18"/>
              </w:rPr>
              <w:t>8</w:t>
            </w:r>
          </w:p>
        </w:tc>
        <w:tc>
          <w:tcPr>
            <w:tcW w:w="6237" w:type="dxa"/>
            <w:tcBorders>
              <w:top w:val="single" w:color="000000" w:sz="4" w:space="0"/>
              <w:left w:val="single" w:color="000000" w:sz="4" w:space="0"/>
              <w:bottom w:val="single" w:color="000000" w:sz="4" w:space="0"/>
              <w:right w:val="single" w:color="000000" w:sz="4" w:space="0"/>
            </w:tcBorders>
            <w:shd w:val="clear" w:color="auto" w:fill="ECECEC"/>
          </w:tcPr>
          <w:p w14:paraId="6825D020">
            <w:pPr>
              <w:pStyle w:val="29"/>
              <w:spacing w:line="224" w:lineRule="exact"/>
              <w:ind w:left="100"/>
              <w:rPr>
                <w:sz w:val="20"/>
              </w:rPr>
            </w:pPr>
            <w:r>
              <w:rPr>
                <w:sz w:val="20"/>
              </w:rPr>
              <w:t>Sanal</w:t>
            </w:r>
            <w:r>
              <w:rPr>
                <w:spacing w:val="46"/>
                <w:sz w:val="20"/>
              </w:rPr>
              <w:t xml:space="preserve"> </w:t>
            </w:r>
            <w:r>
              <w:rPr>
                <w:sz w:val="20"/>
              </w:rPr>
              <w:t>rekreasyon</w:t>
            </w:r>
            <w:r>
              <w:rPr>
                <w:spacing w:val="45"/>
                <w:sz w:val="20"/>
              </w:rPr>
              <w:t xml:space="preserve"> </w:t>
            </w:r>
            <w:r>
              <w:rPr>
                <w:sz w:val="20"/>
              </w:rPr>
              <w:t>faaliyetleri,</w:t>
            </w:r>
            <w:r>
              <w:rPr>
                <w:spacing w:val="47"/>
                <w:sz w:val="20"/>
              </w:rPr>
              <w:t xml:space="preserve"> </w:t>
            </w:r>
            <w:r>
              <w:rPr>
                <w:sz w:val="20"/>
              </w:rPr>
              <w:t>diğer</w:t>
            </w:r>
            <w:r>
              <w:rPr>
                <w:spacing w:val="47"/>
                <w:sz w:val="20"/>
              </w:rPr>
              <w:t xml:space="preserve"> </w:t>
            </w:r>
            <w:r>
              <w:rPr>
                <w:sz w:val="20"/>
              </w:rPr>
              <w:t>insanlarla</w:t>
            </w:r>
            <w:r>
              <w:rPr>
                <w:spacing w:val="49"/>
                <w:sz w:val="20"/>
              </w:rPr>
              <w:t xml:space="preserve"> </w:t>
            </w:r>
            <w:r>
              <w:rPr>
                <w:sz w:val="20"/>
              </w:rPr>
              <w:t>yakınlık</w:t>
            </w:r>
            <w:r>
              <w:rPr>
                <w:spacing w:val="52"/>
                <w:sz w:val="20"/>
              </w:rPr>
              <w:t xml:space="preserve"> </w:t>
            </w:r>
            <w:r>
              <w:rPr>
                <w:sz w:val="20"/>
              </w:rPr>
              <w:t>kurma</w:t>
            </w:r>
            <w:r>
              <w:rPr>
                <w:spacing w:val="47"/>
                <w:sz w:val="20"/>
              </w:rPr>
              <w:t xml:space="preserve"> </w:t>
            </w:r>
            <w:r>
              <w:rPr>
                <w:spacing w:val="-2"/>
                <w:sz w:val="20"/>
              </w:rPr>
              <w:t>becerimi</w:t>
            </w:r>
          </w:p>
          <w:p w14:paraId="64CE6CE8">
            <w:pPr>
              <w:pStyle w:val="29"/>
              <w:spacing w:line="216" w:lineRule="exact"/>
              <w:ind w:left="100"/>
              <w:rPr>
                <w:sz w:val="20"/>
              </w:rPr>
            </w:pPr>
            <w:r>
              <w:rPr>
                <w:spacing w:val="-2"/>
                <w:sz w:val="20"/>
              </w:rPr>
              <w:t>geliştirir.</w:t>
            </w:r>
          </w:p>
        </w:tc>
        <w:tc>
          <w:tcPr>
            <w:tcW w:w="852" w:type="dxa"/>
            <w:tcBorders>
              <w:top w:val="single" w:color="000000" w:sz="4" w:space="0"/>
              <w:left w:val="single" w:color="000000" w:sz="4" w:space="0"/>
              <w:bottom w:val="single" w:color="000000" w:sz="4" w:space="0"/>
              <w:right w:val="single" w:color="000000" w:sz="4" w:space="0"/>
            </w:tcBorders>
            <w:shd w:val="clear" w:color="auto" w:fill="ECECEC"/>
          </w:tcPr>
          <w:p w14:paraId="277557A8">
            <w:pPr>
              <w:pStyle w:val="29"/>
              <w:spacing w:line="204" w:lineRule="exact"/>
              <w:ind w:left="103"/>
              <w:rPr>
                <w:sz w:val="18"/>
              </w:rPr>
            </w:pPr>
            <w:r>
              <w:rPr>
                <w:spacing w:val="-2"/>
                <w:sz w:val="18"/>
              </w:rPr>
              <w:t>0.664</w:t>
            </w:r>
          </w:p>
        </w:tc>
        <w:tc>
          <w:tcPr>
            <w:tcW w:w="850" w:type="dxa"/>
            <w:tcBorders>
              <w:top w:val="single" w:color="000000" w:sz="4" w:space="0"/>
              <w:left w:val="single" w:color="000000" w:sz="4" w:space="0"/>
              <w:bottom w:val="single" w:color="000000" w:sz="4" w:space="0"/>
              <w:right w:val="nil"/>
            </w:tcBorders>
            <w:shd w:val="clear" w:color="auto" w:fill="ECECEC"/>
          </w:tcPr>
          <w:p w14:paraId="59DBEC11">
            <w:pPr>
              <w:pStyle w:val="29"/>
              <w:spacing w:line="204" w:lineRule="exact"/>
              <w:ind w:left="100"/>
              <w:rPr>
                <w:sz w:val="18"/>
              </w:rPr>
            </w:pPr>
            <w:r>
              <w:rPr>
                <w:spacing w:val="-2"/>
                <w:sz w:val="18"/>
              </w:rPr>
              <w:t>0.632</w:t>
            </w:r>
          </w:p>
        </w:tc>
      </w:tr>
      <w:tr w14:paraId="0B77A9B2">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460" w:hRule="atLeast"/>
        </w:trPr>
        <w:tc>
          <w:tcPr>
            <w:tcW w:w="866" w:type="dxa"/>
            <w:tcBorders>
              <w:top w:val="single" w:color="000000" w:sz="4" w:space="0"/>
              <w:left w:val="nil"/>
              <w:bottom w:val="single" w:color="000000" w:sz="4" w:space="0"/>
              <w:right w:val="single" w:color="000000" w:sz="4" w:space="0"/>
            </w:tcBorders>
          </w:tcPr>
          <w:p w14:paraId="6774AE18">
            <w:pPr>
              <w:pStyle w:val="29"/>
              <w:spacing w:line="207" w:lineRule="exact"/>
              <w:ind w:left="122"/>
              <w:rPr>
                <w:b/>
                <w:sz w:val="18"/>
              </w:rPr>
            </w:pPr>
            <w:r>
              <w:rPr>
                <w:b/>
                <w:sz w:val="18"/>
              </w:rPr>
              <w:t>9</w:t>
            </w:r>
          </w:p>
        </w:tc>
        <w:tc>
          <w:tcPr>
            <w:tcW w:w="6237" w:type="dxa"/>
            <w:tcBorders>
              <w:top w:val="single" w:color="000000" w:sz="4" w:space="0"/>
              <w:left w:val="single" w:color="000000" w:sz="4" w:space="0"/>
              <w:bottom w:val="single" w:color="000000" w:sz="4" w:space="0"/>
              <w:right w:val="single" w:color="000000" w:sz="4" w:space="0"/>
            </w:tcBorders>
          </w:tcPr>
          <w:p w14:paraId="5B422E6D">
            <w:pPr>
              <w:pStyle w:val="29"/>
              <w:spacing w:line="223" w:lineRule="exact"/>
              <w:ind w:left="100"/>
              <w:rPr>
                <w:sz w:val="20"/>
              </w:rPr>
            </w:pPr>
            <w:r>
              <w:rPr>
                <w:spacing w:val="-2"/>
                <w:sz w:val="20"/>
              </w:rPr>
              <w:t>Sanal rekreasyon</w:t>
            </w:r>
            <w:r>
              <w:rPr>
                <w:sz w:val="20"/>
              </w:rPr>
              <w:t xml:space="preserve"> </w:t>
            </w:r>
            <w:r>
              <w:rPr>
                <w:spacing w:val="-2"/>
                <w:sz w:val="20"/>
              </w:rPr>
              <w:t>faaliyetleri,</w:t>
            </w:r>
            <w:r>
              <w:rPr>
                <w:spacing w:val="-1"/>
                <w:sz w:val="20"/>
              </w:rPr>
              <w:t xml:space="preserve"> </w:t>
            </w:r>
            <w:r>
              <w:rPr>
                <w:spacing w:val="-2"/>
                <w:sz w:val="20"/>
              </w:rPr>
              <w:t>farklı</w:t>
            </w:r>
            <w:r>
              <w:rPr>
                <w:spacing w:val="-3"/>
                <w:sz w:val="20"/>
              </w:rPr>
              <w:t xml:space="preserve"> </w:t>
            </w:r>
            <w:r>
              <w:rPr>
                <w:spacing w:val="-2"/>
                <w:sz w:val="20"/>
              </w:rPr>
              <w:t>kültürlere</w:t>
            </w:r>
            <w:r>
              <w:rPr>
                <w:spacing w:val="-1"/>
                <w:sz w:val="20"/>
              </w:rPr>
              <w:t xml:space="preserve"> </w:t>
            </w:r>
            <w:r>
              <w:rPr>
                <w:spacing w:val="-2"/>
                <w:sz w:val="20"/>
              </w:rPr>
              <w:t>sahip</w:t>
            </w:r>
            <w:r>
              <w:rPr>
                <w:spacing w:val="-1"/>
                <w:sz w:val="20"/>
              </w:rPr>
              <w:t xml:space="preserve"> </w:t>
            </w:r>
            <w:r>
              <w:rPr>
                <w:spacing w:val="-2"/>
                <w:sz w:val="20"/>
              </w:rPr>
              <w:t>insanlara</w:t>
            </w:r>
            <w:r>
              <w:rPr>
                <w:spacing w:val="1"/>
                <w:sz w:val="20"/>
              </w:rPr>
              <w:t xml:space="preserve"> </w:t>
            </w:r>
            <w:r>
              <w:rPr>
                <w:spacing w:val="-2"/>
                <w:sz w:val="20"/>
              </w:rPr>
              <w:t>uyum</w:t>
            </w:r>
            <w:r>
              <w:rPr>
                <w:spacing w:val="-4"/>
                <w:sz w:val="20"/>
              </w:rPr>
              <w:t xml:space="preserve"> </w:t>
            </w:r>
            <w:r>
              <w:rPr>
                <w:spacing w:val="-2"/>
                <w:sz w:val="20"/>
              </w:rPr>
              <w:t>sağlama</w:t>
            </w:r>
          </w:p>
          <w:p w14:paraId="4EFEB3D2">
            <w:pPr>
              <w:pStyle w:val="29"/>
              <w:spacing w:line="217" w:lineRule="exact"/>
              <w:ind w:left="100"/>
              <w:rPr>
                <w:sz w:val="20"/>
              </w:rPr>
            </w:pPr>
            <w:r>
              <w:rPr>
                <w:sz w:val="20"/>
              </w:rPr>
              <w:t>becerimi</w:t>
            </w:r>
            <w:r>
              <w:rPr>
                <w:spacing w:val="-8"/>
                <w:sz w:val="20"/>
              </w:rPr>
              <w:t xml:space="preserve"> </w:t>
            </w:r>
            <w:r>
              <w:rPr>
                <w:spacing w:val="-2"/>
                <w:sz w:val="20"/>
              </w:rPr>
              <w:t>artırır.</w:t>
            </w:r>
          </w:p>
        </w:tc>
        <w:tc>
          <w:tcPr>
            <w:tcW w:w="852" w:type="dxa"/>
            <w:tcBorders>
              <w:top w:val="single" w:color="000000" w:sz="4" w:space="0"/>
              <w:left w:val="single" w:color="000000" w:sz="4" w:space="0"/>
              <w:bottom w:val="single" w:color="000000" w:sz="4" w:space="0"/>
              <w:right w:val="single" w:color="000000" w:sz="4" w:space="0"/>
            </w:tcBorders>
          </w:tcPr>
          <w:p w14:paraId="04EA5037">
            <w:pPr>
              <w:pStyle w:val="29"/>
              <w:spacing w:line="202" w:lineRule="exact"/>
              <w:ind w:left="103"/>
              <w:rPr>
                <w:sz w:val="18"/>
              </w:rPr>
            </w:pPr>
            <w:r>
              <w:rPr>
                <w:spacing w:val="-2"/>
                <w:sz w:val="18"/>
              </w:rPr>
              <w:t>0.733</w:t>
            </w:r>
          </w:p>
        </w:tc>
        <w:tc>
          <w:tcPr>
            <w:tcW w:w="850" w:type="dxa"/>
            <w:tcBorders>
              <w:top w:val="single" w:color="000000" w:sz="4" w:space="0"/>
              <w:left w:val="single" w:color="000000" w:sz="4" w:space="0"/>
              <w:bottom w:val="single" w:color="000000" w:sz="4" w:space="0"/>
              <w:right w:val="nil"/>
            </w:tcBorders>
          </w:tcPr>
          <w:p w14:paraId="583957A5">
            <w:pPr>
              <w:pStyle w:val="29"/>
              <w:spacing w:line="202" w:lineRule="exact"/>
              <w:ind w:left="100"/>
              <w:rPr>
                <w:sz w:val="18"/>
              </w:rPr>
            </w:pPr>
            <w:r>
              <w:rPr>
                <w:spacing w:val="-2"/>
                <w:sz w:val="18"/>
              </w:rPr>
              <w:t>0.719</w:t>
            </w:r>
          </w:p>
        </w:tc>
      </w:tr>
      <w:tr w14:paraId="4D48AA17">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230" w:hRule="atLeast"/>
        </w:trPr>
        <w:tc>
          <w:tcPr>
            <w:tcW w:w="866" w:type="dxa"/>
            <w:tcBorders>
              <w:top w:val="single" w:color="000000" w:sz="4" w:space="0"/>
              <w:left w:val="nil"/>
              <w:bottom w:val="single" w:color="000000" w:sz="4" w:space="0"/>
              <w:right w:val="single" w:color="000000" w:sz="4" w:space="0"/>
            </w:tcBorders>
            <w:shd w:val="clear" w:color="auto" w:fill="ECECEC"/>
          </w:tcPr>
          <w:p w14:paraId="4AD642D5">
            <w:pPr>
              <w:pStyle w:val="29"/>
              <w:spacing w:line="207" w:lineRule="exact"/>
              <w:ind w:left="122"/>
              <w:rPr>
                <w:b/>
                <w:sz w:val="18"/>
              </w:rPr>
            </w:pPr>
            <w:r>
              <w:rPr>
                <w:b/>
                <w:spacing w:val="-5"/>
                <w:sz w:val="18"/>
              </w:rPr>
              <w:t>10</w:t>
            </w:r>
          </w:p>
        </w:tc>
        <w:tc>
          <w:tcPr>
            <w:tcW w:w="6237" w:type="dxa"/>
            <w:tcBorders>
              <w:top w:val="single" w:color="000000" w:sz="4" w:space="0"/>
              <w:left w:val="single" w:color="000000" w:sz="4" w:space="0"/>
              <w:bottom w:val="single" w:color="000000" w:sz="4" w:space="0"/>
              <w:right w:val="single" w:color="000000" w:sz="4" w:space="0"/>
            </w:tcBorders>
            <w:shd w:val="clear" w:color="auto" w:fill="ECECEC"/>
          </w:tcPr>
          <w:p w14:paraId="6BFA19EB">
            <w:pPr>
              <w:pStyle w:val="29"/>
              <w:spacing w:line="210" w:lineRule="exact"/>
              <w:ind w:left="100"/>
              <w:rPr>
                <w:sz w:val="20"/>
              </w:rPr>
            </w:pPr>
            <w:r>
              <w:rPr>
                <w:sz w:val="20"/>
              </w:rPr>
              <w:t>Sanal</w:t>
            </w:r>
            <w:r>
              <w:rPr>
                <w:spacing w:val="-8"/>
                <w:sz w:val="20"/>
              </w:rPr>
              <w:t xml:space="preserve"> </w:t>
            </w:r>
            <w:r>
              <w:rPr>
                <w:sz w:val="20"/>
              </w:rPr>
              <w:t>rekreasyon</w:t>
            </w:r>
            <w:r>
              <w:rPr>
                <w:spacing w:val="-8"/>
                <w:sz w:val="20"/>
              </w:rPr>
              <w:t xml:space="preserve"> </w:t>
            </w:r>
            <w:r>
              <w:rPr>
                <w:sz w:val="20"/>
              </w:rPr>
              <w:t>faaliyetleri,</w:t>
            </w:r>
            <w:r>
              <w:rPr>
                <w:spacing w:val="-7"/>
                <w:sz w:val="20"/>
              </w:rPr>
              <w:t xml:space="preserve"> </w:t>
            </w:r>
            <w:r>
              <w:rPr>
                <w:sz w:val="20"/>
              </w:rPr>
              <w:t>insanları</w:t>
            </w:r>
            <w:r>
              <w:rPr>
                <w:spacing w:val="-9"/>
                <w:sz w:val="20"/>
              </w:rPr>
              <w:t xml:space="preserve"> </w:t>
            </w:r>
            <w:r>
              <w:rPr>
                <w:sz w:val="20"/>
              </w:rPr>
              <w:t>tanıma</w:t>
            </w:r>
            <w:r>
              <w:rPr>
                <w:spacing w:val="-7"/>
                <w:sz w:val="20"/>
              </w:rPr>
              <w:t xml:space="preserve"> </w:t>
            </w:r>
            <w:r>
              <w:rPr>
                <w:sz w:val="20"/>
              </w:rPr>
              <w:t>becerimi</w:t>
            </w:r>
            <w:r>
              <w:rPr>
                <w:spacing w:val="-8"/>
                <w:sz w:val="20"/>
              </w:rPr>
              <w:t xml:space="preserve"> </w:t>
            </w:r>
            <w:r>
              <w:rPr>
                <w:spacing w:val="-2"/>
                <w:sz w:val="20"/>
              </w:rPr>
              <w:t>geliştirir.</w:t>
            </w:r>
          </w:p>
        </w:tc>
        <w:tc>
          <w:tcPr>
            <w:tcW w:w="852" w:type="dxa"/>
            <w:tcBorders>
              <w:top w:val="single" w:color="000000" w:sz="4" w:space="0"/>
              <w:left w:val="single" w:color="000000" w:sz="4" w:space="0"/>
              <w:bottom w:val="single" w:color="000000" w:sz="4" w:space="0"/>
              <w:right w:val="single" w:color="000000" w:sz="4" w:space="0"/>
            </w:tcBorders>
            <w:shd w:val="clear" w:color="auto" w:fill="ECECEC"/>
          </w:tcPr>
          <w:p w14:paraId="1FFB244C">
            <w:pPr>
              <w:pStyle w:val="29"/>
              <w:spacing w:line="202" w:lineRule="exact"/>
              <w:ind w:left="103"/>
              <w:rPr>
                <w:sz w:val="18"/>
              </w:rPr>
            </w:pPr>
            <w:r>
              <w:rPr>
                <w:spacing w:val="-2"/>
                <w:sz w:val="18"/>
              </w:rPr>
              <w:t>0.623</w:t>
            </w:r>
          </w:p>
        </w:tc>
        <w:tc>
          <w:tcPr>
            <w:tcW w:w="850" w:type="dxa"/>
            <w:tcBorders>
              <w:top w:val="single" w:color="000000" w:sz="4" w:space="0"/>
              <w:left w:val="single" w:color="000000" w:sz="4" w:space="0"/>
              <w:bottom w:val="single" w:color="000000" w:sz="4" w:space="0"/>
              <w:right w:val="nil"/>
            </w:tcBorders>
            <w:shd w:val="clear" w:color="auto" w:fill="ECECEC"/>
          </w:tcPr>
          <w:p w14:paraId="313B1057">
            <w:pPr>
              <w:pStyle w:val="29"/>
              <w:spacing w:line="202" w:lineRule="exact"/>
              <w:ind w:left="100"/>
              <w:rPr>
                <w:sz w:val="18"/>
              </w:rPr>
            </w:pPr>
            <w:r>
              <w:rPr>
                <w:spacing w:val="-2"/>
                <w:sz w:val="18"/>
              </w:rPr>
              <w:t>0.604</w:t>
            </w:r>
          </w:p>
        </w:tc>
      </w:tr>
      <w:tr w14:paraId="6D44E190">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230" w:hRule="atLeast"/>
        </w:trPr>
        <w:tc>
          <w:tcPr>
            <w:tcW w:w="866" w:type="dxa"/>
            <w:tcBorders>
              <w:top w:val="single" w:color="000000" w:sz="4" w:space="0"/>
              <w:left w:val="nil"/>
              <w:bottom w:val="single" w:color="000000" w:sz="4" w:space="0"/>
              <w:right w:val="single" w:color="000000" w:sz="4" w:space="0"/>
            </w:tcBorders>
          </w:tcPr>
          <w:p w14:paraId="3DE675C4">
            <w:pPr>
              <w:pStyle w:val="29"/>
              <w:spacing w:line="207" w:lineRule="exact"/>
              <w:ind w:left="122"/>
              <w:rPr>
                <w:b/>
                <w:sz w:val="18"/>
              </w:rPr>
            </w:pPr>
            <w:r>
              <w:rPr>
                <w:b/>
                <w:spacing w:val="-5"/>
                <w:sz w:val="18"/>
              </w:rPr>
              <w:t>11</w:t>
            </w:r>
          </w:p>
        </w:tc>
        <w:tc>
          <w:tcPr>
            <w:tcW w:w="6237" w:type="dxa"/>
            <w:tcBorders>
              <w:top w:val="single" w:color="000000" w:sz="4" w:space="0"/>
              <w:left w:val="single" w:color="000000" w:sz="4" w:space="0"/>
              <w:bottom w:val="single" w:color="000000" w:sz="4" w:space="0"/>
              <w:right w:val="single" w:color="000000" w:sz="4" w:space="0"/>
            </w:tcBorders>
          </w:tcPr>
          <w:p w14:paraId="50FC8D57">
            <w:pPr>
              <w:pStyle w:val="29"/>
              <w:spacing w:line="210" w:lineRule="exact"/>
              <w:ind w:left="100"/>
              <w:rPr>
                <w:sz w:val="20"/>
              </w:rPr>
            </w:pPr>
            <w:r>
              <w:rPr>
                <w:sz w:val="20"/>
              </w:rPr>
              <w:t>Sanal</w:t>
            </w:r>
            <w:r>
              <w:rPr>
                <w:spacing w:val="-7"/>
                <w:sz w:val="20"/>
              </w:rPr>
              <w:t xml:space="preserve"> </w:t>
            </w:r>
            <w:r>
              <w:rPr>
                <w:sz w:val="20"/>
              </w:rPr>
              <w:t>rekreasyon</w:t>
            </w:r>
            <w:r>
              <w:rPr>
                <w:spacing w:val="-7"/>
                <w:sz w:val="20"/>
              </w:rPr>
              <w:t xml:space="preserve"> </w:t>
            </w:r>
            <w:r>
              <w:rPr>
                <w:sz w:val="20"/>
              </w:rPr>
              <w:t>faaliyetleri,</w:t>
            </w:r>
            <w:r>
              <w:rPr>
                <w:spacing w:val="-5"/>
                <w:sz w:val="20"/>
              </w:rPr>
              <w:t xml:space="preserve"> </w:t>
            </w:r>
            <w:r>
              <w:rPr>
                <w:sz w:val="20"/>
              </w:rPr>
              <w:t>kendimi</w:t>
            </w:r>
            <w:r>
              <w:rPr>
                <w:spacing w:val="-7"/>
                <w:sz w:val="20"/>
              </w:rPr>
              <w:t xml:space="preserve"> </w:t>
            </w:r>
            <w:r>
              <w:rPr>
                <w:sz w:val="20"/>
              </w:rPr>
              <w:t>ifade</w:t>
            </w:r>
            <w:r>
              <w:rPr>
                <w:spacing w:val="-7"/>
                <w:sz w:val="20"/>
              </w:rPr>
              <w:t xml:space="preserve"> </w:t>
            </w:r>
            <w:r>
              <w:rPr>
                <w:sz w:val="20"/>
              </w:rPr>
              <w:t>etme</w:t>
            </w:r>
            <w:r>
              <w:rPr>
                <w:spacing w:val="-7"/>
                <w:sz w:val="20"/>
              </w:rPr>
              <w:t xml:space="preserve"> </w:t>
            </w:r>
            <w:r>
              <w:rPr>
                <w:sz w:val="20"/>
              </w:rPr>
              <w:t>becerimi</w:t>
            </w:r>
            <w:r>
              <w:rPr>
                <w:spacing w:val="-7"/>
                <w:sz w:val="20"/>
              </w:rPr>
              <w:t xml:space="preserve"> </w:t>
            </w:r>
            <w:r>
              <w:rPr>
                <w:spacing w:val="-2"/>
                <w:sz w:val="20"/>
              </w:rPr>
              <w:t>geliştirir.</w:t>
            </w:r>
          </w:p>
        </w:tc>
        <w:tc>
          <w:tcPr>
            <w:tcW w:w="852" w:type="dxa"/>
            <w:tcBorders>
              <w:top w:val="single" w:color="000000" w:sz="4" w:space="0"/>
              <w:left w:val="single" w:color="000000" w:sz="4" w:space="0"/>
              <w:bottom w:val="single" w:color="000000" w:sz="4" w:space="0"/>
              <w:right w:val="single" w:color="000000" w:sz="4" w:space="0"/>
            </w:tcBorders>
          </w:tcPr>
          <w:p w14:paraId="33E2ED89">
            <w:pPr>
              <w:pStyle w:val="29"/>
              <w:spacing w:line="202" w:lineRule="exact"/>
              <w:ind w:left="103"/>
              <w:rPr>
                <w:sz w:val="18"/>
              </w:rPr>
            </w:pPr>
            <w:r>
              <w:rPr>
                <w:spacing w:val="-2"/>
                <w:sz w:val="18"/>
              </w:rPr>
              <w:t>0.694</w:t>
            </w:r>
          </w:p>
        </w:tc>
        <w:tc>
          <w:tcPr>
            <w:tcW w:w="850" w:type="dxa"/>
            <w:tcBorders>
              <w:top w:val="single" w:color="000000" w:sz="4" w:space="0"/>
              <w:left w:val="single" w:color="000000" w:sz="4" w:space="0"/>
              <w:bottom w:val="single" w:color="000000" w:sz="4" w:space="0"/>
              <w:right w:val="nil"/>
            </w:tcBorders>
          </w:tcPr>
          <w:p w14:paraId="2F849F22">
            <w:pPr>
              <w:pStyle w:val="29"/>
              <w:spacing w:line="202" w:lineRule="exact"/>
              <w:ind w:left="100"/>
              <w:rPr>
                <w:sz w:val="18"/>
              </w:rPr>
            </w:pPr>
            <w:r>
              <w:rPr>
                <w:spacing w:val="-2"/>
                <w:sz w:val="18"/>
              </w:rPr>
              <w:t>0.674</w:t>
            </w:r>
          </w:p>
        </w:tc>
      </w:tr>
      <w:tr w14:paraId="0B78FF2C">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230" w:hRule="atLeast"/>
        </w:trPr>
        <w:tc>
          <w:tcPr>
            <w:tcW w:w="866" w:type="dxa"/>
            <w:tcBorders>
              <w:top w:val="single" w:color="000000" w:sz="4" w:space="0"/>
              <w:left w:val="nil"/>
              <w:bottom w:val="single" w:color="000000" w:sz="4" w:space="0"/>
              <w:right w:val="single" w:color="000000" w:sz="4" w:space="0"/>
            </w:tcBorders>
            <w:shd w:val="clear" w:color="auto" w:fill="ECECEC"/>
          </w:tcPr>
          <w:p w14:paraId="280BF385">
            <w:pPr>
              <w:pStyle w:val="29"/>
              <w:ind w:left="122"/>
              <w:rPr>
                <w:b/>
                <w:sz w:val="18"/>
              </w:rPr>
            </w:pPr>
            <w:r>
              <w:rPr>
                <w:b/>
                <w:spacing w:val="-5"/>
                <w:sz w:val="18"/>
              </w:rPr>
              <w:t>12</w:t>
            </w:r>
          </w:p>
        </w:tc>
        <w:tc>
          <w:tcPr>
            <w:tcW w:w="6237" w:type="dxa"/>
            <w:tcBorders>
              <w:top w:val="single" w:color="000000" w:sz="4" w:space="0"/>
              <w:left w:val="single" w:color="000000" w:sz="4" w:space="0"/>
              <w:bottom w:val="single" w:color="000000" w:sz="4" w:space="0"/>
              <w:right w:val="single" w:color="000000" w:sz="4" w:space="0"/>
            </w:tcBorders>
            <w:shd w:val="clear" w:color="auto" w:fill="ECECEC"/>
          </w:tcPr>
          <w:p w14:paraId="32176CD2">
            <w:pPr>
              <w:pStyle w:val="29"/>
              <w:spacing w:line="211" w:lineRule="exact"/>
              <w:ind w:left="100"/>
              <w:rPr>
                <w:sz w:val="20"/>
              </w:rPr>
            </w:pPr>
            <w:r>
              <w:rPr>
                <w:sz w:val="20"/>
              </w:rPr>
              <w:t>Sanal</w:t>
            </w:r>
            <w:r>
              <w:rPr>
                <w:spacing w:val="-10"/>
                <w:sz w:val="20"/>
              </w:rPr>
              <w:t xml:space="preserve"> </w:t>
            </w:r>
            <w:r>
              <w:rPr>
                <w:sz w:val="20"/>
              </w:rPr>
              <w:t>rekreasyon</w:t>
            </w:r>
            <w:r>
              <w:rPr>
                <w:spacing w:val="-10"/>
                <w:sz w:val="20"/>
              </w:rPr>
              <w:t xml:space="preserve"> </w:t>
            </w:r>
            <w:r>
              <w:rPr>
                <w:sz w:val="20"/>
              </w:rPr>
              <w:t>faaliyetleri,</w:t>
            </w:r>
            <w:r>
              <w:rPr>
                <w:spacing w:val="-7"/>
                <w:sz w:val="20"/>
              </w:rPr>
              <w:t xml:space="preserve"> </w:t>
            </w:r>
            <w:r>
              <w:rPr>
                <w:sz w:val="20"/>
              </w:rPr>
              <w:t>duygusal</w:t>
            </w:r>
            <w:r>
              <w:rPr>
                <w:spacing w:val="-8"/>
                <w:sz w:val="20"/>
              </w:rPr>
              <w:t xml:space="preserve"> </w:t>
            </w:r>
            <w:r>
              <w:rPr>
                <w:sz w:val="20"/>
              </w:rPr>
              <w:t>yönden</w:t>
            </w:r>
            <w:r>
              <w:rPr>
                <w:spacing w:val="-8"/>
                <w:sz w:val="20"/>
              </w:rPr>
              <w:t xml:space="preserve"> </w:t>
            </w:r>
            <w:r>
              <w:rPr>
                <w:sz w:val="20"/>
              </w:rPr>
              <w:t>gelişmemi</w:t>
            </w:r>
            <w:r>
              <w:rPr>
                <w:spacing w:val="-10"/>
                <w:sz w:val="20"/>
              </w:rPr>
              <w:t xml:space="preserve"> </w:t>
            </w:r>
            <w:r>
              <w:rPr>
                <w:spacing w:val="-2"/>
                <w:sz w:val="20"/>
              </w:rPr>
              <w:t>sağlar.</w:t>
            </w:r>
          </w:p>
        </w:tc>
        <w:tc>
          <w:tcPr>
            <w:tcW w:w="852" w:type="dxa"/>
            <w:tcBorders>
              <w:top w:val="single" w:color="000000" w:sz="4" w:space="0"/>
              <w:left w:val="single" w:color="000000" w:sz="4" w:space="0"/>
              <w:bottom w:val="single" w:color="000000" w:sz="4" w:space="0"/>
              <w:right w:val="single" w:color="000000" w:sz="4" w:space="0"/>
            </w:tcBorders>
            <w:shd w:val="clear" w:color="auto" w:fill="ECECEC"/>
          </w:tcPr>
          <w:p w14:paraId="404F0920">
            <w:pPr>
              <w:pStyle w:val="29"/>
              <w:spacing w:line="203" w:lineRule="exact"/>
              <w:ind w:left="103"/>
              <w:rPr>
                <w:sz w:val="18"/>
              </w:rPr>
            </w:pPr>
            <w:r>
              <w:rPr>
                <w:spacing w:val="-2"/>
                <w:sz w:val="18"/>
              </w:rPr>
              <w:t>0.739</w:t>
            </w:r>
          </w:p>
        </w:tc>
        <w:tc>
          <w:tcPr>
            <w:tcW w:w="850" w:type="dxa"/>
            <w:tcBorders>
              <w:top w:val="single" w:color="000000" w:sz="4" w:space="0"/>
              <w:left w:val="single" w:color="000000" w:sz="4" w:space="0"/>
              <w:bottom w:val="single" w:color="000000" w:sz="4" w:space="0"/>
              <w:right w:val="nil"/>
            </w:tcBorders>
            <w:shd w:val="clear" w:color="auto" w:fill="ECECEC"/>
          </w:tcPr>
          <w:p w14:paraId="289E5D64">
            <w:pPr>
              <w:pStyle w:val="29"/>
              <w:spacing w:line="203" w:lineRule="exact"/>
              <w:ind w:left="100"/>
              <w:rPr>
                <w:sz w:val="18"/>
              </w:rPr>
            </w:pPr>
            <w:r>
              <w:rPr>
                <w:spacing w:val="-2"/>
                <w:sz w:val="18"/>
              </w:rPr>
              <w:t>0.719</w:t>
            </w:r>
          </w:p>
        </w:tc>
      </w:tr>
      <w:tr w14:paraId="6C132DE6">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460" w:hRule="atLeast"/>
        </w:trPr>
        <w:tc>
          <w:tcPr>
            <w:tcW w:w="866" w:type="dxa"/>
            <w:tcBorders>
              <w:top w:val="single" w:color="000000" w:sz="4" w:space="0"/>
              <w:left w:val="nil"/>
              <w:bottom w:val="single" w:color="000000" w:sz="4" w:space="0"/>
              <w:right w:val="single" w:color="000000" w:sz="4" w:space="0"/>
            </w:tcBorders>
          </w:tcPr>
          <w:p w14:paraId="4E54F8FC">
            <w:pPr>
              <w:pStyle w:val="29"/>
              <w:spacing w:line="207" w:lineRule="exact"/>
              <w:ind w:left="122"/>
              <w:rPr>
                <w:b/>
                <w:sz w:val="18"/>
              </w:rPr>
            </w:pPr>
            <w:r>
              <w:rPr>
                <w:b/>
                <w:spacing w:val="-5"/>
                <w:sz w:val="18"/>
              </w:rPr>
              <w:t>13</w:t>
            </w:r>
          </w:p>
        </w:tc>
        <w:tc>
          <w:tcPr>
            <w:tcW w:w="6237" w:type="dxa"/>
            <w:tcBorders>
              <w:top w:val="single" w:color="000000" w:sz="4" w:space="0"/>
              <w:left w:val="single" w:color="000000" w:sz="4" w:space="0"/>
              <w:bottom w:val="single" w:color="000000" w:sz="4" w:space="0"/>
              <w:right w:val="single" w:color="000000" w:sz="4" w:space="0"/>
            </w:tcBorders>
          </w:tcPr>
          <w:p w14:paraId="5D98940E">
            <w:pPr>
              <w:pStyle w:val="29"/>
              <w:tabs>
                <w:tab w:val="left" w:pos="806"/>
                <w:tab w:val="left" w:pos="2095"/>
                <w:tab w:val="left" w:pos="3423"/>
              </w:tabs>
              <w:spacing w:line="223" w:lineRule="exact"/>
              <w:ind w:left="100"/>
              <w:rPr>
                <w:sz w:val="20"/>
              </w:rPr>
            </w:pPr>
            <w:r>
              <w:rPr>
                <w:spacing w:val="-2"/>
                <w:sz w:val="20"/>
              </w:rPr>
              <w:t>Sanal</w:t>
            </w:r>
            <w:r>
              <w:rPr>
                <w:sz w:val="20"/>
              </w:rPr>
              <w:tab/>
            </w:r>
            <w:r>
              <w:rPr>
                <w:spacing w:val="-2"/>
                <w:sz w:val="20"/>
              </w:rPr>
              <w:t>rekreasyon</w:t>
            </w:r>
            <w:r>
              <w:rPr>
                <w:sz w:val="20"/>
              </w:rPr>
              <w:tab/>
            </w:r>
            <w:r>
              <w:rPr>
                <w:spacing w:val="-2"/>
                <w:sz w:val="20"/>
              </w:rPr>
              <w:t>faaliyetleri,</w:t>
            </w:r>
            <w:r>
              <w:rPr>
                <w:sz w:val="20"/>
              </w:rPr>
              <w:tab/>
            </w:r>
            <w:r>
              <w:rPr>
                <w:sz w:val="20"/>
              </w:rPr>
              <w:t>toplum</w:t>
            </w:r>
            <w:r>
              <w:rPr>
                <w:spacing w:val="77"/>
                <w:w w:val="150"/>
                <w:sz w:val="20"/>
              </w:rPr>
              <w:t xml:space="preserve"> </w:t>
            </w:r>
            <w:r>
              <w:rPr>
                <w:sz w:val="20"/>
              </w:rPr>
              <w:t>içerisinde</w:t>
            </w:r>
            <w:r>
              <w:rPr>
                <w:spacing w:val="28"/>
                <w:sz w:val="20"/>
              </w:rPr>
              <w:t xml:space="preserve">  </w:t>
            </w:r>
            <w:r>
              <w:rPr>
                <w:spacing w:val="-2"/>
                <w:sz w:val="20"/>
              </w:rPr>
              <w:t>karşılaştığım</w:t>
            </w:r>
          </w:p>
          <w:p w14:paraId="2AE2C5A1">
            <w:pPr>
              <w:pStyle w:val="29"/>
              <w:spacing w:line="217" w:lineRule="exact"/>
              <w:ind w:left="100"/>
              <w:rPr>
                <w:sz w:val="20"/>
              </w:rPr>
            </w:pPr>
            <w:r>
              <w:rPr>
                <w:sz w:val="20"/>
              </w:rPr>
              <w:t>sorunları</w:t>
            </w:r>
            <w:r>
              <w:rPr>
                <w:spacing w:val="-9"/>
                <w:sz w:val="20"/>
              </w:rPr>
              <w:t xml:space="preserve"> </w:t>
            </w:r>
            <w:r>
              <w:rPr>
                <w:sz w:val="20"/>
              </w:rPr>
              <w:t>çözmemde</w:t>
            </w:r>
            <w:r>
              <w:rPr>
                <w:spacing w:val="-8"/>
                <w:sz w:val="20"/>
              </w:rPr>
              <w:t xml:space="preserve"> </w:t>
            </w:r>
            <w:r>
              <w:rPr>
                <w:sz w:val="20"/>
              </w:rPr>
              <w:t>bana</w:t>
            </w:r>
            <w:r>
              <w:rPr>
                <w:spacing w:val="-4"/>
                <w:sz w:val="20"/>
              </w:rPr>
              <w:t xml:space="preserve"> </w:t>
            </w:r>
            <w:r>
              <w:rPr>
                <w:sz w:val="20"/>
              </w:rPr>
              <w:t>yardımcı</w:t>
            </w:r>
            <w:r>
              <w:rPr>
                <w:spacing w:val="-8"/>
                <w:sz w:val="20"/>
              </w:rPr>
              <w:t xml:space="preserve"> </w:t>
            </w:r>
            <w:r>
              <w:rPr>
                <w:spacing w:val="-4"/>
                <w:sz w:val="20"/>
              </w:rPr>
              <w:t>olur.</w:t>
            </w:r>
          </w:p>
        </w:tc>
        <w:tc>
          <w:tcPr>
            <w:tcW w:w="852" w:type="dxa"/>
            <w:tcBorders>
              <w:top w:val="single" w:color="000000" w:sz="4" w:space="0"/>
              <w:left w:val="single" w:color="000000" w:sz="4" w:space="0"/>
              <w:bottom w:val="single" w:color="000000" w:sz="4" w:space="0"/>
              <w:right w:val="single" w:color="000000" w:sz="4" w:space="0"/>
            </w:tcBorders>
          </w:tcPr>
          <w:p w14:paraId="2FAC94F9">
            <w:pPr>
              <w:pStyle w:val="29"/>
              <w:spacing w:line="202" w:lineRule="exact"/>
              <w:ind w:left="103"/>
              <w:rPr>
                <w:sz w:val="18"/>
              </w:rPr>
            </w:pPr>
            <w:r>
              <w:rPr>
                <w:spacing w:val="-2"/>
                <w:sz w:val="18"/>
              </w:rPr>
              <w:t>0.714</w:t>
            </w:r>
          </w:p>
        </w:tc>
        <w:tc>
          <w:tcPr>
            <w:tcW w:w="850" w:type="dxa"/>
            <w:tcBorders>
              <w:top w:val="single" w:color="000000" w:sz="4" w:space="0"/>
              <w:left w:val="single" w:color="000000" w:sz="4" w:space="0"/>
              <w:bottom w:val="single" w:color="000000" w:sz="4" w:space="0"/>
              <w:right w:val="nil"/>
            </w:tcBorders>
          </w:tcPr>
          <w:p w14:paraId="75E6EE1D">
            <w:pPr>
              <w:pStyle w:val="29"/>
              <w:spacing w:line="202" w:lineRule="exact"/>
              <w:ind w:left="100"/>
              <w:rPr>
                <w:sz w:val="18"/>
              </w:rPr>
            </w:pPr>
            <w:r>
              <w:rPr>
                <w:spacing w:val="-2"/>
                <w:sz w:val="18"/>
              </w:rPr>
              <w:t>0.697</w:t>
            </w:r>
          </w:p>
        </w:tc>
      </w:tr>
      <w:tr w14:paraId="545E6207">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230" w:hRule="atLeast"/>
        </w:trPr>
        <w:tc>
          <w:tcPr>
            <w:tcW w:w="866" w:type="dxa"/>
            <w:tcBorders>
              <w:top w:val="single" w:color="000000" w:sz="4" w:space="0"/>
              <w:left w:val="nil"/>
              <w:bottom w:val="single" w:color="000000" w:sz="4" w:space="0"/>
              <w:right w:val="single" w:color="000000" w:sz="4" w:space="0"/>
            </w:tcBorders>
            <w:shd w:val="clear" w:color="auto" w:fill="ECECEC"/>
          </w:tcPr>
          <w:p w14:paraId="127C3AA3">
            <w:pPr>
              <w:pStyle w:val="29"/>
              <w:spacing w:line="207" w:lineRule="exact"/>
              <w:ind w:left="122"/>
              <w:rPr>
                <w:b/>
                <w:sz w:val="18"/>
              </w:rPr>
            </w:pPr>
            <w:r>
              <w:rPr>
                <w:b/>
                <w:spacing w:val="-5"/>
                <w:sz w:val="18"/>
              </w:rPr>
              <w:t>14</w:t>
            </w:r>
          </w:p>
        </w:tc>
        <w:tc>
          <w:tcPr>
            <w:tcW w:w="6237" w:type="dxa"/>
            <w:tcBorders>
              <w:top w:val="single" w:color="000000" w:sz="4" w:space="0"/>
              <w:left w:val="single" w:color="000000" w:sz="4" w:space="0"/>
              <w:bottom w:val="single" w:color="000000" w:sz="4" w:space="0"/>
              <w:right w:val="single" w:color="000000" w:sz="4" w:space="0"/>
            </w:tcBorders>
            <w:shd w:val="clear" w:color="auto" w:fill="ECECEC"/>
          </w:tcPr>
          <w:p w14:paraId="1674B200">
            <w:pPr>
              <w:pStyle w:val="29"/>
              <w:spacing w:line="210" w:lineRule="exact"/>
              <w:ind w:left="100"/>
              <w:rPr>
                <w:sz w:val="20"/>
              </w:rPr>
            </w:pPr>
            <w:r>
              <w:rPr>
                <w:sz w:val="20"/>
              </w:rPr>
              <w:t>Sanal</w:t>
            </w:r>
            <w:r>
              <w:rPr>
                <w:spacing w:val="-8"/>
                <w:sz w:val="20"/>
              </w:rPr>
              <w:t xml:space="preserve"> </w:t>
            </w:r>
            <w:r>
              <w:rPr>
                <w:sz w:val="20"/>
              </w:rPr>
              <w:t>rekreasyon</w:t>
            </w:r>
            <w:r>
              <w:rPr>
                <w:spacing w:val="-9"/>
                <w:sz w:val="20"/>
              </w:rPr>
              <w:t xml:space="preserve"> </w:t>
            </w:r>
            <w:r>
              <w:rPr>
                <w:sz w:val="20"/>
              </w:rPr>
              <w:t>faaliyetleri,</w:t>
            </w:r>
            <w:r>
              <w:rPr>
                <w:spacing w:val="-6"/>
                <w:sz w:val="20"/>
              </w:rPr>
              <w:t xml:space="preserve"> </w:t>
            </w:r>
            <w:r>
              <w:rPr>
                <w:sz w:val="20"/>
              </w:rPr>
              <w:t>yeni</w:t>
            </w:r>
            <w:r>
              <w:rPr>
                <w:spacing w:val="-9"/>
                <w:sz w:val="20"/>
              </w:rPr>
              <w:t xml:space="preserve"> </w:t>
            </w:r>
            <w:r>
              <w:rPr>
                <w:sz w:val="20"/>
              </w:rPr>
              <w:t>arkadaşlar</w:t>
            </w:r>
            <w:r>
              <w:rPr>
                <w:spacing w:val="-8"/>
                <w:sz w:val="20"/>
              </w:rPr>
              <w:t xml:space="preserve"> </w:t>
            </w:r>
            <w:r>
              <w:rPr>
                <w:sz w:val="20"/>
              </w:rPr>
              <w:t>edinmemi</w:t>
            </w:r>
            <w:r>
              <w:rPr>
                <w:spacing w:val="-9"/>
                <w:sz w:val="20"/>
              </w:rPr>
              <w:t xml:space="preserve"> </w:t>
            </w:r>
            <w:r>
              <w:rPr>
                <w:spacing w:val="-2"/>
                <w:sz w:val="20"/>
              </w:rPr>
              <w:t>sağlar.</w:t>
            </w:r>
          </w:p>
        </w:tc>
        <w:tc>
          <w:tcPr>
            <w:tcW w:w="852" w:type="dxa"/>
            <w:tcBorders>
              <w:top w:val="single" w:color="000000" w:sz="4" w:space="0"/>
              <w:left w:val="single" w:color="000000" w:sz="4" w:space="0"/>
              <w:bottom w:val="single" w:color="000000" w:sz="4" w:space="0"/>
              <w:right w:val="single" w:color="000000" w:sz="4" w:space="0"/>
            </w:tcBorders>
            <w:shd w:val="clear" w:color="auto" w:fill="ECECEC"/>
          </w:tcPr>
          <w:p w14:paraId="40080D80">
            <w:pPr>
              <w:pStyle w:val="29"/>
              <w:spacing w:line="202" w:lineRule="exact"/>
              <w:ind w:left="103"/>
              <w:rPr>
                <w:sz w:val="18"/>
              </w:rPr>
            </w:pPr>
            <w:r>
              <w:rPr>
                <w:spacing w:val="-2"/>
                <w:sz w:val="18"/>
              </w:rPr>
              <w:t>0.654</w:t>
            </w:r>
          </w:p>
        </w:tc>
        <w:tc>
          <w:tcPr>
            <w:tcW w:w="850" w:type="dxa"/>
            <w:tcBorders>
              <w:top w:val="single" w:color="000000" w:sz="4" w:space="0"/>
              <w:left w:val="single" w:color="000000" w:sz="4" w:space="0"/>
              <w:bottom w:val="single" w:color="000000" w:sz="4" w:space="0"/>
              <w:right w:val="nil"/>
            </w:tcBorders>
            <w:shd w:val="clear" w:color="auto" w:fill="ECECEC"/>
          </w:tcPr>
          <w:p w14:paraId="3EF044C0">
            <w:pPr>
              <w:pStyle w:val="29"/>
              <w:spacing w:line="202" w:lineRule="exact"/>
              <w:ind w:left="100"/>
              <w:rPr>
                <w:sz w:val="18"/>
              </w:rPr>
            </w:pPr>
            <w:r>
              <w:rPr>
                <w:spacing w:val="-2"/>
                <w:sz w:val="18"/>
              </w:rPr>
              <w:t>0.633</w:t>
            </w:r>
          </w:p>
        </w:tc>
      </w:tr>
      <w:tr w14:paraId="56593613">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460" w:hRule="atLeast"/>
        </w:trPr>
        <w:tc>
          <w:tcPr>
            <w:tcW w:w="866" w:type="dxa"/>
            <w:tcBorders>
              <w:top w:val="single" w:color="000000" w:sz="4" w:space="0"/>
              <w:left w:val="nil"/>
              <w:bottom w:val="single" w:color="000000" w:sz="4" w:space="0"/>
              <w:right w:val="single" w:color="000000" w:sz="4" w:space="0"/>
            </w:tcBorders>
          </w:tcPr>
          <w:p w14:paraId="2F0EA7DE">
            <w:pPr>
              <w:pStyle w:val="29"/>
              <w:spacing w:line="207" w:lineRule="exact"/>
              <w:ind w:left="122"/>
              <w:rPr>
                <w:b/>
                <w:sz w:val="18"/>
              </w:rPr>
            </w:pPr>
            <w:r>
              <w:rPr>
                <w:b/>
                <w:spacing w:val="-5"/>
                <w:sz w:val="18"/>
              </w:rPr>
              <w:t>15</w:t>
            </w:r>
          </w:p>
        </w:tc>
        <w:tc>
          <w:tcPr>
            <w:tcW w:w="6237" w:type="dxa"/>
            <w:tcBorders>
              <w:top w:val="single" w:color="000000" w:sz="4" w:space="0"/>
              <w:left w:val="single" w:color="000000" w:sz="4" w:space="0"/>
              <w:bottom w:val="single" w:color="000000" w:sz="4" w:space="0"/>
              <w:right w:val="single" w:color="000000" w:sz="4" w:space="0"/>
            </w:tcBorders>
          </w:tcPr>
          <w:p w14:paraId="103127B6">
            <w:pPr>
              <w:pStyle w:val="29"/>
              <w:spacing w:line="223" w:lineRule="exact"/>
              <w:ind w:left="100"/>
              <w:rPr>
                <w:sz w:val="20"/>
              </w:rPr>
            </w:pPr>
            <w:r>
              <w:rPr>
                <w:sz w:val="20"/>
              </w:rPr>
              <w:t>Sanal</w:t>
            </w:r>
            <w:r>
              <w:rPr>
                <w:spacing w:val="63"/>
                <w:sz w:val="20"/>
              </w:rPr>
              <w:t xml:space="preserve"> </w:t>
            </w:r>
            <w:r>
              <w:rPr>
                <w:sz w:val="20"/>
              </w:rPr>
              <w:t>rekreasyon</w:t>
            </w:r>
            <w:r>
              <w:rPr>
                <w:spacing w:val="65"/>
                <w:sz w:val="20"/>
              </w:rPr>
              <w:t xml:space="preserve"> </w:t>
            </w:r>
            <w:r>
              <w:rPr>
                <w:sz w:val="20"/>
              </w:rPr>
              <w:t>faaliyetleri,</w:t>
            </w:r>
            <w:r>
              <w:rPr>
                <w:spacing w:val="64"/>
                <w:sz w:val="20"/>
              </w:rPr>
              <w:t xml:space="preserve"> </w:t>
            </w:r>
            <w:r>
              <w:rPr>
                <w:sz w:val="20"/>
              </w:rPr>
              <w:t>takım</w:t>
            </w:r>
            <w:r>
              <w:rPr>
                <w:spacing w:val="60"/>
                <w:sz w:val="20"/>
              </w:rPr>
              <w:t xml:space="preserve"> </w:t>
            </w:r>
            <w:r>
              <w:rPr>
                <w:sz w:val="20"/>
              </w:rPr>
              <w:t>çalışması</w:t>
            </w:r>
            <w:r>
              <w:rPr>
                <w:spacing w:val="63"/>
                <w:sz w:val="20"/>
              </w:rPr>
              <w:t xml:space="preserve"> </w:t>
            </w:r>
            <w:r>
              <w:rPr>
                <w:sz w:val="20"/>
              </w:rPr>
              <w:t>kavramını</w:t>
            </w:r>
            <w:r>
              <w:rPr>
                <w:spacing w:val="66"/>
                <w:sz w:val="20"/>
              </w:rPr>
              <w:t xml:space="preserve"> </w:t>
            </w:r>
            <w:r>
              <w:rPr>
                <w:spacing w:val="-2"/>
                <w:sz w:val="20"/>
              </w:rPr>
              <w:t>oluşturmama</w:t>
            </w:r>
          </w:p>
          <w:p w14:paraId="1F2FB9DE">
            <w:pPr>
              <w:pStyle w:val="29"/>
              <w:spacing w:line="217" w:lineRule="exact"/>
              <w:ind w:left="100"/>
              <w:rPr>
                <w:sz w:val="20"/>
              </w:rPr>
            </w:pPr>
            <w:r>
              <w:rPr>
                <w:sz w:val="20"/>
              </w:rPr>
              <w:t>yardımcı</w:t>
            </w:r>
            <w:r>
              <w:rPr>
                <w:spacing w:val="-10"/>
                <w:sz w:val="20"/>
              </w:rPr>
              <w:t xml:space="preserve"> </w:t>
            </w:r>
            <w:r>
              <w:rPr>
                <w:spacing w:val="-2"/>
                <w:sz w:val="20"/>
              </w:rPr>
              <w:t>olur.</w:t>
            </w:r>
          </w:p>
        </w:tc>
        <w:tc>
          <w:tcPr>
            <w:tcW w:w="852" w:type="dxa"/>
            <w:tcBorders>
              <w:top w:val="single" w:color="000000" w:sz="4" w:space="0"/>
              <w:left w:val="single" w:color="000000" w:sz="4" w:space="0"/>
              <w:bottom w:val="single" w:color="000000" w:sz="4" w:space="0"/>
              <w:right w:val="single" w:color="000000" w:sz="4" w:space="0"/>
            </w:tcBorders>
          </w:tcPr>
          <w:p w14:paraId="5C35CDF5">
            <w:pPr>
              <w:pStyle w:val="29"/>
              <w:spacing w:line="202" w:lineRule="exact"/>
              <w:ind w:left="103"/>
              <w:rPr>
                <w:sz w:val="18"/>
              </w:rPr>
            </w:pPr>
            <w:r>
              <w:rPr>
                <w:spacing w:val="-2"/>
                <w:sz w:val="18"/>
              </w:rPr>
              <w:t>0.717</w:t>
            </w:r>
          </w:p>
        </w:tc>
        <w:tc>
          <w:tcPr>
            <w:tcW w:w="850" w:type="dxa"/>
            <w:tcBorders>
              <w:top w:val="single" w:color="000000" w:sz="4" w:space="0"/>
              <w:left w:val="single" w:color="000000" w:sz="4" w:space="0"/>
              <w:bottom w:val="single" w:color="000000" w:sz="4" w:space="0"/>
              <w:right w:val="nil"/>
            </w:tcBorders>
          </w:tcPr>
          <w:p w14:paraId="250F51BC">
            <w:pPr>
              <w:pStyle w:val="29"/>
              <w:spacing w:line="202" w:lineRule="exact"/>
              <w:ind w:left="100"/>
              <w:rPr>
                <w:sz w:val="18"/>
              </w:rPr>
            </w:pPr>
            <w:r>
              <w:rPr>
                <w:spacing w:val="-2"/>
                <w:sz w:val="18"/>
              </w:rPr>
              <w:t>0.699</w:t>
            </w:r>
          </w:p>
        </w:tc>
      </w:tr>
      <w:tr w14:paraId="67D0C5FF">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230" w:hRule="atLeast"/>
        </w:trPr>
        <w:tc>
          <w:tcPr>
            <w:tcW w:w="866" w:type="dxa"/>
            <w:tcBorders>
              <w:top w:val="single" w:color="000000" w:sz="4" w:space="0"/>
              <w:left w:val="nil"/>
              <w:bottom w:val="single" w:color="000000" w:sz="4" w:space="0"/>
              <w:right w:val="single" w:color="000000" w:sz="4" w:space="0"/>
            </w:tcBorders>
            <w:shd w:val="clear" w:color="auto" w:fill="ECECEC"/>
          </w:tcPr>
          <w:p w14:paraId="170F2D24">
            <w:pPr>
              <w:pStyle w:val="29"/>
              <w:spacing w:line="207" w:lineRule="exact"/>
              <w:ind w:left="122"/>
              <w:rPr>
                <w:b/>
                <w:sz w:val="18"/>
              </w:rPr>
            </w:pPr>
            <w:r>
              <w:rPr>
                <w:b/>
                <w:spacing w:val="-5"/>
                <w:sz w:val="18"/>
              </w:rPr>
              <w:t>16</w:t>
            </w:r>
          </w:p>
        </w:tc>
        <w:tc>
          <w:tcPr>
            <w:tcW w:w="6237" w:type="dxa"/>
            <w:tcBorders>
              <w:top w:val="single" w:color="000000" w:sz="4" w:space="0"/>
              <w:left w:val="single" w:color="000000" w:sz="4" w:space="0"/>
              <w:bottom w:val="single" w:color="000000" w:sz="4" w:space="0"/>
              <w:right w:val="single" w:color="000000" w:sz="4" w:space="0"/>
            </w:tcBorders>
            <w:shd w:val="clear" w:color="auto" w:fill="ECECEC"/>
          </w:tcPr>
          <w:p w14:paraId="3B6962A5">
            <w:pPr>
              <w:pStyle w:val="29"/>
              <w:spacing w:line="210" w:lineRule="exact"/>
              <w:ind w:left="100"/>
              <w:rPr>
                <w:sz w:val="20"/>
              </w:rPr>
            </w:pPr>
            <w:r>
              <w:rPr>
                <w:sz w:val="20"/>
              </w:rPr>
              <w:t>Sanal</w:t>
            </w:r>
            <w:r>
              <w:rPr>
                <w:spacing w:val="-9"/>
                <w:sz w:val="20"/>
              </w:rPr>
              <w:t xml:space="preserve"> </w:t>
            </w:r>
            <w:r>
              <w:rPr>
                <w:sz w:val="20"/>
              </w:rPr>
              <w:t>rekreasyon</w:t>
            </w:r>
            <w:r>
              <w:rPr>
                <w:spacing w:val="-9"/>
                <w:sz w:val="20"/>
              </w:rPr>
              <w:t xml:space="preserve"> </w:t>
            </w:r>
            <w:r>
              <w:rPr>
                <w:sz w:val="20"/>
              </w:rPr>
              <w:t>faaliyetleri,</w:t>
            </w:r>
            <w:r>
              <w:rPr>
                <w:spacing w:val="-6"/>
                <w:sz w:val="20"/>
              </w:rPr>
              <w:t xml:space="preserve"> </w:t>
            </w:r>
            <w:r>
              <w:rPr>
                <w:sz w:val="20"/>
              </w:rPr>
              <w:t>aile</w:t>
            </w:r>
            <w:r>
              <w:rPr>
                <w:spacing w:val="-6"/>
                <w:sz w:val="20"/>
              </w:rPr>
              <w:t xml:space="preserve"> </w:t>
            </w:r>
            <w:r>
              <w:rPr>
                <w:sz w:val="20"/>
              </w:rPr>
              <w:t>ilişkilerimi</w:t>
            </w:r>
            <w:r>
              <w:rPr>
                <w:spacing w:val="-9"/>
                <w:sz w:val="20"/>
              </w:rPr>
              <w:t xml:space="preserve"> </w:t>
            </w:r>
            <w:r>
              <w:rPr>
                <w:spacing w:val="-2"/>
                <w:sz w:val="20"/>
              </w:rPr>
              <w:t>geliştirir.</w:t>
            </w:r>
          </w:p>
        </w:tc>
        <w:tc>
          <w:tcPr>
            <w:tcW w:w="852" w:type="dxa"/>
            <w:tcBorders>
              <w:top w:val="single" w:color="000000" w:sz="4" w:space="0"/>
              <w:left w:val="single" w:color="000000" w:sz="4" w:space="0"/>
              <w:bottom w:val="single" w:color="000000" w:sz="4" w:space="0"/>
              <w:right w:val="single" w:color="000000" w:sz="4" w:space="0"/>
            </w:tcBorders>
            <w:shd w:val="clear" w:color="auto" w:fill="ECECEC"/>
          </w:tcPr>
          <w:p w14:paraId="631871E1">
            <w:pPr>
              <w:pStyle w:val="29"/>
              <w:spacing w:line="202" w:lineRule="exact"/>
              <w:ind w:left="103"/>
              <w:rPr>
                <w:sz w:val="18"/>
              </w:rPr>
            </w:pPr>
            <w:r>
              <w:rPr>
                <w:spacing w:val="-2"/>
                <w:sz w:val="18"/>
              </w:rPr>
              <w:t>0.683</w:t>
            </w:r>
          </w:p>
        </w:tc>
        <w:tc>
          <w:tcPr>
            <w:tcW w:w="850" w:type="dxa"/>
            <w:tcBorders>
              <w:top w:val="single" w:color="000000" w:sz="4" w:space="0"/>
              <w:left w:val="single" w:color="000000" w:sz="4" w:space="0"/>
              <w:bottom w:val="single" w:color="000000" w:sz="4" w:space="0"/>
              <w:right w:val="nil"/>
            </w:tcBorders>
            <w:shd w:val="clear" w:color="auto" w:fill="ECECEC"/>
          </w:tcPr>
          <w:p w14:paraId="634BCE82">
            <w:pPr>
              <w:pStyle w:val="29"/>
              <w:spacing w:line="202" w:lineRule="exact"/>
              <w:ind w:left="100"/>
              <w:rPr>
                <w:sz w:val="18"/>
              </w:rPr>
            </w:pPr>
            <w:r>
              <w:rPr>
                <w:spacing w:val="-2"/>
                <w:sz w:val="18"/>
              </w:rPr>
              <w:t>0.657</w:t>
            </w:r>
          </w:p>
        </w:tc>
      </w:tr>
      <w:tr w14:paraId="57C91745">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230" w:hRule="atLeast"/>
        </w:trPr>
        <w:tc>
          <w:tcPr>
            <w:tcW w:w="866" w:type="dxa"/>
            <w:tcBorders>
              <w:top w:val="single" w:color="000000" w:sz="4" w:space="0"/>
              <w:left w:val="nil"/>
              <w:bottom w:val="single" w:color="000000" w:sz="4" w:space="0"/>
              <w:right w:val="single" w:color="000000" w:sz="4" w:space="0"/>
            </w:tcBorders>
          </w:tcPr>
          <w:p w14:paraId="7016C7DF">
            <w:pPr>
              <w:pStyle w:val="29"/>
              <w:spacing w:line="207" w:lineRule="exact"/>
              <w:ind w:left="122"/>
              <w:rPr>
                <w:b/>
                <w:sz w:val="18"/>
              </w:rPr>
            </w:pPr>
            <w:r>
              <w:rPr>
                <w:b/>
                <w:spacing w:val="-5"/>
                <w:sz w:val="18"/>
              </w:rPr>
              <w:t>17</w:t>
            </w:r>
          </w:p>
        </w:tc>
        <w:tc>
          <w:tcPr>
            <w:tcW w:w="6237" w:type="dxa"/>
            <w:tcBorders>
              <w:top w:val="single" w:color="000000" w:sz="4" w:space="0"/>
              <w:left w:val="single" w:color="000000" w:sz="4" w:space="0"/>
              <w:bottom w:val="single" w:color="000000" w:sz="4" w:space="0"/>
              <w:right w:val="single" w:color="000000" w:sz="4" w:space="0"/>
            </w:tcBorders>
          </w:tcPr>
          <w:p w14:paraId="6A6D6771">
            <w:pPr>
              <w:pStyle w:val="29"/>
              <w:spacing w:line="210" w:lineRule="exact"/>
              <w:ind w:left="100"/>
              <w:rPr>
                <w:sz w:val="20"/>
              </w:rPr>
            </w:pPr>
            <w:r>
              <w:rPr>
                <w:sz w:val="20"/>
              </w:rPr>
              <w:t>Sanal</w:t>
            </w:r>
            <w:r>
              <w:rPr>
                <w:spacing w:val="-10"/>
                <w:sz w:val="20"/>
              </w:rPr>
              <w:t xml:space="preserve"> </w:t>
            </w:r>
            <w:r>
              <w:rPr>
                <w:sz w:val="20"/>
              </w:rPr>
              <w:t>rekreasyonfaaliyetleri,</w:t>
            </w:r>
            <w:r>
              <w:rPr>
                <w:spacing w:val="-10"/>
                <w:sz w:val="20"/>
              </w:rPr>
              <w:t xml:space="preserve"> </w:t>
            </w:r>
            <w:r>
              <w:rPr>
                <w:sz w:val="20"/>
              </w:rPr>
              <w:t>arkadaşlarımla</w:t>
            </w:r>
            <w:r>
              <w:rPr>
                <w:spacing w:val="-10"/>
                <w:sz w:val="20"/>
              </w:rPr>
              <w:t xml:space="preserve"> </w:t>
            </w:r>
            <w:r>
              <w:rPr>
                <w:sz w:val="20"/>
              </w:rPr>
              <w:t>olan</w:t>
            </w:r>
            <w:r>
              <w:rPr>
                <w:spacing w:val="-11"/>
                <w:sz w:val="20"/>
              </w:rPr>
              <w:t xml:space="preserve"> </w:t>
            </w:r>
            <w:r>
              <w:rPr>
                <w:sz w:val="20"/>
              </w:rPr>
              <w:t>ilişkilerimi</w:t>
            </w:r>
            <w:r>
              <w:rPr>
                <w:spacing w:val="-8"/>
                <w:sz w:val="20"/>
              </w:rPr>
              <w:t xml:space="preserve"> </w:t>
            </w:r>
            <w:r>
              <w:rPr>
                <w:spacing w:val="-2"/>
                <w:sz w:val="20"/>
              </w:rPr>
              <w:t>geliştirir.</w:t>
            </w:r>
          </w:p>
        </w:tc>
        <w:tc>
          <w:tcPr>
            <w:tcW w:w="852" w:type="dxa"/>
            <w:tcBorders>
              <w:top w:val="single" w:color="000000" w:sz="4" w:space="0"/>
              <w:left w:val="single" w:color="000000" w:sz="4" w:space="0"/>
              <w:bottom w:val="single" w:color="000000" w:sz="4" w:space="0"/>
              <w:right w:val="single" w:color="000000" w:sz="4" w:space="0"/>
            </w:tcBorders>
          </w:tcPr>
          <w:p w14:paraId="5854A18C">
            <w:pPr>
              <w:pStyle w:val="29"/>
              <w:spacing w:line="202" w:lineRule="exact"/>
              <w:ind w:left="103"/>
              <w:rPr>
                <w:sz w:val="18"/>
              </w:rPr>
            </w:pPr>
            <w:r>
              <w:rPr>
                <w:spacing w:val="-2"/>
                <w:sz w:val="18"/>
              </w:rPr>
              <w:t>0.697</w:t>
            </w:r>
          </w:p>
        </w:tc>
        <w:tc>
          <w:tcPr>
            <w:tcW w:w="850" w:type="dxa"/>
            <w:tcBorders>
              <w:top w:val="single" w:color="000000" w:sz="4" w:space="0"/>
              <w:left w:val="single" w:color="000000" w:sz="4" w:space="0"/>
              <w:bottom w:val="single" w:color="000000" w:sz="4" w:space="0"/>
              <w:right w:val="nil"/>
            </w:tcBorders>
          </w:tcPr>
          <w:p w14:paraId="4E0B794A">
            <w:pPr>
              <w:pStyle w:val="29"/>
              <w:spacing w:line="202" w:lineRule="exact"/>
              <w:ind w:left="100"/>
              <w:rPr>
                <w:sz w:val="18"/>
              </w:rPr>
            </w:pPr>
            <w:r>
              <w:rPr>
                <w:spacing w:val="-2"/>
                <w:sz w:val="18"/>
              </w:rPr>
              <w:t>0.670</w:t>
            </w:r>
          </w:p>
        </w:tc>
      </w:tr>
      <w:tr w14:paraId="164FBEF3">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230" w:hRule="atLeast"/>
        </w:trPr>
        <w:tc>
          <w:tcPr>
            <w:tcW w:w="866" w:type="dxa"/>
            <w:tcBorders>
              <w:top w:val="single" w:color="000000" w:sz="4" w:space="0"/>
              <w:left w:val="nil"/>
              <w:bottom w:val="single" w:color="000000" w:sz="4" w:space="0"/>
              <w:right w:val="single" w:color="000000" w:sz="4" w:space="0"/>
            </w:tcBorders>
            <w:shd w:val="clear" w:color="auto" w:fill="ECECEC"/>
          </w:tcPr>
          <w:p w14:paraId="25AB6DD9">
            <w:pPr>
              <w:pStyle w:val="29"/>
              <w:spacing w:line="207" w:lineRule="exact"/>
              <w:ind w:left="122"/>
              <w:rPr>
                <w:b/>
                <w:sz w:val="18"/>
              </w:rPr>
            </w:pPr>
            <w:r>
              <w:rPr>
                <w:b/>
                <w:spacing w:val="-5"/>
                <w:sz w:val="18"/>
              </w:rPr>
              <w:t>18</w:t>
            </w:r>
          </w:p>
        </w:tc>
        <w:tc>
          <w:tcPr>
            <w:tcW w:w="6237" w:type="dxa"/>
            <w:tcBorders>
              <w:top w:val="single" w:color="000000" w:sz="4" w:space="0"/>
              <w:left w:val="single" w:color="000000" w:sz="4" w:space="0"/>
              <w:bottom w:val="single" w:color="000000" w:sz="4" w:space="0"/>
              <w:right w:val="single" w:color="000000" w:sz="4" w:space="0"/>
            </w:tcBorders>
            <w:shd w:val="clear" w:color="auto" w:fill="ECECEC"/>
          </w:tcPr>
          <w:p w14:paraId="224D1F0F">
            <w:pPr>
              <w:pStyle w:val="29"/>
              <w:spacing w:line="210" w:lineRule="exact"/>
              <w:ind w:left="100"/>
              <w:rPr>
                <w:sz w:val="20"/>
              </w:rPr>
            </w:pPr>
            <w:r>
              <w:rPr>
                <w:sz w:val="20"/>
              </w:rPr>
              <w:t>Sanal</w:t>
            </w:r>
            <w:r>
              <w:rPr>
                <w:spacing w:val="-8"/>
                <w:sz w:val="20"/>
              </w:rPr>
              <w:t xml:space="preserve"> </w:t>
            </w:r>
            <w:r>
              <w:rPr>
                <w:sz w:val="20"/>
              </w:rPr>
              <w:t>rekreasyon</w:t>
            </w:r>
            <w:r>
              <w:rPr>
                <w:spacing w:val="-9"/>
                <w:sz w:val="20"/>
              </w:rPr>
              <w:t xml:space="preserve"> </w:t>
            </w:r>
            <w:r>
              <w:rPr>
                <w:sz w:val="20"/>
              </w:rPr>
              <w:t>faaliyetleri,</w:t>
            </w:r>
            <w:r>
              <w:rPr>
                <w:spacing w:val="-6"/>
                <w:sz w:val="20"/>
              </w:rPr>
              <w:t xml:space="preserve"> </w:t>
            </w:r>
            <w:r>
              <w:rPr>
                <w:sz w:val="20"/>
              </w:rPr>
              <w:t>yeni</w:t>
            </w:r>
            <w:r>
              <w:rPr>
                <w:spacing w:val="-9"/>
                <w:sz w:val="20"/>
              </w:rPr>
              <w:t xml:space="preserve"> </w:t>
            </w:r>
            <w:r>
              <w:rPr>
                <w:sz w:val="20"/>
              </w:rPr>
              <w:t>bilgiler</w:t>
            </w:r>
            <w:r>
              <w:rPr>
                <w:spacing w:val="-8"/>
                <w:sz w:val="20"/>
              </w:rPr>
              <w:t xml:space="preserve"> </w:t>
            </w:r>
            <w:r>
              <w:rPr>
                <w:sz w:val="20"/>
              </w:rPr>
              <w:t>öğrenmemi</w:t>
            </w:r>
            <w:r>
              <w:rPr>
                <w:spacing w:val="-6"/>
                <w:sz w:val="20"/>
              </w:rPr>
              <w:t xml:space="preserve"> </w:t>
            </w:r>
            <w:r>
              <w:rPr>
                <w:spacing w:val="-2"/>
                <w:sz w:val="20"/>
              </w:rPr>
              <w:t>sağlar.</w:t>
            </w:r>
          </w:p>
        </w:tc>
        <w:tc>
          <w:tcPr>
            <w:tcW w:w="852" w:type="dxa"/>
            <w:tcBorders>
              <w:top w:val="single" w:color="000000" w:sz="4" w:space="0"/>
              <w:left w:val="single" w:color="000000" w:sz="4" w:space="0"/>
              <w:bottom w:val="single" w:color="000000" w:sz="4" w:space="0"/>
              <w:right w:val="single" w:color="000000" w:sz="4" w:space="0"/>
            </w:tcBorders>
            <w:shd w:val="clear" w:color="auto" w:fill="ECECEC"/>
          </w:tcPr>
          <w:p w14:paraId="60F48C61">
            <w:pPr>
              <w:pStyle w:val="29"/>
              <w:spacing w:line="202" w:lineRule="exact"/>
              <w:ind w:left="103"/>
              <w:rPr>
                <w:sz w:val="18"/>
              </w:rPr>
            </w:pPr>
            <w:r>
              <w:rPr>
                <w:spacing w:val="-2"/>
                <w:sz w:val="18"/>
              </w:rPr>
              <w:t>0.754</w:t>
            </w:r>
          </w:p>
        </w:tc>
        <w:tc>
          <w:tcPr>
            <w:tcW w:w="850" w:type="dxa"/>
            <w:tcBorders>
              <w:top w:val="single" w:color="000000" w:sz="4" w:space="0"/>
              <w:left w:val="single" w:color="000000" w:sz="4" w:space="0"/>
              <w:bottom w:val="single" w:color="000000" w:sz="4" w:space="0"/>
              <w:right w:val="nil"/>
            </w:tcBorders>
            <w:shd w:val="clear" w:color="auto" w:fill="ECECEC"/>
          </w:tcPr>
          <w:p w14:paraId="2867F265">
            <w:pPr>
              <w:pStyle w:val="29"/>
              <w:spacing w:line="202" w:lineRule="exact"/>
              <w:ind w:left="100"/>
              <w:rPr>
                <w:sz w:val="18"/>
              </w:rPr>
            </w:pPr>
            <w:r>
              <w:rPr>
                <w:spacing w:val="-2"/>
                <w:sz w:val="18"/>
              </w:rPr>
              <w:t>0.760</w:t>
            </w:r>
          </w:p>
        </w:tc>
      </w:tr>
      <w:tr w14:paraId="62C9D872">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230" w:hRule="atLeast"/>
        </w:trPr>
        <w:tc>
          <w:tcPr>
            <w:tcW w:w="866" w:type="dxa"/>
            <w:tcBorders>
              <w:top w:val="single" w:color="000000" w:sz="4" w:space="0"/>
              <w:left w:val="nil"/>
              <w:bottom w:val="single" w:color="000000" w:sz="4" w:space="0"/>
              <w:right w:val="single" w:color="000000" w:sz="4" w:space="0"/>
            </w:tcBorders>
          </w:tcPr>
          <w:p w14:paraId="07DCAF21">
            <w:pPr>
              <w:pStyle w:val="29"/>
              <w:spacing w:line="207" w:lineRule="exact"/>
              <w:ind w:left="122"/>
              <w:rPr>
                <w:b/>
                <w:sz w:val="18"/>
              </w:rPr>
            </w:pPr>
            <w:r>
              <w:rPr>
                <w:b/>
                <w:spacing w:val="-5"/>
                <w:sz w:val="18"/>
              </w:rPr>
              <w:t>19</w:t>
            </w:r>
          </w:p>
        </w:tc>
        <w:tc>
          <w:tcPr>
            <w:tcW w:w="6237" w:type="dxa"/>
            <w:tcBorders>
              <w:top w:val="single" w:color="000000" w:sz="4" w:space="0"/>
              <w:left w:val="single" w:color="000000" w:sz="4" w:space="0"/>
              <w:bottom w:val="single" w:color="000000" w:sz="4" w:space="0"/>
              <w:right w:val="single" w:color="000000" w:sz="4" w:space="0"/>
            </w:tcBorders>
          </w:tcPr>
          <w:p w14:paraId="4B5D24F1">
            <w:pPr>
              <w:pStyle w:val="29"/>
              <w:spacing w:line="210" w:lineRule="exact"/>
              <w:ind w:left="100"/>
              <w:rPr>
                <w:sz w:val="20"/>
              </w:rPr>
            </w:pPr>
            <w:r>
              <w:rPr>
                <w:sz w:val="20"/>
              </w:rPr>
              <w:t>Sanal</w:t>
            </w:r>
            <w:r>
              <w:rPr>
                <w:spacing w:val="-8"/>
                <w:sz w:val="20"/>
              </w:rPr>
              <w:t xml:space="preserve"> </w:t>
            </w:r>
            <w:r>
              <w:rPr>
                <w:sz w:val="20"/>
              </w:rPr>
              <w:t>rekreasyon</w:t>
            </w:r>
            <w:r>
              <w:rPr>
                <w:spacing w:val="-8"/>
                <w:sz w:val="20"/>
              </w:rPr>
              <w:t xml:space="preserve"> </w:t>
            </w:r>
            <w:r>
              <w:rPr>
                <w:sz w:val="20"/>
              </w:rPr>
              <w:t>faaliyetleri,</w:t>
            </w:r>
            <w:r>
              <w:rPr>
                <w:spacing w:val="-6"/>
                <w:sz w:val="20"/>
              </w:rPr>
              <w:t xml:space="preserve"> </w:t>
            </w:r>
            <w:r>
              <w:rPr>
                <w:sz w:val="20"/>
              </w:rPr>
              <w:t>yeni</w:t>
            </w:r>
            <w:r>
              <w:rPr>
                <w:spacing w:val="-4"/>
                <w:sz w:val="20"/>
              </w:rPr>
              <w:t xml:space="preserve"> </w:t>
            </w:r>
            <w:r>
              <w:rPr>
                <w:sz w:val="20"/>
              </w:rPr>
              <w:t>deneyimlerden</w:t>
            </w:r>
            <w:r>
              <w:rPr>
                <w:spacing w:val="-9"/>
                <w:sz w:val="20"/>
              </w:rPr>
              <w:t xml:space="preserve"> </w:t>
            </w:r>
            <w:r>
              <w:rPr>
                <w:sz w:val="20"/>
              </w:rPr>
              <w:t>zevk</w:t>
            </w:r>
            <w:r>
              <w:rPr>
                <w:spacing w:val="-8"/>
                <w:sz w:val="20"/>
              </w:rPr>
              <w:t xml:space="preserve"> </w:t>
            </w:r>
            <w:r>
              <w:rPr>
                <w:sz w:val="20"/>
              </w:rPr>
              <w:t>almamı</w:t>
            </w:r>
            <w:r>
              <w:rPr>
                <w:spacing w:val="-8"/>
                <w:sz w:val="20"/>
              </w:rPr>
              <w:t xml:space="preserve"> </w:t>
            </w:r>
            <w:r>
              <w:rPr>
                <w:spacing w:val="-2"/>
                <w:sz w:val="20"/>
              </w:rPr>
              <w:t>sağlar.</w:t>
            </w:r>
          </w:p>
        </w:tc>
        <w:tc>
          <w:tcPr>
            <w:tcW w:w="852" w:type="dxa"/>
            <w:tcBorders>
              <w:top w:val="single" w:color="000000" w:sz="4" w:space="0"/>
              <w:left w:val="single" w:color="000000" w:sz="4" w:space="0"/>
              <w:bottom w:val="single" w:color="000000" w:sz="4" w:space="0"/>
              <w:right w:val="single" w:color="000000" w:sz="4" w:space="0"/>
            </w:tcBorders>
          </w:tcPr>
          <w:p w14:paraId="074CD28E">
            <w:pPr>
              <w:pStyle w:val="29"/>
              <w:spacing w:line="202" w:lineRule="exact"/>
              <w:ind w:left="103"/>
              <w:rPr>
                <w:sz w:val="18"/>
              </w:rPr>
            </w:pPr>
            <w:r>
              <w:rPr>
                <w:spacing w:val="-2"/>
                <w:sz w:val="18"/>
              </w:rPr>
              <w:t>0.779</w:t>
            </w:r>
          </w:p>
        </w:tc>
        <w:tc>
          <w:tcPr>
            <w:tcW w:w="850" w:type="dxa"/>
            <w:tcBorders>
              <w:top w:val="single" w:color="000000" w:sz="4" w:space="0"/>
              <w:left w:val="single" w:color="000000" w:sz="4" w:space="0"/>
              <w:bottom w:val="single" w:color="000000" w:sz="4" w:space="0"/>
              <w:right w:val="nil"/>
            </w:tcBorders>
          </w:tcPr>
          <w:p w14:paraId="377A8B97">
            <w:pPr>
              <w:pStyle w:val="29"/>
              <w:spacing w:line="202" w:lineRule="exact"/>
              <w:ind w:left="100"/>
              <w:rPr>
                <w:sz w:val="18"/>
              </w:rPr>
            </w:pPr>
            <w:r>
              <w:rPr>
                <w:spacing w:val="-2"/>
                <w:sz w:val="18"/>
              </w:rPr>
              <w:t>0.786</w:t>
            </w:r>
          </w:p>
        </w:tc>
      </w:tr>
      <w:tr w14:paraId="78C3C22C">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460" w:hRule="atLeast"/>
        </w:trPr>
        <w:tc>
          <w:tcPr>
            <w:tcW w:w="866" w:type="dxa"/>
            <w:tcBorders>
              <w:top w:val="single" w:color="000000" w:sz="4" w:space="0"/>
              <w:left w:val="nil"/>
              <w:bottom w:val="single" w:color="000000" w:sz="4" w:space="0"/>
              <w:right w:val="single" w:color="000000" w:sz="4" w:space="0"/>
            </w:tcBorders>
            <w:shd w:val="clear" w:color="auto" w:fill="ECECEC"/>
          </w:tcPr>
          <w:p w14:paraId="00F895AC">
            <w:pPr>
              <w:pStyle w:val="29"/>
              <w:spacing w:line="207" w:lineRule="exact"/>
              <w:ind w:left="122"/>
              <w:rPr>
                <w:b/>
                <w:sz w:val="18"/>
              </w:rPr>
            </w:pPr>
            <w:r>
              <w:rPr>
                <w:b/>
                <w:spacing w:val="-5"/>
                <w:sz w:val="18"/>
              </w:rPr>
              <w:t>20</w:t>
            </w:r>
          </w:p>
        </w:tc>
        <w:tc>
          <w:tcPr>
            <w:tcW w:w="6237" w:type="dxa"/>
            <w:tcBorders>
              <w:top w:val="single" w:color="000000" w:sz="4" w:space="0"/>
              <w:left w:val="single" w:color="000000" w:sz="4" w:space="0"/>
              <w:bottom w:val="single" w:color="000000" w:sz="4" w:space="0"/>
              <w:right w:val="single" w:color="000000" w:sz="4" w:space="0"/>
            </w:tcBorders>
            <w:shd w:val="clear" w:color="auto" w:fill="ECECEC"/>
          </w:tcPr>
          <w:p w14:paraId="156E88CC">
            <w:pPr>
              <w:pStyle w:val="29"/>
              <w:spacing w:line="223" w:lineRule="exact"/>
              <w:ind w:left="100"/>
              <w:rPr>
                <w:sz w:val="20"/>
              </w:rPr>
            </w:pPr>
            <w:r>
              <w:rPr>
                <w:sz w:val="20"/>
              </w:rPr>
              <w:t>Sanal</w:t>
            </w:r>
            <w:r>
              <w:rPr>
                <w:spacing w:val="25"/>
                <w:sz w:val="20"/>
              </w:rPr>
              <w:t xml:space="preserve"> </w:t>
            </w:r>
            <w:r>
              <w:rPr>
                <w:sz w:val="20"/>
              </w:rPr>
              <w:t>rekreasyon</w:t>
            </w:r>
            <w:r>
              <w:rPr>
                <w:spacing w:val="24"/>
                <w:sz w:val="20"/>
              </w:rPr>
              <w:t xml:space="preserve"> </w:t>
            </w:r>
            <w:r>
              <w:rPr>
                <w:sz w:val="20"/>
              </w:rPr>
              <w:t>faaliyetleri,</w:t>
            </w:r>
            <w:r>
              <w:rPr>
                <w:spacing w:val="27"/>
                <w:sz w:val="20"/>
              </w:rPr>
              <w:t xml:space="preserve"> </w:t>
            </w:r>
            <w:r>
              <w:rPr>
                <w:sz w:val="20"/>
              </w:rPr>
              <w:t>bağımsız</w:t>
            </w:r>
            <w:r>
              <w:rPr>
                <w:spacing w:val="26"/>
                <w:sz w:val="20"/>
              </w:rPr>
              <w:t xml:space="preserve"> </w:t>
            </w:r>
            <w:r>
              <w:rPr>
                <w:sz w:val="20"/>
              </w:rPr>
              <w:t>bir</w:t>
            </w:r>
            <w:r>
              <w:rPr>
                <w:spacing w:val="25"/>
                <w:sz w:val="20"/>
              </w:rPr>
              <w:t xml:space="preserve"> </w:t>
            </w:r>
            <w:r>
              <w:rPr>
                <w:sz w:val="20"/>
              </w:rPr>
              <w:t>kişilik</w:t>
            </w:r>
            <w:r>
              <w:rPr>
                <w:spacing w:val="27"/>
                <w:sz w:val="20"/>
              </w:rPr>
              <w:t xml:space="preserve"> </w:t>
            </w:r>
            <w:r>
              <w:rPr>
                <w:sz w:val="20"/>
              </w:rPr>
              <w:t>geliştirmeme</w:t>
            </w:r>
            <w:r>
              <w:rPr>
                <w:spacing w:val="27"/>
                <w:sz w:val="20"/>
              </w:rPr>
              <w:t xml:space="preserve"> </w:t>
            </w:r>
            <w:r>
              <w:rPr>
                <w:spacing w:val="-2"/>
                <w:sz w:val="20"/>
              </w:rPr>
              <w:t>yardımcı</w:t>
            </w:r>
          </w:p>
          <w:p w14:paraId="02BCE13B">
            <w:pPr>
              <w:pStyle w:val="29"/>
              <w:spacing w:line="217" w:lineRule="exact"/>
              <w:ind w:left="100"/>
              <w:rPr>
                <w:sz w:val="20"/>
              </w:rPr>
            </w:pPr>
            <w:r>
              <w:rPr>
                <w:spacing w:val="-2"/>
                <w:sz w:val="20"/>
              </w:rPr>
              <w:t>olur.</w:t>
            </w:r>
          </w:p>
        </w:tc>
        <w:tc>
          <w:tcPr>
            <w:tcW w:w="852" w:type="dxa"/>
            <w:tcBorders>
              <w:top w:val="single" w:color="000000" w:sz="4" w:space="0"/>
              <w:left w:val="single" w:color="000000" w:sz="4" w:space="0"/>
              <w:bottom w:val="single" w:color="000000" w:sz="4" w:space="0"/>
              <w:right w:val="single" w:color="000000" w:sz="4" w:space="0"/>
            </w:tcBorders>
            <w:shd w:val="clear" w:color="auto" w:fill="ECECEC"/>
          </w:tcPr>
          <w:p w14:paraId="494E8E5E">
            <w:pPr>
              <w:pStyle w:val="29"/>
              <w:spacing w:line="202" w:lineRule="exact"/>
              <w:ind w:left="103"/>
              <w:rPr>
                <w:sz w:val="18"/>
              </w:rPr>
            </w:pPr>
            <w:r>
              <w:rPr>
                <w:spacing w:val="-2"/>
                <w:sz w:val="18"/>
              </w:rPr>
              <w:t>0.754</w:t>
            </w:r>
          </w:p>
        </w:tc>
        <w:tc>
          <w:tcPr>
            <w:tcW w:w="850" w:type="dxa"/>
            <w:tcBorders>
              <w:top w:val="single" w:color="000000" w:sz="4" w:space="0"/>
              <w:left w:val="single" w:color="000000" w:sz="4" w:space="0"/>
              <w:bottom w:val="single" w:color="000000" w:sz="4" w:space="0"/>
              <w:right w:val="nil"/>
            </w:tcBorders>
            <w:shd w:val="clear" w:color="auto" w:fill="ECECEC"/>
          </w:tcPr>
          <w:p w14:paraId="10B9171E">
            <w:pPr>
              <w:pStyle w:val="29"/>
              <w:spacing w:line="202" w:lineRule="exact"/>
              <w:ind w:left="100"/>
              <w:rPr>
                <w:sz w:val="18"/>
              </w:rPr>
            </w:pPr>
            <w:r>
              <w:rPr>
                <w:spacing w:val="-2"/>
                <w:sz w:val="18"/>
              </w:rPr>
              <w:t>0.755</w:t>
            </w:r>
          </w:p>
        </w:tc>
      </w:tr>
      <w:tr w14:paraId="22FD75A3">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230" w:hRule="atLeast"/>
        </w:trPr>
        <w:tc>
          <w:tcPr>
            <w:tcW w:w="866" w:type="dxa"/>
            <w:tcBorders>
              <w:top w:val="single" w:color="000000" w:sz="4" w:space="0"/>
              <w:left w:val="nil"/>
              <w:bottom w:val="single" w:color="000000" w:sz="4" w:space="0"/>
              <w:right w:val="single" w:color="000000" w:sz="4" w:space="0"/>
            </w:tcBorders>
          </w:tcPr>
          <w:p w14:paraId="0D881161">
            <w:pPr>
              <w:pStyle w:val="29"/>
              <w:spacing w:line="207" w:lineRule="exact"/>
              <w:ind w:left="122"/>
              <w:rPr>
                <w:b/>
                <w:sz w:val="18"/>
              </w:rPr>
            </w:pPr>
            <w:r>
              <w:rPr>
                <w:b/>
                <w:spacing w:val="-5"/>
                <w:sz w:val="18"/>
              </w:rPr>
              <w:t>21</w:t>
            </w:r>
          </w:p>
        </w:tc>
        <w:tc>
          <w:tcPr>
            <w:tcW w:w="6237" w:type="dxa"/>
            <w:tcBorders>
              <w:top w:val="single" w:color="000000" w:sz="4" w:space="0"/>
              <w:left w:val="single" w:color="000000" w:sz="4" w:space="0"/>
              <w:bottom w:val="single" w:color="000000" w:sz="4" w:space="0"/>
              <w:right w:val="single" w:color="000000" w:sz="4" w:space="0"/>
            </w:tcBorders>
          </w:tcPr>
          <w:p w14:paraId="0C31E32F">
            <w:pPr>
              <w:pStyle w:val="29"/>
              <w:spacing w:line="210" w:lineRule="exact"/>
              <w:ind w:left="100"/>
              <w:rPr>
                <w:sz w:val="20"/>
              </w:rPr>
            </w:pPr>
            <w:r>
              <w:rPr>
                <w:sz w:val="20"/>
              </w:rPr>
              <w:t>Sanal</w:t>
            </w:r>
            <w:r>
              <w:rPr>
                <w:spacing w:val="-8"/>
                <w:sz w:val="20"/>
              </w:rPr>
              <w:t xml:space="preserve"> </w:t>
            </w:r>
            <w:r>
              <w:rPr>
                <w:sz w:val="20"/>
              </w:rPr>
              <w:t>rekreasyon</w:t>
            </w:r>
            <w:r>
              <w:rPr>
                <w:spacing w:val="-9"/>
                <w:sz w:val="20"/>
              </w:rPr>
              <w:t xml:space="preserve"> </w:t>
            </w:r>
            <w:r>
              <w:rPr>
                <w:sz w:val="20"/>
              </w:rPr>
              <w:t>faaliyetleri,</w:t>
            </w:r>
            <w:r>
              <w:rPr>
                <w:spacing w:val="-6"/>
                <w:sz w:val="20"/>
              </w:rPr>
              <w:t xml:space="preserve"> </w:t>
            </w:r>
            <w:r>
              <w:rPr>
                <w:sz w:val="20"/>
              </w:rPr>
              <w:t>zorluklarla</w:t>
            </w:r>
            <w:r>
              <w:rPr>
                <w:spacing w:val="-8"/>
                <w:sz w:val="20"/>
              </w:rPr>
              <w:t xml:space="preserve"> </w:t>
            </w:r>
            <w:r>
              <w:rPr>
                <w:sz w:val="20"/>
              </w:rPr>
              <w:t>daha</w:t>
            </w:r>
            <w:r>
              <w:rPr>
                <w:spacing w:val="-6"/>
                <w:sz w:val="20"/>
              </w:rPr>
              <w:t xml:space="preserve"> </w:t>
            </w:r>
            <w:r>
              <w:rPr>
                <w:sz w:val="20"/>
              </w:rPr>
              <w:t>kolay</w:t>
            </w:r>
            <w:r>
              <w:rPr>
                <w:spacing w:val="-9"/>
                <w:sz w:val="20"/>
              </w:rPr>
              <w:t xml:space="preserve"> </w:t>
            </w:r>
            <w:r>
              <w:rPr>
                <w:sz w:val="20"/>
              </w:rPr>
              <w:t>yüzleşmemi</w:t>
            </w:r>
            <w:r>
              <w:rPr>
                <w:spacing w:val="-8"/>
                <w:sz w:val="20"/>
              </w:rPr>
              <w:t xml:space="preserve"> </w:t>
            </w:r>
            <w:r>
              <w:rPr>
                <w:spacing w:val="-2"/>
                <w:sz w:val="20"/>
              </w:rPr>
              <w:t>sağlar.</w:t>
            </w:r>
          </w:p>
        </w:tc>
        <w:tc>
          <w:tcPr>
            <w:tcW w:w="852" w:type="dxa"/>
            <w:tcBorders>
              <w:top w:val="single" w:color="000000" w:sz="4" w:space="0"/>
              <w:left w:val="single" w:color="000000" w:sz="4" w:space="0"/>
              <w:bottom w:val="single" w:color="000000" w:sz="4" w:space="0"/>
              <w:right w:val="single" w:color="000000" w:sz="4" w:space="0"/>
            </w:tcBorders>
          </w:tcPr>
          <w:p w14:paraId="7371AF18">
            <w:pPr>
              <w:pStyle w:val="29"/>
              <w:spacing w:line="202" w:lineRule="exact"/>
              <w:ind w:left="103"/>
              <w:rPr>
                <w:sz w:val="18"/>
              </w:rPr>
            </w:pPr>
            <w:r>
              <w:rPr>
                <w:spacing w:val="-2"/>
                <w:sz w:val="18"/>
              </w:rPr>
              <w:t>0.786</w:t>
            </w:r>
          </w:p>
        </w:tc>
        <w:tc>
          <w:tcPr>
            <w:tcW w:w="850" w:type="dxa"/>
            <w:tcBorders>
              <w:top w:val="single" w:color="000000" w:sz="4" w:space="0"/>
              <w:left w:val="single" w:color="000000" w:sz="4" w:space="0"/>
              <w:bottom w:val="single" w:color="000000" w:sz="4" w:space="0"/>
              <w:right w:val="nil"/>
            </w:tcBorders>
          </w:tcPr>
          <w:p w14:paraId="1E9DE839">
            <w:pPr>
              <w:pStyle w:val="29"/>
              <w:spacing w:line="202" w:lineRule="exact"/>
              <w:ind w:left="100"/>
              <w:rPr>
                <w:sz w:val="18"/>
              </w:rPr>
            </w:pPr>
            <w:r>
              <w:rPr>
                <w:spacing w:val="-2"/>
                <w:sz w:val="18"/>
              </w:rPr>
              <w:t>0.785</w:t>
            </w:r>
          </w:p>
        </w:tc>
      </w:tr>
      <w:tr w14:paraId="62D37A30">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230" w:hRule="atLeast"/>
        </w:trPr>
        <w:tc>
          <w:tcPr>
            <w:tcW w:w="866" w:type="dxa"/>
            <w:tcBorders>
              <w:top w:val="single" w:color="000000" w:sz="4" w:space="0"/>
              <w:left w:val="nil"/>
              <w:bottom w:val="single" w:color="000000" w:sz="4" w:space="0"/>
              <w:right w:val="single" w:color="000000" w:sz="4" w:space="0"/>
            </w:tcBorders>
            <w:shd w:val="clear" w:color="auto" w:fill="ECECEC"/>
          </w:tcPr>
          <w:p w14:paraId="6C591A0D">
            <w:pPr>
              <w:pStyle w:val="29"/>
              <w:spacing w:line="207" w:lineRule="exact"/>
              <w:ind w:left="122"/>
              <w:rPr>
                <w:b/>
                <w:sz w:val="18"/>
              </w:rPr>
            </w:pPr>
            <w:r>
              <w:rPr>
                <w:b/>
                <w:spacing w:val="-5"/>
                <w:sz w:val="18"/>
              </w:rPr>
              <w:t>22</w:t>
            </w:r>
          </w:p>
        </w:tc>
        <w:tc>
          <w:tcPr>
            <w:tcW w:w="6237" w:type="dxa"/>
            <w:tcBorders>
              <w:top w:val="single" w:color="000000" w:sz="4" w:space="0"/>
              <w:left w:val="single" w:color="000000" w:sz="4" w:space="0"/>
              <w:bottom w:val="single" w:color="000000" w:sz="4" w:space="0"/>
              <w:right w:val="single" w:color="000000" w:sz="4" w:space="0"/>
            </w:tcBorders>
            <w:shd w:val="clear" w:color="auto" w:fill="ECECEC"/>
          </w:tcPr>
          <w:p w14:paraId="36D6EE01">
            <w:pPr>
              <w:pStyle w:val="29"/>
              <w:spacing w:line="210" w:lineRule="exact"/>
              <w:ind w:left="100"/>
              <w:rPr>
                <w:sz w:val="20"/>
              </w:rPr>
            </w:pPr>
            <w:r>
              <w:rPr>
                <w:sz w:val="20"/>
              </w:rPr>
              <w:t>Sanal</w:t>
            </w:r>
            <w:r>
              <w:rPr>
                <w:spacing w:val="-10"/>
                <w:sz w:val="20"/>
              </w:rPr>
              <w:t xml:space="preserve"> </w:t>
            </w:r>
            <w:r>
              <w:rPr>
                <w:sz w:val="20"/>
              </w:rPr>
              <w:t>rekreasyon</w:t>
            </w:r>
            <w:r>
              <w:rPr>
                <w:spacing w:val="-9"/>
                <w:sz w:val="20"/>
              </w:rPr>
              <w:t xml:space="preserve"> </w:t>
            </w:r>
            <w:r>
              <w:rPr>
                <w:sz w:val="20"/>
              </w:rPr>
              <w:t>faaliyetleri,</w:t>
            </w:r>
            <w:r>
              <w:rPr>
                <w:spacing w:val="-8"/>
                <w:sz w:val="20"/>
              </w:rPr>
              <w:t xml:space="preserve"> </w:t>
            </w:r>
            <w:r>
              <w:rPr>
                <w:sz w:val="20"/>
              </w:rPr>
              <w:t>potansiyelimi</w:t>
            </w:r>
            <w:r>
              <w:rPr>
                <w:spacing w:val="-10"/>
                <w:sz w:val="20"/>
              </w:rPr>
              <w:t xml:space="preserve"> </w:t>
            </w:r>
            <w:r>
              <w:rPr>
                <w:sz w:val="20"/>
              </w:rPr>
              <w:t>geliştirmeme</w:t>
            </w:r>
            <w:r>
              <w:rPr>
                <w:spacing w:val="-7"/>
                <w:sz w:val="20"/>
              </w:rPr>
              <w:t xml:space="preserve"> </w:t>
            </w:r>
            <w:r>
              <w:rPr>
                <w:sz w:val="20"/>
              </w:rPr>
              <w:t>yardımcı</w:t>
            </w:r>
            <w:r>
              <w:rPr>
                <w:spacing w:val="-10"/>
                <w:sz w:val="20"/>
              </w:rPr>
              <w:t xml:space="preserve"> </w:t>
            </w:r>
            <w:r>
              <w:rPr>
                <w:spacing w:val="-2"/>
                <w:sz w:val="20"/>
              </w:rPr>
              <w:t>olur.</w:t>
            </w:r>
          </w:p>
        </w:tc>
        <w:tc>
          <w:tcPr>
            <w:tcW w:w="852" w:type="dxa"/>
            <w:tcBorders>
              <w:top w:val="single" w:color="000000" w:sz="4" w:space="0"/>
              <w:left w:val="single" w:color="000000" w:sz="4" w:space="0"/>
              <w:bottom w:val="single" w:color="000000" w:sz="4" w:space="0"/>
              <w:right w:val="single" w:color="000000" w:sz="4" w:space="0"/>
            </w:tcBorders>
            <w:shd w:val="clear" w:color="auto" w:fill="ECECEC"/>
          </w:tcPr>
          <w:p w14:paraId="15379497">
            <w:pPr>
              <w:pStyle w:val="29"/>
              <w:spacing w:line="202" w:lineRule="exact"/>
              <w:ind w:left="103"/>
              <w:rPr>
                <w:sz w:val="18"/>
              </w:rPr>
            </w:pPr>
            <w:r>
              <w:rPr>
                <w:spacing w:val="-2"/>
                <w:sz w:val="18"/>
              </w:rPr>
              <w:t>0.792</w:t>
            </w:r>
          </w:p>
        </w:tc>
        <w:tc>
          <w:tcPr>
            <w:tcW w:w="850" w:type="dxa"/>
            <w:tcBorders>
              <w:top w:val="single" w:color="000000" w:sz="4" w:space="0"/>
              <w:left w:val="single" w:color="000000" w:sz="4" w:space="0"/>
              <w:bottom w:val="single" w:color="000000" w:sz="4" w:space="0"/>
              <w:right w:val="nil"/>
            </w:tcBorders>
            <w:shd w:val="clear" w:color="auto" w:fill="ECECEC"/>
          </w:tcPr>
          <w:p w14:paraId="183CAF84">
            <w:pPr>
              <w:pStyle w:val="29"/>
              <w:spacing w:line="202" w:lineRule="exact"/>
              <w:ind w:left="100"/>
              <w:rPr>
                <w:sz w:val="18"/>
              </w:rPr>
            </w:pPr>
            <w:r>
              <w:rPr>
                <w:spacing w:val="-2"/>
                <w:sz w:val="18"/>
              </w:rPr>
              <w:t>0.794</w:t>
            </w:r>
          </w:p>
        </w:tc>
      </w:tr>
      <w:tr w14:paraId="4470E91F">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228" w:hRule="atLeast"/>
        </w:trPr>
        <w:tc>
          <w:tcPr>
            <w:tcW w:w="866" w:type="dxa"/>
            <w:tcBorders>
              <w:top w:val="single" w:color="000000" w:sz="4" w:space="0"/>
              <w:left w:val="nil"/>
              <w:bottom w:val="single" w:color="000000" w:sz="4" w:space="0"/>
              <w:right w:val="single" w:color="000000" w:sz="4" w:space="0"/>
            </w:tcBorders>
          </w:tcPr>
          <w:p w14:paraId="1D7FCA8A">
            <w:pPr>
              <w:pStyle w:val="29"/>
              <w:ind w:left="122"/>
              <w:rPr>
                <w:b/>
                <w:sz w:val="18"/>
              </w:rPr>
            </w:pPr>
            <w:r>
              <w:rPr>
                <w:b/>
                <w:spacing w:val="-5"/>
                <w:sz w:val="18"/>
              </w:rPr>
              <w:t>23</w:t>
            </w:r>
          </w:p>
        </w:tc>
        <w:tc>
          <w:tcPr>
            <w:tcW w:w="6237" w:type="dxa"/>
            <w:tcBorders>
              <w:top w:val="single" w:color="000000" w:sz="4" w:space="0"/>
              <w:left w:val="single" w:color="000000" w:sz="4" w:space="0"/>
              <w:bottom w:val="single" w:color="000000" w:sz="4" w:space="0"/>
              <w:right w:val="single" w:color="000000" w:sz="4" w:space="0"/>
            </w:tcBorders>
          </w:tcPr>
          <w:p w14:paraId="080486BE">
            <w:pPr>
              <w:pStyle w:val="29"/>
              <w:spacing w:line="208" w:lineRule="exact"/>
              <w:ind w:left="100"/>
              <w:rPr>
                <w:sz w:val="20"/>
              </w:rPr>
            </w:pPr>
            <w:r>
              <w:rPr>
                <w:sz w:val="20"/>
              </w:rPr>
              <w:t>Sanal</w:t>
            </w:r>
            <w:r>
              <w:rPr>
                <w:spacing w:val="-10"/>
                <w:sz w:val="20"/>
              </w:rPr>
              <w:t xml:space="preserve"> </w:t>
            </w:r>
            <w:r>
              <w:rPr>
                <w:sz w:val="20"/>
              </w:rPr>
              <w:t>rekreasyon</w:t>
            </w:r>
            <w:r>
              <w:rPr>
                <w:spacing w:val="-10"/>
                <w:sz w:val="20"/>
              </w:rPr>
              <w:t xml:space="preserve"> </w:t>
            </w:r>
            <w:r>
              <w:rPr>
                <w:sz w:val="20"/>
              </w:rPr>
              <w:t>faaliyetleri,</w:t>
            </w:r>
            <w:r>
              <w:rPr>
                <w:spacing w:val="-7"/>
                <w:sz w:val="20"/>
              </w:rPr>
              <w:t xml:space="preserve"> </w:t>
            </w:r>
            <w:r>
              <w:rPr>
                <w:sz w:val="20"/>
              </w:rPr>
              <w:t>kişisel</w:t>
            </w:r>
            <w:r>
              <w:rPr>
                <w:spacing w:val="-9"/>
                <w:sz w:val="20"/>
              </w:rPr>
              <w:t xml:space="preserve"> </w:t>
            </w:r>
            <w:r>
              <w:rPr>
                <w:sz w:val="20"/>
              </w:rPr>
              <w:t>becerilerimin</w:t>
            </w:r>
            <w:r>
              <w:rPr>
                <w:spacing w:val="-9"/>
                <w:sz w:val="20"/>
              </w:rPr>
              <w:t xml:space="preserve"> </w:t>
            </w:r>
            <w:r>
              <w:rPr>
                <w:sz w:val="20"/>
              </w:rPr>
              <w:t>gelişmesini</w:t>
            </w:r>
            <w:r>
              <w:rPr>
                <w:spacing w:val="-10"/>
                <w:sz w:val="20"/>
              </w:rPr>
              <w:t xml:space="preserve"> </w:t>
            </w:r>
            <w:r>
              <w:rPr>
                <w:spacing w:val="-2"/>
                <w:sz w:val="20"/>
              </w:rPr>
              <w:t>sağlar.</w:t>
            </w:r>
          </w:p>
        </w:tc>
        <w:tc>
          <w:tcPr>
            <w:tcW w:w="852" w:type="dxa"/>
            <w:tcBorders>
              <w:top w:val="single" w:color="000000" w:sz="4" w:space="0"/>
              <w:left w:val="single" w:color="000000" w:sz="4" w:space="0"/>
              <w:bottom w:val="single" w:color="000000" w:sz="4" w:space="0"/>
              <w:right w:val="single" w:color="000000" w:sz="4" w:space="0"/>
            </w:tcBorders>
          </w:tcPr>
          <w:p w14:paraId="54DE71EB">
            <w:pPr>
              <w:pStyle w:val="29"/>
              <w:spacing w:line="202" w:lineRule="exact"/>
              <w:ind w:left="103"/>
              <w:rPr>
                <w:sz w:val="18"/>
              </w:rPr>
            </w:pPr>
            <w:r>
              <w:rPr>
                <w:spacing w:val="-2"/>
                <w:sz w:val="18"/>
              </w:rPr>
              <w:t>0.781</w:t>
            </w:r>
          </w:p>
        </w:tc>
        <w:tc>
          <w:tcPr>
            <w:tcW w:w="850" w:type="dxa"/>
            <w:tcBorders>
              <w:top w:val="single" w:color="000000" w:sz="4" w:space="0"/>
              <w:left w:val="single" w:color="000000" w:sz="4" w:space="0"/>
              <w:bottom w:val="single" w:color="000000" w:sz="4" w:space="0"/>
              <w:right w:val="nil"/>
            </w:tcBorders>
          </w:tcPr>
          <w:p w14:paraId="4C492D50">
            <w:pPr>
              <w:pStyle w:val="29"/>
              <w:spacing w:line="202" w:lineRule="exact"/>
              <w:ind w:left="100"/>
              <w:rPr>
                <w:sz w:val="18"/>
              </w:rPr>
            </w:pPr>
            <w:r>
              <w:rPr>
                <w:spacing w:val="-2"/>
                <w:sz w:val="18"/>
              </w:rPr>
              <w:t>0.778</w:t>
            </w:r>
          </w:p>
        </w:tc>
      </w:tr>
      <w:tr w14:paraId="01EBC283">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230" w:hRule="atLeast"/>
        </w:trPr>
        <w:tc>
          <w:tcPr>
            <w:tcW w:w="866" w:type="dxa"/>
            <w:tcBorders>
              <w:top w:val="single" w:color="000000" w:sz="4" w:space="0"/>
              <w:left w:val="nil"/>
              <w:bottom w:val="single" w:color="000000" w:sz="4" w:space="0"/>
              <w:right w:val="single" w:color="000000" w:sz="4" w:space="0"/>
            </w:tcBorders>
            <w:shd w:val="clear" w:color="auto" w:fill="ECECEC"/>
          </w:tcPr>
          <w:p w14:paraId="60149CE9">
            <w:pPr>
              <w:pStyle w:val="29"/>
              <w:spacing w:before="2"/>
              <w:ind w:left="122"/>
              <w:rPr>
                <w:b/>
                <w:sz w:val="18"/>
              </w:rPr>
            </w:pPr>
            <w:r>
              <w:rPr>
                <w:b/>
                <w:spacing w:val="-5"/>
                <w:sz w:val="18"/>
              </w:rPr>
              <w:t>24</w:t>
            </w:r>
          </w:p>
        </w:tc>
        <w:tc>
          <w:tcPr>
            <w:tcW w:w="6237" w:type="dxa"/>
            <w:tcBorders>
              <w:top w:val="single" w:color="000000" w:sz="4" w:space="0"/>
              <w:left w:val="single" w:color="000000" w:sz="4" w:space="0"/>
              <w:bottom w:val="single" w:color="000000" w:sz="4" w:space="0"/>
              <w:right w:val="single" w:color="000000" w:sz="4" w:space="0"/>
            </w:tcBorders>
            <w:shd w:val="clear" w:color="auto" w:fill="ECECEC"/>
          </w:tcPr>
          <w:p w14:paraId="778A34FB">
            <w:pPr>
              <w:pStyle w:val="29"/>
              <w:spacing w:line="210" w:lineRule="exact"/>
              <w:ind w:left="100"/>
              <w:rPr>
                <w:sz w:val="20"/>
              </w:rPr>
            </w:pPr>
            <w:r>
              <w:rPr>
                <w:sz w:val="20"/>
              </w:rPr>
              <w:t>Sanal</w:t>
            </w:r>
            <w:r>
              <w:rPr>
                <w:spacing w:val="-7"/>
                <w:sz w:val="20"/>
              </w:rPr>
              <w:t xml:space="preserve"> </w:t>
            </w:r>
            <w:r>
              <w:rPr>
                <w:sz w:val="20"/>
              </w:rPr>
              <w:t>rekreasyon</w:t>
            </w:r>
            <w:r>
              <w:rPr>
                <w:spacing w:val="-7"/>
                <w:sz w:val="20"/>
              </w:rPr>
              <w:t xml:space="preserve"> </w:t>
            </w:r>
            <w:r>
              <w:rPr>
                <w:sz w:val="20"/>
              </w:rPr>
              <w:t>faaliyetleri,</w:t>
            </w:r>
            <w:r>
              <w:rPr>
                <w:spacing w:val="42"/>
                <w:sz w:val="20"/>
              </w:rPr>
              <w:t xml:space="preserve"> </w:t>
            </w:r>
            <w:r>
              <w:rPr>
                <w:sz w:val="20"/>
              </w:rPr>
              <w:t>stresimi</w:t>
            </w:r>
            <w:r>
              <w:rPr>
                <w:spacing w:val="-7"/>
                <w:sz w:val="20"/>
              </w:rPr>
              <w:t xml:space="preserve"> </w:t>
            </w:r>
            <w:r>
              <w:rPr>
                <w:spacing w:val="-2"/>
                <w:sz w:val="20"/>
              </w:rPr>
              <w:t>azaltır.</w:t>
            </w:r>
          </w:p>
        </w:tc>
        <w:tc>
          <w:tcPr>
            <w:tcW w:w="852" w:type="dxa"/>
            <w:tcBorders>
              <w:top w:val="single" w:color="000000" w:sz="4" w:space="0"/>
              <w:left w:val="single" w:color="000000" w:sz="4" w:space="0"/>
              <w:bottom w:val="single" w:color="000000" w:sz="4" w:space="0"/>
              <w:right w:val="single" w:color="000000" w:sz="4" w:space="0"/>
            </w:tcBorders>
            <w:shd w:val="clear" w:color="auto" w:fill="ECECEC"/>
          </w:tcPr>
          <w:p w14:paraId="6A2BC21D">
            <w:pPr>
              <w:pStyle w:val="29"/>
              <w:spacing w:line="204" w:lineRule="exact"/>
              <w:ind w:left="103"/>
              <w:rPr>
                <w:sz w:val="18"/>
              </w:rPr>
            </w:pPr>
            <w:r>
              <w:rPr>
                <w:spacing w:val="-2"/>
                <w:sz w:val="18"/>
              </w:rPr>
              <w:t>0.711</w:t>
            </w:r>
          </w:p>
        </w:tc>
        <w:tc>
          <w:tcPr>
            <w:tcW w:w="850" w:type="dxa"/>
            <w:tcBorders>
              <w:top w:val="single" w:color="000000" w:sz="4" w:space="0"/>
              <w:left w:val="single" w:color="000000" w:sz="4" w:space="0"/>
              <w:bottom w:val="single" w:color="000000" w:sz="4" w:space="0"/>
              <w:right w:val="nil"/>
            </w:tcBorders>
            <w:shd w:val="clear" w:color="auto" w:fill="ECECEC"/>
          </w:tcPr>
          <w:p w14:paraId="2747797B">
            <w:pPr>
              <w:pStyle w:val="29"/>
              <w:spacing w:line="204" w:lineRule="exact"/>
              <w:ind w:left="100"/>
              <w:rPr>
                <w:sz w:val="18"/>
              </w:rPr>
            </w:pPr>
            <w:r>
              <w:rPr>
                <w:spacing w:val="-2"/>
                <w:sz w:val="18"/>
              </w:rPr>
              <w:t>0.704</w:t>
            </w:r>
          </w:p>
        </w:tc>
      </w:tr>
      <w:tr w14:paraId="61607B7C">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460" w:hRule="atLeast"/>
        </w:trPr>
        <w:tc>
          <w:tcPr>
            <w:tcW w:w="866" w:type="dxa"/>
            <w:tcBorders>
              <w:top w:val="single" w:color="000000" w:sz="4" w:space="0"/>
              <w:left w:val="nil"/>
              <w:bottom w:val="single" w:color="000000" w:sz="4" w:space="0"/>
              <w:right w:val="single" w:color="000000" w:sz="4" w:space="0"/>
            </w:tcBorders>
          </w:tcPr>
          <w:p w14:paraId="29860CD2">
            <w:pPr>
              <w:pStyle w:val="29"/>
              <w:spacing w:before="2"/>
              <w:ind w:left="122"/>
              <w:rPr>
                <w:b/>
                <w:sz w:val="18"/>
              </w:rPr>
            </w:pPr>
            <w:r>
              <w:rPr>
                <w:b/>
                <w:spacing w:val="-5"/>
                <w:sz w:val="18"/>
              </w:rPr>
              <w:t>25</w:t>
            </w:r>
          </w:p>
        </w:tc>
        <w:tc>
          <w:tcPr>
            <w:tcW w:w="6237" w:type="dxa"/>
            <w:tcBorders>
              <w:top w:val="single" w:color="000000" w:sz="4" w:space="0"/>
              <w:left w:val="single" w:color="000000" w:sz="4" w:space="0"/>
              <w:bottom w:val="single" w:color="000000" w:sz="4" w:space="0"/>
              <w:right w:val="single" w:color="000000" w:sz="4" w:space="0"/>
            </w:tcBorders>
          </w:tcPr>
          <w:p w14:paraId="41A8426B">
            <w:pPr>
              <w:pStyle w:val="29"/>
              <w:tabs>
                <w:tab w:val="left" w:pos="844"/>
                <w:tab w:val="left" w:pos="2026"/>
                <w:tab w:val="left" w:pos="3378"/>
                <w:tab w:val="left" w:pos="4429"/>
                <w:tab w:val="left" w:pos="5285"/>
              </w:tabs>
              <w:spacing w:line="224" w:lineRule="exact"/>
              <w:ind w:left="100"/>
              <w:rPr>
                <w:sz w:val="20"/>
              </w:rPr>
            </w:pPr>
            <w:r>
              <w:rPr>
                <w:spacing w:val="-2"/>
                <w:sz w:val="20"/>
              </w:rPr>
              <w:t>Sanal</w:t>
            </w:r>
            <w:r>
              <w:rPr>
                <w:sz w:val="20"/>
              </w:rPr>
              <w:tab/>
            </w:r>
            <w:r>
              <w:rPr>
                <w:spacing w:val="-2"/>
                <w:sz w:val="20"/>
              </w:rPr>
              <w:t>rekreasyon</w:t>
            </w:r>
            <w:r>
              <w:rPr>
                <w:sz w:val="20"/>
              </w:rPr>
              <w:tab/>
            </w:r>
            <w:r>
              <w:rPr>
                <w:spacing w:val="-2"/>
                <w:sz w:val="20"/>
              </w:rPr>
              <w:t>faaliyetlerine</w:t>
            </w:r>
            <w:r>
              <w:rPr>
                <w:sz w:val="20"/>
              </w:rPr>
              <w:tab/>
            </w:r>
            <w:r>
              <w:rPr>
                <w:spacing w:val="-2"/>
                <w:sz w:val="20"/>
              </w:rPr>
              <w:t>katılmak,</w:t>
            </w:r>
            <w:r>
              <w:rPr>
                <w:sz w:val="20"/>
              </w:rPr>
              <w:tab/>
            </w:r>
            <w:r>
              <w:rPr>
                <w:spacing w:val="-2"/>
                <w:sz w:val="20"/>
              </w:rPr>
              <w:t>günlük</w:t>
            </w:r>
            <w:r>
              <w:rPr>
                <w:sz w:val="20"/>
              </w:rPr>
              <w:tab/>
            </w:r>
            <w:r>
              <w:rPr>
                <w:spacing w:val="-2"/>
                <w:sz w:val="20"/>
              </w:rPr>
              <w:t>hayatımda</w:t>
            </w:r>
          </w:p>
          <w:p w14:paraId="650C6104">
            <w:pPr>
              <w:pStyle w:val="29"/>
              <w:tabs>
                <w:tab w:val="left" w:pos="1012"/>
              </w:tabs>
              <w:spacing w:line="216" w:lineRule="exact"/>
              <w:ind w:left="100"/>
              <w:rPr>
                <w:sz w:val="20"/>
              </w:rPr>
            </w:pPr>
            <w:r>
              <w:rPr>
                <w:spacing w:val="-2"/>
                <w:sz w:val="20"/>
              </w:rPr>
              <w:t>yaptığım</w:t>
            </w:r>
            <w:r>
              <w:rPr>
                <w:sz w:val="20"/>
              </w:rPr>
              <w:tab/>
            </w:r>
            <w:r>
              <w:rPr>
                <w:sz w:val="20"/>
              </w:rPr>
              <w:t>işleri</w:t>
            </w:r>
            <w:r>
              <w:rPr>
                <w:spacing w:val="-7"/>
                <w:sz w:val="20"/>
              </w:rPr>
              <w:t xml:space="preserve"> </w:t>
            </w:r>
            <w:r>
              <w:rPr>
                <w:spacing w:val="-2"/>
                <w:sz w:val="20"/>
              </w:rPr>
              <w:t>kolaylaştırır.</w:t>
            </w:r>
          </w:p>
        </w:tc>
        <w:tc>
          <w:tcPr>
            <w:tcW w:w="852" w:type="dxa"/>
            <w:tcBorders>
              <w:top w:val="single" w:color="000000" w:sz="4" w:space="0"/>
              <w:left w:val="single" w:color="000000" w:sz="4" w:space="0"/>
              <w:bottom w:val="single" w:color="000000" w:sz="4" w:space="0"/>
              <w:right w:val="single" w:color="000000" w:sz="4" w:space="0"/>
            </w:tcBorders>
          </w:tcPr>
          <w:p w14:paraId="1CB09D5F">
            <w:pPr>
              <w:pStyle w:val="29"/>
              <w:spacing w:line="204" w:lineRule="exact"/>
              <w:ind w:left="103"/>
              <w:rPr>
                <w:sz w:val="18"/>
              </w:rPr>
            </w:pPr>
            <w:r>
              <w:rPr>
                <w:spacing w:val="-2"/>
                <w:sz w:val="18"/>
              </w:rPr>
              <w:t>0.705</w:t>
            </w:r>
          </w:p>
        </w:tc>
        <w:tc>
          <w:tcPr>
            <w:tcW w:w="850" w:type="dxa"/>
            <w:tcBorders>
              <w:top w:val="single" w:color="000000" w:sz="4" w:space="0"/>
              <w:left w:val="single" w:color="000000" w:sz="4" w:space="0"/>
              <w:bottom w:val="single" w:color="000000" w:sz="4" w:space="0"/>
              <w:right w:val="nil"/>
            </w:tcBorders>
          </w:tcPr>
          <w:p w14:paraId="4D4C949E">
            <w:pPr>
              <w:pStyle w:val="29"/>
              <w:spacing w:line="204" w:lineRule="exact"/>
              <w:ind w:left="100"/>
              <w:rPr>
                <w:sz w:val="18"/>
              </w:rPr>
            </w:pPr>
            <w:r>
              <w:rPr>
                <w:spacing w:val="-2"/>
                <w:sz w:val="18"/>
              </w:rPr>
              <w:t>0.700</w:t>
            </w:r>
          </w:p>
        </w:tc>
      </w:tr>
      <w:tr w14:paraId="51011522">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230" w:hRule="atLeast"/>
        </w:trPr>
        <w:tc>
          <w:tcPr>
            <w:tcW w:w="866" w:type="dxa"/>
            <w:tcBorders>
              <w:top w:val="single" w:color="000000" w:sz="4" w:space="0"/>
              <w:left w:val="nil"/>
              <w:bottom w:val="single" w:color="000000" w:sz="4" w:space="0"/>
              <w:right w:val="single" w:color="000000" w:sz="4" w:space="0"/>
            </w:tcBorders>
            <w:shd w:val="clear" w:color="auto" w:fill="ECECEC"/>
          </w:tcPr>
          <w:p w14:paraId="11C914FB">
            <w:pPr>
              <w:pStyle w:val="29"/>
              <w:spacing w:line="207" w:lineRule="exact"/>
              <w:ind w:left="122"/>
              <w:rPr>
                <w:b/>
                <w:sz w:val="18"/>
              </w:rPr>
            </w:pPr>
            <w:r>
              <w:rPr>
                <w:b/>
                <w:spacing w:val="-5"/>
                <w:sz w:val="18"/>
              </w:rPr>
              <w:t>26</w:t>
            </w:r>
          </w:p>
        </w:tc>
        <w:tc>
          <w:tcPr>
            <w:tcW w:w="6237" w:type="dxa"/>
            <w:tcBorders>
              <w:top w:val="single" w:color="000000" w:sz="4" w:space="0"/>
              <w:left w:val="single" w:color="000000" w:sz="4" w:space="0"/>
              <w:bottom w:val="single" w:color="000000" w:sz="4" w:space="0"/>
              <w:right w:val="single" w:color="000000" w:sz="4" w:space="0"/>
            </w:tcBorders>
            <w:shd w:val="clear" w:color="auto" w:fill="ECECEC"/>
          </w:tcPr>
          <w:p w14:paraId="0383F30D">
            <w:pPr>
              <w:pStyle w:val="29"/>
              <w:spacing w:line="210" w:lineRule="exact"/>
              <w:ind w:left="100"/>
              <w:rPr>
                <w:sz w:val="20"/>
              </w:rPr>
            </w:pPr>
            <w:r>
              <w:rPr>
                <w:sz w:val="20"/>
              </w:rPr>
              <w:t>Sanal</w:t>
            </w:r>
            <w:r>
              <w:rPr>
                <w:spacing w:val="-9"/>
                <w:sz w:val="20"/>
              </w:rPr>
              <w:t xml:space="preserve"> </w:t>
            </w:r>
            <w:r>
              <w:rPr>
                <w:sz w:val="20"/>
              </w:rPr>
              <w:t>rekreasyon</w:t>
            </w:r>
            <w:r>
              <w:rPr>
                <w:spacing w:val="-9"/>
                <w:sz w:val="20"/>
              </w:rPr>
              <w:t xml:space="preserve"> </w:t>
            </w:r>
            <w:r>
              <w:rPr>
                <w:sz w:val="20"/>
              </w:rPr>
              <w:t>faaliyetlerine</w:t>
            </w:r>
            <w:r>
              <w:rPr>
                <w:spacing w:val="-8"/>
                <w:sz w:val="20"/>
              </w:rPr>
              <w:t xml:space="preserve"> </w:t>
            </w:r>
            <w:r>
              <w:rPr>
                <w:sz w:val="20"/>
              </w:rPr>
              <w:t>katılmayı</w:t>
            </w:r>
            <w:r>
              <w:rPr>
                <w:spacing w:val="-9"/>
                <w:sz w:val="20"/>
              </w:rPr>
              <w:t xml:space="preserve"> </w:t>
            </w:r>
            <w:r>
              <w:rPr>
                <w:spacing w:val="-2"/>
                <w:sz w:val="20"/>
              </w:rPr>
              <w:t>severim.</w:t>
            </w:r>
          </w:p>
        </w:tc>
        <w:tc>
          <w:tcPr>
            <w:tcW w:w="852" w:type="dxa"/>
            <w:tcBorders>
              <w:top w:val="single" w:color="000000" w:sz="4" w:space="0"/>
              <w:left w:val="single" w:color="000000" w:sz="4" w:space="0"/>
              <w:bottom w:val="single" w:color="000000" w:sz="4" w:space="0"/>
              <w:right w:val="single" w:color="000000" w:sz="4" w:space="0"/>
            </w:tcBorders>
            <w:shd w:val="clear" w:color="auto" w:fill="ECECEC"/>
          </w:tcPr>
          <w:p w14:paraId="568CBDD8">
            <w:pPr>
              <w:pStyle w:val="29"/>
              <w:spacing w:line="202" w:lineRule="exact"/>
              <w:ind w:left="103"/>
              <w:rPr>
                <w:sz w:val="18"/>
              </w:rPr>
            </w:pPr>
            <w:r>
              <w:rPr>
                <w:spacing w:val="-2"/>
                <w:sz w:val="18"/>
              </w:rPr>
              <w:t>0.763</w:t>
            </w:r>
          </w:p>
        </w:tc>
        <w:tc>
          <w:tcPr>
            <w:tcW w:w="850" w:type="dxa"/>
            <w:tcBorders>
              <w:top w:val="single" w:color="000000" w:sz="4" w:space="0"/>
              <w:left w:val="single" w:color="000000" w:sz="4" w:space="0"/>
              <w:bottom w:val="single" w:color="000000" w:sz="4" w:space="0"/>
              <w:right w:val="nil"/>
            </w:tcBorders>
            <w:shd w:val="clear" w:color="auto" w:fill="ECECEC"/>
          </w:tcPr>
          <w:p w14:paraId="7A3A1996">
            <w:pPr>
              <w:pStyle w:val="29"/>
              <w:spacing w:line="202" w:lineRule="exact"/>
              <w:ind w:left="100"/>
              <w:rPr>
                <w:sz w:val="18"/>
              </w:rPr>
            </w:pPr>
            <w:r>
              <w:rPr>
                <w:spacing w:val="-2"/>
                <w:sz w:val="18"/>
              </w:rPr>
              <w:t>0.763</w:t>
            </w:r>
          </w:p>
        </w:tc>
      </w:tr>
      <w:tr w14:paraId="35457FF3">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230" w:hRule="atLeast"/>
        </w:trPr>
        <w:tc>
          <w:tcPr>
            <w:tcW w:w="866" w:type="dxa"/>
            <w:tcBorders>
              <w:top w:val="single" w:color="000000" w:sz="4" w:space="0"/>
              <w:left w:val="nil"/>
              <w:bottom w:val="single" w:color="000000" w:sz="4" w:space="0"/>
              <w:right w:val="single" w:color="000000" w:sz="4" w:space="0"/>
            </w:tcBorders>
          </w:tcPr>
          <w:p w14:paraId="59A42211">
            <w:pPr>
              <w:pStyle w:val="29"/>
              <w:spacing w:line="207" w:lineRule="exact"/>
              <w:ind w:left="122"/>
              <w:rPr>
                <w:b/>
                <w:sz w:val="18"/>
              </w:rPr>
            </w:pPr>
            <w:r>
              <w:rPr>
                <w:b/>
                <w:spacing w:val="-5"/>
                <w:sz w:val="18"/>
              </w:rPr>
              <w:t>27</w:t>
            </w:r>
          </w:p>
        </w:tc>
        <w:tc>
          <w:tcPr>
            <w:tcW w:w="6237" w:type="dxa"/>
            <w:tcBorders>
              <w:top w:val="single" w:color="000000" w:sz="4" w:space="0"/>
              <w:left w:val="single" w:color="000000" w:sz="4" w:space="0"/>
              <w:bottom w:val="single" w:color="000000" w:sz="4" w:space="0"/>
              <w:right w:val="single" w:color="000000" w:sz="4" w:space="0"/>
            </w:tcBorders>
          </w:tcPr>
          <w:p w14:paraId="05436C0C">
            <w:pPr>
              <w:pStyle w:val="29"/>
              <w:spacing w:line="210" w:lineRule="exact"/>
              <w:ind w:left="100"/>
              <w:rPr>
                <w:sz w:val="20"/>
              </w:rPr>
            </w:pPr>
            <w:r>
              <w:rPr>
                <w:sz w:val="20"/>
              </w:rPr>
              <w:t>Sanal</w:t>
            </w:r>
            <w:r>
              <w:rPr>
                <w:spacing w:val="-7"/>
                <w:sz w:val="20"/>
              </w:rPr>
              <w:t xml:space="preserve"> </w:t>
            </w:r>
            <w:r>
              <w:rPr>
                <w:sz w:val="20"/>
              </w:rPr>
              <w:t>rekreasyon</w:t>
            </w:r>
            <w:r>
              <w:rPr>
                <w:spacing w:val="-7"/>
                <w:sz w:val="20"/>
              </w:rPr>
              <w:t xml:space="preserve"> </w:t>
            </w:r>
            <w:r>
              <w:rPr>
                <w:sz w:val="20"/>
              </w:rPr>
              <w:t>faaliyetlerine</w:t>
            </w:r>
            <w:r>
              <w:rPr>
                <w:spacing w:val="-6"/>
                <w:sz w:val="20"/>
              </w:rPr>
              <w:t xml:space="preserve"> </w:t>
            </w:r>
            <w:r>
              <w:rPr>
                <w:sz w:val="20"/>
              </w:rPr>
              <w:t>katılmak</w:t>
            </w:r>
            <w:r>
              <w:rPr>
                <w:spacing w:val="-7"/>
                <w:sz w:val="20"/>
              </w:rPr>
              <w:t xml:space="preserve"> </w:t>
            </w:r>
            <w:r>
              <w:rPr>
                <w:sz w:val="20"/>
              </w:rPr>
              <w:t>bana</w:t>
            </w:r>
            <w:r>
              <w:rPr>
                <w:spacing w:val="-7"/>
                <w:sz w:val="20"/>
              </w:rPr>
              <w:t xml:space="preserve"> </w:t>
            </w:r>
            <w:r>
              <w:rPr>
                <w:sz w:val="20"/>
              </w:rPr>
              <w:t>zevk</w:t>
            </w:r>
            <w:r>
              <w:rPr>
                <w:spacing w:val="-7"/>
                <w:sz w:val="20"/>
              </w:rPr>
              <w:t xml:space="preserve"> </w:t>
            </w:r>
            <w:r>
              <w:rPr>
                <w:spacing w:val="-2"/>
                <w:sz w:val="20"/>
              </w:rPr>
              <w:t>verir.</w:t>
            </w:r>
          </w:p>
        </w:tc>
        <w:tc>
          <w:tcPr>
            <w:tcW w:w="852" w:type="dxa"/>
            <w:tcBorders>
              <w:top w:val="single" w:color="000000" w:sz="4" w:space="0"/>
              <w:left w:val="single" w:color="000000" w:sz="4" w:space="0"/>
              <w:bottom w:val="single" w:color="000000" w:sz="4" w:space="0"/>
              <w:right w:val="single" w:color="000000" w:sz="4" w:space="0"/>
            </w:tcBorders>
          </w:tcPr>
          <w:p w14:paraId="79706C02">
            <w:pPr>
              <w:pStyle w:val="29"/>
              <w:spacing w:line="202" w:lineRule="exact"/>
              <w:ind w:left="103"/>
              <w:rPr>
                <w:sz w:val="18"/>
              </w:rPr>
            </w:pPr>
            <w:r>
              <w:rPr>
                <w:spacing w:val="-2"/>
                <w:sz w:val="18"/>
              </w:rPr>
              <w:t>0.837</w:t>
            </w:r>
          </w:p>
        </w:tc>
        <w:tc>
          <w:tcPr>
            <w:tcW w:w="850" w:type="dxa"/>
            <w:tcBorders>
              <w:top w:val="single" w:color="000000" w:sz="4" w:space="0"/>
              <w:left w:val="single" w:color="000000" w:sz="4" w:space="0"/>
              <w:bottom w:val="single" w:color="000000" w:sz="4" w:space="0"/>
              <w:right w:val="nil"/>
            </w:tcBorders>
          </w:tcPr>
          <w:p w14:paraId="4375D0AC">
            <w:pPr>
              <w:pStyle w:val="29"/>
              <w:spacing w:line="202" w:lineRule="exact"/>
              <w:ind w:left="100"/>
              <w:rPr>
                <w:sz w:val="18"/>
              </w:rPr>
            </w:pPr>
            <w:r>
              <w:rPr>
                <w:spacing w:val="-2"/>
                <w:sz w:val="18"/>
              </w:rPr>
              <w:t>0.842</w:t>
            </w:r>
          </w:p>
        </w:tc>
      </w:tr>
      <w:tr w14:paraId="558FA1A9">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230" w:hRule="atLeast"/>
        </w:trPr>
        <w:tc>
          <w:tcPr>
            <w:tcW w:w="866" w:type="dxa"/>
            <w:tcBorders>
              <w:top w:val="single" w:color="000000" w:sz="4" w:space="0"/>
              <w:left w:val="nil"/>
              <w:bottom w:val="single" w:color="000000" w:sz="4" w:space="0"/>
              <w:right w:val="single" w:color="000000" w:sz="4" w:space="0"/>
            </w:tcBorders>
            <w:shd w:val="clear" w:color="auto" w:fill="ECECEC"/>
          </w:tcPr>
          <w:p w14:paraId="2C142258">
            <w:pPr>
              <w:pStyle w:val="29"/>
              <w:spacing w:line="207" w:lineRule="exact"/>
              <w:ind w:left="122"/>
              <w:rPr>
                <w:b/>
                <w:sz w:val="18"/>
              </w:rPr>
            </w:pPr>
            <w:r>
              <w:rPr>
                <w:b/>
                <w:spacing w:val="-5"/>
                <w:sz w:val="18"/>
              </w:rPr>
              <w:t>28</w:t>
            </w:r>
          </w:p>
        </w:tc>
        <w:tc>
          <w:tcPr>
            <w:tcW w:w="6237" w:type="dxa"/>
            <w:tcBorders>
              <w:top w:val="single" w:color="000000" w:sz="4" w:space="0"/>
              <w:left w:val="single" w:color="000000" w:sz="4" w:space="0"/>
              <w:bottom w:val="single" w:color="000000" w:sz="4" w:space="0"/>
              <w:right w:val="single" w:color="000000" w:sz="4" w:space="0"/>
            </w:tcBorders>
            <w:shd w:val="clear" w:color="auto" w:fill="ECECEC"/>
          </w:tcPr>
          <w:p w14:paraId="2B9C1F99">
            <w:pPr>
              <w:pStyle w:val="29"/>
              <w:spacing w:line="210" w:lineRule="exact"/>
              <w:ind w:left="100"/>
              <w:rPr>
                <w:sz w:val="20"/>
              </w:rPr>
            </w:pPr>
            <w:r>
              <w:rPr>
                <w:sz w:val="20"/>
              </w:rPr>
              <w:t>Sanal</w:t>
            </w:r>
            <w:r>
              <w:rPr>
                <w:spacing w:val="-9"/>
                <w:sz w:val="20"/>
              </w:rPr>
              <w:t xml:space="preserve"> </w:t>
            </w:r>
            <w:r>
              <w:rPr>
                <w:sz w:val="20"/>
              </w:rPr>
              <w:t>rekreasyonda</w:t>
            </w:r>
            <w:r>
              <w:rPr>
                <w:spacing w:val="-4"/>
                <w:sz w:val="20"/>
              </w:rPr>
              <w:t xml:space="preserve"> </w:t>
            </w:r>
            <w:r>
              <w:rPr>
                <w:sz w:val="20"/>
              </w:rPr>
              <w:t>yaşanan</w:t>
            </w:r>
            <w:r>
              <w:rPr>
                <w:spacing w:val="-9"/>
                <w:sz w:val="20"/>
              </w:rPr>
              <w:t xml:space="preserve"> </w:t>
            </w:r>
            <w:r>
              <w:rPr>
                <w:sz w:val="20"/>
              </w:rPr>
              <w:t>teknolojik</w:t>
            </w:r>
            <w:r>
              <w:rPr>
                <w:spacing w:val="-10"/>
                <w:sz w:val="20"/>
              </w:rPr>
              <w:t xml:space="preserve"> </w:t>
            </w:r>
            <w:r>
              <w:rPr>
                <w:sz w:val="20"/>
              </w:rPr>
              <w:t>gelişmeleri</w:t>
            </w:r>
            <w:r>
              <w:rPr>
                <w:spacing w:val="-6"/>
                <w:sz w:val="20"/>
              </w:rPr>
              <w:t xml:space="preserve"> </w:t>
            </w:r>
            <w:r>
              <w:rPr>
                <w:sz w:val="20"/>
              </w:rPr>
              <w:t>yakından</w:t>
            </w:r>
            <w:r>
              <w:rPr>
                <w:spacing w:val="-8"/>
                <w:sz w:val="20"/>
              </w:rPr>
              <w:t xml:space="preserve"> </w:t>
            </w:r>
            <w:r>
              <w:rPr>
                <w:sz w:val="20"/>
              </w:rPr>
              <w:t>takip</w:t>
            </w:r>
            <w:r>
              <w:rPr>
                <w:spacing w:val="-7"/>
                <w:sz w:val="20"/>
              </w:rPr>
              <w:t xml:space="preserve"> </w:t>
            </w:r>
            <w:r>
              <w:rPr>
                <w:spacing w:val="-2"/>
                <w:sz w:val="20"/>
              </w:rPr>
              <w:t>ederim.</w:t>
            </w:r>
          </w:p>
        </w:tc>
        <w:tc>
          <w:tcPr>
            <w:tcW w:w="852" w:type="dxa"/>
            <w:tcBorders>
              <w:top w:val="single" w:color="000000" w:sz="4" w:space="0"/>
              <w:left w:val="single" w:color="000000" w:sz="4" w:space="0"/>
              <w:bottom w:val="single" w:color="000000" w:sz="4" w:space="0"/>
              <w:right w:val="single" w:color="000000" w:sz="4" w:space="0"/>
            </w:tcBorders>
            <w:shd w:val="clear" w:color="auto" w:fill="ECECEC"/>
          </w:tcPr>
          <w:p w14:paraId="5E7D4696">
            <w:pPr>
              <w:pStyle w:val="29"/>
              <w:spacing w:line="202" w:lineRule="exact"/>
              <w:ind w:left="103"/>
              <w:rPr>
                <w:sz w:val="18"/>
              </w:rPr>
            </w:pPr>
            <w:r>
              <w:rPr>
                <w:spacing w:val="-2"/>
                <w:sz w:val="18"/>
              </w:rPr>
              <w:t>0.724</w:t>
            </w:r>
          </w:p>
        </w:tc>
        <w:tc>
          <w:tcPr>
            <w:tcW w:w="850" w:type="dxa"/>
            <w:tcBorders>
              <w:top w:val="single" w:color="000000" w:sz="4" w:space="0"/>
              <w:left w:val="single" w:color="000000" w:sz="4" w:space="0"/>
              <w:bottom w:val="single" w:color="000000" w:sz="4" w:space="0"/>
              <w:right w:val="nil"/>
            </w:tcBorders>
            <w:shd w:val="clear" w:color="auto" w:fill="ECECEC"/>
          </w:tcPr>
          <w:p w14:paraId="1090F533">
            <w:pPr>
              <w:pStyle w:val="29"/>
              <w:spacing w:line="202" w:lineRule="exact"/>
              <w:ind w:left="100"/>
              <w:rPr>
                <w:sz w:val="18"/>
              </w:rPr>
            </w:pPr>
            <w:r>
              <w:rPr>
                <w:spacing w:val="-2"/>
                <w:sz w:val="18"/>
              </w:rPr>
              <w:t>0.719</w:t>
            </w:r>
          </w:p>
        </w:tc>
      </w:tr>
      <w:tr w14:paraId="284C0D24">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230" w:hRule="atLeast"/>
        </w:trPr>
        <w:tc>
          <w:tcPr>
            <w:tcW w:w="866" w:type="dxa"/>
            <w:tcBorders>
              <w:top w:val="single" w:color="000000" w:sz="4" w:space="0"/>
              <w:left w:val="nil"/>
              <w:bottom w:val="single" w:color="000000" w:sz="4" w:space="0"/>
              <w:right w:val="single" w:color="000000" w:sz="4" w:space="0"/>
            </w:tcBorders>
          </w:tcPr>
          <w:p w14:paraId="792A70E3">
            <w:pPr>
              <w:pStyle w:val="29"/>
              <w:spacing w:line="207" w:lineRule="exact"/>
              <w:ind w:left="122"/>
              <w:rPr>
                <w:b/>
                <w:sz w:val="18"/>
              </w:rPr>
            </w:pPr>
            <w:r>
              <w:rPr>
                <w:b/>
                <w:spacing w:val="-5"/>
                <w:sz w:val="18"/>
              </w:rPr>
              <w:t>29</w:t>
            </w:r>
          </w:p>
        </w:tc>
        <w:tc>
          <w:tcPr>
            <w:tcW w:w="6237" w:type="dxa"/>
            <w:tcBorders>
              <w:top w:val="single" w:color="000000" w:sz="4" w:space="0"/>
              <w:left w:val="single" w:color="000000" w:sz="4" w:space="0"/>
              <w:bottom w:val="single" w:color="000000" w:sz="4" w:space="0"/>
              <w:right w:val="single" w:color="000000" w:sz="4" w:space="0"/>
            </w:tcBorders>
          </w:tcPr>
          <w:p w14:paraId="71B4AB49">
            <w:pPr>
              <w:pStyle w:val="29"/>
              <w:spacing w:line="210" w:lineRule="exact"/>
              <w:ind w:left="100"/>
              <w:rPr>
                <w:sz w:val="20"/>
              </w:rPr>
            </w:pPr>
            <w:r>
              <w:rPr>
                <w:sz w:val="20"/>
              </w:rPr>
              <w:t>Sanal</w:t>
            </w:r>
            <w:r>
              <w:rPr>
                <w:spacing w:val="-9"/>
                <w:sz w:val="20"/>
              </w:rPr>
              <w:t xml:space="preserve"> </w:t>
            </w:r>
            <w:r>
              <w:rPr>
                <w:sz w:val="20"/>
              </w:rPr>
              <w:t>rekreasyon</w:t>
            </w:r>
            <w:r>
              <w:rPr>
                <w:spacing w:val="-9"/>
                <w:sz w:val="20"/>
              </w:rPr>
              <w:t xml:space="preserve"> </w:t>
            </w:r>
            <w:r>
              <w:rPr>
                <w:sz w:val="20"/>
              </w:rPr>
              <w:t>faaliyetlerini</w:t>
            </w:r>
            <w:r>
              <w:rPr>
                <w:spacing w:val="-7"/>
                <w:sz w:val="20"/>
              </w:rPr>
              <w:t xml:space="preserve"> </w:t>
            </w:r>
            <w:r>
              <w:rPr>
                <w:sz w:val="20"/>
              </w:rPr>
              <w:t>zihnimi</w:t>
            </w:r>
            <w:r>
              <w:rPr>
                <w:spacing w:val="-7"/>
                <w:sz w:val="20"/>
              </w:rPr>
              <w:t xml:space="preserve"> </w:t>
            </w:r>
            <w:r>
              <w:rPr>
                <w:spacing w:val="-2"/>
                <w:sz w:val="20"/>
              </w:rPr>
              <w:t>geliştirir.</w:t>
            </w:r>
          </w:p>
        </w:tc>
        <w:tc>
          <w:tcPr>
            <w:tcW w:w="852" w:type="dxa"/>
            <w:tcBorders>
              <w:top w:val="single" w:color="000000" w:sz="4" w:space="0"/>
              <w:left w:val="single" w:color="000000" w:sz="4" w:space="0"/>
              <w:bottom w:val="single" w:color="000000" w:sz="4" w:space="0"/>
              <w:right w:val="single" w:color="000000" w:sz="4" w:space="0"/>
            </w:tcBorders>
          </w:tcPr>
          <w:p w14:paraId="1F400575">
            <w:pPr>
              <w:pStyle w:val="29"/>
              <w:spacing w:line="202" w:lineRule="exact"/>
              <w:ind w:left="103"/>
              <w:rPr>
                <w:sz w:val="18"/>
              </w:rPr>
            </w:pPr>
            <w:r>
              <w:rPr>
                <w:spacing w:val="-2"/>
                <w:sz w:val="18"/>
              </w:rPr>
              <w:t>0.832</w:t>
            </w:r>
          </w:p>
        </w:tc>
        <w:tc>
          <w:tcPr>
            <w:tcW w:w="850" w:type="dxa"/>
            <w:tcBorders>
              <w:top w:val="single" w:color="000000" w:sz="4" w:space="0"/>
              <w:left w:val="single" w:color="000000" w:sz="4" w:space="0"/>
              <w:bottom w:val="single" w:color="000000" w:sz="4" w:space="0"/>
              <w:right w:val="nil"/>
            </w:tcBorders>
          </w:tcPr>
          <w:p w14:paraId="29428D52">
            <w:pPr>
              <w:pStyle w:val="29"/>
              <w:spacing w:line="202" w:lineRule="exact"/>
              <w:ind w:left="100"/>
              <w:rPr>
                <w:sz w:val="18"/>
              </w:rPr>
            </w:pPr>
            <w:r>
              <w:rPr>
                <w:spacing w:val="-2"/>
                <w:sz w:val="18"/>
              </w:rPr>
              <w:t>0.837</w:t>
            </w:r>
          </w:p>
        </w:tc>
      </w:tr>
      <w:tr w14:paraId="26CE5A59">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230" w:hRule="atLeast"/>
        </w:trPr>
        <w:tc>
          <w:tcPr>
            <w:tcW w:w="866" w:type="dxa"/>
            <w:tcBorders>
              <w:top w:val="single" w:color="000000" w:sz="4" w:space="0"/>
              <w:left w:val="nil"/>
              <w:bottom w:val="single" w:color="000000" w:sz="4" w:space="0"/>
              <w:right w:val="single" w:color="000000" w:sz="4" w:space="0"/>
            </w:tcBorders>
            <w:shd w:val="clear" w:color="auto" w:fill="ECECEC"/>
          </w:tcPr>
          <w:p w14:paraId="408D6773">
            <w:pPr>
              <w:pStyle w:val="29"/>
              <w:spacing w:line="207" w:lineRule="exact"/>
              <w:ind w:left="122"/>
              <w:rPr>
                <w:b/>
                <w:sz w:val="18"/>
              </w:rPr>
            </w:pPr>
            <w:r>
              <w:rPr>
                <w:b/>
                <w:spacing w:val="-5"/>
                <w:sz w:val="18"/>
              </w:rPr>
              <w:t>30</w:t>
            </w:r>
          </w:p>
        </w:tc>
        <w:tc>
          <w:tcPr>
            <w:tcW w:w="6237" w:type="dxa"/>
            <w:tcBorders>
              <w:top w:val="single" w:color="000000" w:sz="4" w:space="0"/>
              <w:left w:val="single" w:color="000000" w:sz="4" w:space="0"/>
              <w:bottom w:val="single" w:color="000000" w:sz="4" w:space="0"/>
              <w:right w:val="single" w:color="000000" w:sz="4" w:space="0"/>
            </w:tcBorders>
            <w:shd w:val="clear" w:color="auto" w:fill="ECECEC"/>
          </w:tcPr>
          <w:p w14:paraId="0F0AE941">
            <w:pPr>
              <w:pStyle w:val="29"/>
              <w:spacing w:line="210" w:lineRule="exact"/>
              <w:ind w:left="100"/>
              <w:rPr>
                <w:sz w:val="20"/>
              </w:rPr>
            </w:pPr>
            <w:r>
              <w:rPr>
                <w:sz w:val="20"/>
              </w:rPr>
              <w:t>Sanal</w:t>
            </w:r>
            <w:r>
              <w:rPr>
                <w:spacing w:val="-9"/>
                <w:sz w:val="20"/>
              </w:rPr>
              <w:t xml:space="preserve"> </w:t>
            </w:r>
            <w:r>
              <w:rPr>
                <w:sz w:val="20"/>
              </w:rPr>
              <w:t>rekreasyon</w:t>
            </w:r>
            <w:r>
              <w:rPr>
                <w:spacing w:val="-9"/>
                <w:sz w:val="20"/>
              </w:rPr>
              <w:t xml:space="preserve"> </w:t>
            </w:r>
            <w:r>
              <w:rPr>
                <w:sz w:val="20"/>
              </w:rPr>
              <w:t>faaliyetleri</w:t>
            </w:r>
            <w:r>
              <w:rPr>
                <w:spacing w:val="-7"/>
                <w:sz w:val="20"/>
              </w:rPr>
              <w:t xml:space="preserve"> </w:t>
            </w:r>
            <w:r>
              <w:rPr>
                <w:sz w:val="20"/>
              </w:rPr>
              <w:t>yaratıcılığımı</w:t>
            </w:r>
            <w:r>
              <w:rPr>
                <w:spacing w:val="-7"/>
                <w:sz w:val="20"/>
              </w:rPr>
              <w:t xml:space="preserve"> </w:t>
            </w:r>
            <w:r>
              <w:rPr>
                <w:spacing w:val="-2"/>
                <w:sz w:val="20"/>
              </w:rPr>
              <w:t>geliştirir.</w:t>
            </w:r>
          </w:p>
        </w:tc>
        <w:tc>
          <w:tcPr>
            <w:tcW w:w="852" w:type="dxa"/>
            <w:tcBorders>
              <w:top w:val="single" w:color="000000" w:sz="4" w:space="0"/>
              <w:left w:val="single" w:color="000000" w:sz="4" w:space="0"/>
              <w:bottom w:val="single" w:color="000000" w:sz="4" w:space="0"/>
              <w:right w:val="single" w:color="000000" w:sz="4" w:space="0"/>
            </w:tcBorders>
            <w:shd w:val="clear" w:color="auto" w:fill="ECECEC"/>
          </w:tcPr>
          <w:p w14:paraId="50B3C927">
            <w:pPr>
              <w:pStyle w:val="29"/>
              <w:spacing w:line="202" w:lineRule="exact"/>
              <w:ind w:left="103"/>
              <w:rPr>
                <w:sz w:val="18"/>
              </w:rPr>
            </w:pPr>
            <w:r>
              <w:rPr>
                <w:spacing w:val="-2"/>
                <w:sz w:val="18"/>
              </w:rPr>
              <w:t>0.762</w:t>
            </w:r>
          </w:p>
        </w:tc>
        <w:tc>
          <w:tcPr>
            <w:tcW w:w="850" w:type="dxa"/>
            <w:tcBorders>
              <w:top w:val="single" w:color="000000" w:sz="4" w:space="0"/>
              <w:left w:val="single" w:color="000000" w:sz="4" w:space="0"/>
              <w:bottom w:val="single" w:color="000000" w:sz="4" w:space="0"/>
              <w:right w:val="nil"/>
            </w:tcBorders>
            <w:shd w:val="clear" w:color="auto" w:fill="ECECEC"/>
          </w:tcPr>
          <w:p w14:paraId="7648E879">
            <w:pPr>
              <w:pStyle w:val="29"/>
              <w:spacing w:line="202" w:lineRule="exact"/>
              <w:ind w:left="100"/>
              <w:rPr>
                <w:sz w:val="18"/>
              </w:rPr>
            </w:pPr>
            <w:r>
              <w:rPr>
                <w:spacing w:val="-2"/>
                <w:sz w:val="18"/>
              </w:rPr>
              <w:t>0.766</w:t>
            </w:r>
          </w:p>
        </w:tc>
      </w:tr>
      <w:tr w14:paraId="659F1281">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230" w:hRule="atLeast"/>
        </w:trPr>
        <w:tc>
          <w:tcPr>
            <w:tcW w:w="866" w:type="dxa"/>
            <w:tcBorders>
              <w:top w:val="single" w:color="000000" w:sz="4" w:space="0"/>
              <w:left w:val="nil"/>
              <w:bottom w:val="single" w:color="000000" w:sz="4" w:space="0"/>
              <w:right w:val="single" w:color="000000" w:sz="4" w:space="0"/>
            </w:tcBorders>
          </w:tcPr>
          <w:p w14:paraId="2E105050">
            <w:pPr>
              <w:pStyle w:val="29"/>
              <w:spacing w:line="207" w:lineRule="exact"/>
              <w:ind w:left="122"/>
              <w:rPr>
                <w:b/>
                <w:sz w:val="18"/>
              </w:rPr>
            </w:pPr>
            <w:r>
              <w:rPr>
                <w:b/>
                <w:spacing w:val="-5"/>
                <w:sz w:val="18"/>
              </w:rPr>
              <w:t>31</w:t>
            </w:r>
          </w:p>
        </w:tc>
        <w:tc>
          <w:tcPr>
            <w:tcW w:w="6237" w:type="dxa"/>
            <w:tcBorders>
              <w:top w:val="single" w:color="000000" w:sz="4" w:space="0"/>
              <w:left w:val="single" w:color="000000" w:sz="4" w:space="0"/>
              <w:bottom w:val="single" w:color="000000" w:sz="4" w:space="0"/>
              <w:right w:val="single" w:color="000000" w:sz="4" w:space="0"/>
            </w:tcBorders>
          </w:tcPr>
          <w:p w14:paraId="48525E81">
            <w:pPr>
              <w:pStyle w:val="29"/>
              <w:spacing w:line="210" w:lineRule="exact"/>
              <w:ind w:left="100"/>
              <w:rPr>
                <w:sz w:val="20"/>
              </w:rPr>
            </w:pPr>
            <w:r>
              <w:rPr>
                <w:sz w:val="20"/>
              </w:rPr>
              <w:t>Sanal</w:t>
            </w:r>
            <w:r>
              <w:rPr>
                <w:spacing w:val="-6"/>
                <w:sz w:val="20"/>
              </w:rPr>
              <w:t xml:space="preserve"> </w:t>
            </w:r>
            <w:r>
              <w:rPr>
                <w:sz w:val="20"/>
              </w:rPr>
              <w:t>rekreasyon</w:t>
            </w:r>
            <w:r>
              <w:rPr>
                <w:spacing w:val="-6"/>
                <w:sz w:val="20"/>
              </w:rPr>
              <w:t xml:space="preserve"> </w:t>
            </w:r>
            <w:r>
              <w:rPr>
                <w:sz w:val="20"/>
              </w:rPr>
              <w:t>ile</w:t>
            </w:r>
            <w:r>
              <w:rPr>
                <w:spacing w:val="-6"/>
                <w:sz w:val="20"/>
              </w:rPr>
              <w:t xml:space="preserve"> </w:t>
            </w:r>
            <w:r>
              <w:rPr>
                <w:sz w:val="20"/>
              </w:rPr>
              <w:t>benzersiz</w:t>
            </w:r>
            <w:r>
              <w:rPr>
                <w:spacing w:val="-4"/>
                <w:sz w:val="20"/>
              </w:rPr>
              <w:t xml:space="preserve"> </w:t>
            </w:r>
            <w:r>
              <w:rPr>
                <w:sz w:val="20"/>
              </w:rPr>
              <w:t>bir</w:t>
            </w:r>
            <w:r>
              <w:rPr>
                <w:spacing w:val="-5"/>
                <w:sz w:val="20"/>
              </w:rPr>
              <w:t xml:space="preserve"> </w:t>
            </w:r>
            <w:r>
              <w:rPr>
                <w:sz w:val="20"/>
              </w:rPr>
              <w:t>deneyim</w:t>
            </w:r>
            <w:r>
              <w:rPr>
                <w:spacing w:val="-1"/>
                <w:sz w:val="20"/>
              </w:rPr>
              <w:t xml:space="preserve"> </w:t>
            </w:r>
            <w:r>
              <w:rPr>
                <w:spacing w:val="-2"/>
                <w:sz w:val="20"/>
              </w:rPr>
              <w:t>yaşarım.</w:t>
            </w:r>
          </w:p>
        </w:tc>
        <w:tc>
          <w:tcPr>
            <w:tcW w:w="852" w:type="dxa"/>
            <w:tcBorders>
              <w:top w:val="single" w:color="000000" w:sz="4" w:space="0"/>
              <w:left w:val="single" w:color="000000" w:sz="4" w:space="0"/>
              <w:bottom w:val="single" w:color="000000" w:sz="4" w:space="0"/>
              <w:right w:val="single" w:color="000000" w:sz="4" w:space="0"/>
            </w:tcBorders>
          </w:tcPr>
          <w:p w14:paraId="61ECB780">
            <w:pPr>
              <w:pStyle w:val="29"/>
              <w:spacing w:line="202" w:lineRule="exact"/>
              <w:ind w:left="103"/>
              <w:rPr>
                <w:sz w:val="18"/>
              </w:rPr>
            </w:pPr>
            <w:r>
              <w:rPr>
                <w:spacing w:val="-2"/>
                <w:sz w:val="18"/>
              </w:rPr>
              <w:t>0.828</w:t>
            </w:r>
          </w:p>
        </w:tc>
        <w:tc>
          <w:tcPr>
            <w:tcW w:w="850" w:type="dxa"/>
            <w:tcBorders>
              <w:top w:val="single" w:color="000000" w:sz="4" w:space="0"/>
              <w:left w:val="single" w:color="000000" w:sz="4" w:space="0"/>
              <w:bottom w:val="single" w:color="000000" w:sz="4" w:space="0"/>
              <w:right w:val="nil"/>
            </w:tcBorders>
          </w:tcPr>
          <w:p w14:paraId="44A3FD67">
            <w:pPr>
              <w:pStyle w:val="29"/>
              <w:spacing w:line="202" w:lineRule="exact"/>
              <w:ind w:left="100"/>
              <w:rPr>
                <w:sz w:val="18"/>
              </w:rPr>
            </w:pPr>
            <w:r>
              <w:rPr>
                <w:spacing w:val="-2"/>
                <w:sz w:val="18"/>
              </w:rPr>
              <w:t>0.839</w:t>
            </w:r>
          </w:p>
        </w:tc>
      </w:tr>
      <w:tr w14:paraId="3A61EDFF">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460" w:hRule="atLeast"/>
        </w:trPr>
        <w:tc>
          <w:tcPr>
            <w:tcW w:w="866" w:type="dxa"/>
            <w:tcBorders>
              <w:top w:val="single" w:color="000000" w:sz="4" w:space="0"/>
              <w:left w:val="nil"/>
              <w:bottom w:val="single" w:color="000000" w:sz="4" w:space="0"/>
              <w:right w:val="single" w:color="000000" w:sz="4" w:space="0"/>
            </w:tcBorders>
            <w:shd w:val="clear" w:color="auto" w:fill="ECECEC"/>
          </w:tcPr>
          <w:p w14:paraId="7596DE09">
            <w:pPr>
              <w:pStyle w:val="29"/>
              <w:spacing w:line="207" w:lineRule="exact"/>
              <w:ind w:left="122"/>
              <w:rPr>
                <w:b/>
                <w:sz w:val="18"/>
              </w:rPr>
            </w:pPr>
            <w:r>
              <w:rPr>
                <w:b/>
                <w:spacing w:val="-5"/>
                <w:sz w:val="18"/>
              </w:rPr>
              <w:t>32</w:t>
            </w:r>
          </w:p>
        </w:tc>
        <w:tc>
          <w:tcPr>
            <w:tcW w:w="6237" w:type="dxa"/>
            <w:tcBorders>
              <w:top w:val="single" w:color="000000" w:sz="4" w:space="0"/>
              <w:left w:val="single" w:color="000000" w:sz="4" w:space="0"/>
              <w:bottom w:val="single" w:color="000000" w:sz="4" w:space="0"/>
              <w:right w:val="single" w:color="000000" w:sz="4" w:space="0"/>
            </w:tcBorders>
            <w:shd w:val="clear" w:color="auto" w:fill="ECECEC"/>
          </w:tcPr>
          <w:p w14:paraId="47AE7869">
            <w:pPr>
              <w:pStyle w:val="29"/>
              <w:spacing w:line="223" w:lineRule="exact"/>
              <w:ind w:left="100"/>
              <w:rPr>
                <w:sz w:val="20"/>
              </w:rPr>
            </w:pPr>
            <w:r>
              <w:rPr>
                <w:sz w:val="20"/>
              </w:rPr>
              <w:t>Sanal</w:t>
            </w:r>
            <w:r>
              <w:rPr>
                <w:spacing w:val="66"/>
                <w:sz w:val="20"/>
              </w:rPr>
              <w:t xml:space="preserve"> </w:t>
            </w:r>
            <w:r>
              <w:rPr>
                <w:sz w:val="20"/>
              </w:rPr>
              <w:t>rekreasyon</w:t>
            </w:r>
            <w:r>
              <w:rPr>
                <w:spacing w:val="66"/>
                <w:sz w:val="20"/>
              </w:rPr>
              <w:t xml:space="preserve"> </w:t>
            </w:r>
            <w:r>
              <w:rPr>
                <w:sz w:val="20"/>
              </w:rPr>
              <w:t>ile</w:t>
            </w:r>
            <w:r>
              <w:rPr>
                <w:spacing w:val="66"/>
                <w:sz w:val="20"/>
              </w:rPr>
              <w:t xml:space="preserve"> </w:t>
            </w:r>
            <w:r>
              <w:rPr>
                <w:sz w:val="20"/>
              </w:rPr>
              <w:t>sanal</w:t>
            </w:r>
            <w:r>
              <w:rPr>
                <w:spacing w:val="70"/>
                <w:sz w:val="20"/>
              </w:rPr>
              <w:t xml:space="preserve"> </w:t>
            </w:r>
            <w:r>
              <w:rPr>
                <w:sz w:val="20"/>
              </w:rPr>
              <w:t>dünyalarda</w:t>
            </w:r>
            <w:r>
              <w:rPr>
                <w:spacing w:val="69"/>
                <w:sz w:val="20"/>
              </w:rPr>
              <w:t xml:space="preserve"> </w:t>
            </w:r>
            <w:r>
              <w:rPr>
                <w:sz w:val="20"/>
              </w:rPr>
              <w:t>yaratılan</w:t>
            </w:r>
            <w:r>
              <w:rPr>
                <w:spacing w:val="69"/>
                <w:sz w:val="20"/>
              </w:rPr>
              <w:t xml:space="preserve"> </w:t>
            </w:r>
            <w:r>
              <w:rPr>
                <w:sz w:val="20"/>
              </w:rPr>
              <w:t>nesnelerle</w:t>
            </w:r>
            <w:r>
              <w:rPr>
                <w:spacing w:val="66"/>
                <w:sz w:val="20"/>
              </w:rPr>
              <w:t xml:space="preserve"> </w:t>
            </w:r>
            <w:r>
              <w:rPr>
                <w:spacing w:val="-2"/>
                <w:sz w:val="20"/>
              </w:rPr>
              <w:t>etkileşime</w:t>
            </w:r>
          </w:p>
          <w:p w14:paraId="3C1D388C">
            <w:pPr>
              <w:pStyle w:val="29"/>
              <w:spacing w:line="217" w:lineRule="exact"/>
              <w:ind w:left="100"/>
              <w:rPr>
                <w:sz w:val="20"/>
              </w:rPr>
            </w:pPr>
            <w:r>
              <w:rPr>
                <w:spacing w:val="-2"/>
                <w:sz w:val="20"/>
              </w:rPr>
              <w:t>geçerim.</w:t>
            </w:r>
          </w:p>
        </w:tc>
        <w:tc>
          <w:tcPr>
            <w:tcW w:w="852" w:type="dxa"/>
            <w:tcBorders>
              <w:top w:val="single" w:color="000000" w:sz="4" w:space="0"/>
              <w:left w:val="single" w:color="000000" w:sz="4" w:space="0"/>
              <w:bottom w:val="single" w:color="000000" w:sz="4" w:space="0"/>
              <w:right w:val="single" w:color="000000" w:sz="4" w:space="0"/>
            </w:tcBorders>
            <w:shd w:val="clear" w:color="auto" w:fill="ECECEC"/>
          </w:tcPr>
          <w:p w14:paraId="10749C07">
            <w:pPr>
              <w:pStyle w:val="29"/>
              <w:spacing w:line="202" w:lineRule="exact"/>
              <w:ind w:left="103"/>
              <w:rPr>
                <w:sz w:val="18"/>
              </w:rPr>
            </w:pPr>
            <w:r>
              <w:rPr>
                <w:spacing w:val="-2"/>
                <w:sz w:val="18"/>
              </w:rPr>
              <w:t>0.763</w:t>
            </w:r>
          </w:p>
        </w:tc>
        <w:tc>
          <w:tcPr>
            <w:tcW w:w="850" w:type="dxa"/>
            <w:tcBorders>
              <w:top w:val="single" w:color="000000" w:sz="4" w:space="0"/>
              <w:left w:val="single" w:color="000000" w:sz="4" w:space="0"/>
              <w:bottom w:val="single" w:color="000000" w:sz="4" w:space="0"/>
              <w:right w:val="nil"/>
            </w:tcBorders>
            <w:shd w:val="clear" w:color="auto" w:fill="ECECEC"/>
          </w:tcPr>
          <w:p w14:paraId="0C92AAC8">
            <w:pPr>
              <w:pStyle w:val="29"/>
              <w:spacing w:line="202" w:lineRule="exact"/>
              <w:ind w:left="100"/>
              <w:rPr>
                <w:sz w:val="18"/>
              </w:rPr>
            </w:pPr>
            <w:r>
              <w:rPr>
                <w:spacing w:val="-2"/>
                <w:sz w:val="18"/>
              </w:rPr>
              <w:t>0.768</w:t>
            </w:r>
          </w:p>
        </w:tc>
      </w:tr>
      <w:tr w14:paraId="57F20035">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230" w:hRule="atLeast"/>
        </w:trPr>
        <w:tc>
          <w:tcPr>
            <w:tcW w:w="866" w:type="dxa"/>
            <w:tcBorders>
              <w:top w:val="single" w:color="000000" w:sz="4" w:space="0"/>
              <w:left w:val="nil"/>
              <w:bottom w:val="single" w:color="000000" w:sz="4" w:space="0"/>
              <w:right w:val="single" w:color="000000" w:sz="4" w:space="0"/>
            </w:tcBorders>
          </w:tcPr>
          <w:p w14:paraId="080E5E8D">
            <w:pPr>
              <w:pStyle w:val="29"/>
              <w:spacing w:line="207" w:lineRule="exact"/>
              <w:ind w:left="122"/>
              <w:rPr>
                <w:b/>
                <w:sz w:val="18"/>
              </w:rPr>
            </w:pPr>
            <w:r>
              <w:rPr>
                <w:b/>
                <w:spacing w:val="-5"/>
                <w:sz w:val="18"/>
              </w:rPr>
              <w:t>33</w:t>
            </w:r>
          </w:p>
        </w:tc>
        <w:tc>
          <w:tcPr>
            <w:tcW w:w="6237" w:type="dxa"/>
            <w:tcBorders>
              <w:top w:val="single" w:color="000000" w:sz="4" w:space="0"/>
              <w:left w:val="single" w:color="000000" w:sz="4" w:space="0"/>
              <w:bottom w:val="single" w:color="000000" w:sz="4" w:space="0"/>
              <w:right w:val="single" w:color="000000" w:sz="4" w:space="0"/>
            </w:tcBorders>
          </w:tcPr>
          <w:p w14:paraId="272E0311">
            <w:pPr>
              <w:pStyle w:val="29"/>
              <w:spacing w:line="210" w:lineRule="exact"/>
              <w:ind w:left="100"/>
              <w:rPr>
                <w:sz w:val="20"/>
              </w:rPr>
            </w:pPr>
            <w:r>
              <w:rPr>
                <w:sz w:val="20"/>
              </w:rPr>
              <w:t>Sanal</w:t>
            </w:r>
            <w:r>
              <w:rPr>
                <w:spacing w:val="-7"/>
                <w:sz w:val="20"/>
              </w:rPr>
              <w:t xml:space="preserve"> </w:t>
            </w:r>
            <w:r>
              <w:rPr>
                <w:sz w:val="20"/>
              </w:rPr>
              <w:t>rekreasyon</w:t>
            </w:r>
            <w:r>
              <w:rPr>
                <w:spacing w:val="-6"/>
                <w:sz w:val="20"/>
              </w:rPr>
              <w:t xml:space="preserve"> </w:t>
            </w:r>
            <w:r>
              <w:rPr>
                <w:sz w:val="20"/>
              </w:rPr>
              <w:t>faaliyetleri</w:t>
            </w:r>
            <w:r>
              <w:rPr>
                <w:spacing w:val="-7"/>
                <w:sz w:val="20"/>
              </w:rPr>
              <w:t xml:space="preserve"> </w:t>
            </w:r>
            <w:r>
              <w:rPr>
                <w:sz w:val="20"/>
              </w:rPr>
              <w:t>ile</w:t>
            </w:r>
            <w:r>
              <w:rPr>
                <w:spacing w:val="-6"/>
                <w:sz w:val="20"/>
              </w:rPr>
              <w:t xml:space="preserve"> </w:t>
            </w:r>
            <w:r>
              <w:rPr>
                <w:sz w:val="20"/>
              </w:rPr>
              <w:t>başka</w:t>
            </w:r>
            <w:r>
              <w:rPr>
                <w:spacing w:val="-6"/>
                <w:sz w:val="20"/>
              </w:rPr>
              <w:t xml:space="preserve"> </w:t>
            </w:r>
            <w:r>
              <w:rPr>
                <w:sz w:val="20"/>
              </w:rPr>
              <w:t>bir</w:t>
            </w:r>
            <w:r>
              <w:rPr>
                <w:spacing w:val="-6"/>
                <w:sz w:val="20"/>
              </w:rPr>
              <w:t xml:space="preserve"> </w:t>
            </w:r>
            <w:r>
              <w:rPr>
                <w:sz w:val="20"/>
              </w:rPr>
              <w:t>dünyaya</w:t>
            </w:r>
            <w:r>
              <w:rPr>
                <w:spacing w:val="-4"/>
                <w:sz w:val="20"/>
              </w:rPr>
              <w:t xml:space="preserve"> </w:t>
            </w:r>
            <w:r>
              <w:rPr>
                <w:sz w:val="20"/>
              </w:rPr>
              <w:t>geçiş</w:t>
            </w:r>
            <w:r>
              <w:rPr>
                <w:spacing w:val="-5"/>
                <w:sz w:val="20"/>
              </w:rPr>
              <w:t xml:space="preserve"> </w:t>
            </w:r>
            <w:r>
              <w:rPr>
                <w:spacing w:val="-2"/>
                <w:sz w:val="20"/>
              </w:rPr>
              <w:t>yaparım.</w:t>
            </w:r>
          </w:p>
        </w:tc>
        <w:tc>
          <w:tcPr>
            <w:tcW w:w="852" w:type="dxa"/>
            <w:tcBorders>
              <w:top w:val="single" w:color="000000" w:sz="4" w:space="0"/>
              <w:left w:val="single" w:color="000000" w:sz="4" w:space="0"/>
              <w:bottom w:val="single" w:color="000000" w:sz="4" w:space="0"/>
              <w:right w:val="single" w:color="000000" w:sz="4" w:space="0"/>
            </w:tcBorders>
          </w:tcPr>
          <w:p w14:paraId="4884FD86">
            <w:pPr>
              <w:pStyle w:val="29"/>
              <w:spacing w:line="202" w:lineRule="exact"/>
              <w:ind w:left="103"/>
              <w:rPr>
                <w:sz w:val="18"/>
              </w:rPr>
            </w:pPr>
            <w:r>
              <w:rPr>
                <w:spacing w:val="-2"/>
                <w:sz w:val="18"/>
              </w:rPr>
              <w:t>0.671</w:t>
            </w:r>
          </w:p>
        </w:tc>
        <w:tc>
          <w:tcPr>
            <w:tcW w:w="850" w:type="dxa"/>
            <w:tcBorders>
              <w:top w:val="single" w:color="000000" w:sz="4" w:space="0"/>
              <w:left w:val="single" w:color="000000" w:sz="4" w:space="0"/>
              <w:bottom w:val="single" w:color="000000" w:sz="4" w:space="0"/>
              <w:right w:val="nil"/>
            </w:tcBorders>
          </w:tcPr>
          <w:p w14:paraId="702FF265">
            <w:pPr>
              <w:pStyle w:val="29"/>
              <w:spacing w:line="202" w:lineRule="exact"/>
              <w:ind w:left="100"/>
              <w:rPr>
                <w:sz w:val="18"/>
              </w:rPr>
            </w:pPr>
            <w:r>
              <w:rPr>
                <w:spacing w:val="-2"/>
                <w:sz w:val="18"/>
              </w:rPr>
              <w:t>0.673</w:t>
            </w:r>
          </w:p>
        </w:tc>
      </w:tr>
      <w:tr w14:paraId="2C9F64E7">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230" w:hRule="atLeast"/>
        </w:trPr>
        <w:tc>
          <w:tcPr>
            <w:tcW w:w="866" w:type="dxa"/>
            <w:tcBorders>
              <w:top w:val="single" w:color="000000" w:sz="4" w:space="0"/>
              <w:left w:val="nil"/>
              <w:bottom w:val="single" w:color="000000" w:sz="4" w:space="0"/>
              <w:right w:val="single" w:color="000000" w:sz="4" w:space="0"/>
            </w:tcBorders>
            <w:shd w:val="clear" w:color="auto" w:fill="ECECEC"/>
          </w:tcPr>
          <w:p w14:paraId="597F6023">
            <w:pPr>
              <w:pStyle w:val="29"/>
              <w:spacing w:line="207" w:lineRule="exact"/>
              <w:ind w:left="122"/>
              <w:rPr>
                <w:b/>
                <w:sz w:val="18"/>
              </w:rPr>
            </w:pPr>
            <w:r>
              <w:rPr>
                <w:b/>
                <w:spacing w:val="-5"/>
                <w:sz w:val="18"/>
              </w:rPr>
              <w:t>34</w:t>
            </w:r>
          </w:p>
        </w:tc>
        <w:tc>
          <w:tcPr>
            <w:tcW w:w="6237" w:type="dxa"/>
            <w:tcBorders>
              <w:top w:val="single" w:color="000000" w:sz="4" w:space="0"/>
              <w:left w:val="single" w:color="000000" w:sz="4" w:space="0"/>
              <w:bottom w:val="single" w:color="000000" w:sz="4" w:space="0"/>
              <w:right w:val="single" w:color="000000" w:sz="4" w:space="0"/>
            </w:tcBorders>
            <w:shd w:val="clear" w:color="auto" w:fill="ECECEC"/>
          </w:tcPr>
          <w:p w14:paraId="59D55EB9">
            <w:pPr>
              <w:pStyle w:val="29"/>
              <w:spacing w:line="210" w:lineRule="exact"/>
              <w:ind w:left="100"/>
              <w:rPr>
                <w:sz w:val="20"/>
              </w:rPr>
            </w:pPr>
            <w:r>
              <w:rPr>
                <w:sz w:val="20"/>
              </w:rPr>
              <w:t>Sanal</w:t>
            </w:r>
            <w:r>
              <w:rPr>
                <w:spacing w:val="-8"/>
                <w:sz w:val="20"/>
              </w:rPr>
              <w:t xml:space="preserve"> </w:t>
            </w:r>
            <w:r>
              <w:rPr>
                <w:sz w:val="20"/>
              </w:rPr>
              <w:t>dünyada</w:t>
            </w:r>
            <w:r>
              <w:rPr>
                <w:spacing w:val="-5"/>
                <w:sz w:val="20"/>
              </w:rPr>
              <w:t xml:space="preserve"> </w:t>
            </w:r>
            <w:r>
              <w:rPr>
                <w:sz w:val="20"/>
              </w:rPr>
              <w:t>yaratılan</w:t>
            </w:r>
            <w:r>
              <w:rPr>
                <w:spacing w:val="-9"/>
                <w:sz w:val="20"/>
              </w:rPr>
              <w:t xml:space="preserve"> </w:t>
            </w:r>
            <w:r>
              <w:rPr>
                <w:sz w:val="20"/>
              </w:rPr>
              <w:t>faaliyetlerin</w:t>
            </w:r>
            <w:r>
              <w:rPr>
                <w:spacing w:val="-9"/>
                <w:sz w:val="20"/>
              </w:rPr>
              <w:t xml:space="preserve"> </w:t>
            </w:r>
            <w:r>
              <w:rPr>
                <w:sz w:val="20"/>
              </w:rPr>
              <w:t>gerçekliğine</w:t>
            </w:r>
            <w:r>
              <w:rPr>
                <w:spacing w:val="-3"/>
                <w:sz w:val="20"/>
              </w:rPr>
              <w:t xml:space="preserve"> </w:t>
            </w:r>
            <w:r>
              <w:rPr>
                <w:spacing w:val="-2"/>
                <w:sz w:val="20"/>
              </w:rPr>
              <w:t>inanırım.</w:t>
            </w:r>
          </w:p>
        </w:tc>
        <w:tc>
          <w:tcPr>
            <w:tcW w:w="852" w:type="dxa"/>
            <w:tcBorders>
              <w:top w:val="single" w:color="000000" w:sz="4" w:space="0"/>
              <w:left w:val="single" w:color="000000" w:sz="4" w:space="0"/>
              <w:bottom w:val="single" w:color="000000" w:sz="4" w:space="0"/>
              <w:right w:val="single" w:color="000000" w:sz="4" w:space="0"/>
            </w:tcBorders>
            <w:shd w:val="clear" w:color="auto" w:fill="ECECEC"/>
          </w:tcPr>
          <w:p w14:paraId="0CD261FE">
            <w:pPr>
              <w:pStyle w:val="29"/>
              <w:spacing w:line="202" w:lineRule="exact"/>
              <w:ind w:left="103"/>
              <w:rPr>
                <w:sz w:val="18"/>
              </w:rPr>
            </w:pPr>
            <w:r>
              <w:rPr>
                <w:spacing w:val="-2"/>
                <w:sz w:val="18"/>
              </w:rPr>
              <w:t>0.642</w:t>
            </w:r>
          </w:p>
        </w:tc>
        <w:tc>
          <w:tcPr>
            <w:tcW w:w="850" w:type="dxa"/>
            <w:tcBorders>
              <w:top w:val="single" w:color="000000" w:sz="4" w:space="0"/>
              <w:left w:val="single" w:color="000000" w:sz="4" w:space="0"/>
              <w:bottom w:val="single" w:color="000000" w:sz="4" w:space="0"/>
              <w:right w:val="nil"/>
            </w:tcBorders>
            <w:shd w:val="clear" w:color="auto" w:fill="ECECEC"/>
          </w:tcPr>
          <w:p w14:paraId="3E9F2C14">
            <w:pPr>
              <w:pStyle w:val="29"/>
              <w:spacing w:line="202" w:lineRule="exact"/>
              <w:ind w:left="100"/>
              <w:rPr>
                <w:sz w:val="18"/>
              </w:rPr>
            </w:pPr>
            <w:r>
              <w:rPr>
                <w:spacing w:val="-2"/>
                <w:sz w:val="18"/>
              </w:rPr>
              <w:t>0.629</w:t>
            </w:r>
          </w:p>
        </w:tc>
      </w:tr>
      <w:tr w14:paraId="070F6479">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461" w:hRule="atLeast"/>
        </w:trPr>
        <w:tc>
          <w:tcPr>
            <w:tcW w:w="866" w:type="dxa"/>
            <w:tcBorders>
              <w:top w:val="single" w:color="000000" w:sz="4" w:space="0"/>
              <w:left w:val="nil"/>
              <w:bottom w:val="single" w:color="000000" w:sz="4" w:space="0"/>
              <w:right w:val="single" w:color="000000" w:sz="4" w:space="0"/>
            </w:tcBorders>
          </w:tcPr>
          <w:p w14:paraId="0FB99312">
            <w:pPr>
              <w:pStyle w:val="29"/>
              <w:ind w:left="122"/>
              <w:rPr>
                <w:b/>
                <w:sz w:val="18"/>
              </w:rPr>
            </w:pPr>
            <w:r>
              <w:rPr>
                <w:b/>
                <w:spacing w:val="-5"/>
                <w:sz w:val="18"/>
              </w:rPr>
              <w:t>35</w:t>
            </w:r>
          </w:p>
        </w:tc>
        <w:tc>
          <w:tcPr>
            <w:tcW w:w="6237" w:type="dxa"/>
            <w:tcBorders>
              <w:top w:val="single" w:color="000000" w:sz="4" w:space="0"/>
              <w:left w:val="single" w:color="000000" w:sz="4" w:space="0"/>
              <w:bottom w:val="single" w:color="000000" w:sz="4" w:space="0"/>
              <w:right w:val="single" w:color="000000" w:sz="4" w:space="0"/>
            </w:tcBorders>
          </w:tcPr>
          <w:p w14:paraId="39CAC720">
            <w:pPr>
              <w:pStyle w:val="29"/>
              <w:spacing w:line="224" w:lineRule="exact"/>
              <w:ind w:left="100"/>
              <w:rPr>
                <w:sz w:val="20"/>
              </w:rPr>
            </w:pPr>
            <w:r>
              <w:rPr>
                <w:sz w:val="20"/>
              </w:rPr>
              <w:t>Sanal</w:t>
            </w:r>
            <w:r>
              <w:rPr>
                <w:spacing w:val="72"/>
                <w:w w:val="150"/>
                <w:sz w:val="20"/>
              </w:rPr>
              <w:t xml:space="preserve"> </w:t>
            </w:r>
            <w:r>
              <w:rPr>
                <w:sz w:val="20"/>
              </w:rPr>
              <w:t>rekreasyon</w:t>
            </w:r>
            <w:r>
              <w:rPr>
                <w:spacing w:val="73"/>
                <w:w w:val="150"/>
                <w:sz w:val="20"/>
              </w:rPr>
              <w:t xml:space="preserve"> </w:t>
            </w:r>
            <w:r>
              <w:rPr>
                <w:sz w:val="20"/>
              </w:rPr>
              <w:t>faaliyetleri</w:t>
            </w:r>
            <w:r>
              <w:rPr>
                <w:spacing w:val="73"/>
                <w:w w:val="150"/>
                <w:sz w:val="20"/>
              </w:rPr>
              <w:t xml:space="preserve"> </w:t>
            </w:r>
            <w:r>
              <w:rPr>
                <w:sz w:val="20"/>
              </w:rPr>
              <w:t>ile</w:t>
            </w:r>
            <w:r>
              <w:rPr>
                <w:spacing w:val="74"/>
                <w:w w:val="150"/>
                <w:sz w:val="20"/>
              </w:rPr>
              <w:t xml:space="preserve"> </w:t>
            </w:r>
            <w:r>
              <w:rPr>
                <w:sz w:val="20"/>
              </w:rPr>
              <w:t>gerçek</w:t>
            </w:r>
            <w:r>
              <w:rPr>
                <w:spacing w:val="71"/>
                <w:w w:val="150"/>
                <w:sz w:val="20"/>
              </w:rPr>
              <w:t xml:space="preserve"> </w:t>
            </w:r>
            <w:r>
              <w:rPr>
                <w:sz w:val="20"/>
              </w:rPr>
              <w:t>dünyaya</w:t>
            </w:r>
            <w:r>
              <w:rPr>
                <w:spacing w:val="73"/>
                <w:w w:val="150"/>
                <w:sz w:val="20"/>
              </w:rPr>
              <w:t xml:space="preserve"> </w:t>
            </w:r>
            <w:r>
              <w:rPr>
                <w:sz w:val="20"/>
              </w:rPr>
              <w:t>ilişkin</w:t>
            </w:r>
            <w:r>
              <w:rPr>
                <w:spacing w:val="70"/>
                <w:w w:val="150"/>
                <w:sz w:val="20"/>
              </w:rPr>
              <w:t xml:space="preserve"> </w:t>
            </w:r>
            <w:r>
              <w:rPr>
                <w:sz w:val="20"/>
              </w:rPr>
              <w:t>duygu</w:t>
            </w:r>
            <w:r>
              <w:rPr>
                <w:spacing w:val="74"/>
                <w:w w:val="150"/>
                <w:sz w:val="20"/>
              </w:rPr>
              <w:t xml:space="preserve"> </w:t>
            </w:r>
            <w:r>
              <w:rPr>
                <w:spacing w:val="-5"/>
                <w:sz w:val="20"/>
              </w:rPr>
              <w:t>ve</w:t>
            </w:r>
          </w:p>
          <w:p w14:paraId="105D25A7">
            <w:pPr>
              <w:pStyle w:val="29"/>
              <w:spacing w:line="217" w:lineRule="exact"/>
              <w:ind w:left="100"/>
              <w:rPr>
                <w:sz w:val="20"/>
              </w:rPr>
            </w:pPr>
            <w:r>
              <w:rPr>
                <w:sz w:val="20"/>
              </w:rPr>
              <w:t>düşüncelerimi</w:t>
            </w:r>
            <w:r>
              <w:rPr>
                <w:spacing w:val="-13"/>
                <w:sz w:val="20"/>
              </w:rPr>
              <w:t xml:space="preserve"> </w:t>
            </w:r>
            <w:r>
              <w:rPr>
                <w:spacing w:val="-2"/>
                <w:sz w:val="20"/>
              </w:rPr>
              <w:t>unuturum.</w:t>
            </w:r>
          </w:p>
        </w:tc>
        <w:tc>
          <w:tcPr>
            <w:tcW w:w="852" w:type="dxa"/>
            <w:tcBorders>
              <w:top w:val="single" w:color="000000" w:sz="4" w:space="0"/>
              <w:left w:val="single" w:color="000000" w:sz="4" w:space="0"/>
              <w:bottom w:val="single" w:color="000000" w:sz="4" w:space="0"/>
              <w:right w:val="single" w:color="000000" w:sz="4" w:space="0"/>
            </w:tcBorders>
          </w:tcPr>
          <w:p w14:paraId="528AB040">
            <w:pPr>
              <w:pStyle w:val="29"/>
              <w:spacing w:line="203" w:lineRule="exact"/>
              <w:ind w:left="103"/>
              <w:rPr>
                <w:sz w:val="18"/>
              </w:rPr>
            </w:pPr>
            <w:r>
              <w:rPr>
                <w:spacing w:val="-2"/>
                <w:sz w:val="18"/>
              </w:rPr>
              <w:t>0.623</w:t>
            </w:r>
          </w:p>
        </w:tc>
        <w:tc>
          <w:tcPr>
            <w:tcW w:w="850" w:type="dxa"/>
            <w:tcBorders>
              <w:top w:val="single" w:color="000000" w:sz="4" w:space="0"/>
              <w:left w:val="single" w:color="000000" w:sz="4" w:space="0"/>
              <w:bottom w:val="single" w:color="000000" w:sz="4" w:space="0"/>
              <w:right w:val="nil"/>
            </w:tcBorders>
          </w:tcPr>
          <w:p w14:paraId="05FCB249">
            <w:pPr>
              <w:pStyle w:val="29"/>
              <w:spacing w:line="203" w:lineRule="exact"/>
              <w:ind w:left="100"/>
              <w:rPr>
                <w:sz w:val="18"/>
              </w:rPr>
            </w:pPr>
            <w:r>
              <w:rPr>
                <w:spacing w:val="-2"/>
                <w:sz w:val="18"/>
              </w:rPr>
              <w:t>0.601</w:t>
            </w:r>
          </w:p>
        </w:tc>
      </w:tr>
      <w:tr w14:paraId="181A76C6">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230" w:hRule="atLeast"/>
        </w:trPr>
        <w:tc>
          <w:tcPr>
            <w:tcW w:w="866" w:type="dxa"/>
            <w:tcBorders>
              <w:top w:val="single" w:color="000000" w:sz="4" w:space="0"/>
              <w:left w:val="nil"/>
              <w:bottom w:val="single" w:color="000000" w:sz="4" w:space="0"/>
              <w:right w:val="single" w:color="000000" w:sz="4" w:space="0"/>
            </w:tcBorders>
            <w:shd w:val="clear" w:color="auto" w:fill="ECECEC"/>
          </w:tcPr>
          <w:p w14:paraId="15185CDF">
            <w:pPr>
              <w:pStyle w:val="29"/>
              <w:spacing w:line="207" w:lineRule="exact"/>
              <w:ind w:left="122"/>
              <w:rPr>
                <w:b/>
                <w:sz w:val="18"/>
              </w:rPr>
            </w:pPr>
            <w:r>
              <w:rPr>
                <w:b/>
                <w:spacing w:val="-5"/>
                <w:sz w:val="18"/>
              </w:rPr>
              <w:t>36</w:t>
            </w:r>
          </w:p>
        </w:tc>
        <w:tc>
          <w:tcPr>
            <w:tcW w:w="6237" w:type="dxa"/>
            <w:tcBorders>
              <w:top w:val="single" w:color="000000" w:sz="4" w:space="0"/>
              <w:left w:val="single" w:color="000000" w:sz="4" w:space="0"/>
              <w:bottom w:val="single" w:color="000000" w:sz="4" w:space="0"/>
              <w:right w:val="single" w:color="000000" w:sz="4" w:space="0"/>
            </w:tcBorders>
            <w:shd w:val="clear" w:color="auto" w:fill="ECECEC"/>
          </w:tcPr>
          <w:p w14:paraId="22DE9FC3">
            <w:pPr>
              <w:pStyle w:val="29"/>
              <w:spacing w:line="210" w:lineRule="exact"/>
              <w:ind w:left="100"/>
              <w:rPr>
                <w:sz w:val="20"/>
              </w:rPr>
            </w:pPr>
            <w:r>
              <w:rPr>
                <w:sz w:val="20"/>
              </w:rPr>
              <w:t>Sanal</w:t>
            </w:r>
            <w:r>
              <w:rPr>
                <w:spacing w:val="-6"/>
                <w:sz w:val="20"/>
              </w:rPr>
              <w:t xml:space="preserve"> </w:t>
            </w:r>
            <w:r>
              <w:rPr>
                <w:sz w:val="20"/>
              </w:rPr>
              <w:t>gerçeklik</w:t>
            </w:r>
            <w:r>
              <w:rPr>
                <w:spacing w:val="-8"/>
                <w:sz w:val="20"/>
              </w:rPr>
              <w:t xml:space="preserve"> </w:t>
            </w:r>
            <w:r>
              <w:rPr>
                <w:sz w:val="20"/>
              </w:rPr>
              <w:t>cihazları</w:t>
            </w:r>
            <w:r>
              <w:rPr>
                <w:spacing w:val="-7"/>
                <w:sz w:val="20"/>
              </w:rPr>
              <w:t xml:space="preserve"> </w:t>
            </w:r>
            <w:r>
              <w:rPr>
                <w:sz w:val="20"/>
              </w:rPr>
              <w:t>ile</w:t>
            </w:r>
            <w:r>
              <w:rPr>
                <w:spacing w:val="-7"/>
                <w:sz w:val="20"/>
              </w:rPr>
              <w:t xml:space="preserve"> </w:t>
            </w:r>
            <w:r>
              <w:rPr>
                <w:sz w:val="20"/>
              </w:rPr>
              <w:t>sanal</w:t>
            </w:r>
            <w:r>
              <w:rPr>
                <w:spacing w:val="-7"/>
                <w:sz w:val="20"/>
              </w:rPr>
              <w:t xml:space="preserve"> </w:t>
            </w:r>
            <w:r>
              <w:rPr>
                <w:sz w:val="20"/>
              </w:rPr>
              <w:t>rekreasyon</w:t>
            </w:r>
            <w:r>
              <w:rPr>
                <w:spacing w:val="-7"/>
                <w:sz w:val="20"/>
              </w:rPr>
              <w:t xml:space="preserve"> </w:t>
            </w:r>
            <w:r>
              <w:rPr>
                <w:sz w:val="20"/>
              </w:rPr>
              <w:t>faaliyetlerinin</w:t>
            </w:r>
            <w:r>
              <w:rPr>
                <w:spacing w:val="-8"/>
                <w:sz w:val="20"/>
              </w:rPr>
              <w:t xml:space="preserve"> </w:t>
            </w:r>
            <w:r>
              <w:rPr>
                <w:sz w:val="20"/>
              </w:rPr>
              <w:t>içine</w:t>
            </w:r>
            <w:r>
              <w:rPr>
                <w:spacing w:val="-7"/>
                <w:sz w:val="20"/>
              </w:rPr>
              <w:t xml:space="preserve"> </w:t>
            </w:r>
            <w:r>
              <w:rPr>
                <w:spacing w:val="-2"/>
                <w:sz w:val="20"/>
              </w:rPr>
              <w:t>dalarım.</w:t>
            </w:r>
          </w:p>
        </w:tc>
        <w:tc>
          <w:tcPr>
            <w:tcW w:w="852" w:type="dxa"/>
            <w:tcBorders>
              <w:top w:val="single" w:color="000000" w:sz="4" w:space="0"/>
              <w:left w:val="single" w:color="000000" w:sz="4" w:space="0"/>
              <w:bottom w:val="single" w:color="000000" w:sz="4" w:space="0"/>
              <w:right w:val="single" w:color="000000" w:sz="4" w:space="0"/>
            </w:tcBorders>
            <w:shd w:val="clear" w:color="auto" w:fill="ECECEC"/>
          </w:tcPr>
          <w:p w14:paraId="14F946DA">
            <w:pPr>
              <w:pStyle w:val="29"/>
              <w:spacing w:line="202" w:lineRule="exact"/>
              <w:ind w:left="103"/>
              <w:rPr>
                <w:sz w:val="18"/>
              </w:rPr>
            </w:pPr>
            <w:r>
              <w:rPr>
                <w:spacing w:val="-2"/>
                <w:sz w:val="18"/>
              </w:rPr>
              <w:t>0.674</w:t>
            </w:r>
          </w:p>
        </w:tc>
        <w:tc>
          <w:tcPr>
            <w:tcW w:w="850" w:type="dxa"/>
            <w:tcBorders>
              <w:top w:val="single" w:color="000000" w:sz="4" w:space="0"/>
              <w:left w:val="single" w:color="000000" w:sz="4" w:space="0"/>
              <w:bottom w:val="single" w:color="000000" w:sz="4" w:space="0"/>
              <w:right w:val="nil"/>
            </w:tcBorders>
            <w:shd w:val="clear" w:color="auto" w:fill="ECECEC"/>
          </w:tcPr>
          <w:p w14:paraId="1C0B1F6E">
            <w:pPr>
              <w:pStyle w:val="29"/>
              <w:spacing w:line="202" w:lineRule="exact"/>
              <w:ind w:left="100"/>
              <w:rPr>
                <w:sz w:val="18"/>
              </w:rPr>
            </w:pPr>
            <w:r>
              <w:rPr>
                <w:spacing w:val="-2"/>
                <w:sz w:val="18"/>
              </w:rPr>
              <w:t>0.664</w:t>
            </w:r>
          </w:p>
        </w:tc>
      </w:tr>
      <w:tr w14:paraId="05FEB146">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460" w:hRule="atLeast"/>
        </w:trPr>
        <w:tc>
          <w:tcPr>
            <w:tcW w:w="866" w:type="dxa"/>
            <w:tcBorders>
              <w:top w:val="single" w:color="000000" w:sz="4" w:space="0"/>
              <w:left w:val="nil"/>
              <w:bottom w:val="single" w:color="000000" w:sz="4" w:space="0"/>
              <w:right w:val="single" w:color="000000" w:sz="4" w:space="0"/>
            </w:tcBorders>
          </w:tcPr>
          <w:p w14:paraId="12B7E414">
            <w:pPr>
              <w:pStyle w:val="29"/>
              <w:spacing w:line="207" w:lineRule="exact"/>
              <w:ind w:left="122"/>
              <w:rPr>
                <w:b/>
                <w:sz w:val="18"/>
              </w:rPr>
            </w:pPr>
            <w:r>
              <w:rPr>
                <w:b/>
                <w:spacing w:val="-5"/>
                <w:sz w:val="18"/>
              </w:rPr>
              <w:t>37</w:t>
            </w:r>
          </w:p>
        </w:tc>
        <w:tc>
          <w:tcPr>
            <w:tcW w:w="6237" w:type="dxa"/>
            <w:tcBorders>
              <w:top w:val="single" w:color="000000" w:sz="4" w:space="0"/>
              <w:left w:val="single" w:color="000000" w:sz="4" w:space="0"/>
              <w:bottom w:val="single" w:color="000000" w:sz="4" w:space="0"/>
              <w:right w:val="single" w:color="000000" w:sz="4" w:space="0"/>
            </w:tcBorders>
          </w:tcPr>
          <w:p w14:paraId="1CB8A79F">
            <w:pPr>
              <w:pStyle w:val="29"/>
              <w:spacing w:line="223" w:lineRule="exact"/>
              <w:ind w:left="100"/>
              <w:rPr>
                <w:sz w:val="20"/>
              </w:rPr>
            </w:pPr>
            <w:r>
              <w:rPr>
                <w:sz w:val="20"/>
              </w:rPr>
              <w:t>Sanal</w:t>
            </w:r>
            <w:r>
              <w:rPr>
                <w:spacing w:val="73"/>
                <w:sz w:val="20"/>
              </w:rPr>
              <w:t xml:space="preserve"> </w:t>
            </w:r>
            <w:r>
              <w:rPr>
                <w:sz w:val="20"/>
              </w:rPr>
              <w:t>rekreasyon</w:t>
            </w:r>
            <w:r>
              <w:rPr>
                <w:spacing w:val="76"/>
                <w:sz w:val="20"/>
              </w:rPr>
              <w:t xml:space="preserve"> </w:t>
            </w:r>
            <w:r>
              <w:rPr>
                <w:sz w:val="20"/>
              </w:rPr>
              <w:t>faaliyetlerinin</w:t>
            </w:r>
            <w:r>
              <w:rPr>
                <w:spacing w:val="72"/>
                <w:sz w:val="20"/>
              </w:rPr>
              <w:t xml:space="preserve"> </w:t>
            </w:r>
            <w:r>
              <w:rPr>
                <w:sz w:val="20"/>
              </w:rPr>
              <w:t>içine</w:t>
            </w:r>
            <w:r>
              <w:rPr>
                <w:spacing w:val="74"/>
                <w:sz w:val="20"/>
              </w:rPr>
              <w:t xml:space="preserve"> </w:t>
            </w:r>
            <w:r>
              <w:rPr>
                <w:sz w:val="20"/>
              </w:rPr>
              <w:t>daldığımda,</w:t>
            </w:r>
            <w:r>
              <w:rPr>
                <w:spacing w:val="77"/>
                <w:sz w:val="20"/>
              </w:rPr>
              <w:t xml:space="preserve"> </w:t>
            </w:r>
            <w:r>
              <w:rPr>
                <w:sz w:val="20"/>
              </w:rPr>
              <w:t>yepyeni</w:t>
            </w:r>
            <w:r>
              <w:rPr>
                <w:spacing w:val="73"/>
                <w:sz w:val="20"/>
              </w:rPr>
              <w:t xml:space="preserve"> </w:t>
            </w:r>
            <w:r>
              <w:rPr>
                <w:sz w:val="20"/>
              </w:rPr>
              <w:t>duygu</w:t>
            </w:r>
            <w:r>
              <w:rPr>
                <w:spacing w:val="72"/>
                <w:sz w:val="20"/>
              </w:rPr>
              <w:t xml:space="preserve"> </w:t>
            </w:r>
            <w:r>
              <w:rPr>
                <w:spacing w:val="-5"/>
                <w:sz w:val="20"/>
              </w:rPr>
              <w:t>ve</w:t>
            </w:r>
          </w:p>
          <w:p w14:paraId="13E75DB7">
            <w:pPr>
              <w:pStyle w:val="29"/>
              <w:spacing w:line="217" w:lineRule="exact"/>
              <w:ind w:left="100"/>
              <w:rPr>
                <w:sz w:val="20"/>
              </w:rPr>
            </w:pPr>
            <w:r>
              <w:rPr>
                <w:sz w:val="20"/>
              </w:rPr>
              <w:t>düşünceler</w:t>
            </w:r>
            <w:r>
              <w:rPr>
                <w:spacing w:val="-11"/>
                <w:sz w:val="20"/>
              </w:rPr>
              <w:t xml:space="preserve"> </w:t>
            </w:r>
            <w:r>
              <w:rPr>
                <w:spacing w:val="-2"/>
                <w:sz w:val="20"/>
              </w:rPr>
              <w:t>edinirim.</w:t>
            </w:r>
          </w:p>
        </w:tc>
        <w:tc>
          <w:tcPr>
            <w:tcW w:w="852" w:type="dxa"/>
            <w:tcBorders>
              <w:top w:val="single" w:color="000000" w:sz="4" w:space="0"/>
              <w:left w:val="single" w:color="000000" w:sz="4" w:space="0"/>
              <w:bottom w:val="single" w:color="000000" w:sz="4" w:space="0"/>
              <w:right w:val="single" w:color="000000" w:sz="4" w:space="0"/>
            </w:tcBorders>
          </w:tcPr>
          <w:p w14:paraId="348F97F8">
            <w:pPr>
              <w:pStyle w:val="29"/>
              <w:spacing w:line="202" w:lineRule="exact"/>
              <w:ind w:left="103"/>
              <w:rPr>
                <w:sz w:val="18"/>
              </w:rPr>
            </w:pPr>
            <w:r>
              <w:rPr>
                <w:spacing w:val="-2"/>
                <w:sz w:val="18"/>
              </w:rPr>
              <w:t>0.794</w:t>
            </w:r>
          </w:p>
        </w:tc>
        <w:tc>
          <w:tcPr>
            <w:tcW w:w="850" w:type="dxa"/>
            <w:tcBorders>
              <w:top w:val="single" w:color="000000" w:sz="4" w:space="0"/>
              <w:left w:val="single" w:color="000000" w:sz="4" w:space="0"/>
              <w:bottom w:val="single" w:color="000000" w:sz="4" w:space="0"/>
              <w:right w:val="nil"/>
            </w:tcBorders>
          </w:tcPr>
          <w:p w14:paraId="3DE57ACB">
            <w:pPr>
              <w:pStyle w:val="29"/>
              <w:spacing w:line="202" w:lineRule="exact"/>
              <w:ind w:left="100"/>
              <w:rPr>
                <w:sz w:val="18"/>
              </w:rPr>
            </w:pPr>
            <w:r>
              <w:rPr>
                <w:spacing w:val="-2"/>
                <w:sz w:val="18"/>
              </w:rPr>
              <w:t>0.795</w:t>
            </w:r>
          </w:p>
        </w:tc>
      </w:tr>
      <w:tr w14:paraId="08200E49">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230" w:hRule="atLeast"/>
        </w:trPr>
        <w:tc>
          <w:tcPr>
            <w:tcW w:w="866" w:type="dxa"/>
            <w:tcBorders>
              <w:top w:val="single" w:color="000000" w:sz="4" w:space="0"/>
              <w:left w:val="nil"/>
              <w:bottom w:val="single" w:color="000000" w:sz="4" w:space="0"/>
              <w:right w:val="single" w:color="000000" w:sz="4" w:space="0"/>
            </w:tcBorders>
            <w:shd w:val="clear" w:color="auto" w:fill="ECECEC"/>
          </w:tcPr>
          <w:p w14:paraId="7A142308">
            <w:pPr>
              <w:pStyle w:val="29"/>
              <w:spacing w:line="207" w:lineRule="exact"/>
              <w:ind w:left="122"/>
              <w:rPr>
                <w:b/>
                <w:sz w:val="18"/>
              </w:rPr>
            </w:pPr>
            <w:r>
              <w:rPr>
                <w:b/>
                <w:spacing w:val="-5"/>
                <w:sz w:val="18"/>
              </w:rPr>
              <w:t>38</w:t>
            </w:r>
          </w:p>
        </w:tc>
        <w:tc>
          <w:tcPr>
            <w:tcW w:w="6237" w:type="dxa"/>
            <w:tcBorders>
              <w:top w:val="single" w:color="000000" w:sz="4" w:space="0"/>
              <w:left w:val="single" w:color="000000" w:sz="4" w:space="0"/>
              <w:bottom w:val="single" w:color="000000" w:sz="4" w:space="0"/>
              <w:right w:val="single" w:color="000000" w:sz="4" w:space="0"/>
            </w:tcBorders>
            <w:shd w:val="clear" w:color="auto" w:fill="ECECEC"/>
          </w:tcPr>
          <w:p w14:paraId="091E6655">
            <w:pPr>
              <w:pStyle w:val="29"/>
              <w:spacing w:line="210" w:lineRule="exact"/>
              <w:ind w:left="100"/>
              <w:rPr>
                <w:sz w:val="20"/>
              </w:rPr>
            </w:pPr>
            <w:r>
              <w:rPr>
                <w:sz w:val="20"/>
              </w:rPr>
              <w:t>Sanal</w:t>
            </w:r>
            <w:r>
              <w:rPr>
                <w:spacing w:val="-7"/>
                <w:sz w:val="20"/>
              </w:rPr>
              <w:t xml:space="preserve"> </w:t>
            </w:r>
            <w:r>
              <w:rPr>
                <w:sz w:val="20"/>
              </w:rPr>
              <w:t>rekreasyon</w:t>
            </w:r>
            <w:r>
              <w:rPr>
                <w:spacing w:val="-7"/>
                <w:sz w:val="20"/>
              </w:rPr>
              <w:t xml:space="preserve"> </w:t>
            </w:r>
            <w:r>
              <w:rPr>
                <w:sz w:val="20"/>
              </w:rPr>
              <w:t>faaliyetleri</w:t>
            </w:r>
            <w:r>
              <w:rPr>
                <w:spacing w:val="-8"/>
                <w:sz w:val="20"/>
              </w:rPr>
              <w:t xml:space="preserve"> </w:t>
            </w:r>
            <w:r>
              <w:rPr>
                <w:sz w:val="20"/>
              </w:rPr>
              <w:t>ile</w:t>
            </w:r>
            <w:r>
              <w:rPr>
                <w:spacing w:val="-6"/>
                <w:sz w:val="20"/>
              </w:rPr>
              <w:t xml:space="preserve"> </w:t>
            </w:r>
            <w:r>
              <w:rPr>
                <w:sz w:val="20"/>
              </w:rPr>
              <w:t>orada</w:t>
            </w:r>
            <w:r>
              <w:rPr>
                <w:spacing w:val="-8"/>
                <w:sz w:val="20"/>
              </w:rPr>
              <w:t xml:space="preserve"> </w:t>
            </w:r>
            <w:r>
              <w:rPr>
                <w:sz w:val="20"/>
              </w:rPr>
              <w:t>olduğumu</w:t>
            </w:r>
            <w:r>
              <w:rPr>
                <w:spacing w:val="-6"/>
                <w:sz w:val="20"/>
              </w:rPr>
              <w:t xml:space="preserve"> </w:t>
            </w:r>
            <w:r>
              <w:rPr>
                <w:spacing w:val="-2"/>
                <w:sz w:val="20"/>
              </w:rPr>
              <w:t>hissederim.</w:t>
            </w:r>
          </w:p>
        </w:tc>
        <w:tc>
          <w:tcPr>
            <w:tcW w:w="852" w:type="dxa"/>
            <w:tcBorders>
              <w:top w:val="single" w:color="000000" w:sz="4" w:space="0"/>
              <w:left w:val="single" w:color="000000" w:sz="4" w:space="0"/>
              <w:bottom w:val="single" w:color="000000" w:sz="4" w:space="0"/>
              <w:right w:val="single" w:color="000000" w:sz="4" w:space="0"/>
            </w:tcBorders>
            <w:shd w:val="clear" w:color="auto" w:fill="ECECEC"/>
          </w:tcPr>
          <w:p w14:paraId="2B784BCD">
            <w:pPr>
              <w:pStyle w:val="29"/>
              <w:spacing w:line="202" w:lineRule="exact"/>
              <w:ind w:left="103"/>
              <w:rPr>
                <w:sz w:val="18"/>
              </w:rPr>
            </w:pPr>
            <w:r>
              <w:rPr>
                <w:spacing w:val="-2"/>
                <w:sz w:val="18"/>
              </w:rPr>
              <w:t>0.795</w:t>
            </w:r>
          </w:p>
        </w:tc>
        <w:tc>
          <w:tcPr>
            <w:tcW w:w="850" w:type="dxa"/>
            <w:tcBorders>
              <w:top w:val="single" w:color="000000" w:sz="4" w:space="0"/>
              <w:left w:val="single" w:color="000000" w:sz="4" w:space="0"/>
              <w:bottom w:val="single" w:color="000000" w:sz="4" w:space="0"/>
              <w:right w:val="nil"/>
            </w:tcBorders>
            <w:shd w:val="clear" w:color="auto" w:fill="ECECEC"/>
          </w:tcPr>
          <w:p w14:paraId="5F084EFD">
            <w:pPr>
              <w:pStyle w:val="29"/>
              <w:spacing w:line="202" w:lineRule="exact"/>
              <w:ind w:left="100"/>
              <w:rPr>
                <w:sz w:val="18"/>
              </w:rPr>
            </w:pPr>
            <w:r>
              <w:rPr>
                <w:spacing w:val="-2"/>
                <w:sz w:val="18"/>
              </w:rPr>
              <w:t>0.802</w:t>
            </w:r>
          </w:p>
        </w:tc>
      </w:tr>
      <w:tr w14:paraId="6424EEE2">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458" w:hRule="atLeast"/>
        </w:trPr>
        <w:tc>
          <w:tcPr>
            <w:tcW w:w="866" w:type="dxa"/>
            <w:tcBorders>
              <w:top w:val="single" w:color="000000" w:sz="4" w:space="0"/>
              <w:left w:val="nil"/>
              <w:bottom w:val="single" w:color="000000" w:sz="4" w:space="0"/>
              <w:right w:val="single" w:color="000000" w:sz="4" w:space="0"/>
            </w:tcBorders>
          </w:tcPr>
          <w:p w14:paraId="162E919A">
            <w:pPr>
              <w:pStyle w:val="29"/>
              <w:spacing w:line="207" w:lineRule="exact"/>
              <w:ind w:left="122"/>
              <w:rPr>
                <w:b/>
                <w:sz w:val="18"/>
              </w:rPr>
            </w:pPr>
            <w:r>
              <w:rPr>
                <w:b/>
                <w:spacing w:val="-5"/>
                <w:sz w:val="18"/>
              </w:rPr>
              <w:t>39</w:t>
            </w:r>
          </w:p>
        </w:tc>
        <w:tc>
          <w:tcPr>
            <w:tcW w:w="6237" w:type="dxa"/>
            <w:tcBorders>
              <w:top w:val="single" w:color="000000" w:sz="4" w:space="0"/>
              <w:left w:val="single" w:color="000000" w:sz="4" w:space="0"/>
              <w:bottom w:val="single" w:color="000000" w:sz="4" w:space="0"/>
              <w:right w:val="single" w:color="000000" w:sz="4" w:space="0"/>
            </w:tcBorders>
          </w:tcPr>
          <w:p w14:paraId="4D7F1CBF">
            <w:pPr>
              <w:pStyle w:val="29"/>
              <w:spacing w:line="223" w:lineRule="exact"/>
              <w:ind w:left="100"/>
              <w:rPr>
                <w:sz w:val="20"/>
              </w:rPr>
            </w:pPr>
            <w:r>
              <w:rPr>
                <w:sz w:val="20"/>
              </w:rPr>
              <w:t>Sanal</w:t>
            </w:r>
            <w:r>
              <w:rPr>
                <w:spacing w:val="28"/>
                <w:sz w:val="20"/>
              </w:rPr>
              <w:t xml:space="preserve"> </w:t>
            </w:r>
            <w:r>
              <w:rPr>
                <w:sz w:val="20"/>
              </w:rPr>
              <w:t>rekreasyon</w:t>
            </w:r>
            <w:r>
              <w:rPr>
                <w:spacing w:val="30"/>
                <w:sz w:val="20"/>
              </w:rPr>
              <w:t xml:space="preserve"> </w:t>
            </w:r>
            <w:r>
              <w:rPr>
                <w:sz w:val="20"/>
              </w:rPr>
              <w:t>faaliyetlerine</w:t>
            </w:r>
            <w:r>
              <w:rPr>
                <w:spacing w:val="31"/>
                <w:sz w:val="20"/>
              </w:rPr>
              <w:t xml:space="preserve"> </w:t>
            </w:r>
            <w:r>
              <w:rPr>
                <w:sz w:val="20"/>
              </w:rPr>
              <w:t>katıldığımda,</w:t>
            </w:r>
            <w:r>
              <w:rPr>
                <w:spacing w:val="30"/>
                <w:sz w:val="20"/>
              </w:rPr>
              <w:t xml:space="preserve"> </w:t>
            </w:r>
            <w:r>
              <w:rPr>
                <w:sz w:val="20"/>
              </w:rPr>
              <w:t>o</w:t>
            </w:r>
            <w:r>
              <w:rPr>
                <w:spacing w:val="32"/>
                <w:sz w:val="20"/>
              </w:rPr>
              <w:t xml:space="preserve"> </w:t>
            </w:r>
            <w:r>
              <w:rPr>
                <w:sz w:val="20"/>
              </w:rPr>
              <w:t>faaliyetten</w:t>
            </w:r>
            <w:r>
              <w:rPr>
                <w:spacing w:val="29"/>
                <w:sz w:val="20"/>
              </w:rPr>
              <w:t xml:space="preserve"> </w:t>
            </w:r>
            <w:r>
              <w:rPr>
                <w:sz w:val="20"/>
              </w:rPr>
              <w:t>başka</w:t>
            </w:r>
            <w:r>
              <w:rPr>
                <w:spacing w:val="29"/>
                <w:sz w:val="20"/>
              </w:rPr>
              <w:t xml:space="preserve"> </w:t>
            </w:r>
            <w:r>
              <w:rPr>
                <w:sz w:val="20"/>
              </w:rPr>
              <w:t>bir</w:t>
            </w:r>
            <w:r>
              <w:rPr>
                <w:spacing w:val="29"/>
                <w:sz w:val="20"/>
              </w:rPr>
              <w:t xml:space="preserve"> </w:t>
            </w:r>
            <w:r>
              <w:rPr>
                <w:spacing w:val="-5"/>
                <w:sz w:val="20"/>
              </w:rPr>
              <w:t>şey</w:t>
            </w:r>
          </w:p>
          <w:p w14:paraId="13144405">
            <w:pPr>
              <w:pStyle w:val="29"/>
              <w:spacing w:line="215" w:lineRule="exact"/>
              <w:ind w:left="100"/>
              <w:rPr>
                <w:sz w:val="20"/>
              </w:rPr>
            </w:pPr>
            <w:r>
              <w:rPr>
                <w:spacing w:val="-2"/>
                <w:sz w:val="20"/>
              </w:rPr>
              <w:t>düşünmem.</w:t>
            </w:r>
          </w:p>
        </w:tc>
        <w:tc>
          <w:tcPr>
            <w:tcW w:w="852" w:type="dxa"/>
            <w:tcBorders>
              <w:top w:val="single" w:color="000000" w:sz="4" w:space="0"/>
              <w:left w:val="single" w:color="000000" w:sz="4" w:space="0"/>
              <w:bottom w:val="single" w:color="000000" w:sz="4" w:space="0"/>
              <w:right w:val="single" w:color="000000" w:sz="4" w:space="0"/>
            </w:tcBorders>
          </w:tcPr>
          <w:p w14:paraId="3E3A6EF2">
            <w:pPr>
              <w:pStyle w:val="29"/>
              <w:spacing w:line="202" w:lineRule="exact"/>
              <w:ind w:left="103"/>
              <w:rPr>
                <w:sz w:val="18"/>
              </w:rPr>
            </w:pPr>
            <w:r>
              <w:rPr>
                <w:spacing w:val="-2"/>
                <w:sz w:val="18"/>
              </w:rPr>
              <w:t>0.600</w:t>
            </w:r>
          </w:p>
        </w:tc>
        <w:tc>
          <w:tcPr>
            <w:tcW w:w="850" w:type="dxa"/>
            <w:tcBorders>
              <w:top w:val="single" w:color="000000" w:sz="4" w:space="0"/>
              <w:left w:val="single" w:color="000000" w:sz="4" w:space="0"/>
              <w:bottom w:val="single" w:color="000000" w:sz="4" w:space="0"/>
              <w:right w:val="nil"/>
            </w:tcBorders>
          </w:tcPr>
          <w:p w14:paraId="05F7F3FD">
            <w:pPr>
              <w:pStyle w:val="29"/>
              <w:spacing w:line="202" w:lineRule="exact"/>
              <w:ind w:left="100"/>
              <w:rPr>
                <w:sz w:val="18"/>
              </w:rPr>
            </w:pPr>
            <w:r>
              <w:rPr>
                <w:spacing w:val="-2"/>
                <w:sz w:val="18"/>
              </w:rPr>
              <w:t>0.580</w:t>
            </w:r>
          </w:p>
        </w:tc>
      </w:tr>
      <w:tr w14:paraId="76803511">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230" w:hRule="atLeast"/>
        </w:trPr>
        <w:tc>
          <w:tcPr>
            <w:tcW w:w="866" w:type="dxa"/>
            <w:tcBorders>
              <w:top w:val="single" w:color="000000" w:sz="4" w:space="0"/>
              <w:left w:val="nil"/>
              <w:bottom w:val="single" w:color="000000" w:sz="4" w:space="0"/>
              <w:right w:val="single" w:color="000000" w:sz="4" w:space="0"/>
            </w:tcBorders>
            <w:shd w:val="clear" w:color="auto" w:fill="ECECEC"/>
          </w:tcPr>
          <w:p w14:paraId="7B7047BD">
            <w:pPr>
              <w:pStyle w:val="29"/>
              <w:spacing w:before="2"/>
              <w:ind w:left="122"/>
              <w:rPr>
                <w:b/>
                <w:sz w:val="18"/>
              </w:rPr>
            </w:pPr>
            <w:r>
              <w:rPr>
                <w:b/>
                <w:spacing w:val="-5"/>
                <w:sz w:val="18"/>
              </w:rPr>
              <w:t>40</w:t>
            </w:r>
          </w:p>
        </w:tc>
        <w:tc>
          <w:tcPr>
            <w:tcW w:w="6237" w:type="dxa"/>
            <w:tcBorders>
              <w:top w:val="single" w:color="000000" w:sz="4" w:space="0"/>
              <w:left w:val="single" w:color="000000" w:sz="4" w:space="0"/>
              <w:bottom w:val="single" w:color="000000" w:sz="4" w:space="0"/>
              <w:right w:val="single" w:color="000000" w:sz="4" w:space="0"/>
            </w:tcBorders>
            <w:shd w:val="clear" w:color="auto" w:fill="ECECEC"/>
          </w:tcPr>
          <w:p w14:paraId="76F3FB5C">
            <w:pPr>
              <w:pStyle w:val="29"/>
              <w:spacing w:line="210" w:lineRule="exact"/>
              <w:ind w:left="100"/>
              <w:rPr>
                <w:sz w:val="20"/>
              </w:rPr>
            </w:pPr>
            <w:r>
              <w:rPr>
                <w:sz w:val="20"/>
              </w:rPr>
              <w:t>Sanal</w:t>
            </w:r>
            <w:r>
              <w:rPr>
                <w:spacing w:val="-8"/>
                <w:sz w:val="20"/>
              </w:rPr>
              <w:t xml:space="preserve"> </w:t>
            </w:r>
            <w:r>
              <w:rPr>
                <w:sz w:val="20"/>
              </w:rPr>
              <w:t>rekreasyon</w:t>
            </w:r>
            <w:r>
              <w:rPr>
                <w:spacing w:val="-8"/>
                <w:sz w:val="20"/>
              </w:rPr>
              <w:t xml:space="preserve"> </w:t>
            </w:r>
            <w:r>
              <w:rPr>
                <w:sz w:val="20"/>
              </w:rPr>
              <w:t>faaliyetinin</w:t>
            </w:r>
            <w:r>
              <w:rPr>
                <w:spacing w:val="-8"/>
                <w:sz w:val="20"/>
              </w:rPr>
              <w:t xml:space="preserve"> </w:t>
            </w:r>
            <w:r>
              <w:rPr>
                <w:sz w:val="20"/>
              </w:rPr>
              <w:t>içinde</w:t>
            </w:r>
            <w:r>
              <w:rPr>
                <w:spacing w:val="-7"/>
                <w:sz w:val="20"/>
              </w:rPr>
              <w:t xml:space="preserve"> </w:t>
            </w:r>
            <w:r>
              <w:rPr>
                <w:sz w:val="20"/>
              </w:rPr>
              <w:t>kaybolup</w:t>
            </w:r>
            <w:r>
              <w:rPr>
                <w:spacing w:val="-6"/>
                <w:sz w:val="20"/>
              </w:rPr>
              <w:t xml:space="preserve"> </w:t>
            </w:r>
            <w:r>
              <w:rPr>
                <w:spacing w:val="-2"/>
                <w:sz w:val="20"/>
              </w:rPr>
              <w:t>giderim.</w:t>
            </w:r>
          </w:p>
        </w:tc>
        <w:tc>
          <w:tcPr>
            <w:tcW w:w="852" w:type="dxa"/>
            <w:tcBorders>
              <w:top w:val="single" w:color="000000" w:sz="4" w:space="0"/>
              <w:left w:val="single" w:color="000000" w:sz="4" w:space="0"/>
              <w:bottom w:val="single" w:color="000000" w:sz="4" w:space="0"/>
              <w:right w:val="single" w:color="000000" w:sz="4" w:space="0"/>
            </w:tcBorders>
            <w:shd w:val="clear" w:color="auto" w:fill="ECECEC"/>
          </w:tcPr>
          <w:p w14:paraId="3BEC0563">
            <w:pPr>
              <w:pStyle w:val="29"/>
              <w:spacing w:line="204" w:lineRule="exact"/>
              <w:ind w:left="103"/>
              <w:rPr>
                <w:sz w:val="18"/>
              </w:rPr>
            </w:pPr>
            <w:r>
              <w:rPr>
                <w:spacing w:val="-2"/>
                <w:sz w:val="18"/>
              </w:rPr>
              <w:t>0.559</w:t>
            </w:r>
          </w:p>
        </w:tc>
        <w:tc>
          <w:tcPr>
            <w:tcW w:w="850" w:type="dxa"/>
            <w:tcBorders>
              <w:top w:val="single" w:color="000000" w:sz="4" w:space="0"/>
              <w:left w:val="single" w:color="000000" w:sz="4" w:space="0"/>
              <w:bottom w:val="single" w:color="000000" w:sz="4" w:space="0"/>
              <w:right w:val="nil"/>
            </w:tcBorders>
            <w:shd w:val="clear" w:color="auto" w:fill="ECECEC"/>
          </w:tcPr>
          <w:p w14:paraId="1CB9902D">
            <w:pPr>
              <w:pStyle w:val="29"/>
              <w:spacing w:line="204" w:lineRule="exact"/>
              <w:ind w:left="100"/>
              <w:rPr>
                <w:sz w:val="18"/>
              </w:rPr>
            </w:pPr>
            <w:r>
              <w:rPr>
                <w:spacing w:val="-2"/>
                <w:sz w:val="18"/>
              </w:rPr>
              <w:t>0.543</w:t>
            </w:r>
          </w:p>
        </w:tc>
      </w:tr>
      <w:tr w14:paraId="0D11F614">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232" w:hRule="atLeast"/>
        </w:trPr>
        <w:tc>
          <w:tcPr>
            <w:tcW w:w="866" w:type="dxa"/>
            <w:tcBorders>
              <w:top w:val="single" w:color="000000" w:sz="4" w:space="0"/>
              <w:left w:val="nil"/>
              <w:right w:val="single" w:color="000000" w:sz="4" w:space="0"/>
            </w:tcBorders>
          </w:tcPr>
          <w:p w14:paraId="521C3C51">
            <w:pPr>
              <w:pStyle w:val="29"/>
              <w:spacing w:before="2"/>
              <w:ind w:left="122"/>
              <w:rPr>
                <w:b/>
                <w:sz w:val="18"/>
              </w:rPr>
            </w:pPr>
            <w:r>
              <w:rPr>
                <w:b/>
                <w:spacing w:val="-5"/>
                <w:sz w:val="18"/>
              </w:rPr>
              <w:t>41</w:t>
            </w:r>
          </w:p>
        </w:tc>
        <w:tc>
          <w:tcPr>
            <w:tcW w:w="6237" w:type="dxa"/>
            <w:tcBorders>
              <w:top w:val="single" w:color="000000" w:sz="4" w:space="0"/>
              <w:left w:val="single" w:color="000000" w:sz="4" w:space="0"/>
              <w:right w:val="single" w:color="000000" w:sz="4" w:space="0"/>
            </w:tcBorders>
          </w:tcPr>
          <w:p w14:paraId="32E13A8B">
            <w:pPr>
              <w:pStyle w:val="29"/>
              <w:spacing w:line="212" w:lineRule="exact"/>
              <w:ind w:left="100"/>
              <w:rPr>
                <w:sz w:val="20"/>
              </w:rPr>
            </w:pPr>
            <w:r>
              <w:rPr>
                <w:sz w:val="20"/>
              </w:rPr>
              <w:t>Sanal</w:t>
            </w:r>
            <w:r>
              <w:rPr>
                <w:spacing w:val="-8"/>
                <w:sz w:val="20"/>
              </w:rPr>
              <w:t xml:space="preserve"> </w:t>
            </w:r>
            <w:r>
              <w:rPr>
                <w:sz w:val="20"/>
              </w:rPr>
              <w:t>rekreasyon</w:t>
            </w:r>
            <w:r>
              <w:rPr>
                <w:spacing w:val="-8"/>
                <w:sz w:val="20"/>
              </w:rPr>
              <w:t xml:space="preserve"> </w:t>
            </w:r>
            <w:r>
              <w:rPr>
                <w:sz w:val="20"/>
              </w:rPr>
              <w:t>faaliyetleri</w:t>
            </w:r>
            <w:r>
              <w:rPr>
                <w:spacing w:val="-9"/>
                <w:sz w:val="20"/>
              </w:rPr>
              <w:t xml:space="preserve"> </w:t>
            </w:r>
            <w:r>
              <w:rPr>
                <w:sz w:val="20"/>
              </w:rPr>
              <w:t>ile</w:t>
            </w:r>
            <w:r>
              <w:rPr>
                <w:spacing w:val="-7"/>
                <w:sz w:val="20"/>
              </w:rPr>
              <w:t xml:space="preserve"> </w:t>
            </w:r>
            <w:r>
              <w:rPr>
                <w:sz w:val="20"/>
              </w:rPr>
              <w:t>kapasitemin</w:t>
            </w:r>
            <w:r>
              <w:rPr>
                <w:spacing w:val="-8"/>
                <w:sz w:val="20"/>
              </w:rPr>
              <w:t xml:space="preserve"> </w:t>
            </w:r>
            <w:r>
              <w:rPr>
                <w:sz w:val="20"/>
              </w:rPr>
              <w:t>sınırlarını</w:t>
            </w:r>
            <w:r>
              <w:rPr>
                <w:spacing w:val="-9"/>
                <w:sz w:val="20"/>
              </w:rPr>
              <w:t xml:space="preserve"> </w:t>
            </w:r>
            <w:r>
              <w:rPr>
                <w:spacing w:val="-2"/>
                <w:sz w:val="20"/>
              </w:rPr>
              <w:t>zorlarım.</w:t>
            </w:r>
          </w:p>
        </w:tc>
        <w:tc>
          <w:tcPr>
            <w:tcW w:w="852" w:type="dxa"/>
            <w:tcBorders>
              <w:top w:val="single" w:color="000000" w:sz="4" w:space="0"/>
              <w:left w:val="single" w:color="000000" w:sz="4" w:space="0"/>
              <w:right w:val="single" w:color="000000" w:sz="4" w:space="0"/>
            </w:tcBorders>
          </w:tcPr>
          <w:p w14:paraId="6B7910D4">
            <w:pPr>
              <w:pStyle w:val="29"/>
              <w:spacing w:line="204" w:lineRule="exact"/>
              <w:ind w:left="103"/>
              <w:rPr>
                <w:sz w:val="18"/>
              </w:rPr>
            </w:pPr>
            <w:r>
              <w:rPr>
                <w:spacing w:val="-2"/>
                <w:sz w:val="18"/>
              </w:rPr>
              <w:t>0.723</w:t>
            </w:r>
          </w:p>
        </w:tc>
        <w:tc>
          <w:tcPr>
            <w:tcW w:w="850" w:type="dxa"/>
            <w:tcBorders>
              <w:top w:val="single" w:color="000000" w:sz="4" w:space="0"/>
              <w:left w:val="single" w:color="000000" w:sz="4" w:space="0"/>
              <w:right w:val="nil"/>
            </w:tcBorders>
          </w:tcPr>
          <w:p w14:paraId="3F92C6F4">
            <w:pPr>
              <w:pStyle w:val="29"/>
              <w:spacing w:line="204" w:lineRule="exact"/>
              <w:ind w:left="100"/>
              <w:rPr>
                <w:sz w:val="18"/>
              </w:rPr>
            </w:pPr>
            <w:r>
              <w:rPr>
                <w:spacing w:val="-2"/>
                <w:sz w:val="18"/>
              </w:rPr>
              <w:t>0.717</w:t>
            </w:r>
          </w:p>
        </w:tc>
      </w:tr>
    </w:tbl>
    <w:p w14:paraId="76E11F77">
      <w:pPr>
        <w:pStyle w:val="9"/>
        <w:spacing w:before="5"/>
        <w:ind w:left="0"/>
        <w:jc w:val="left"/>
        <w:rPr>
          <w:sz w:val="2"/>
        </w:rPr>
      </w:pPr>
    </w:p>
    <w:tbl>
      <w:tblPr>
        <w:tblStyle w:val="7"/>
        <w:tblW w:w="0" w:type="auto"/>
        <w:tblInd w:w="153" w:type="dxa"/>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Layout w:type="fixed"/>
        <w:tblCellMar>
          <w:top w:w="0" w:type="dxa"/>
          <w:left w:w="0" w:type="dxa"/>
          <w:bottom w:w="0" w:type="dxa"/>
          <w:right w:w="0" w:type="dxa"/>
        </w:tblCellMar>
      </w:tblPr>
      <w:tblGrid>
        <w:gridCol w:w="859"/>
        <w:gridCol w:w="6237"/>
        <w:gridCol w:w="852"/>
        <w:gridCol w:w="852"/>
      </w:tblGrid>
      <w:tr w14:paraId="734F5A2B">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230" w:hRule="atLeast"/>
        </w:trPr>
        <w:tc>
          <w:tcPr>
            <w:tcW w:w="859" w:type="dxa"/>
            <w:tcBorders>
              <w:left w:val="nil"/>
              <w:bottom w:val="single" w:color="000000" w:sz="4" w:space="0"/>
              <w:right w:val="single" w:color="000000" w:sz="4" w:space="0"/>
            </w:tcBorders>
            <w:shd w:val="clear" w:color="auto" w:fill="ECECEC"/>
          </w:tcPr>
          <w:p w14:paraId="14A22B93">
            <w:pPr>
              <w:pStyle w:val="29"/>
              <w:spacing w:line="207" w:lineRule="exact"/>
              <w:ind w:left="122"/>
              <w:rPr>
                <w:b/>
                <w:sz w:val="18"/>
              </w:rPr>
            </w:pPr>
            <w:r>
              <w:rPr>
                <w:b/>
                <w:spacing w:val="-5"/>
                <w:sz w:val="18"/>
              </w:rPr>
              <w:t>42</w:t>
            </w:r>
          </w:p>
        </w:tc>
        <w:tc>
          <w:tcPr>
            <w:tcW w:w="6237" w:type="dxa"/>
            <w:tcBorders>
              <w:left w:val="single" w:color="000000" w:sz="4" w:space="0"/>
              <w:bottom w:val="single" w:color="000000" w:sz="4" w:space="0"/>
              <w:right w:val="single" w:color="000000" w:sz="4" w:space="0"/>
            </w:tcBorders>
            <w:shd w:val="clear" w:color="auto" w:fill="ECECEC"/>
          </w:tcPr>
          <w:p w14:paraId="0CF6C824">
            <w:pPr>
              <w:pStyle w:val="29"/>
              <w:spacing w:line="210" w:lineRule="exact"/>
              <w:ind w:left="98" w:right="173"/>
              <w:jc w:val="center"/>
              <w:rPr>
                <w:sz w:val="20"/>
              </w:rPr>
            </w:pPr>
            <w:r>
              <w:rPr>
                <w:sz w:val="20"/>
              </w:rPr>
              <w:t>Sanal</w:t>
            </w:r>
            <w:r>
              <w:rPr>
                <w:spacing w:val="-8"/>
                <w:sz w:val="20"/>
              </w:rPr>
              <w:t xml:space="preserve"> </w:t>
            </w:r>
            <w:r>
              <w:rPr>
                <w:sz w:val="20"/>
              </w:rPr>
              <w:t>rekreasyon</w:t>
            </w:r>
            <w:r>
              <w:rPr>
                <w:spacing w:val="-9"/>
                <w:sz w:val="20"/>
              </w:rPr>
              <w:t xml:space="preserve"> </w:t>
            </w:r>
            <w:r>
              <w:rPr>
                <w:sz w:val="20"/>
              </w:rPr>
              <w:t>faaliyetleri</w:t>
            </w:r>
            <w:r>
              <w:rPr>
                <w:spacing w:val="-8"/>
                <w:sz w:val="20"/>
              </w:rPr>
              <w:t xml:space="preserve"> </w:t>
            </w:r>
            <w:r>
              <w:rPr>
                <w:sz w:val="20"/>
              </w:rPr>
              <w:t>ile</w:t>
            </w:r>
            <w:r>
              <w:rPr>
                <w:spacing w:val="-8"/>
                <w:sz w:val="20"/>
              </w:rPr>
              <w:t xml:space="preserve"> </w:t>
            </w:r>
            <w:r>
              <w:rPr>
                <w:sz w:val="20"/>
              </w:rPr>
              <w:t>zorlukların</w:t>
            </w:r>
            <w:r>
              <w:rPr>
                <w:spacing w:val="-7"/>
                <w:sz w:val="20"/>
              </w:rPr>
              <w:t xml:space="preserve"> </w:t>
            </w:r>
            <w:r>
              <w:rPr>
                <w:sz w:val="20"/>
              </w:rPr>
              <w:t>üstesinden</w:t>
            </w:r>
            <w:r>
              <w:rPr>
                <w:spacing w:val="-7"/>
                <w:sz w:val="20"/>
              </w:rPr>
              <w:t xml:space="preserve"> </w:t>
            </w:r>
            <w:r>
              <w:rPr>
                <w:sz w:val="20"/>
              </w:rPr>
              <w:t>gelmeyi</w:t>
            </w:r>
            <w:r>
              <w:rPr>
                <w:spacing w:val="-8"/>
                <w:sz w:val="20"/>
              </w:rPr>
              <w:t xml:space="preserve"> </w:t>
            </w:r>
            <w:r>
              <w:rPr>
                <w:spacing w:val="-2"/>
                <w:sz w:val="20"/>
              </w:rPr>
              <w:t>öğrenirim.</w:t>
            </w:r>
          </w:p>
        </w:tc>
        <w:tc>
          <w:tcPr>
            <w:tcW w:w="852" w:type="dxa"/>
            <w:tcBorders>
              <w:left w:val="single" w:color="000000" w:sz="4" w:space="0"/>
              <w:bottom w:val="single" w:color="000000" w:sz="4" w:space="0"/>
              <w:right w:val="single" w:color="000000" w:sz="4" w:space="0"/>
            </w:tcBorders>
            <w:shd w:val="clear" w:color="auto" w:fill="ECECEC"/>
          </w:tcPr>
          <w:p w14:paraId="0314930B">
            <w:pPr>
              <w:pStyle w:val="29"/>
              <w:spacing w:line="202" w:lineRule="exact"/>
              <w:ind w:left="110"/>
              <w:rPr>
                <w:sz w:val="18"/>
              </w:rPr>
            </w:pPr>
            <w:r>
              <w:rPr>
                <w:spacing w:val="-2"/>
                <w:sz w:val="18"/>
              </w:rPr>
              <w:t>0.795</w:t>
            </w:r>
          </w:p>
        </w:tc>
        <w:tc>
          <w:tcPr>
            <w:tcW w:w="852" w:type="dxa"/>
            <w:tcBorders>
              <w:left w:val="single" w:color="000000" w:sz="4" w:space="0"/>
              <w:bottom w:val="single" w:color="000000" w:sz="4" w:space="0"/>
              <w:right w:val="nil"/>
            </w:tcBorders>
            <w:shd w:val="clear" w:color="auto" w:fill="ECECEC"/>
          </w:tcPr>
          <w:p w14:paraId="60FC9D3F">
            <w:pPr>
              <w:pStyle w:val="29"/>
              <w:spacing w:line="202" w:lineRule="exact"/>
              <w:ind w:left="107"/>
              <w:rPr>
                <w:sz w:val="18"/>
              </w:rPr>
            </w:pPr>
            <w:r>
              <w:rPr>
                <w:spacing w:val="-2"/>
                <w:sz w:val="18"/>
              </w:rPr>
              <w:t>0.795</w:t>
            </w:r>
          </w:p>
        </w:tc>
      </w:tr>
      <w:tr w14:paraId="3F853245">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230" w:hRule="atLeast"/>
        </w:trPr>
        <w:tc>
          <w:tcPr>
            <w:tcW w:w="859" w:type="dxa"/>
            <w:tcBorders>
              <w:top w:val="single" w:color="000000" w:sz="4" w:space="0"/>
              <w:left w:val="nil"/>
              <w:bottom w:val="single" w:color="000000" w:sz="4" w:space="0"/>
              <w:right w:val="single" w:color="000000" w:sz="4" w:space="0"/>
            </w:tcBorders>
          </w:tcPr>
          <w:p w14:paraId="5805A3EC">
            <w:pPr>
              <w:pStyle w:val="29"/>
              <w:spacing w:line="207" w:lineRule="exact"/>
              <w:ind w:left="122"/>
              <w:rPr>
                <w:b/>
                <w:sz w:val="18"/>
              </w:rPr>
            </w:pPr>
            <w:r>
              <w:rPr>
                <w:b/>
                <w:spacing w:val="-5"/>
                <w:sz w:val="18"/>
              </w:rPr>
              <w:t>43</w:t>
            </w:r>
          </w:p>
        </w:tc>
        <w:tc>
          <w:tcPr>
            <w:tcW w:w="6237" w:type="dxa"/>
            <w:tcBorders>
              <w:top w:val="single" w:color="000000" w:sz="4" w:space="0"/>
              <w:left w:val="single" w:color="000000" w:sz="4" w:space="0"/>
              <w:bottom w:val="single" w:color="000000" w:sz="4" w:space="0"/>
              <w:right w:val="single" w:color="000000" w:sz="4" w:space="0"/>
            </w:tcBorders>
          </w:tcPr>
          <w:p w14:paraId="71788580">
            <w:pPr>
              <w:pStyle w:val="29"/>
              <w:spacing w:line="210" w:lineRule="exact"/>
              <w:ind w:left="120" w:right="173"/>
              <w:jc w:val="center"/>
              <w:rPr>
                <w:sz w:val="20"/>
              </w:rPr>
            </w:pPr>
            <w:r>
              <w:rPr>
                <w:sz w:val="20"/>
              </w:rPr>
              <w:t>Sanal</w:t>
            </w:r>
            <w:r>
              <w:rPr>
                <w:spacing w:val="-9"/>
                <w:sz w:val="20"/>
              </w:rPr>
              <w:t xml:space="preserve"> </w:t>
            </w:r>
            <w:r>
              <w:rPr>
                <w:sz w:val="20"/>
              </w:rPr>
              <w:t>rekreasyon</w:t>
            </w:r>
            <w:r>
              <w:rPr>
                <w:spacing w:val="-8"/>
                <w:sz w:val="20"/>
              </w:rPr>
              <w:t xml:space="preserve"> </w:t>
            </w:r>
            <w:r>
              <w:rPr>
                <w:sz w:val="20"/>
              </w:rPr>
              <w:t>faaliyetlerini</w:t>
            </w:r>
            <w:r>
              <w:rPr>
                <w:spacing w:val="-5"/>
                <w:sz w:val="20"/>
              </w:rPr>
              <w:t xml:space="preserve"> </w:t>
            </w:r>
            <w:r>
              <w:rPr>
                <w:sz w:val="20"/>
              </w:rPr>
              <w:t>yaparken</w:t>
            </w:r>
            <w:r>
              <w:rPr>
                <w:spacing w:val="-9"/>
                <w:sz w:val="20"/>
              </w:rPr>
              <w:t xml:space="preserve"> </w:t>
            </w:r>
            <w:r>
              <w:rPr>
                <w:sz w:val="20"/>
              </w:rPr>
              <w:t>zamanın</w:t>
            </w:r>
            <w:r>
              <w:rPr>
                <w:spacing w:val="-7"/>
                <w:sz w:val="20"/>
              </w:rPr>
              <w:t xml:space="preserve"> </w:t>
            </w:r>
            <w:r>
              <w:rPr>
                <w:sz w:val="20"/>
              </w:rPr>
              <w:t>nasıl</w:t>
            </w:r>
            <w:r>
              <w:rPr>
                <w:spacing w:val="-9"/>
                <w:sz w:val="20"/>
              </w:rPr>
              <w:t xml:space="preserve"> </w:t>
            </w:r>
            <w:r>
              <w:rPr>
                <w:sz w:val="20"/>
              </w:rPr>
              <w:t>geçtiğini</w:t>
            </w:r>
            <w:r>
              <w:rPr>
                <w:spacing w:val="-9"/>
                <w:sz w:val="20"/>
              </w:rPr>
              <w:t xml:space="preserve"> </w:t>
            </w:r>
            <w:r>
              <w:rPr>
                <w:spacing w:val="-2"/>
                <w:sz w:val="20"/>
              </w:rPr>
              <w:t>anlamam.</w:t>
            </w:r>
          </w:p>
        </w:tc>
        <w:tc>
          <w:tcPr>
            <w:tcW w:w="852" w:type="dxa"/>
            <w:tcBorders>
              <w:top w:val="single" w:color="000000" w:sz="4" w:space="0"/>
              <w:left w:val="single" w:color="000000" w:sz="4" w:space="0"/>
              <w:bottom w:val="single" w:color="000000" w:sz="4" w:space="0"/>
              <w:right w:val="single" w:color="000000" w:sz="4" w:space="0"/>
            </w:tcBorders>
          </w:tcPr>
          <w:p w14:paraId="66328406">
            <w:pPr>
              <w:pStyle w:val="29"/>
              <w:spacing w:line="202" w:lineRule="exact"/>
              <w:ind w:left="110"/>
              <w:rPr>
                <w:sz w:val="18"/>
              </w:rPr>
            </w:pPr>
            <w:r>
              <w:rPr>
                <w:spacing w:val="-2"/>
                <w:sz w:val="18"/>
              </w:rPr>
              <w:t>0.557</w:t>
            </w:r>
          </w:p>
        </w:tc>
        <w:tc>
          <w:tcPr>
            <w:tcW w:w="852" w:type="dxa"/>
            <w:tcBorders>
              <w:top w:val="single" w:color="000000" w:sz="4" w:space="0"/>
              <w:left w:val="single" w:color="000000" w:sz="4" w:space="0"/>
              <w:bottom w:val="single" w:color="000000" w:sz="4" w:space="0"/>
              <w:right w:val="nil"/>
            </w:tcBorders>
          </w:tcPr>
          <w:p w14:paraId="110FD4E5">
            <w:pPr>
              <w:pStyle w:val="29"/>
              <w:spacing w:line="202" w:lineRule="exact"/>
              <w:ind w:left="107"/>
              <w:rPr>
                <w:sz w:val="18"/>
              </w:rPr>
            </w:pPr>
            <w:r>
              <w:rPr>
                <w:spacing w:val="-2"/>
                <w:sz w:val="18"/>
              </w:rPr>
              <w:t>0.557</w:t>
            </w:r>
          </w:p>
        </w:tc>
      </w:tr>
      <w:tr w14:paraId="6C31A308">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460" w:hRule="atLeast"/>
        </w:trPr>
        <w:tc>
          <w:tcPr>
            <w:tcW w:w="859" w:type="dxa"/>
            <w:tcBorders>
              <w:top w:val="single" w:color="000000" w:sz="4" w:space="0"/>
              <w:left w:val="nil"/>
              <w:right w:val="single" w:color="000000" w:sz="4" w:space="0"/>
            </w:tcBorders>
            <w:shd w:val="clear" w:color="auto" w:fill="ECECEC"/>
          </w:tcPr>
          <w:p w14:paraId="6674FDC4">
            <w:pPr>
              <w:pStyle w:val="29"/>
              <w:spacing w:line="207" w:lineRule="exact"/>
              <w:ind w:left="122"/>
              <w:rPr>
                <w:b/>
                <w:sz w:val="18"/>
              </w:rPr>
            </w:pPr>
            <w:r>
              <w:rPr>
                <w:b/>
                <w:spacing w:val="-5"/>
                <w:sz w:val="18"/>
              </w:rPr>
              <w:t>44</w:t>
            </w:r>
          </w:p>
        </w:tc>
        <w:tc>
          <w:tcPr>
            <w:tcW w:w="6237" w:type="dxa"/>
            <w:tcBorders>
              <w:top w:val="single" w:color="000000" w:sz="4" w:space="0"/>
              <w:left w:val="single" w:color="000000" w:sz="4" w:space="0"/>
              <w:right w:val="single" w:color="000000" w:sz="4" w:space="0"/>
            </w:tcBorders>
            <w:shd w:val="clear" w:color="auto" w:fill="ECECEC"/>
          </w:tcPr>
          <w:p w14:paraId="24D2C063">
            <w:pPr>
              <w:pStyle w:val="29"/>
              <w:spacing w:line="223" w:lineRule="exact"/>
              <w:ind w:left="107"/>
              <w:rPr>
                <w:sz w:val="20"/>
              </w:rPr>
            </w:pPr>
            <w:r>
              <w:rPr>
                <w:sz w:val="20"/>
              </w:rPr>
              <w:t>Sanal</w:t>
            </w:r>
            <w:r>
              <w:rPr>
                <w:spacing w:val="7"/>
                <w:sz w:val="20"/>
              </w:rPr>
              <w:t xml:space="preserve"> </w:t>
            </w:r>
            <w:r>
              <w:rPr>
                <w:sz w:val="20"/>
              </w:rPr>
              <w:t>rekreasyon</w:t>
            </w:r>
            <w:r>
              <w:rPr>
                <w:spacing w:val="7"/>
                <w:sz w:val="20"/>
              </w:rPr>
              <w:t xml:space="preserve"> </w:t>
            </w:r>
            <w:r>
              <w:rPr>
                <w:sz w:val="20"/>
              </w:rPr>
              <w:t>faaliyetleri</w:t>
            </w:r>
            <w:r>
              <w:rPr>
                <w:spacing w:val="8"/>
                <w:sz w:val="20"/>
              </w:rPr>
              <w:t xml:space="preserve"> </w:t>
            </w:r>
            <w:r>
              <w:rPr>
                <w:sz w:val="20"/>
              </w:rPr>
              <w:t>ile</w:t>
            </w:r>
            <w:r>
              <w:rPr>
                <w:spacing w:val="8"/>
                <w:sz w:val="20"/>
              </w:rPr>
              <w:t xml:space="preserve"> </w:t>
            </w:r>
            <w:r>
              <w:rPr>
                <w:sz w:val="20"/>
              </w:rPr>
              <w:t>kendimi</w:t>
            </w:r>
            <w:r>
              <w:rPr>
                <w:spacing w:val="8"/>
                <w:sz w:val="20"/>
              </w:rPr>
              <w:t xml:space="preserve"> </w:t>
            </w:r>
            <w:r>
              <w:rPr>
                <w:sz w:val="20"/>
              </w:rPr>
              <w:t>sonsuz</w:t>
            </w:r>
            <w:r>
              <w:rPr>
                <w:spacing w:val="8"/>
                <w:sz w:val="20"/>
              </w:rPr>
              <w:t xml:space="preserve"> </w:t>
            </w:r>
            <w:r>
              <w:rPr>
                <w:sz w:val="20"/>
              </w:rPr>
              <w:t>bir</w:t>
            </w:r>
            <w:r>
              <w:rPr>
                <w:spacing w:val="7"/>
                <w:sz w:val="20"/>
              </w:rPr>
              <w:t xml:space="preserve"> </w:t>
            </w:r>
            <w:r>
              <w:rPr>
                <w:sz w:val="20"/>
              </w:rPr>
              <w:t>yolculuğa</w:t>
            </w:r>
            <w:r>
              <w:rPr>
                <w:spacing w:val="8"/>
                <w:sz w:val="20"/>
              </w:rPr>
              <w:t xml:space="preserve"> </w:t>
            </w:r>
            <w:r>
              <w:rPr>
                <w:sz w:val="20"/>
              </w:rPr>
              <w:t>çıkmış</w:t>
            </w:r>
            <w:r>
              <w:rPr>
                <w:spacing w:val="7"/>
                <w:sz w:val="20"/>
              </w:rPr>
              <w:t xml:space="preserve"> </w:t>
            </w:r>
            <w:r>
              <w:rPr>
                <w:spacing w:val="-4"/>
                <w:sz w:val="20"/>
              </w:rPr>
              <w:t>gibi</w:t>
            </w:r>
          </w:p>
          <w:p w14:paraId="57C29D4A">
            <w:pPr>
              <w:pStyle w:val="29"/>
              <w:spacing w:line="217" w:lineRule="exact"/>
              <w:ind w:left="107"/>
              <w:rPr>
                <w:sz w:val="20"/>
              </w:rPr>
            </w:pPr>
            <w:r>
              <w:rPr>
                <w:spacing w:val="-2"/>
                <w:sz w:val="20"/>
              </w:rPr>
              <w:t>hissederim.</w:t>
            </w:r>
          </w:p>
        </w:tc>
        <w:tc>
          <w:tcPr>
            <w:tcW w:w="852" w:type="dxa"/>
            <w:tcBorders>
              <w:top w:val="single" w:color="000000" w:sz="4" w:space="0"/>
              <w:left w:val="single" w:color="000000" w:sz="4" w:space="0"/>
              <w:right w:val="single" w:color="000000" w:sz="4" w:space="0"/>
            </w:tcBorders>
            <w:shd w:val="clear" w:color="auto" w:fill="ECECEC"/>
          </w:tcPr>
          <w:p w14:paraId="4C381A69">
            <w:pPr>
              <w:pStyle w:val="29"/>
              <w:spacing w:line="202" w:lineRule="exact"/>
              <w:ind w:left="110"/>
              <w:rPr>
                <w:sz w:val="18"/>
              </w:rPr>
            </w:pPr>
            <w:r>
              <w:rPr>
                <w:spacing w:val="-2"/>
                <w:sz w:val="18"/>
              </w:rPr>
              <w:t>0.655</w:t>
            </w:r>
          </w:p>
        </w:tc>
        <w:tc>
          <w:tcPr>
            <w:tcW w:w="852" w:type="dxa"/>
            <w:tcBorders>
              <w:top w:val="single" w:color="000000" w:sz="4" w:space="0"/>
              <w:left w:val="single" w:color="000000" w:sz="4" w:space="0"/>
              <w:right w:val="nil"/>
            </w:tcBorders>
            <w:shd w:val="clear" w:color="auto" w:fill="ECECEC"/>
          </w:tcPr>
          <w:p w14:paraId="3BF9A165">
            <w:pPr>
              <w:pStyle w:val="29"/>
              <w:spacing w:line="202" w:lineRule="exact"/>
              <w:ind w:left="107"/>
              <w:rPr>
                <w:sz w:val="18"/>
              </w:rPr>
            </w:pPr>
            <w:r>
              <w:rPr>
                <w:spacing w:val="-2"/>
                <w:sz w:val="18"/>
              </w:rPr>
              <w:t>0.646</w:t>
            </w:r>
          </w:p>
        </w:tc>
      </w:tr>
    </w:tbl>
    <w:p w14:paraId="499953F4">
      <w:pPr>
        <w:pStyle w:val="9"/>
        <w:spacing w:before="120" w:after="120" w:line="360" w:lineRule="auto"/>
        <w:ind w:left="0" w:firstLine="567"/>
      </w:pPr>
      <w:r>
        <w:t>Tablo</w:t>
      </w:r>
      <w:r>
        <w:rPr>
          <w:spacing w:val="-6"/>
        </w:rPr>
        <w:t xml:space="preserve"> </w:t>
      </w:r>
      <w:r>
        <w:t>3.2.</w:t>
      </w:r>
      <w:r>
        <w:rPr>
          <w:spacing w:val="-7"/>
        </w:rPr>
        <w:t xml:space="preserve"> </w:t>
      </w:r>
      <w:r>
        <w:t>ile</w:t>
      </w:r>
      <w:r>
        <w:rPr>
          <w:spacing w:val="-6"/>
        </w:rPr>
        <w:t xml:space="preserve"> </w:t>
      </w:r>
      <w:r>
        <w:t>sunulan</w:t>
      </w:r>
      <w:r>
        <w:rPr>
          <w:spacing w:val="-5"/>
        </w:rPr>
        <w:t xml:space="preserve"> </w:t>
      </w:r>
      <w:r>
        <w:t>açımlayıcı</w:t>
      </w:r>
      <w:r>
        <w:rPr>
          <w:spacing w:val="-4"/>
        </w:rPr>
        <w:t xml:space="preserve"> </w:t>
      </w:r>
      <w:r>
        <w:t>faktör</w:t>
      </w:r>
      <w:r>
        <w:rPr>
          <w:spacing w:val="-5"/>
        </w:rPr>
        <w:t xml:space="preserve"> </w:t>
      </w:r>
      <w:r>
        <w:t>analizi</w:t>
      </w:r>
      <w:r>
        <w:rPr>
          <w:spacing w:val="-6"/>
        </w:rPr>
        <w:t xml:space="preserve"> </w:t>
      </w:r>
      <w:r>
        <w:t>(AFA)</w:t>
      </w:r>
      <w:r>
        <w:rPr>
          <w:spacing w:val="-6"/>
        </w:rPr>
        <w:t xml:space="preserve"> </w:t>
      </w:r>
      <w:r>
        <w:t>sonuçları,</w:t>
      </w:r>
      <w:r>
        <w:rPr>
          <w:spacing w:val="-4"/>
        </w:rPr>
        <w:t xml:space="preserve"> </w:t>
      </w:r>
      <w:r>
        <w:t>sanal</w:t>
      </w:r>
      <w:r>
        <w:rPr>
          <w:spacing w:val="-4"/>
        </w:rPr>
        <w:t xml:space="preserve"> </w:t>
      </w:r>
      <w:r>
        <w:t>rekreasyon</w:t>
      </w:r>
      <w:r>
        <w:rPr>
          <w:spacing w:val="-7"/>
        </w:rPr>
        <w:t xml:space="preserve"> </w:t>
      </w:r>
      <w:r>
        <w:t>ölçeğinin tek</w:t>
      </w:r>
      <w:r>
        <w:rPr>
          <w:spacing w:val="-7"/>
        </w:rPr>
        <w:t xml:space="preserve"> </w:t>
      </w:r>
      <w:r>
        <w:t>faktörlü</w:t>
      </w:r>
      <w:r>
        <w:rPr>
          <w:spacing w:val="-7"/>
        </w:rPr>
        <w:t xml:space="preserve"> </w:t>
      </w:r>
      <w:r>
        <w:t>bir</w:t>
      </w:r>
      <w:r>
        <w:rPr>
          <w:spacing w:val="-4"/>
        </w:rPr>
        <w:t xml:space="preserve"> </w:t>
      </w:r>
      <w:r>
        <w:t>yapıya</w:t>
      </w:r>
      <w:r>
        <w:rPr>
          <w:spacing w:val="-8"/>
        </w:rPr>
        <w:t xml:space="preserve"> </w:t>
      </w:r>
      <w:r>
        <w:t>sahip</w:t>
      </w:r>
      <w:r>
        <w:rPr>
          <w:spacing w:val="-6"/>
        </w:rPr>
        <w:t xml:space="preserve"> </w:t>
      </w:r>
      <w:r>
        <w:t>olduğunu</w:t>
      </w:r>
      <w:r>
        <w:rPr>
          <w:spacing w:val="-7"/>
        </w:rPr>
        <w:t xml:space="preserve"> </w:t>
      </w:r>
      <w:r>
        <w:t>ve</w:t>
      </w:r>
      <w:r>
        <w:rPr>
          <w:spacing w:val="-8"/>
        </w:rPr>
        <w:t xml:space="preserve"> </w:t>
      </w:r>
      <w:r>
        <w:t>maddelerin</w:t>
      </w:r>
      <w:r>
        <w:rPr>
          <w:spacing w:val="-7"/>
        </w:rPr>
        <w:t xml:space="preserve"> </w:t>
      </w:r>
      <w:r>
        <w:t>bu</w:t>
      </w:r>
      <w:r>
        <w:rPr>
          <w:spacing w:val="-7"/>
        </w:rPr>
        <w:t xml:space="preserve"> </w:t>
      </w:r>
      <w:r>
        <w:t>faktör</w:t>
      </w:r>
      <w:r>
        <w:rPr>
          <w:spacing w:val="-7"/>
        </w:rPr>
        <w:t xml:space="preserve"> </w:t>
      </w:r>
      <w:r>
        <w:t>altında</w:t>
      </w:r>
      <w:r>
        <w:rPr>
          <w:spacing w:val="-4"/>
        </w:rPr>
        <w:t xml:space="preserve"> </w:t>
      </w:r>
      <w:r>
        <w:t>yüksek</w:t>
      </w:r>
      <w:r>
        <w:rPr>
          <w:spacing w:val="-4"/>
        </w:rPr>
        <w:t xml:space="preserve"> </w:t>
      </w:r>
      <w:r>
        <w:t>yük</w:t>
      </w:r>
      <w:r>
        <w:rPr>
          <w:spacing w:val="-7"/>
        </w:rPr>
        <w:t xml:space="preserve"> </w:t>
      </w:r>
      <w:r>
        <w:t>değerleri ile yüklendiğini göstermektedir. Ölçek maddelerinin faktör yük değerleri 0.557 ile 0.837 arasında değişmektedir. Genel olarak, bir faktör yük değerinin 0.40’ın üzerinde olması, madde</w:t>
      </w:r>
      <w:r>
        <w:rPr>
          <w:spacing w:val="-15"/>
        </w:rPr>
        <w:t xml:space="preserve"> </w:t>
      </w:r>
      <w:r>
        <w:t>ile</w:t>
      </w:r>
      <w:r>
        <w:rPr>
          <w:spacing w:val="-15"/>
        </w:rPr>
        <w:t xml:space="preserve"> </w:t>
      </w:r>
      <w:r>
        <w:t>faktör</w:t>
      </w:r>
      <w:r>
        <w:rPr>
          <w:spacing w:val="-15"/>
        </w:rPr>
        <w:t xml:space="preserve"> </w:t>
      </w:r>
      <w:r>
        <w:t>arasında</w:t>
      </w:r>
      <w:r>
        <w:rPr>
          <w:spacing w:val="-14"/>
        </w:rPr>
        <w:t xml:space="preserve"> </w:t>
      </w:r>
      <w:r>
        <w:t>güçlü</w:t>
      </w:r>
      <w:r>
        <w:rPr>
          <w:spacing w:val="-15"/>
        </w:rPr>
        <w:t xml:space="preserve"> </w:t>
      </w:r>
      <w:r>
        <w:t>bir</w:t>
      </w:r>
      <w:r>
        <w:rPr>
          <w:spacing w:val="-15"/>
        </w:rPr>
        <w:t xml:space="preserve"> </w:t>
      </w:r>
      <w:r>
        <w:t>ilişki</w:t>
      </w:r>
      <w:r>
        <w:rPr>
          <w:spacing w:val="-14"/>
        </w:rPr>
        <w:t xml:space="preserve"> </w:t>
      </w:r>
      <w:r>
        <w:t>olduğunu</w:t>
      </w:r>
      <w:r>
        <w:rPr>
          <w:spacing w:val="-13"/>
        </w:rPr>
        <w:t xml:space="preserve"> </w:t>
      </w:r>
      <w:r>
        <w:t>göstermektedir.</w:t>
      </w:r>
      <w:r>
        <w:rPr>
          <w:spacing w:val="-13"/>
        </w:rPr>
        <w:t xml:space="preserve"> </w:t>
      </w:r>
      <w:r>
        <w:t>Bu</w:t>
      </w:r>
      <w:r>
        <w:rPr>
          <w:spacing w:val="-15"/>
        </w:rPr>
        <w:t xml:space="preserve"> </w:t>
      </w:r>
      <w:r>
        <w:t>bağlamda,</w:t>
      </w:r>
      <w:r>
        <w:rPr>
          <w:spacing w:val="-15"/>
        </w:rPr>
        <w:t xml:space="preserve"> </w:t>
      </w:r>
      <w:r>
        <w:t>elde</w:t>
      </w:r>
      <w:r>
        <w:rPr>
          <w:spacing w:val="-14"/>
        </w:rPr>
        <w:t xml:space="preserve"> </w:t>
      </w:r>
      <w:r>
        <w:t>edilen faktör yük değerlerinin tamamının 0.50’nin üzerinde olması, ölçeğin tek faktörlü yapısının sağlam ve güvenilir bir şekilde ölçüldüğünü ortaya koymaktadır.</w:t>
      </w:r>
    </w:p>
    <w:p w14:paraId="48F7360C">
      <w:pPr>
        <w:pStyle w:val="9"/>
        <w:spacing w:before="120" w:after="120" w:line="360" w:lineRule="auto"/>
        <w:ind w:left="0" w:firstLine="567"/>
      </w:pPr>
      <w:r>
        <w:t>Ortak varyans analizine (h²) bakıldığında ise değerlerin 0.543 ile 0.842 arasında değiştiği görülmektedir. Ortak varyans, her bir maddenin toplam varyansının ne kadarının faktör tarafından açıklandığını ifade eder. Genel olarak h² değerinin 0.50’nin üzerinde olması, maddelerin model tarafından iyi bir şekilde açıklandığını ve ölçeğin genel geçerliliğinin yüksek olduğunu gösterir. Elde edilen sonuçlar, sanal rekreasyon ölçeğindeki maddelerin büyük</w:t>
      </w:r>
      <w:r>
        <w:rPr>
          <w:spacing w:val="-15"/>
        </w:rPr>
        <w:t xml:space="preserve"> </w:t>
      </w:r>
      <w:r>
        <w:t>bir</w:t>
      </w:r>
      <w:r>
        <w:rPr>
          <w:spacing w:val="-15"/>
        </w:rPr>
        <w:t xml:space="preserve"> </w:t>
      </w:r>
      <w:r>
        <w:t>kısmının</w:t>
      </w:r>
      <w:r>
        <w:rPr>
          <w:spacing w:val="-15"/>
        </w:rPr>
        <w:t xml:space="preserve"> </w:t>
      </w:r>
      <w:r>
        <w:t>yüksek</w:t>
      </w:r>
      <w:r>
        <w:rPr>
          <w:spacing w:val="-15"/>
        </w:rPr>
        <w:t xml:space="preserve"> </w:t>
      </w:r>
      <w:r>
        <w:t>ortak</w:t>
      </w:r>
      <w:r>
        <w:rPr>
          <w:spacing w:val="-15"/>
        </w:rPr>
        <w:t xml:space="preserve"> </w:t>
      </w:r>
      <w:r>
        <w:t>varyans</w:t>
      </w:r>
      <w:r>
        <w:rPr>
          <w:spacing w:val="-15"/>
        </w:rPr>
        <w:t xml:space="preserve"> </w:t>
      </w:r>
      <w:r>
        <w:t>değerlerine</w:t>
      </w:r>
      <w:r>
        <w:rPr>
          <w:spacing w:val="-15"/>
        </w:rPr>
        <w:t xml:space="preserve"> </w:t>
      </w:r>
      <w:r>
        <w:t>sahip</w:t>
      </w:r>
      <w:r>
        <w:rPr>
          <w:spacing w:val="-15"/>
        </w:rPr>
        <w:t xml:space="preserve"> </w:t>
      </w:r>
      <w:r>
        <w:t>olduğunu,</w:t>
      </w:r>
      <w:r>
        <w:rPr>
          <w:spacing w:val="-15"/>
        </w:rPr>
        <w:t xml:space="preserve"> </w:t>
      </w:r>
      <w:r>
        <w:t>dolayısıyla</w:t>
      </w:r>
      <w:r>
        <w:rPr>
          <w:spacing w:val="-15"/>
        </w:rPr>
        <w:t xml:space="preserve"> </w:t>
      </w:r>
      <w:r>
        <w:t>maddelerin tek faktörlü yapının ölçülmesine güçlü bir katkı sağladığını kanıtlamaktadır.</w:t>
      </w:r>
    </w:p>
    <w:p w14:paraId="56993201">
      <w:pPr>
        <w:pStyle w:val="9"/>
        <w:spacing w:before="120" w:after="120" w:line="360" w:lineRule="auto"/>
        <w:ind w:left="0" w:firstLine="567"/>
      </w:pPr>
      <w:r>
        <w:t>Özellikle, faktör yük değeri 0.70’in üzerinde olan maddeler ölçeğin merkezinde yer alan temel unsurları temsil etmektedir. Bu yüksek yük değerleri, ölçeğin sanal rekreasyon kavramını ölçme konusunda oldukça başarılı olduğunu ve faktör yapısının güvenilir bir yapıya sahip olduğunu göstermektedir. Aynı şekilde, yüksek ortak varyans değerleri de ölçeğin iç tutarlılığını desteklemektedir.</w:t>
      </w:r>
    </w:p>
    <w:p w14:paraId="5520F068">
      <w:pPr>
        <w:pStyle w:val="9"/>
        <w:spacing w:before="120" w:after="120" w:line="360" w:lineRule="auto"/>
        <w:ind w:left="0" w:firstLine="567"/>
      </w:pPr>
      <w:r>
        <w:t>Genel</w:t>
      </w:r>
      <w:r>
        <w:rPr>
          <w:spacing w:val="-6"/>
        </w:rPr>
        <w:t xml:space="preserve"> </w:t>
      </w:r>
      <w:r>
        <w:t>olarak</w:t>
      </w:r>
      <w:r>
        <w:rPr>
          <w:spacing w:val="-7"/>
        </w:rPr>
        <w:t xml:space="preserve"> </w:t>
      </w:r>
      <w:r>
        <w:t>bu</w:t>
      </w:r>
      <w:r>
        <w:rPr>
          <w:spacing w:val="-4"/>
        </w:rPr>
        <w:t xml:space="preserve"> </w:t>
      </w:r>
      <w:r>
        <w:t>AFA</w:t>
      </w:r>
      <w:r>
        <w:rPr>
          <w:spacing w:val="-5"/>
        </w:rPr>
        <w:t xml:space="preserve"> </w:t>
      </w:r>
      <w:r>
        <w:t>sonuçları,</w:t>
      </w:r>
      <w:r>
        <w:rPr>
          <w:spacing w:val="-6"/>
        </w:rPr>
        <w:t xml:space="preserve"> </w:t>
      </w:r>
      <w:r>
        <w:t>sanal</w:t>
      </w:r>
      <w:r>
        <w:rPr>
          <w:spacing w:val="-6"/>
        </w:rPr>
        <w:t xml:space="preserve"> </w:t>
      </w:r>
      <w:r>
        <w:t>rekreasyon</w:t>
      </w:r>
      <w:r>
        <w:rPr>
          <w:spacing w:val="-2"/>
        </w:rPr>
        <w:t xml:space="preserve"> </w:t>
      </w:r>
      <w:r>
        <w:t>ölçeğinin</w:t>
      </w:r>
      <w:r>
        <w:rPr>
          <w:spacing w:val="-7"/>
        </w:rPr>
        <w:t xml:space="preserve"> </w:t>
      </w:r>
      <w:r>
        <w:t>tek</w:t>
      </w:r>
      <w:r>
        <w:rPr>
          <w:spacing w:val="-7"/>
        </w:rPr>
        <w:t xml:space="preserve"> </w:t>
      </w:r>
      <w:r>
        <w:t>faktörlü</w:t>
      </w:r>
      <w:r>
        <w:rPr>
          <w:spacing w:val="-2"/>
        </w:rPr>
        <w:t xml:space="preserve"> </w:t>
      </w:r>
      <w:r>
        <w:t>yapısının</w:t>
      </w:r>
      <w:r>
        <w:rPr>
          <w:spacing w:val="-6"/>
        </w:rPr>
        <w:t xml:space="preserve"> </w:t>
      </w:r>
      <w:r>
        <w:t>geçerli</w:t>
      </w:r>
      <w:r>
        <w:rPr>
          <w:spacing w:val="-7"/>
        </w:rPr>
        <w:t xml:space="preserve"> </w:t>
      </w:r>
      <w:r>
        <w:t>ve güvenilir</w:t>
      </w:r>
      <w:r>
        <w:rPr>
          <w:spacing w:val="-3"/>
        </w:rPr>
        <w:t xml:space="preserve"> </w:t>
      </w:r>
      <w:r>
        <w:t>olduğunu</w:t>
      </w:r>
      <w:r>
        <w:rPr>
          <w:spacing w:val="-2"/>
        </w:rPr>
        <w:t xml:space="preserve"> </w:t>
      </w:r>
      <w:r>
        <w:t>ortaya</w:t>
      </w:r>
      <w:r>
        <w:rPr>
          <w:spacing w:val="-3"/>
        </w:rPr>
        <w:t xml:space="preserve"> </w:t>
      </w:r>
      <w:r>
        <w:t>koymaktadır.</w:t>
      </w:r>
      <w:r>
        <w:rPr>
          <w:spacing w:val="-2"/>
        </w:rPr>
        <w:t xml:space="preserve"> </w:t>
      </w:r>
      <w:r>
        <w:t>Maddelerin yüksek faktör yükleri ve</w:t>
      </w:r>
      <w:r>
        <w:rPr>
          <w:spacing w:val="-3"/>
        </w:rPr>
        <w:t xml:space="preserve"> </w:t>
      </w:r>
      <w:r>
        <w:t>ortak</w:t>
      </w:r>
      <w:r>
        <w:rPr>
          <w:spacing w:val="-2"/>
        </w:rPr>
        <w:t xml:space="preserve"> </w:t>
      </w:r>
      <w:r>
        <w:t>varyans değerleri, ölçeğin ölçmek istediği kavramı başarıyla yakaladığını ve güvenilir bir ölçüm aracı olarak kullanılabileceğini göstermektedir.</w:t>
      </w:r>
    </w:p>
    <w:p w14:paraId="51518A4F">
      <w:pPr>
        <w:pStyle w:val="9"/>
        <w:spacing w:line="360" w:lineRule="auto"/>
        <w:ind w:left="0"/>
        <w:jc w:val="left"/>
      </w:pPr>
      <w:r>
        <w:rPr>
          <w:b/>
        </w:rPr>
        <w:t>Tablo</w:t>
      </w:r>
      <w:r>
        <w:rPr>
          <w:b/>
          <w:spacing w:val="-4"/>
        </w:rPr>
        <w:t xml:space="preserve"> </w:t>
      </w:r>
      <w:r>
        <w:rPr>
          <w:b/>
        </w:rPr>
        <w:t>3.5.</w:t>
      </w:r>
      <w:r>
        <w:rPr>
          <w:b/>
          <w:spacing w:val="-2"/>
        </w:rPr>
        <w:t xml:space="preserve"> </w:t>
      </w:r>
      <w:r>
        <w:t>Ölçeğe</w:t>
      </w:r>
      <w:r>
        <w:rPr>
          <w:spacing w:val="-3"/>
        </w:rPr>
        <w:t xml:space="preserve"> </w:t>
      </w:r>
      <w:r>
        <w:t>ilişkin</w:t>
      </w:r>
      <w:r>
        <w:rPr>
          <w:spacing w:val="-2"/>
        </w:rPr>
        <w:t xml:space="preserve"> </w:t>
      </w:r>
      <w:r>
        <w:t>Özdeğerleri</w:t>
      </w:r>
      <w:r>
        <w:rPr>
          <w:spacing w:val="-2"/>
        </w:rPr>
        <w:t xml:space="preserve"> </w:t>
      </w:r>
      <w:r>
        <w:t>ve</w:t>
      </w:r>
      <w:r>
        <w:rPr>
          <w:spacing w:val="-1"/>
        </w:rPr>
        <w:t xml:space="preserve"> </w:t>
      </w:r>
      <w:r>
        <w:t>açıklanan</w:t>
      </w:r>
      <w:r>
        <w:rPr>
          <w:spacing w:val="-2"/>
        </w:rPr>
        <w:t xml:space="preserve"> </w:t>
      </w:r>
      <w:r>
        <w:t>varyans</w:t>
      </w:r>
      <w:r>
        <w:rPr>
          <w:spacing w:val="3"/>
        </w:rPr>
        <w:t xml:space="preserve"> </w:t>
      </w:r>
      <w:r>
        <w:rPr>
          <w:spacing w:val="-2"/>
        </w:rPr>
        <w:t>yüzdeleri</w:t>
      </w:r>
    </w:p>
    <w:p w14:paraId="0A2E34D8">
      <w:pPr>
        <w:pStyle w:val="9"/>
        <w:spacing w:before="10"/>
        <w:ind w:left="0"/>
        <w:jc w:val="left"/>
        <w:rPr>
          <w:sz w:val="29"/>
        </w:rPr>
      </w:pPr>
    </w:p>
    <w:tbl>
      <w:tblPr>
        <w:tblStyle w:val="7"/>
        <w:tblW w:w="0" w:type="auto"/>
        <w:tblInd w:w="153" w:type="dxa"/>
        <w:tblLayout w:type="fixed"/>
        <w:tblCellMar>
          <w:top w:w="0" w:type="dxa"/>
          <w:left w:w="0" w:type="dxa"/>
          <w:bottom w:w="0" w:type="dxa"/>
          <w:right w:w="0" w:type="dxa"/>
        </w:tblCellMar>
      </w:tblPr>
      <w:tblGrid>
        <w:gridCol w:w="3218"/>
        <w:gridCol w:w="5591"/>
      </w:tblGrid>
      <w:tr w14:paraId="60C08377">
        <w:tblPrEx>
          <w:tblCellMar>
            <w:top w:w="0" w:type="dxa"/>
            <w:left w:w="0" w:type="dxa"/>
            <w:bottom w:w="0" w:type="dxa"/>
            <w:right w:w="0" w:type="dxa"/>
          </w:tblCellMar>
        </w:tblPrEx>
        <w:trPr>
          <w:trHeight w:val="321" w:hRule="atLeast"/>
        </w:trPr>
        <w:tc>
          <w:tcPr>
            <w:tcW w:w="3218" w:type="dxa"/>
            <w:tcBorders>
              <w:top w:val="single" w:color="C8C8C8" w:sz="4" w:space="0"/>
              <w:bottom w:val="single" w:color="C8C8C8" w:sz="4" w:space="0"/>
            </w:tcBorders>
            <w:shd w:val="clear" w:color="auto" w:fill="ECECEC"/>
          </w:tcPr>
          <w:p w14:paraId="0BB6AF4B">
            <w:pPr>
              <w:pStyle w:val="29"/>
              <w:spacing w:before="112" w:line="189" w:lineRule="exact"/>
              <w:ind w:left="182"/>
              <w:rPr>
                <w:b/>
                <w:sz w:val="18"/>
              </w:rPr>
            </w:pPr>
            <w:r>
              <w:rPr>
                <w:b/>
                <w:spacing w:val="-2"/>
                <w:sz w:val="18"/>
              </w:rPr>
              <w:t>Madde</w:t>
            </w:r>
          </w:p>
        </w:tc>
        <w:tc>
          <w:tcPr>
            <w:tcW w:w="5591" w:type="dxa"/>
            <w:tcBorders>
              <w:top w:val="single" w:color="C8C8C8" w:sz="4" w:space="0"/>
              <w:bottom w:val="single" w:color="C8C8C8" w:sz="4" w:space="0"/>
            </w:tcBorders>
            <w:shd w:val="clear" w:color="auto" w:fill="ECECEC"/>
          </w:tcPr>
          <w:p w14:paraId="7BC034C5">
            <w:pPr>
              <w:pStyle w:val="29"/>
              <w:spacing w:before="112" w:line="189" w:lineRule="exact"/>
              <w:ind w:left="526"/>
              <w:jc w:val="center"/>
              <w:rPr>
                <w:b/>
                <w:sz w:val="18"/>
              </w:rPr>
            </w:pPr>
            <w:r>
              <w:rPr>
                <w:b/>
                <w:sz w:val="18"/>
              </w:rPr>
              <w:t>İlk</w:t>
            </w:r>
            <w:r>
              <w:rPr>
                <w:b/>
                <w:spacing w:val="-4"/>
                <w:sz w:val="18"/>
              </w:rPr>
              <w:t xml:space="preserve"> </w:t>
            </w:r>
            <w:r>
              <w:rPr>
                <w:b/>
                <w:spacing w:val="-2"/>
                <w:sz w:val="18"/>
              </w:rPr>
              <w:t>Özdeğerler</w:t>
            </w:r>
          </w:p>
        </w:tc>
      </w:tr>
    </w:tbl>
    <w:p w14:paraId="7ED7E887">
      <w:pPr>
        <w:pStyle w:val="9"/>
        <w:spacing w:before="5"/>
        <w:ind w:left="0"/>
        <w:jc w:val="left"/>
        <w:rPr>
          <w:sz w:val="2"/>
        </w:rPr>
      </w:pPr>
    </w:p>
    <w:tbl>
      <w:tblPr>
        <w:tblStyle w:val="7"/>
        <w:tblW w:w="0" w:type="auto"/>
        <w:tblInd w:w="153" w:type="dxa"/>
        <w:tblLayout w:type="fixed"/>
        <w:tblCellMar>
          <w:top w:w="0" w:type="dxa"/>
          <w:left w:w="0" w:type="dxa"/>
          <w:bottom w:w="0" w:type="dxa"/>
          <w:right w:w="0" w:type="dxa"/>
        </w:tblCellMar>
      </w:tblPr>
      <w:tblGrid>
        <w:gridCol w:w="1008"/>
        <w:gridCol w:w="4539"/>
        <w:gridCol w:w="991"/>
        <w:gridCol w:w="1133"/>
        <w:gridCol w:w="1137"/>
      </w:tblGrid>
      <w:tr w14:paraId="5412455A">
        <w:tblPrEx>
          <w:tblCellMar>
            <w:top w:w="0" w:type="dxa"/>
            <w:left w:w="0" w:type="dxa"/>
            <w:bottom w:w="0" w:type="dxa"/>
            <w:right w:w="0" w:type="dxa"/>
          </w:tblCellMar>
        </w:tblPrEx>
        <w:trPr>
          <w:trHeight w:val="640" w:hRule="atLeast"/>
        </w:trPr>
        <w:tc>
          <w:tcPr>
            <w:tcW w:w="1008" w:type="dxa"/>
            <w:tcBorders>
              <w:top w:val="single" w:color="C8C8C8" w:sz="4" w:space="0"/>
              <w:bottom w:val="single" w:color="C8C8C8" w:sz="4" w:space="0"/>
            </w:tcBorders>
            <w:shd w:val="clear" w:color="auto" w:fill="ECECEC"/>
          </w:tcPr>
          <w:p w14:paraId="74058AFB">
            <w:pPr>
              <w:pStyle w:val="29"/>
              <w:spacing w:before="112"/>
              <w:ind w:left="182"/>
              <w:rPr>
                <w:b/>
                <w:sz w:val="18"/>
              </w:rPr>
            </w:pPr>
            <w:r>
              <w:rPr>
                <w:b/>
                <w:spacing w:val="-5"/>
                <w:sz w:val="18"/>
              </w:rPr>
              <w:t>No</w:t>
            </w:r>
          </w:p>
        </w:tc>
        <w:tc>
          <w:tcPr>
            <w:tcW w:w="4539" w:type="dxa"/>
            <w:tcBorders>
              <w:top w:val="single" w:color="C8C8C8" w:sz="4" w:space="0"/>
              <w:bottom w:val="single" w:color="C8C8C8" w:sz="4" w:space="0"/>
            </w:tcBorders>
          </w:tcPr>
          <w:p w14:paraId="46462F53">
            <w:pPr>
              <w:pStyle w:val="29"/>
              <w:spacing w:before="112"/>
              <w:ind w:left="167"/>
              <w:rPr>
                <w:b/>
                <w:sz w:val="18"/>
              </w:rPr>
            </w:pPr>
            <w:r>
              <w:rPr>
                <w:b/>
                <w:spacing w:val="-2"/>
                <w:sz w:val="18"/>
              </w:rPr>
              <w:t>Maddeler</w:t>
            </w:r>
          </w:p>
        </w:tc>
        <w:tc>
          <w:tcPr>
            <w:tcW w:w="991" w:type="dxa"/>
            <w:tcBorders>
              <w:top w:val="single" w:color="C8C8C8" w:sz="4" w:space="0"/>
              <w:bottom w:val="single" w:color="C8C8C8" w:sz="4" w:space="0"/>
            </w:tcBorders>
            <w:shd w:val="clear" w:color="auto" w:fill="ECECEC"/>
          </w:tcPr>
          <w:p w14:paraId="2656B36F">
            <w:pPr>
              <w:pStyle w:val="29"/>
              <w:spacing w:before="112"/>
              <w:ind w:left="168"/>
              <w:rPr>
                <w:b/>
                <w:sz w:val="18"/>
              </w:rPr>
            </w:pPr>
            <w:r>
              <w:rPr>
                <w:b/>
                <w:spacing w:val="-2"/>
                <w:sz w:val="18"/>
              </w:rPr>
              <w:t>Toplam</w:t>
            </w:r>
          </w:p>
        </w:tc>
        <w:tc>
          <w:tcPr>
            <w:tcW w:w="1133" w:type="dxa"/>
            <w:tcBorders>
              <w:top w:val="single" w:color="C8C8C8" w:sz="4" w:space="0"/>
              <w:bottom w:val="single" w:color="C8C8C8" w:sz="4" w:space="0"/>
            </w:tcBorders>
          </w:tcPr>
          <w:p w14:paraId="252AA218">
            <w:pPr>
              <w:pStyle w:val="29"/>
              <w:spacing w:before="112"/>
              <w:ind w:left="169"/>
              <w:rPr>
                <w:b/>
                <w:sz w:val="18"/>
              </w:rPr>
            </w:pPr>
            <w:r>
              <w:rPr>
                <w:b/>
                <w:spacing w:val="-2"/>
                <w:sz w:val="18"/>
              </w:rPr>
              <w:t>Varyansın</w:t>
            </w:r>
          </w:p>
          <w:p w14:paraId="1E8317C7">
            <w:pPr>
              <w:pStyle w:val="29"/>
              <w:spacing w:before="112" w:line="189" w:lineRule="exact"/>
              <w:ind w:left="169"/>
              <w:rPr>
                <w:b/>
                <w:sz w:val="18"/>
              </w:rPr>
            </w:pPr>
            <w:r>
              <w:rPr>
                <w:b/>
                <w:spacing w:val="-4"/>
                <w:sz w:val="18"/>
              </w:rPr>
              <w:t>%'si</w:t>
            </w:r>
          </w:p>
        </w:tc>
        <w:tc>
          <w:tcPr>
            <w:tcW w:w="1137" w:type="dxa"/>
            <w:tcBorders>
              <w:top w:val="single" w:color="C8C8C8" w:sz="4" w:space="0"/>
              <w:bottom w:val="single" w:color="C8C8C8" w:sz="4" w:space="0"/>
            </w:tcBorders>
            <w:shd w:val="clear" w:color="auto" w:fill="ECECEC"/>
          </w:tcPr>
          <w:p w14:paraId="3C17FC1E">
            <w:pPr>
              <w:pStyle w:val="29"/>
              <w:spacing w:line="320" w:lineRule="atLeast"/>
              <w:ind w:left="168" w:right="224"/>
              <w:rPr>
                <w:b/>
                <w:sz w:val="18"/>
              </w:rPr>
            </w:pPr>
            <w:r>
              <w:rPr>
                <w:b/>
                <w:spacing w:val="-2"/>
                <w:sz w:val="18"/>
              </w:rPr>
              <w:t xml:space="preserve">Kümülati </w:t>
            </w:r>
            <w:r>
              <w:rPr>
                <w:b/>
                <w:sz w:val="18"/>
              </w:rPr>
              <w:t>f %</w:t>
            </w:r>
          </w:p>
        </w:tc>
      </w:tr>
      <w:tr w14:paraId="1BF641B8">
        <w:tblPrEx>
          <w:tblCellMar>
            <w:top w:w="0" w:type="dxa"/>
            <w:left w:w="0" w:type="dxa"/>
            <w:bottom w:w="0" w:type="dxa"/>
            <w:right w:w="0" w:type="dxa"/>
          </w:tblCellMar>
        </w:tblPrEx>
        <w:trPr>
          <w:trHeight w:val="640" w:hRule="atLeast"/>
        </w:trPr>
        <w:tc>
          <w:tcPr>
            <w:tcW w:w="1008" w:type="dxa"/>
            <w:tcBorders>
              <w:top w:val="single" w:color="C8C8C8" w:sz="4" w:space="0"/>
              <w:bottom w:val="single" w:color="C8C8C8" w:sz="4" w:space="0"/>
            </w:tcBorders>
            <w:shd w:val="clear" w:color="auto" w:fill="ECECEC"/>
          </w:tcPr>
          <w:p w14:paraId="41158F78">
            <w:pPr>
              <w:pStyle w:val="29"/>
              <w:spacing w:before="112"/>
              <w:ind w:left="182"/>
              <w:rPr>
                <w:b/>
                <w:sz w:val="18"/>
              </w:rPr>
            </w:pPr>
            <w:r>
              <w:rPr>
                <w:b/>
                <w:sz w:val="18"/>
              </w:rPr>
              <w:t>1</w:t>
            </w:r>
          </w:p>
        </w:tc>
        <w:tc>
          <w:tcPr>
            <w:tcW w:w="4539" w:type="dxa"/>
            <w:tcBorders>
              <w:top w:val="single" w:color="C8C8C8" w:sz="4" w:space="0"/>
              <w:bottom w:val="single" w:color="C8C8C8" w:sz="4" w:space="0"/>
            </w:tcBorders>
            <w:shd w:val="clear" w:color="auto" w:fill="ECECEC"/>
          </w:tcPr>
          <w:p w14:paraId="1E4E84D2">
            <w:pPr>
              <w:pStyle w:val="29"/>
              <w:spacing w:line="320" w:lineRule="exact"/>
              <w:ind w:left="167"/>
              <w:rPr>
                <w:sz w:val="18"/>
              </w:rPr>
            </w:pPr>
            <w:r>
              <w:rPr>
                <w:sz w:val="18"/>
              </w:rPr>
              <w:t>Sanal</w:t>
            </w:r>
            <w:r>
              <w:rPr>
                <w:spacing w:val="17"/>
                <w:sz w:val="18"/>
              </w:rPr>
              <w:t xml:space="preserve"> </w:t>
            </w:r>
            <w:r>
              <w:rPr>
                <w:sz w:val="18"/>
              </w:rPr>
              <w:t>rekreasyon</w:t>
            </w:r>
            <w:r>
              <w:rPr>
                <w:spacing w:val="17"/>
                <w:sz w:val="18"/>
              </w:rPr>
              <w:t xml:space="preserve"> </w:t>
            </w:r>
            <w:r>
              <w:rPr>
                <w:sz w:val="18"/>
              </w:rPr>
              <w:t>faaliyetleri,</w:t>
            </w:r>
            <w:r>
              <w:rPr>
                <w:spacing w:val="17"/>
                <w:sz w:val="18"/>
              </w:rPr>
              <w:t xml:space="preserve"> </w:t>
            </w:r>
            <w:r>
              <w:rPr>
                <w:sz w:val="18"/>
              </w:rPr>
              <w:t>kendimi</w:t>
            </w:r>
            <w:r>
              <w:rPr>
                <w:spacing w:val="17"/>
                <w:sz w:val="18"/>
              </w:rPr>
              <w:t xml:space="preserve"> </w:t>
            </w:r>
            <w:r>
              <w:rPr>
                <w:sz w:val="18"/>
              </w:rPr>
              <w:t>mutlu</w:t>
            </w:r>
            <w:r>
              <w:rPr>
                <w:spacing w:val="17"/>
                <w:sz w:val="18"/>
              </w:rPr>
              <w:t xml:space="preserve"> </w:t>
            </w:r>
            <w:r>
              <w:rPr>
                <w:sz w:val="18"/>
              </w:rPr>
              <w:t xml:space="preserve">hissetmemi </w:t>
            </w:r>
            <w:r>
              <w:rPr>
                <w:spacing w:val="-2"/>
                <w:sz w:val="18"/>
              </w:rPr>
              <w:t>sağlar.</w:t>
            </w:r>
          </w:p>
        </w:tc>
        <w:tc>
          <w:tcPr>
            <w:tcW w:w="991" w:type="dxa"/>
            <w:tcBorders>
              <w:top w:val="single" w:color="C8C8C8" w:sz="4" w:space="0"/>
              <w:bottom w:val="single" w:color="C8C8C8" w:sz="4" w:space="0"/>
            </w:tcBorders>
            <w:shd w:val="clear" w:color="auto" w:fill="ECECEC"/>
          </w:tcPr>
          <w:p w14:paraId="0CA1114A">
            <w:pPr>
              <w:pStyle w:val="29"/>
              <w:spacing w:before="107"/>
              <w:ind w:left="168"/>
              <w:rPr>
                <w:sz w:val="18"/>
              </w:rPr>
            </w:pPr>
            <w:r>
              <w:rPr>
                <w:spacing w:val="-2"/>
                <w:sz w:val="18"/>
              </w:rPr>
              <w:t>1.163</w:t>
            </w:r>
          </w:p>
        </w:tc>
        <w:tc>
          <w:tcPr>
            <w:tcW w:w="1133" w:type="dxa"/>
            <w:tcBorders>
              <w:top w:val="single" w:color="C8C8C8" w:sz="4" w:space="0"/>
              <w:bottom w:val="single" w:color="C8C8C8" w:sz="4" w:space="0"/>
            </w:tcBorders>
            <w:shd w:val="clear" w:color="auto" w:fill="ECECEC"/>
          </w:tcPr>
          <w:p w14:paraId="18BDB8F1">
            <w:pPr>
              <w:pStyle w:val="29"/>
              <w:spacing w:before="107"/>
              <w:ind w:left="169"/>
              <w:rPr>
                <w:sz w:val="18"/>
              </w:rPr>
            </w:pPr>
            <w:r>
              <w:rPr>
                <w:spacing w:val="-2"/>
                <w:sz w:val="18"/>
              </w:rPr>
              <w:t>51.278</w:t>
            </w:r>
          </w:p>
        </w:tc>
        <w:tc>
          <w:tcPr>
            <w:tcW w:w="1137" w:type="dxa"/>
            <w:tcBorders>
              <w:top w:val="single" w:color="C8C8C8" w:sz="4" w:space="0"/>
              <w:bottom w:val="single" w:color="C8C8C8" w:sz="4" w:space="0"/>
            </w:tcBorders>
            <w:shd w:val="clear" w:color="auto" w:fill="ECECEC"/>
          </w:tcPr>
          <w:p w14:paraId="6256C692">
            <w:pPr>
              <w:pStyle w:val="29"/>
              <w:spacing w:before="107"/>
              <w:ind w:left="168"/>
              <w:rPr>
                <w:sz w:val="18"/>
              </w:rPr>
            </w:pPr>
            <w:r>
              <w:rPr>
                <w:spacing w:val="-2"/>
                <w:sz w:val="18"/>
              </w:rPr>
              <w:t>51.278</w:t>
            </w:r>
          </w:p>
        </w:tc>
      </w:tr>
      <w:tr w14:paraId="37008AE7">
        <w:tblPrEx>
          <w:tblCellMar>
            <w:top w:w="0" w:type="dxa"/>
            <w:left w:w="0" w:type="dxa"/>
            <w:bottom w:w="0" w:type="dxa"/>
            <w:right w:w="0" w:type="dxa"/>
          </w:tblCellMar>
        </w:tblPrEx>
        <w:trPr>
          <w:trHeight w:val="318" w:hRule="atLeast"/>
        </w:trPr>
        <w:tc>
          <w:tcPr>
            <w:tcW w:w="1008" w:type="dxa"/>
            <w:tcBorders>
              <w:top w:val="single" w:color="C8C8C8" w:sz="4" w:space="0"/>
              <w:bottom w:val="single" w:color="C8C8C8" w:sz="4" w:space="0"/>
            </w:tcBorders>
            <w:shd w:val="clear" w:color="auto" w:fill="ECECEC"/>
          </w:tcPr>
          <w:p w14:paraId="3325D98D">
            <w:pPr>
              <w:pStyle w:val="29"/>
              <w:spacing w:before="112" w:line="186" w:lineRule="exact"/>
              <w:ind w:left="182"/>
              <w:rPr>
                <w:b/>
                <w:sz w:val="18"/>
              </w:rPr>
            </w:pPr>
            <w:r>
              <w:rPr>
                <w:b/>
                <w:sz w:val="18"/>
              </w:rPr>
              <w:t>2</w:t>
            </w:r>
          </w:p>
        </w:tc>
        <w:tc>
          <w:tcPr>
            <w:tcW w:w="4539" w:type="dxa"/>
            <w:tcBorders>
              <w:top w:val="single" w:color="C8C8C8" w:sz="4" w:space="0"/>
              <w:bottom w:val="single" w:color="C8C8C8" w:sz="4" w:space="0"/>
            </w:tcBorders>
          </w:tcPr>
          <w:p w14:paraId="6F58916A">
            <w:pPr>
              <w:pStyle w:val="29"/>
              <w:spacing w:before="107" w:line="191" w:lineRule="exact"/>
              <w:ind w:left="167"/>
              <w:rPr>
                <w:sz w:val="18"/>
              </w:rPr>
            </w:pPr>
            <w:r>
              <w:rPr>
                <w:sz w:val="18"/>
              </w:rPr>
              <w:t>Sanal</w:t>
            </w:r>
            <w:r>
              <w:rPr>
                <w:spacing w:val="-4"/>
                <w:sz w:val="18"/>
              </w:rPr>
              <w:t xml:space="preserve"> </w:t>
            </w:r>
            <w:r>
              <w:rPr>
                <w:sz w:val="18"/>
              </w:rPr>
              <w:t>rekreasyon</w:t>
            </w:r>
            <w:r>
              <w:rPr>
                <w:spacing w:val="-3"/>
                <w:sz w:val="18"/>
              </w:rPr>
              <w:t xml:space="preserve"> </w:t>
            </w:r>
            <w:r>
              <w:rPr>
                <w:sz w:val="18"/>
              </w:rPr>
              <w:t>faaliyetleri,</w:t>
            </w:r>
            <w:r>
              <w:rPr>
                <w:spacing w:val="-2"/>
                <w:sz w:val="18"/>
              </w:rPr>
              <w:t xml:space="preserve"> </w:t>
            </w:r>
            <w:r>
              <w:rPr>
                <w:sz w:val="18"/>
              </w:rPr>
              <w:t>iş</w:t>
            </w:r>
            <w:r>
              <w:rPr>
                <w:spacing w:val="-5"/>
                <w:sz w:val="18"/>
              </w:rPr>
              <w:t xml:space="preserve"> </w:t>
            </w:r>
            <w:r>
              <w:rPr>
                <w:sz w:val="18"/>
              </w:rPr>
              <w:t>birliği</w:t>
            </w:r>
            <w:r>
              <w:rPr>
                <w:spacing w:val="-3"/>
                <w:sz w:val="18"/>
              </w:rPr>
              <w:t xml:space="preserve"> </w:t>
            </w:r>
            <w:r>
              <w:rPr>
                <w:sz w:val="18"/>
              </w:rPr>
              <w:t>becerimi</w:t>
            </w:r>
            <w:r>
              <w:rPr>
                <w:spacing w:val="-3"/>
                <w:sz w:val="18"/>
              </w:rPr>
              <w:t xml:space="preserve"> </w:t>
            </w:r>
            <w:r>
              <w:rPr>
                <w:spacing w:val="-2"/>
                <w:sz w:val="18"/>
              </w:rPr>
              <w:t>geliştirir.</w:t>
            </w:r>
          </w:p>
        </w:tc>
        <w:tc>
          <w:tcPr>
            <w:tcW w:w="991" w:type="dxa"/>
            <w:tcBorders>
              <w:top w:val="single" w:color="C8C8C8" w:sz="4" w:space="0"/>
              <w:bottom w:val="single" w:color="C8C8C8" w:sz="4" w:space="0"/>
            </w:tcBorders>
            <w:shd w:val="clear" w:color="auto" w:fill="ECECEC"/>
          </w:tcPr>
          <w:p w14:paraId="0C1DF154">
            <w:pPr>
              <w:pStyle w:val="29"/>
              <w:spacing w:before="107" w:line="191" w:lineRule="exact"/>
              <w:ind w:left="168"/>
              <w:rPr>
                <w:sz w:val="18"/>
              </w:rPr>
            </w:pPr>
            <w:r>
              <w:rPr>
                <w:spacing w:val="-2"/>
                <w:sz w:val="18"/>
              </w:rPr>
              <w:t>0.998</w:t>
            </w:r>
          </w:p>
        </w:tc>
        <w:tc>
          <w:tcPr>
            <w:tcW w:w="1133" w:type="dxa"/>
            <w:tcBorders>
              <w:top w:val="single" w:color="C8C8C8" w:sz="4" w:space="0"/>
              <w:bottom w:val="single" w:color="C8C8C8" w:sz="4" w:space="0"/>
            </w:tcBorders>
          </w:tcPr>
          <w:p w14:paraId="329C4F41">
            <w:pPr>
              <w:pStyle w:val="29"/>
              <w:spacing w:before="107" w:line="191" w:lineRule="exact"/>
              <w:ind w:left="169"/>
              <w:rPr>
                <w:sz w:val="18"/>
              </w:rPr>
            </w:pPr>
            <w:r>
              <w:rPr>
                <w:spacing w:val="-2"/>
                <w:sz w:val="18"/>
              </w:rPr>
              <w:t>8.476</w:t>
            </w:r>
          </w:p>
        </w:tc>
        <w:tc>
          <w:tcPr>
            <w:tcW w:w="1137" w:type="dxa"/>
            <w:tcBorders>
              <w:top w:val="single" w:color="C8C8C8" w:sz="4" w:space="0"/>
              <w:bottom w:val="single" w:color="C8C8C8" w:sz="4" w:space="0"/>
            </w:tcBorders>
            <w:shd w:val="clear" w:color="auto" w:fill="ECECEC"/>
          </w:tcPr>
          <w:p w14:paraId="5A6EB29D">
            <w:pPr>
              <w:pStyle w:val="29"/>
              <w:spacing w:before="107" w:line="191" w:lineRule="exact"/>
              <w:ind w:left="168"/>
              <w:rPr>
                <w:sz w:val="18"/>
              </w:rPr>
            </w:pPr>
            <w:r>
              <w:rPr>
                <w:spacing w:val="-2"/>
                <w:sz w:val="18"/>
              </w:rPr>
              <w:t>59.755</w:t>
            </w:r>
          </w:p>
        </w:tc>
      </w:tr>
      <w:tr w14:paraId="707A8425">
        <w:tblPrEx>
          <w:tblCellMar>
            <w:top w:w="0" w:type="dxa"/>
            <w:left w:w="0" w:type="dxa"/>
            <w:bottom w:w="0" w:type="dxa"/>
            <w:right w:w="0" w:type="dxa"/>
          </w:tblCellMar>
        </w:tblPrEx>
        <w:trPr>
          <w:trHeight w:val="640" w:hRule="atLeast"/>
        </w:trPr>
        <w:tc>
          <w:tcPr>
            <w:tcW w:w="1008" w:type="dxa"/>
            <w:tcBorders>
              <w:top w:val="single" w:color="C8C8C8" w:sz="4" w:space="0"/>
              <w:bottom w:val="single" w:color="C8C8C8" w:sz="4" w:space="0"/>
            </w:tcBorders>
            <w:shd w:val="clear" w:color="auto" w:fill="ECECEC"/>
          </w:tcPr>
          <w:p w14:paraId="58C406DE">
            <w:pPr>
              <w:pStyle w:val="29"/>
              <w:spacing w:before="112"/>
              <w:ind w:left="182"/>
              <w:rPr>
                <w:b/>
                <w:sz w:val="18"/>
              </w:rPr>
            </w:pPr>
            <w:r>
              <w:rPr>
                <w:b/>
                <w:sz w:val="18"/>
              </w:rPr>
              <w:t>3</w:t>
            </w:r>
          </w:p>
        </w:tc>
        <w:tc>
          <w:tcPr>
            <w:tcW w:w="4539" w:type="dxa"/>
            <w:tcBorders>
              <w:top w:val="single" w:color="C8C8C8" w:sz="4" w:space="0"/>
              <w:bottom w:val="single" w:color="C8C8C8" w:sz="4" w:space="0"/>
            </w:tcBorders>
            <w:shd w:val="clear" w:color="auto" w:fill="ECECEC"/>
          </w:tcPr>
          <w:p w14:paraId="7F6FE572">
            <w:pPr>
              <w:pStyle w:val="29"/>
              <w:spacing w:line="322" w:lineRule="exact"/>
              <w:ind w:left="167"/>
              <w:rPr>
                <w:sz w:val="18"/>
              </w:rPr>
            </w:pPr>
            <w:r>
              <w:rPr>
                <w:sz w:val="18"/>
              </w:rPr>
              <w:t>Sanal</w:t>
            </w:r>
            <w:r>
              <w:rPr>
                <w:spacing w:val="80"/>
                <w:sz w:val="18"/>
              </w:rPr>
              <w:t xml:space="preserve"> </w:t>
            </w:r>
            <w:r>
              <w:rPr>
                <w:sz w:val="18"/>
              </w:rPr>
              <w:t>rekreasyon</w:t>
            </w:r>
            <w:r>
              <w:rPr>
                <w:spacing w:val="80"/>
                <w:sz w:val="18"/>
              </w:rPr>
              <w:t xml:space="preserve"> </w:t>
            </w:r>
            <w:r>
              <w:rPr>
                <w:sz w:val="18"/>
              </w:rPr>
              <w:t>faaliyetleri,</w:t>
            </w:r>
            <w:r>
              <w:rPr>
                <w:spacing w:val="80"/>
                <w:sz w:val="18"/>
              </w:rPr>
              <w:t xml:space="preserve"> </w:t>
            </w:r>
            <w:r>
              <w:rPr>
                <w:sz w:val="18"/>
              </w:rPr>
              <w:t>başkalarının</w:t>
            </w:r>
            <w:r>
              <w:rPr>
                <w:spacing w:val="80"/>
                <w:sz w:val="18"/>
              </w:rPr>
              <w:t xml:space="preserve"> </w:t>
            </w:r>
            <w:r>
              <w:rPr>
                <w:sz w:val="18"/>
              </w:rPr>
              <w:t>güvenini kazanma konusunda bana yardımcı olur.</w:t>
            </w:r>
          </w:p>
        </w:tc>
        <w:tc>
          <w:tcPr>
            <w:tcW w:w="991" w:type="dxa"/>
            <w:tcBorders>
              <w:top w:val="single" w:color="C8C8C8" w:sz="4" w:space="0"/>
              <w:bottom w:val="single" w:color="C8C8C8" w:sz="4" w:space="0"/>
            </w:tcBorders>
            <w:shd w:val="clear" w:color="auto" w:fill="ECECEC"/>
          </w:tcPr>
          <w:p w14:paraId="4C0BC761">
            <w:pPr>
              <w:pStyle w:val="29"/>
              <w:spacing w:before="107"/>
              <w:ind w:left="168"/>
              <w:rPr>
                <w:sz w:val="18"/>
              </w:rPr>
            </w:pPr>
            <w:r>
              <w:rPr>
                <w:spacing w:val="-2"/>
                <w:sz w:val="18"/>
              </w:rPr>
              <w:t>0.994</w:t>
            </w:r>
          </w:p>
        </w:tc>
        <w:tc>
          <w:tcPr>
            <w:tcW w:w="1133" w:type="dxa"/>
            <w:tcBorders>
              <w:top w:val="single" w:color="C8C8C8" w:sz="4" w:space="0"/>
              <w:bottom w:val="single" w:color="C8C8C8" w:sz="4" w:space="0"/>
            </w:tcBorders>
            <w:shd w:val="clear" w:color="auto" w:fill="ECECEC"/>
          </w:tcPr>
          <w:p w14:paraId="05129CB5">
            <w:pPr>
              <w:pStyle w:val="29"/>
              <w:spacing w:before="107"/>
              <w:ind w:left="169"/>
              <w:rPr>
                <w:sz w:val="18"/>
              </w:rPr>
            </w:pPr>
            <w:r>
              <w:rPr>
                <w:spacing w:val="-2"/>
                <w:sz w:val="18"/>
              </w:rPr>
              <w:t>4.555</w:t>
            </w:r>
          </w:p>
        </w:tc>
        <w:tc>
          <w:tcPr>
            <w:tcW w:w="1137" w:type="dxa"/>
            <w:tcBorders>
              <w:top w:val="single" w:color="C8C8C8" w:sz="4" w:space="0"/>
              <w:bottom w:val="single" w:color="C8C8C8" w:sz="4" w:space="0"/>
            </w:tcBorders>
            <w:shd w:val="clear" w:color="auto" w:fill="ECECEC"/>
          </w:tcPr>
          <w:p w14:paraId="68D9371C">
            <w:pPr>
              <w:pStyle w:val="29"/>
              <w:spacing w:before="107"/>
              <w:ind w:left="168"/>
              <w:rPr>
                <w:sz w:val="18"/>
              </w:rPr>
            </w:pPr>
            <w:r>
              <w:rPr>
                <w:spacing w:val="-2"/>
                <w:sz w:val="18"/>
              </w:rPr>
              <w:t>64.310</w:t>
            </w:r>
          </w:p>
        </w:tc>
      </w:tr>
      <w:tr w14:paraId="02B02F64">
        <w:tblPrEx>
          <w:tblCellMar>
            <w:top w:w="0" w:type="dxa"/>
            <w:left w:w="0" w:type="dxa"/>
            <w:bottom w:w="0" w:type="dxa"/>
            <w:right w:w="0" w:type="dxa"/>
          </w:tblCellMar>
        </w:tblPrEx>
        <w:trPr>
          <w:trHeight w:val="636" w:hRule="atLeast"/>
        </w:trPr>
        <w:tc>
          <w:tcPr>
            <w:tcW w:w="1008" w:type="dxa"/>
            <w:tcBorders>
              <w:top w:val="single" w:color="C8C8C8" w:sz="4" w:space="0"/>
              <w:bottom w:val="single" w:color="C8C8C8" w:sz="4" w:space="0"/>
            </w:tcBorders>
            <w:shd w:val="clear" w:color="auto" w:fill="ECECEC"/>
          </w:tcPr>
          <w:p w14:paraId="197B9640">
            <w:pPr>
              <w:pStyle w:val="29"/>
              <w:spacing w:before="109"/>
              <w:ind w:left="182"/>
              <w:rPr>
                <w:b/>
                <w:sz w:val="18"/>
              </w:rPr>
            </w:pPr>
            <w:r>
              <w:rPr>
                <w:b/>
                <w:sz w:val="18"/>
              </w:rPr>
              <w:t>4</w:t>
            </w:r>
          </w:p>
        </w:tc>
        <w:tc>
          <w:tcPr>
            <w:tcW w:w="4539" w:type="dxa"/>
            <w:tcBorders>
              <w:top w:val="single" w:color="C8C8C8" w:sz="4" w:space="0"/>
              <w:bottom w:val="single" w:color="C8C8C8" w:sz="4" w:space="0"/>
            </w:tcBorders>
          </w:tcPr>
          <w:p w14:paraId="1D808A1B">
            <w:pPr>
              <w:pStyle w:val="29"/>
              <w:spacing w:line="320" w:lineRule="exact"/>
              <w:ind w:left="167"/>
              <w:rPr>
                <w:sz w:val="18"/>
              </w:rPr>
            </w:pPr>
            <w:r>
              <w:rPr>
                <w:sz w:val="18"/>
              </w:rPr>
              <w:t>Sanal</w:t>
            </w:r>
            <w:r>
              <w:rPr>
                <w:spacing w:val="40"/>
                <w:sz w:val="18"/>
              </w:rPr>
              <w:t xml:space="preserve"> </w:t>
            </w:r>
            <w:r>
              <w:rPr>
                <w:sz w:val="18"/>
              </w:rPr>
              <w:t>rekreasyon</w:t>
            </w:r>
            <w:r>
              <w:rPr>
                <w:spacing w:val="40"/>
                <w:sz w:val="18"/>
              </w:rPr>
              <w:t xml:space="preserve"> </w:t>
            </w:r>
            <w:r>
              <w:rPr>
                <w:sz w:val="18"/>
              </w:rPr>
              <w:t>faaliyetleri,</w:t>
            </w:r>
            <w:r>
              <w:rPr>
                <w:spacing w:val="40"/>
                <w:sz w:val="18"/>
              </w:rPr>
              <w:t xml:space="preserve"> </w:t>
            </w:r>
            <w:r>
              <w:rPr>
                <w:sz w:val="18"/>
              </w:rPr>
              <w:t>diğer</w:t>
            </w:r>
            <w:r>
              <w:rPr>
                <w:spacing w:val="40"/>
                <w:sz w:val="18"/>
              </w:rPr>
              <w:t xml:space="preserve"> </w:t>
            </w:r>
            <w:r>
              <w:rPr>
                <w:sz w:val="18"/>
              </w:rPr>
              <w:t>insanlardan</w:t>
            </w:r>
            <w:r>
              <w:rPr>
                <w:spacing w:val="40"/>
                <w:sz w:val="18"/>
              </w:rPr>
              <w:t xml:space="preserve"> </w:t>
            </w:r>
            <w:r>
              <w:rPr>
                <w:sz w:val="18"/>
              </w:rPr>
              <w:t>destek almamı sağlar.</w:t>
            </w:r>
          </w:p>
        </w:tc>
        <w:tc>
          <w:tcPr>
            <w:tcW w:w="991" w:type="dxa"/>
            <w:tcBorders>
              <w:top w:val="single" w:color="C8C8C8" w:sz="4" w:space="0"/>
              <w:bottom w:val="single" w:color="C8C8C8" w:sz="4" w:space="0"/>
            </w:tcBorders>
            <w:shd w:val="clear" w:color="auto" w:fill="ECECEC"/>
          </w:tcPr>
          <w:p w14:paraId="737F1F44">
            <w:pPr>
              <w:pStyle w:val="29"/>
              <w:spacing w:before="104"/>
              <w:ind w:left="168"/>
              <w:rPr>
                <w:sz w:val="18"/>
              </w:rPr>
            </w:pPr>
            <w:r>
              <w:rPr>
                <w:spacing w:val="-2"/>
                <w:sz w:val="18"/>
              </w:rPr>
              <w:t>0.989</w:t>
            </w:r>
          </w:p>
        </w:tc>
        <w:tc>
          <w:tcPr>
            <w:tcW w:w="1133" w:type="dxa"/>
            <w:tcBorders>
              <w:top w:val="single" w:color="C8C8C8" w:sz="4" w:space="0"/>
              <w:bottom w:val="single" w:color="C8C8C8" w:sz="4" w:space="0"/>
            </w:tcBorders>
          </w:tcPr>
          <w:p w14:paraId="6F7473AA">
            <w:pPr>
              <w:pStyle w:val="29"/>
              <w:spacing w:before="104"/>
              <w:ind w:left="169"/>
              <w:rPr>
                <w:sz w:val="18"/>
              </w:rPr>
            </w:pPr>
            <w:r>
              <w:rPr>
                <w:spacing w:val="-2"/>
                <w:sz w:val="18"/>
              </w:rPr>
              <w:t>3.143</w:t>
            </w:r>
          </w:p>
        </w:tc>
        <w:tc>
          <w:tcPr>
            <w:tcW w:w="1137" w:type="dxa"/>
            <w:tcBorders>
              <w:top w:val="single" w:color="C8C8C8" w:sz="4" w:space="0"/>
              <w:bottom w:val="single" w:color="C8C8C8" w:sz="4" w:space="0"/>
            </w:tcBorders>
            <w:shd w:val="clear" w:color="auto" w:fill="ECECEC"/>
          </w:tcPr>
          <w:p w14:paraId="5BB6457D">
            <w:pPr>
              <w:pStyle w:val="29"/>
              <w:spacing w:before="104"/>
              <w:ind w:left="168"/>
              <w:rPr>
                <w:sz w:val="18"/>
              </w:rPr>
            </w:pPr>
            <w:r>
              <w:rPr>
                <w:spacing w:val="-2"/>
                <w:sz w:val="18"/>
              </w:rPr>
              <w:t>67.453</w:t>
            </w:r>
          </w:p>
        </w:tc>
      </w:tr>
      <w:tr w14:paraId="0C57DE09">
        <w:tblPrEx>
          <w:tblCellMar>
            <w:top w:w="0" w:type="dxa"/>
            <w:left w:w="0" w:type="dxa"/>
            <w:bottom w:w="0" w:type="dxa"/>
            <w:right w:w="0" w:type="dxa"/>
          </w:tblCellMar>
        </w:tblPrEx>
        <w:trPr>
          <w:trHeight w:val="638" w:hRule="atLeast"/>
        </w:trPr>
        <w:tc>
          <w:tcPr>
            <w:tcW w:w="1008" w:type="dxa"/>
            <w:tcBorders>
              <w:top w:val="single" w:color="C8C8C8" w:sz="4" w:space="0"/>
              <w:bottom w:val="single" w:color="C8C8C8" w:sz="4" w:space="0"/>
            </w:tcBorders>
            <w:shd w:val="clear" w:color="auto" w:fill="ECECEC"/>
          </w:tcPr>
          <w:p w14:paraId="12F80CB6">
            <w:pPr>
              <w:pStyle w:val="29"/>
              <w:spacing w:before="109"/>
              <w:ind w:left="182"/>
              <w:rPr>
                <w:b/>
                <w:sz w:val="18"/>
              </w:rPr>
            </w:pPr>
            <w:r>
              <w:rPr>
                <w:b/>
                <w:sz w:val="18"/>
              </w:rPr>
              <w:t>5</w:t>
            </w:r>
          </w:p>
        </w:tc>
        <w:tc>
          <w:tcPr>
            <w:tcW w:w="4539" w:type="dxa"/>
            <w:tcBorders>
              <w:top w:val="single" w:color="C8C8C8" w:sz="4" w:space="0"/>
              <w:bottom w:val="single" w:color="C8C8C8" w:sz="4" w:space="0"/>
            </w:tcBorders>
            <w:shd w:val="clear" w:color="auto" w:fill="ECECEC"/>
          </w:tcPr>
          <w:p w14:paraId="35D452FF">
            <w:pPr>
              <w:pStyle w:val="29"/>
              <w:tabs>
                <w:tab w:val="left" w:pos="841"/>
                <w:tab w:val="left" w:pos="1901"/>
                <w:tab w:val="left" w:pos="2997"/>
                <w:tab w:val="left" w:pos="3769"/>
              </w:tabs>
              <w:spacing w:line="320" w:lineRule="exact"/>
              <w:ind w:left="167" w:right="173"/>
              <w:rPr>
                <w:sz w:val="18"/>
              </w:rPr>
            </w:pPr>
            <w:r>
              <w:rPr>
                <w:spacing w:val="-2"/>
                <w:sz w:val="18"/>
              </w:rPr>
              <w:t>Sanal</w:t>
            </w:r>
            <w:r>
              <w:rPr>
                <w:sz w:val="18"/>
              </w:rPr>
              <w:tab/>
            </w:r>
            <w:r>
              <w:rPr>
                <w:spacing w:val="-2"/>
                <w:sz w:val="18"/>
              </w:rPr>
              <w:t>rekreasyon</w:t>
            </w:r>
            <w:r>
              <w:rPr>
                <w:sz w:val="18"/>
              </w:rPr>
              <w:tab/>
            </w:r>
            <w:r>
              <w:rPr>
                <w:spacing w:val="-2"/>
                <w:sz w:val="18"/>
              </w:rPr>
              <w:t>faaliyetleri,</w:t>
            </w:r>
            <w:r>
              <w:rPr>
                <w:sz w:val="18"/>
              </w:rPr>
              <w:tab/>
            </w:r>
            <w:r>
              <w:rPr>
                <w:spacing w:val="-2"/>
                <w:sz w:val="18"/>
              </w:rPr>
              <w:t>günlük</w:t>
            </w:r>
            <w:r>
              <w:rPr>
                <w:sz w:val="18"/>
              </w:rPr>
              <w:tab/>
            </w:r>
            <w:r>
              <w:rPr>
                <w:spacing w:val="-2"/>
                <w:sz w:val="18"/>
              </w:rPr>
              <w:t xml:space="preserve">yaşamın </w:t>
            </w:r>
            <w:r>
              <w:rPr>
                <w:sz w:val="18"/>
              </w:rPr>
              <w:t>sıkıcılığından kurtulmamı sağlar.</w:t>
            </w:r>
          </w:p>
        </w:tc>
        <w:tc>
          <w:tcPr>
            <w:tcW w:w="991" w:type="dxa"/>
            <w:tcBorders>
              <w:top w:val="single" w:color="C8C8C8" w:sz="4" w:space="0"/>
              <w:bottom w:val="single" w:color="C8C8C8" w:sz="4" w:space="0"/>
            </w:tcBorders>
            <w:shd w:val="clear" w:color="auto" w:fill="ECECEC"/>
          </w:tcPr>
          <w:p w14:paraId="08CC561E">
            <w:pPr>
              <w:pStyle w:val="29"/>
              <w:spacing w:before="104"/>
              <w:ind w:left="168"/>
              <w:rPr>
                <w:sz w:val="18"/>
              </w:rPr>
            </w:pPr>
            <w:r>
              <w:rPr>
                <w:spacing w:val="-2"/>
                <w:sz w:val="18"/>
              </w:rPr>
              <w:t>0.986</w:t>
            </w:r>
          </w:p>
        </w:tc>
        <w:tc>
          <w:tcPr>
            <w:tcW w:w="1133" w:type="dxa"/>
            <w:tcBorders>
              <w:top w:val="single" w:color="C8C8C8" w:sz="4" w:space="0"/>
              <w:bottom w:val="single" w:color="C8C8C8" w:sz="4" w:space="0"/>
            </w:tcBorders>
            <w:shd w:val="clear" w:color="auto" w:fill="ECECEC"/>
          </w:tcPr>
          <w:p w14:paraId="11848351">
            <w:pPr>
              <w:pStyle w:val="29"/>
              <w:spacing w:before="104"/>
              <w:ind w:left="169"/>
              <w:rPr>
                <w:sz w:val="18"/>
              </w:rPr>
            </w:pPr>
            <w:r>
              <w:rPr>
                <w:spacing w:val="-2"/>
                <w:sz w:val="18"/>
              </w:rPr>
              <w:t>2.719</w:t>
            </w:r>
          </w:p>
        </w:tc>
        <w:tc>
          <w:tcPr>
            <w:tcW w:w="1137" w:type="dxa"/>
            <w:tcBorders>
              <w:top w:val="single" w:color="C8C8C8" w:sz="4" w:space="0"/>
              <w:bottom w:val="single" w:color="C8C8C8" w:sz="4" w:space="0"/>
            </w:tcBorders>
            <w:shd w:val="clear" w:color="auto" w:fill="ECECEC"/>
          </w:tcPr>
          <w:p w14:paraId="06FF30C9">
            <w:pPr>
              <w:pStyle w:val="29"/>
              <w:spacing w:before="104"/>
              <w:ind w:left="168"/>
              <w:rPr>
                <w:sz w:val="18"/>
              </w:rPr>
            </w:pPr>
            <w:r>
              <w:rPr>
                <w:spacing w:val="-2"/>
                <w:sz w:val="18"/>
              </w:rPr>
              <w:t>70.172</w:t>
            </w:r>
          </w:p>
        </w:tc>
      </w:tr>
      <w:tr w14:paraId="7D01F3AB">
        <w:tblPrEx>
          <w:tblCellMar>
            <w:top w:w="0" w:type="dxa"/>
            <w:left w:w="0" w:type="dxa"/>
            <w:bottom w:w="0" w:type="dxa"/>
            <w:right w:w="0" w:type="dxa"/>
          </w:tblCellMar>
        </w:tblPrEx>
        <w:trPr>
          <w:trHeight w:val="316" w:hRule="atLeast"/>
        </w:trPr>
        <w:tc>
          <w:tcPr>
            <w:tcW w:w="1008" w:type="dxa"/>
            <w:tcBorders>
              <w:top w:val="single" w:color="C8C8C8" w:sz="4" w:space="0"/>
              <w:bottom w:val="single" w:color="C8C8C8" w:sz="4" w:space="0"/>
            </w:tcBorders>
            <w:shd w:val="clear" w:color="auto" w:fill="ECECEC"/>
          </w:tcPr>
          <w:p w14:paraId="4C941FBD">
            <w:pPr>
              <w:pStyle w:val="29"/>
              <w:spacing w:before="110" w:line="186" w:lineRule="exact"/>
              <w:ind w:left="182"/>
              <w:rPr>
                <w:b/>
                <w:sz w:val="18"/>
              </w:rPr>
            </w:pPr>
            <w:r>
              <w:rPr>
                <w:b/>
                <w:sz w:val="18"/>
              </w:rPr>
              <w:t>6</w:t>
            </w:r>
          </w:p>
        </w:tc>
        <w:tc>
          <w:tcPr>
            <w:tcW w:w="4539" w:type="dxa"/>
            <w:tcBorders>
              <w:top w:val="single" w:color="C8C8C8" w:sz="4" w:space="0"/>
              <w:bottom w:val="single" w:color="C8C8C8" w:sz="4" w:space="0"/>
            </w:tcBorders>
          </w:tcPr>
          <w:p w14:paraId="64CD235B">
            <w:pPr>
              <w:pStyle w:val="29"/>
              <w:spacing w:before="105" w:line="191" w:lineRule="exact"/>
              <w:ind w:left="167"/>
              <w:rPr>
                <w:sz w:val="18"/>
              </w:rPr>
            </w:pPr>
            <w:r>
              <w:rPr>
                <w:sz w:val="18"/>
              </w:rPr>
              <w:t>Sanal</w:t>
            </w:r>
            <w:r>
              <w:rPr>
                <w:spacing w:val="-5"/>
                <w:sz w:val="18"/>
              </w:rPr>
              <w:t xml:space="preserve"> </w:t>
            </w:r>
            <w:r>
              <w:rPr>
                <w:sz w:val="18"/>
              </w:rPr>
              <w:t>rekreasyon</w:t>
            </w:r>
            <w:r>
              <w:rPr>
                <w:spacing w:val="-2"/>
                <w:sz w:val="18"/>
              </w:rPr>
              <w:t xml:space="preserve"> </w:t>
            </w:r>
            <w:r>
              <w:rPr>
                <w:sz w:val="18"/>
              </w:rPr>
              <w:t>faaliyetleri,</w:t>
            </w:r>
            <w:r>
              <w:rPr>
                <w:spacing w:val="-3"/>
                <w:sz w:val="18"/>
              </w:rPr>
              <w:t xml:space="preserve"> </w:t>
            </w:r>
            <w:r>
              <w:rPr>
                <w:sz w:val="18"/>
              </w:rPr>
              <w:t>sosyal</w:t>
            </w:r>
            <w:r>
              <w:rPr>
                <w:spacing w:val="-5"/>
                <w:sz w:val="18"/>
              </w:rPr>
              <w:t xml:space="preserve"> </w:t>
            </w:r>
            <w:r>
              <w:rPr>
                <w:sz w:val="18"/>
              </w:rPr>
              <w:t>ilişkilerimi</w:t>
            </w:r>
            <w:r>
              <w:rPr>
                <w:spacing w:val="-4"/>
                <w:sz w:val="18"/>
              </w:rPr>
              <w:t xml:space="preserve"> </w:t>
            </w:r>
            <w:r>
              <w:rPr>
                <w:spacing w:val="-2"/>
                <w:sz w:val="18"/>
              </w:rPr>
              <w:t>geliştirir.</w:t>
            </w:r>
          </w:p>
        </w:tc>
        <w:tc>
          <w:tcPr>
            <w:tcW w:w="991" w:type="dxa"/>
            <w:tcBorders>
              <w:top w:val="single" w:color="C8C8C8" w:sz="4" w:space="0"/>
              <w:bottom w:val="single" w:color="C8C8C8" w:sz="4" w:space="0"/>
            </w:tcBorders>
            <w:shd w:val="clear" w:color="auto" w:fill="ECECEC"/>
          </w:tcPr>
          <w:p w14:paraId="39C74BC9">
            <w:pPr>
              <w:pStyle w:val="29"/>
              <w:spacing w:before="105" w:line="191" w:lineRule="exact"/>
              <w:ind w:left="168"/>
              <w:rPr>
                <w:sz w:val="18"/>
              </w:rPr>
            </w:pPr>
            <w:r>
              <w:rPr>
                <w:spacing w:val="-2"/>
                <w:sz w:val="18"/>
              </w:rPr>
              <w:t>0.968</w:t>
            </w:r>
          </w:p>
        </w:tc>
        <w:tc>
          <w:tcPr>
            <w:tcW w:w="1133" w:type="dxa"/>
            <w:tcBorders>
              <w:top w:val="single" w:color="C8C8C8" w:sz="4" w:space="0"/>
              <w:bottom w:val="single" w:color="C8C8C8" w:sz="4" w:space="0"/>
            </w:tcBorders>
          </w:tcPr>
          <w:p w14:paraId="0E16A76B">
            <w:pPr>
              <w:pStyle w:val="29"/>
              <w:spacing w:before="105" w:line="191" w:lineRule="exact"/>
              <w:ind w:left="169"/>
              <w:rPr>
                <w:sz w:val="18"/>
              </w:rPr>
            </w:pPr>
            <w:r>
              <w:rPr>
                <w:spacing w:val="-2"/>
                <w:sz w:val="18"/>
              </w:rPr>
              <w:t>2.358</w:t>
            </w:r>
          </w:p>
        </w:tc>
        <w:tc>
          <w:tcPr>
            <w:tcW w:w="1137" w:type="dxa"/>
            <w:tcBorders>
              <w:top w:val="single" w:color="C8C8C8" w:sz="4" w:space="0"/>
              <w:bottom w:val="single" w:color="C8C8C8" w:sz="4" w:space="0"/>
            </w:tcBorders>
            <w:shd w:val="clear" w:color="auto" w:fill="ECECEC"/>
          </w:tcPr>
          <w:p w14:paraId="6BF855FD">
            <w:pPr>
              <w:pStyle w:val="29"/>
              <w:spacing w:before="105" w:line="191" w:lineRule="exact"/>
              <w:ind w:left="168"/>
              <w:rPr>
                <w:sz w:val="18"/>
              </w:rPr>
            </w:pPr>
            <w:r>
              <w:rPr>
                <w:spacing w:val="-2"/>
                <w:sz w:val="18"/>
              </w:rPr>
              <w:t>72.530</w:t>
            </w:r>
          </w:p>
        </w:tc>
      </w:tr>
      <w:tr w14:paraId="106F0132">
        <w:tblPrEx>
          <w:tblCellMar>
            <w:top w:w="0" w:type="dxa"/>
            <w:left w:w="0" w:type="dxa"/>
            <w:bottom w:w="0" w:type="dxa"/>
            <w:right w:w="0" w:type="dxa"/>
          </w:tblCellMar>
        </w:tblPrEx>
        <w:trPr>
          <w:trHeight w:val="640" w:hRule="atLeast"/>
        </w:trPr>
        <w:tc>
          <w:tcPr>
            <w:tcW w:w="1008" w:type="dxa"/>
            <w:tcBorders>
              <w:top w:val="single" w:color="C8C8C8" w:sz="4" w:space="0"/>
              <w:bottom w:val="single" w:color="C8C8C8" w:sz="4" w:space="0"/>
            </w:tcBorders>
            <w:shd w:val="clear" w:color="auto" w:fill="ECECEC"/>
          </w:tcPr>
          <w:p w14:paraId="62F1D418">
            <w:pPr>
              <w:pStyle w:val="29"/>
              <w:spacing w:before="112"/>
              <w:ind w:left="182"/>
              <w:rPr>
                <w:b/>
                <w:sz w:val="18"/>
              </w:rPr>
            </w:pPr>
            <w:r>
              <w:rPr>
                <w:b/>
                <w:sz w:val="18"/>
              </w:rPr>
              <w:t>7</w:t>
            </w:r>
          </w:p>
        </w:tc>
        <w:tc>
          <w:tcPr>
            <w:tcW w:w="4539" w:type="dxa"/>
            <w:tcBorders>
              <w:top w:val="single" w:color="C8C8C8" w:sz="4" w:space="0"/>
              <w:bottom w:val="single" w:color="C8C8C8" w:sz="4" w:space="0"/>
            </w:tcBorders>
            <w:shd w:val="clear" w:color="auto" w:fill="ECECEC"/>
          </w:tcPr>
          <w:p w14:paraId="313F05EB">
            <w:pPr>
              <w:pStyle w:val="29"/>
              <w:spacing w:line="322" w:lineRule="exact"/>
              <w:ind w:left="167"/>
              <w:rPr>
                <w:sz w:val="18"/>
              </w:rPr>
            </w:pPr>
            <w:r>
              <w:rPr>
                <w:sz w:val="18"/>
              </w:rPr>
              <w:t xml:space="preserve">Sanal rekreasyon faaliyetleri, toplumsal iletişim becerimi </w:t>
            </w:r>
            <w:r>
              <w:rPr>
                <w:spacing w:val="-2"/>
                <w:sz w:val="18"/>
              </w:rPr>
              <w:t>geliştirir.</w:t>
            </w:r>
          </w:p>
        </w:tc>
        <w:tc>
          <w:tcPr>
            <w:tcW w:w="991" w:type="dxa"/>
            <w:tcBorders>
              <w:top w:val="single" w:color="C8C8C8" w:sz="4" w:space="0"/>
              <w:bottom w:val="single" w:color="C8C8C8" w:sz="4" w:space="0"/>
            </w:tcBorders>
            <w:shd w:val="clear" w:color="auto" w:fill="ECECEC"/>
          </w:tcPr>
          <w:p w14:paraId="11FF97BF">
            <w:pPr>
              <w:pStyle w:val="29"/>
              <w:spacing w:before="107"/>
              <w:ind w:left="168"/>
              <w:rPr>
                <w:sz w:val="18"/>
              </w:rPr>
            </w:pPr>
            <w:r>
              <w:rPr>
                <w:spacing w:val="-2"/>
                <w:sz w:val="18"/>
              </w:rPr>
              <w:t>0.955</w:t>
            </w:r>
          </w:p>
        </w:tc>
        <w:tc>
          <w:tcPr>
            <w:tcW w:w="1133" w:type="dxa"/>
            <w:tcBorders>
              <w:top w:val="single" w:color="C8C8C8" w:sz="4" w:space="0"/>
              <w:bottom w:val="single" w:color="C8C8C8" w:sz="4" w:space="0"/>
            </w:tcBorders>
            <w:shd w:val="clear" w:color="auto" w:fill="ECECEC"/>
          </w:tcPr>
          <w:p w14:paraId="60E5D4E8">
            <w:pPr>
              <w:pStyle w:val="29"/>
              <w:spacing w:before="107"/>
              <w:ind w:left="169"/>
              <w:rPr>
                <w:sz w:val="18"/>
              </w:rPr>
            </w:pPr>
            <w:r>
              <w:rPr>
                <w:spacing w:val="-2"/>
                <w:sz w:val="18"/>
              </w:rPr>
              <w:t>2.171</w:t>
            </w:r>
          </w:p>
        </w:tc>
        <w:tc>
          <w:tcPr>
            <w:tcW w:w="1137" w:type="dxa"/>
            <w:tcBorders>
              <w:top w:val="single" w:color="C8C8C8" w:sz="4" w:space="0"/>
              <w:bottom w:val="single" w:color="C8C8C8" w:sz="4" w:space="0"/>
            </w:tcBorders>
            <w:shd w:val="clear" w:color="auto" w:fill="ECECEC"/>
          </w:tcPr>
          <w:p w14:paraId="2E182B37">
            <w:pPr>
              <w:pStyle w:val="29"/>
              <w:spacing w:before="107"/>
              <w:ind w:left="168"/>
              <w:rPr>
                <w:sz w:val="18"/>
              </w:rPr>
            </w:pPr>
            <w:r>
              <w:rPr>
                <w:spacing w:val="-2"/>
                <w:sz w:val="18"/>
              </w:rPr>
              <w:t>74.701</w:t>
            </w:r>
          </w:p>
        </w:tc>
      </w:tr>
      <w:tr w14:paraId="0EA8B699">
        <w:tblPrEx>
          <w:tblCellMar>
            <w:top w:w="0" w:type="dxa"/>
            <w:left w:w="0" w:type="dxa"/>
            <w:bottom w:w="0" w:type="dxa"/>
            <w:right w:w="0" w:type="dxa"/>
          </w:tblCellMar>
        </w:tblPrEx>
        <w:trPr>
          <w:trHeight w:val="636" w:hRule="atLeast"/>
        </w:trPr>
        <w:tc>
          <w:tcPr>
            <w:tcW w:w="1008" w:type="dxa"/>
            <w:tcBorders>
              <w:top w:val="single" w:color="C8C8C8" w:sz="4" w:space="0"/>
              <w:bottom w:val="single" w:color="C8C8C8" w:sz="4" w:space="0"/>
            </w:tcBorders>
            <w:shd w:val="clear" w:color="auto" w:fill="ECECEC"/>
          </w:tcPr>
          <w:p w14:paraId="2C5B1934">
            <w:pPr>
              <w:pStyle w:val="29"/>
              <w:spacing w:before="109"/>
              <w:ind w:left="182"/>
              <w:rPr>
                <w:b/>
                <w:sz w:val="18"/>
              </w:rPr>
            </w:pPr>
            <w:r>
              <w:rPr>
                <w:b/>
                <w:sz w:val="18"/>
              </w:rPr>
              <w:t>8</w:t>
            </w:r>
          </w:p>
        </w:tc>
        <w:tc>
          <w:tcPr>
            <w:tcW w:w="4539" w:type="dxa"/>
            <w:tcBorders>
              <w:top w:val="single" w:color="C8C8C8" w:sz="4" w:space="0"/>
              <w:bottom w:val="single" w:color="C8C8C8" w:sz="4" w:space="0"/>
            </w:tcBorders>
          </w:tcPr>
          <w:p w14:paraId="53F5FF63">
            <w:pPr>
              <w:pStyle w:val="29"/>
              <w:spacing w:line="320" w:lineRule="exact"/>
              <w:ind w:left="167"/>
              <w:rPr>
                <w:sz w:val="18"/>
              </w:rPr>
            </w:pPr>
            <w:r>
              <w:rPr>
                <w:sz w:val="18"/>
              </w:rPr>
              <w:t>Sanal</w:t>
            </w:r>
            <w:r>
              <w:rPr>
                <w:spacing w:val="40"/>
                <w:sz w:val="18"/>
              </w:rPr>
              <w:t xml:space="preserve"> </w:t>
            </w:r>
            <w:r>
              <w:rPr>
                <w:sz w:val="18"/>
              </w:rPr>
              <w:t>rekreasyon</w:t>
            </w:r>
            <w:r>
              <w:rPr>
                <w:spacing w:val="40"/>
                <w:sz w:val="18"/>
              </w:rPr>
              <w:t xml:space="preserve"> </w:t>
            </w:r>
            <w:r>
              <w:rPr>
                <w:sz w:val="18"/>
              </w:rPr>
              <w:t>faaliyetleri,</w:t>
            </w:r>
            <w:r>
              <w:rPr>
                <w:spacing w:val="40"/>
                <w:sz w:val="18"/>
              </w:rPr>
              <w:t xml:space="preserve"> </w:t>
            </w:r>
            <w:r>
              <w:rPr>
                <w:sz w:val="18"/>
              </w:rPr>
              <w:t>diğer</w:t>
            </w:r>
            <w:r>
              <w:rPr>
                <w:spacing w:val="40"/>
                <w:sz w:val="18"/>
              </w:rPr>
              <w:t xml:space="preserve"> </w:t>
            </w:r>
            <w:r>
              <w:rPr>
                <w:sz w:val="18"/>
              </w:rPr>
              <w:t>insanlarla</w:t>
            </w:r>
            <w:r>
              <w:rPr>
                <w:spacing w:val="40"/>
                <w:sz w:val="18"/>
              </w:rPr>
              <w:t xml:space="preserve"> </w:t>
            </w:r>
            <w:r>
              <w:rPr>
                <w:sz w:val="18"/>
              </w:rPr>
              <w:t>yakınlık kurma becerimi geliştirir.</w:t>
            </w:r>
          </w:p>
        </w:tc>
        <w:tc>
          <w:tcPr>
            <w:tcW w:w="991" w:type="dxa"/>
            <w:tcBorders>
              <w:top w:val="single" w:color="C8C8C8" w:sz="4" w:space="0"/>
              <w:bottom w:val="single" w:color="C8C8C8" w:sz="4" w:space="0"/>
            </w:tcBorders>
            <w:shd w:val="clear" w:color="auto" w:fill="ECECEC"/>
          </w:tcPr>
          <w:p w14:paraId="38221CDB">
            <w:pPr>
              <w:pStyle w:val="29"/>
              <w:spacing w:before="104"/>
              <w:ind w:left="168"/>
              <w:rPr>
                <w:sz w:val="18"/>
              </w:rPr>
            </w:pPr>
            <w:r>
              <w:rPr>
                <w:spacing w:val="-2"/>
                <w:sz w:val="18"/>
              </w:rPr>
              <w:t>0.898</w:t>
            </w:r>
          </w:p>
        </w:tc>
        <w:tc>
          <w:tcPr>
            <w:tcW w:w="1133" w:type="dxa"/>
            <w:tcBorders>
              <w:top w:val="single" w:color="C8C8C8" w:sz="4" w:space="0"/>
              <w:bottom w:val="single" w:color="C8C8C8" w:sz="4" w:space="0"/>
            </w:tcBorders>
          </w:tcPr>
          <w:p w14:paraId="0A3F87D0">
            <w:pPr>
              <w:pStyle w:val="29"/>
              <w:spacing w:before="104"/>
              <w:ind w:left="169"/>
              <w:rPr>
                <w:sz w:val="18"/>
              </w:rPr>
            </w:pPr>
            <w:r>
              <w:rPr>
                <w:spacing w:val="-2"/>
                <w:sz w:val="18"/>
              </w:rPr>
              <w:t>2.040</w:t>
            </w:r>
          </w:p>
        </w:tc>
        <w:tc>
          <w:tcPr>
            <w:tcW w:w="1137" w:type="dxa"/>
            <w:tcBorders>
              <w:top w:val="single" w:color="C8C8C8" w:sz="4" w:space="0"/>
              <w:bottom w:val="single" w:color="C8C8C8" w:sz="4" w:space="0"/>
            </w:tcBorders>
            <w:shd w:val="clear" w:color="auto" w:fill="ECECEC"/>
          </w:tcPr>
          <w:p w14:paraId="1E436C86">
            <w:pPr>
              <w:pStyle w:val="29"/>
              <w:spacing w:before="104"/>
              <w:ind w:left="168"/>
              <w:rPr>
                <w:sz w:val="18"/>
              </w:rPr>
            </w:pPr>
            <w:r>
              <w:rPr>
                <w:spacing w:val="-2"/>
                <w:sz w:val="18"/>
              </w:rPr>
              <w:t>76.742</w:t>
            </w:r>
          </w:p>
        </w:tc>
      </w:tr>
      <w:tr w14:paraId="3B9E8840">
        <w:tblPrEx>
          <w:tblCellMar>
            <w:top w:w="0" w:type="dxa"/>
            <w:left w:w="0" w:type="dxa"/>
            <w:bottom w:w="0" w:type="dxa"/>
            <w:right w:w="0" w:type="dxa"/>
          </w:tblCellMar>
        </w:tblPrEx>
        <w:trPr>
          <w:trHeight w:val="637" w:hRule="atLeast"/>
        </w:trPr>
        <w:tc>
          <w:tcPr>
            <w:tcW w:w="1008" w:type="dxa"/>
            <w:tcBorders>
              <w:top w:val="single" w:color="C8C8C8" w:sz="4" w:space="0"/>
              <w:bottom w:val="single" w:color="C8C8C8" w:sz="4" w:space="0"/>
            </w:tcBorders>
            <w:shd w:val="clear" w:color="auto" w:fill="ECECEC"/>
          </w:tcPr>
          <w:p w14:paraId="69DF9AE7">
            <w:pPr>
              <w:pStyle w:val="29"/>
              <w:spacing w:before="109"/>
              <w:ind w:left="182"/>
              <w:rPr>
                <w:b/>
                <w:sz w:val="18"/>
              </w:rPr>
            </w:pPr>
            <w:r>
              <w:rPr>
                <w:b/>
                <w:sz w:val="18"/>
              </w:rPr>
              <w:t>9</w:t>
            </w:r>
          </w:p>
        </w:tc>
        <w:tc>
          <w:tcPr>
            <w:tcW w:w="4539" w:type="dxa"/>
            <w:tcBorders>
              <w:top w:val="single" w:color="C8C8C8" w:sz="4" w:space="0"/>
              <w:bottom w:val="single" w:color="C8C8C8" w:sz="4" w:space="0"/>
            </w:tcBorders>
            <w:shd w:val="clear" w:color="auto" w:fill="ECECEC"/>
          </w:tcPr>
          <w:p w14:paraId="7FBBB5CD">
            <w:pPr>
              <w:pStyle w:val="29"/>
              <w:spacing w:line="320" w:lineRule="exact"/>
              <w:ind w:left="167"/>
              <w:rPr>
                <w:sz w:val="18"/>
              </w:rPr>
            </w:pPr>
            <w:r>
              <w:rPr>
                <w:sz w:val="18"/>
              </w:rPr>
              <w:t>Sanal</w:t>
            </w:r>
            <w:r>
              <w:rPr>
                <w:spacing w:val="80"/>
                <w:sz w:val="18"/>
              </w:rPr>
              <w:t xml:space="preserve"> </w:t>
            </w:r>
            <w:r>
              <w:rPr>
                <w:sz w:val="18"/>
              </w:rPr>
              <w:t>rekreasyon</w:t>
            </w:r>
            <w:r>
              <w:rPr>
                <w:spacing w:val="80"/>
                <w:sz w:val="18"/>
              </w:rPr>
              <w:t xml:space="preserve"> </w:t>
            </w:r>
            <w:r>
              <w:rPr>
                <w:sz w:val="18"/>
              </w:rPr>
              <w:t>faaliyetleri,</w:t>
            </w:r>
            <w:r>
              <w:rPr>
                <w:spacing w:val="80"/>
                <w:sz w:val="18"/>
              </w:rPr>
              <w:t xml:space="preserve"> </w:t>
            </w:r>
            <w:r>
              <w:rPr>
                <w:sz w:val="18"/>
              </w:rPr>
              <w:t>farklı</w:t>
            </w:r>
            <w:r>
              <w:rPr>
                <w:spacing w:val="80"/>
                <w:sz w:val="18"/>
              </w:rPr>
              <w:t xml:space="preserve"> </w:t>
            </w:r>
            <w:r>
              <w:rPr>
                <w:sz w:val="18"/>
              </w:rPr>
              <w:t>kültürlere</w:t>
            </w:r>
            <w:r>
              <w:rPr>
                <w:spacing w:val="80"/>
                <w:sz w:val="18"/>
              </w:rPr>
              <w:t xml:space="preserve"> </w:t>
            </w:r>
            <w:r>
              <w:rPr>
                <w:sz w:val="18"/>
              </w:rPr>
              <w:t>sahip insanlara uyum sağlama becerimi artırır.</w:t>
            </w:r>
          </w:p>
        </w:tc>
        <w:tc>
          <w:tcPr>
            <w:tcW w:w="991" w:type="dxa"/>
            <w:tcBorders>
              <w:top w:val="single" w:color="C8C8C8" w:sz="4" w:space="0"/>
              <w:bottom w:val="single" w:color="C8C8C8" w:sz="4" w:space="0"/>
            </w:tcBorders>
            <w:shd w:val="clear" w:color="auto" w:fill="ECECEC"/>
          </w:tcPr>
          <w:p w14:paraId="25C4EFCB">
            <w:pPr>
              <w:pStyle w:val="29"/>
              <w:spacing w:before="104"/>
              <w:ind w:left="168"/>
              <w:rPr>
                <w:sz w:val="18"/>
              </w:rPr>
            </w:pPr>
            <w:r>
              <w:rPr>
                <w:spacing w:val="-2"/>
                <w:sz w:val="18"/>
              </w:rPr>
              <w:t>0.878</w:t>
            </w:r>
          </w:p>
        </w:tc>
        <w:tc>
          <w:tcPr>
            <w:tcW w:w="1133" w:type="dxa"/>
            <w:tcBorders>
              <w:top w:val="single" w:color="C8C8C8" w:sz="4" w:space="0"/>
              <w:bottom w:val="single" w:color="C8C8C8" w:sz="4" w:space="0"/>
            </w:tcBorders>
            <w:shd w:val="clear" w:color="auto" w:fill="ECECEC"/>
          </w:tcPr>
          <w:p w14:paraId="3568FEF5">
            <w:pPr>
              <w:pStyle w:val="29"/>
              <w:spacing w:before="104"/>
              <w:ind w:left="169"/>
              <w:rPr>
                <w:sz w:val="18"/>
              </w:rPr>
            </w:pPr>
            <w:r>
              <w:rPr>
                <w:spacing w:val="-2"/>
                <w:sz w:val="18"/>
              </w:rPr>
              <w:t>1.994</w:t>
            </w:r>
          </w:p>
        </w:tc>
        <w:tc>
          <w:tcPr>
            <w:tcW w:w="1137" w:type="dxa"/>
            <w:tcBorders>
              <w:top w:val="single" w:color="C8C8C8" w:sz="4" w:space="0"/>
              <w:bottom w:val="single" w:color="C8C8C8" w:sz="4" w:space="0"/>
            </w:tcBorders>
            <w:shd w:val="clear" w:color="auto" w:fill="ECECEC"/>
          </w:tcPr>
          <w:p w14:paraId="0BE9F0AE">
            <w:pPr>
              <w:pStyle w:val="29"/>
              <w:spacing w:before="104"/>
              <w:ind w:left="168"/>
              <w:rPr>
                <w:sz w:val="18"/>
              </w:rPr>
            </w:pPr>
            <w:r>
              <w:rPr>
                <w:spacing w:val="-2"/>
                <w:sz w:val="18"/>
              </w:rPr>
              <w:t>78.736</w:t>
            </w:r>
          </w:p>
        </w:tc>
      </w:tr>
      <w:tr w14:paraId="66B407B5">
        <w:tblPrEx>
          <w:tblCellMar>
            <w:top w:w="0" w:type="dxa"/>
            <w:left w:w="0" w:type="dxa"/>
            <w:bottom w:w="0" w:type="dxa"/>
            <w:right w:w="0" w:type="dxa"/>
          </w:tblCellMar>
        </w:tblPrEx>
        <w:trPr>
          <w:trHeight w:val="634" w:hRule="atLeast"/>
        </w:trPr>
        <w:tc>
          <w:tcPr>
            <w:tcW w:w="1008" w:type="dxa"/>
            <w:tcBorders>
              <w:top w:val="single" w:color="C8C8C8" w:sz="4" w:space="0"/>
              <w:bottom w:val="single" w:color="C8C8C8" w:sz="4" w:space="0"/>
            </w:tcBorders>
            <w:shd w:val="clear" w:color="auto" w:fill="ECECEC"/>
          </w:tcPr>
          <w:p w14:paraId="4F31B8C2">
            <w:pPr>
              <w:pStyle w:val="29"/>
              <w:spacing w:before="109"/>
              <w:ind w:left="182"/>
              <w:rPr>
                <w:b/>
                <w:sz w:val="18"/>
              </w:rPr>
            </w:pPr>
            <w:r>
              <w:rPr>
                <w:b/>
                <w:spacing w:val="-5"/>
                <w:sz w:val="18"/>
              </w:rPr>
              <w:t>10</w:t>
            </w:r>
          </w:p>
        </w:tc>
        <w:tc>
          <w:tcPr>
            <w:tcW w:w="4539" w:type="dxa"/>
            <w:tcBorders>
              <w:top w:val="single" w:color="C8C8C8" w:sz="4" w:space="0"/>
              <w:bottom w:val="single" w:color="C8C8C8" w:sz="4" w:space="0"/>
            </w:tcBorders>
          </w:tcPr>
          <w:p w14:paraId="0723F9BD">
            <w:pPr>
              <w:pStyle w:val="29"/>
              <w:spacing w:line="320" w:lineRule="exact"/>
              <w:ind w:left="167"/>
              <w:rPr>
                <w:sz w:val="18"/>
              </w:rPr>
            </w:pPr>
            <w:r>
              <w:rPr>
                <w:sz w:val="18"/>
              </w:rPr>
              <w:t>Sanal</w:t>
            </w:r>
            <w:r>
              <w:rPr>
                <w:spacing w:val="36"/>
                <w:sz w:val="18"/>
              </w:rPr>
              <w:t xml:space="preserve"> </w:t>
            </w:r>
            <w:r>
              <w:rPr>
                <w:sz w:val="18"/>
              </w:rPr>
              <w:t>rekreasyon</w:t>
            </w:r>
            <w:r>
              <w:rPr>
                <w:spacing w:val="37"/>
                <w:sz w:val="18"/>
              </w:rPr>
              <w:t xml:space="preserve"> </w:t>
            </w:r>
            <w:r>
              <w:rPr>
                <w:sz w:val="18"/>
              </w:rPr>
              <w:t>faaliyetleri,</w:t>
            </w:r>
            <w:r>
              <w:rPr>
                <w:spacing w:val="36"/>
                <w:sz w:val="18"/>
              </w:rPr>
              <w:t xml:space="preserve"> </w:t>
            </w:r>
            <w:r>
              <w:rPr>
                <w:sz w:val="18"/>
              </w:rPr>
              <w:t>insanları</w:t>
            </w:r>
            <w:r>
              <w:rPr>
                <w:spacing w:val="36"/>
                <w:sz w:val="18"/>
              </w:rPr>
              <w:t xml:space="preserve"> </w:t>
            </w:r>
            <w:r>
              <w:rPr>
                <w:sz w:val="18"/>
              </w:rPr>
              <w:t>tanıma</w:t>
            </w:r>
            <w:r>
              <w:rPr>
                <w:spacing w:val="35"/>
                <w:sz w:val="18"/>
              </w:rPr>
              <w:t xml:space="preserve"> </w:t>
            </w:r>
            <w:r>
              <w:rPr>
                <w:sz w:val="18"/>
              </w:rPr>
              <w:t xml:space="preserve">becerimi </w:t>
            </w:r>
            <w:r>
              <w:rPr>
                <w:spacing w:val="-2"/>
                <w:sz w:val="18"/>
              </w:rPr>
              <w:t>geliştirir.</w:t>
            </w:r>
          </w:p>
        </w:tc>
        <w:tc>
          <w:tcPr>
            <w:tcW w:w="991" w:type="dxa"/>
            <w:tcBorders>
              <w:top w:val="single" w:color="C8C8C8" w:sz="4" w:space="0"/>
              <w:bottom w:val="single" w:color="C8C8C8" w:sz="4" w:space="0"/>
            </w:tcBorders>
            <w:shd w:val="clear" w:color="auto" w:fill="ECECEC"/>
          </w:tcPr>
          <w:p w14:paraId="6C23DBA4">
            <w:pPr>
              <w:pStyle w:val="29"/>
              <w:spacing w:before="105"/>
              <w:ind w:left="168"/>
              <w:rPr>
                <w:sz w:val="18"/>
              </w:rPr>
            </w:pPr>
            <w:r>
              <w:rPr>
                <w:spacing w:val="-2"/>
                <w:sz w:val="18"/>
              </w:rPr>
              <w:t>0.790</w:t>
            </w:r>
          </w:p>
        </w:tc>
        <w:tc>
          <w:tcPr>
            <w:tcW w:w="1133" w:type="dxa"/>
            <w:tcBorders>
              <w:top w:val="single" w:color="C8C8C8" w:sz="4" w:space="0"/>
              <w:bottom w:val="single" w:color="C8C8C8" w:sz="4" w:space="0"/>
            </w:tcBorders>
          </w:tcPr>
          <w:p w14:paraId="3A4FBB52">
            <w:pPr>
              <w:pStyle w:val="29"/>
              <w:spacing w:before="105"/>
              <w:ind w:left="169"/>
              <w:rPr>
                <w:sz w:val="18"/>
              </w:rPr>
            </w:pPr>
            <w:r>
              <w:rPr>
                <w:spacing w:val="-2"/>
                <w:sz w:val="18"/>
              </w:rPr>
              <w:t>1.795</w:t>
            </w:r>
          </w:p>
        </w:tc>
        <w:tc>
          <w:tcPr>
            <w:tcW w:w="1137" w:type="dxa"/>
            <w:tcBorders>
              <w:top w:val="single" w:color="C8C8C8" w:sz="4" w:space="0"/>
              <w:bottom w:val="single" w:color="C8C8C8" w:sz="4" w:space="0"/>
            </w:tcBorders>
            <w:shd w:val="clear" w:color="auto" w:fill="ECECEC"/>
          </w:tcPr>
          <w:p w14:paraId="6357AE6F">
            <w:pPr>
              <w:pStyle w:val="29"/>
              <w:spacing w:before="105"/>
              <w:ind w:left="168"/>
              <w:rPr>
                <w:sz w:val="18"/>
              </w:rPr>
            </w:pPr>
            <w:r>
              <w:rPr>
                <w:spacing w:val="-2"/>
                <w:sz w:val="18"/>
              </w:rPr>
              <w:t>80.531</w:t>
            </w:r>
          </w:p>
        </w:tc>
      </w:tr>
      <w:tr w14:paraId="6ED6A07E">
        <w:tblPrEx>
          <w:tblCellMar>
            <w:top w:w="0" w:type="dxa"/>
            <w:left w:w="0" w:type="dxa"/>
            <w:bottom w:w="0" w:type="dxa"/>
            <w:right w:w="0" w:type="dxa"/>
          </w:tblCellMar>
        </w:tblPrEx>
        <w:trPr>
          <w:trHeight w:val="635" w:hRule="atLeast"/>
        </w:trPr>
        <w:tc>
          <w:tcPr>
            <w:tcW w:w="1008" w:type="dxa"/>
            <w:tcBorders>
              <w:top w:val="single" w:color="C8C8C8" w:sz="4" w:space="0"/>
              <w:bottom w:val="single" w:color="C8C8C8" w:sz="4" w:space="0"/>
            </w:tcBorders>
            <w:shd w:val="clear" w:color="auto" w:fill="ECECEC"/>
          </w:tcPr>
          <w:p w14:paraId="66F6F674">
            <w:pPr>
              <w:pStyle w:val="29"/>
              <w:spacing w:before="110"/>
              <w:ind w:left="182"/>
              <w:rPr>
                <w:b/>
                <w:sz w:val="18"/>
              </w:rPr>
            </w:pPr>
            <w:r>
              <w:rPr>
                <w:b/>
                <w:spacing w:val="-5"/>
                <w:sz w:val="18"/>
              </w:rPr>
              <w:t>11</w:t>
            </w:r>
          </w:p>
        </w:tc>
        <w:tc>
          <w:tcPr>
            <w:tcW w:w="4539" w:type="dxa"/>
            <w:tcBorders>
              <w:top w:val="single" w:color="C8C8C8" w:sz="4" w:space="0"/>
              <w:bottom w:val="single" w:color="C8C8C8" w:sz="4" w:space="0"/>
            </w:tcBorders>
            <w:shd w:val="clear" w:color="auto" w:fill="ECECEC"/>
          </w:tcPr>
          <w:p w14:paraId="5AAC9C66">
            <w:pPr>
              <w:pStyle w:val="29"/>
              <w:spacing w:line="320" w:lineRule="exact"/>
              <w:ind w:left="167"/>
              <w:rPr>
                <w:sz w:val="18"/>
              </w:rPr>
            </w:pPr>
            <w:r>
              <w:rPr>
                <w:sz w:val="18"/>
              </w:rPr>
              <w:t>Sanal</w:t>
            </w:r>
            <w:r>
              <w:rPr>
                <w:spacing w:val="-10"/>
                <w:sz w:val="18"/>
              </w:rPr>
              <w:t xml:space="preserve"> </w:t>
            </w:r>
            <w:r>
              <w:rPr>
                <w:sz w:val="18"/>
              </w:rPr>
              <w:t>rekreasyon</w:t>
            </w:r>
            <w:r>
              <w:rPr>
                <w:spacing w:val="-7"/>
                <w:sz w:val="18"/>
              </w:rPr>
              <w:t xml:space="preserve"> </w:t>
            </w:r>
            <w:r>
              <w:rPr>
                <w:sz w:val="18"/>
              </w:rPr>
              <w:t>faaliyetleri,</w:t>
            </w:r>
            <w:r>
              <w:rPr>
                <w:spacing w:val="-7"/>
                <w:sz w:val="18"/>
              </w:rPr>
              <w:t xml:space="preserve"> </w:t>
            </w:r>
            <w:r>
              <w:rPr>
                <w:sz w:val="18"/>
              </w:rPr>
              <w:t>kendimi</w:t>
            </w:r>
            <w:r>
              <w:rPr>
                <w:spacing w:val="-10"/>
                <w:sz w:val="18"/>
              </w:rPr>
              <w:t xml:space="preserve"> </w:t>
            </w:r>
            <w:r>
              <w:rPr>
                <w:sz w:val="18"/>
              </w:rPr>
              <w:t>ifade</w:t>
            </w:r>
            <w:r>
              <w:rPr>
                <w:spacing w:val="-10"/>
                <w:sz w:val="18"/>
              </w:rPr>
              <w:t xml:space="preserve"> </w:t>
            </w:r>
            <w:r>
              <w:rPr>
                <w:sz w:val="18"/>
              </w:rPr>
              <w:t>etme</w:t>
            </w:r>
            <w:r>
              <w:rPr>
                <w:spacing w:val="-10"/>
                <w:sz w:val="18"/>
              </w:rPr>
              <w:t xml:space="preserve"> </w:t>
            </w:r>
            <w:r>
              <w:rPr>
                <w:sz w:val="18"/>
              </w:rPr>
              <w:t xml:space="preserve">becerimi </w:t>
            </w:r>
            <w:r>
              <w:rPr>
                <w:spacing w:val="-2"/>
                <w:sz w:val="18"/>
              </w:rPr>
              <w:t>geliştirir.</w:t>
            </w:r>
          </w:p>
        </w:tc>
        <w:tc>
          <w:tcPr>
            <w:tcW w:w="991" w:type="dxa"/>
            <w:tcBorders>
              <w:top w:val="single" w:color="C8C8C8" w:sz="4" w:space="0"/>
              <w:bottom w:val="single" w:color="C8C8C8" w:sz="4" w:space="0"/>
            </w:tcBorders>
            <w:shd w:val="clear" w:color="auto" w:fill="ECECEC"/>
          </w:tcPr>
          <w:p w14:paraId="3CDB9944">
            <w:pPr>
              <w:pStyle w:val="29"/>
              <w:spacing w:before="105"/>
              <w:ind w:left="168"/>
              <w:rPr>
                <w:sz w:val="18"/>
              </w:rPr>
            </w:pPr>
            <w:r>
              <w:rPr>
                <w:spacing w:val="-2"/>
                <w:sz w:val="18"/>
              </w:rPr>
              <w:t>0.729</w:t>
            </w:r>
          </w:p>
        </w:tc>
        <w:tc>
          <w:tcPr>
            <w:tcW w:w="1133" w:type="dxa"/>
            <w:tcBorders>
              <w:top w:val="single" w:color="C8C8C8" w:sz="4" w:space="0"/>
              <w:bottom w:val="single" w:color="C8C8C8" w:sz="4" w:space="0"/>
            </w:tcBorders>
            <w:shd w:val="clear" w:color="auto" w:fill="ECECEC"/>
          </w:tcPr>
          <w:p w14:paraId="2DD1C76D">
            <w:pPr>
              <w:pStyle w:val="29"/>
              <w:spacing w:before="105"/>
              <w:ind w:left="169"/>
              <w:rPr>
                <w:sz w:val="18"/>
              </w:rPr>
            </w:pPr>
            <w:r>
              <w:rPr>
                <w:spacing w:val="-2"/>
                <w:sz w:val="18"/>
              </w:rPr>
              <w:t>1.658</w:t>
            </w:r>
          </w:p>
        </w:tc>
        <w:tc>
          <w:tcPr>
            <w:tcW w:w="1137" w:type="dxa"/>
            <w:tcBorders>
              <w:top w:val="single" w:color="C8C8C8" w:sz="4" w:space="0"/>
              <w:bottom w:val="single" w:color="C8C8C8" w:sz="4" w:space="0"/>
            </w:tcBorders>
            <w:shd w:val="clear" w:color="auto" w:fill="ECECEC"/>
          </w:tcPr>
          <w:p w14:paraId="6C054DAE">
            <w:pPr>
              <w:pStyle w:val="29"/>
              <w:spacing w:before="105"/>
              <w:ind w:left="168"/>
              <w:rPr>
                <w:sz w:val="18"/>
              </w:rPr>
            </w:pPr>
            <w:r>
              <w:rPr>
                <w:spacing w:val="-2"/>
                <w:sz w:val="18"/>
              </w:rPr>
              <w:t>82.189</w:t>
            </w:r>
          </w:p>
        </w:tc>
      </w:tr>
      <w:tr w14:paraId="69F1340D">
        <w:tblPrEx>
          <w:tblCellMar>
            <w:top w:w="0" w:type="dxa"/>
            <w:left w:w="0" w:type="dxa"/>
            <w:bottom w:w="0" w:type="dxa"/>
            <w:right w:w="0" w:type="dxa"/>
          </w:tblCellMar>
        </w:tblPrEx>
        <w:trPr>
          <w:trHeight w:val="636" w:hRule="atLeast"/>
        </w:trPr>
        <w:tc>
          <w:tcPr>
            <w:tcW w:w="1008" w:type="dxa"/>
            <w:tcBorders>
              <w:top w:val="single" w:color="C8C8C8" w:sz="4" w:space="0"/>
              <w:bottom w:val="single" w:color="C8C8C8" w:sz="4" w:space="0"/>
            </w:tcBorders>
            <w:shd w:val="clear" w:color="auto" w:fill="ECECEC"/>
          </w:tcPr>
          <w:p w14:paraId="0AF2D8DF">
            <w:pPr>
              <w:pStyle w:val="29"/>
              <w:spacing w:before="108"/>
              <w:ind w:left="182"/>
              <w:rPr>
                <w:b/>
                <w:sz w:val="18"/>
              </w:rPr>
            </w:pPr>
            <w:r>
              <w:rPr>
                <w:b/>
                <w:spacing w:val="-5"/>
                <w:sz w:val="18"/>
              </w:rPr>
              <w:t>12</w:t>
            </w:r>
          </w:p>
        </w:tc>
        <w:tc>
          <w:tcPr>
            <w:tcW w:w="4539" w:type="dxa"/>
            <w:tcBorders>
              <w:top w:val="single" w:color="C8C8C8" w:sz="4" w:space="0"/>
              <w:bottom w:val="single" w:color="C8C8C8" w:sz="4" w:space="0"/>
            </w:tcBorders>
          </w:tcPr>
          <w:p w14:paraId="64A07161">
            <w:pPr>
              <w:pStyle w:val="29"/>
              <w:spacing w:line="322" w:lineRule="exact"/>
              <w:ind w:left="167"/>
              <w:rPr>
                <w:sz w:val="18"/>
              </w:rPr>
            </w:pPr>
            <w:r>
              <w:rPr>
                <w:sz w:val="18"/>
              </w:rPr>
              <w:t>Sanal</w:t>
            </w:r>
            <w:r>
              <w:rPr>
                <w:spacing w:val="-3"/>
                <w:sz w:val="18"/>
              </w:rPr>
              <w:t xml:space="preserve"> </w:t>
            </w:r>
            <w:r>
              <w:rPr>
                <w:sz w:val="18"/>
              </w:rPr>
              <w:t>rekreasyon</w:t>
            </w:r>
            <w:r>
              <w:rPr>
                <w:spacing w:val="-2"/>
                <w:sz w:val="18"/>
              </w:rPr>
              <w:t xml:space="preserve"> </w:t>
            </w:r>
            <w:r>
              <w:rPr>
                <w:sz w:val="18"/>
              </w:rPr>
              <w:t>faaliyetleri,</w:t>
            </w:r>
            <w:r>
              <w:rPr>
                <w:spacing w:val="-2"/>
                <w:sz w:val="18"/>
              </w:rPr>
              <w:t xml:space="preserve"> </w:t>
            </w:r>
            <w:r>
              <w:rPr>
                <w:sz w:val="18"/>
              </w:rPr>
              <w:t>duygusal</w:t>
            </w:r>
            <w:r>
              <w:rPr>
                <w:spacing w:val="-3"/>
                <w:sz w:val="18"/>
              </w:rPr>
              <w:t xml:space="preserve"> </w:t>
            </w:r>
            <w:r>
              <w:rPr>
                <w:sz w:val="18"/>
              </w:rPr>
              <w:t>yönden</w:t>
            </w:r>
            <w:r>
              <w:rPr>
                <w:spacing w:val="-2"/>
                <w:sz w:val="18"/>
              </w:rPr>
              <w:t xml:space="preserve"> </w:t>
            </w:r>
            <w:r>
              <w:rPr>
                <w:sz w:val="18"/>
              </w:rPr>
              <w:t xml:space="preserve">gelişmemi </w:t>
            </w:r>
            <w:r>
              <w:rPr>
                <w:spacing w:val="-2"/>
                <w:sz w:val="18"/>
              </w:rPr>
              <w:t>sağlar.</w:t>
            </w:r>
          </w:p>
        </w:tc>
        <w:tc>
          <w:tcPr>
            <w:tcW w:w="991" w:type="dxa"/>
            <w:tcBorders>
              <w:top w:val="single" w:color="C8C8C8" w:sz="4" w:space="0"/>
              <w:bottom w:val="single" w:color="C8C8C8" w:sz="4" w:space="0"/>
            </w:tcBorders>
            <w:shd w:val="clear" w:color="auto" w:fill="ECECEC"/>
          </w:tcPr>
          <w:p w14:paraId="3DC04392">
            <w:pPr>
              <w:pStyle w:val="29"/>
              <w:spacing w:before="103"/>
              <w:ind w:left="168"/>
              <w:rPr>
                <w:sz w:val="18"/>
              </w:rPr>
            </w:pPr>
            <w:r>
              <w:rPr>
                <w:spacing w:val="-2"/>
                <w:sz w:val="18"/>
              </w:rPr>
              <w:t>0.631</w:t>
            </w:r>
          </w:p>
        </w:tc>
        <w:tc>
          <w:tcPr>
            <w:tcW w:w="1133" w:type="dxa"/>
            <w:tcBorders>
              <w:top w:val="single" w:color="C8C8C8" w:sz="4" w:space="0"/>
              <w:bottom w:val="single" w:color="C8C8C8" w:sz="4" w:space="0"/>
            </w:tcBorders>
          </w:tcPr>
          <w:p w14:paraId="36D4BF72">
            <w:pPr>
              <w:pStyle w:val="29"/>
              <w:spacing w:before="103"/>
              <w:ind w:left="169"/>
              <w:rPr>
                <w:sz w:val="18"/>
              </w:rPr>
            </w:pPr>
            <w:r>
              <w:rPr>
                <w:spacing w:val="-2"/>
                <w:sz w:val="18"/>
              </w:rPr>
              <w:t>1.434</w:t>
            </w:r>
          </w:p>
        </w:tc>
        <w:tc>
          <w:tcPr>
            <w:tcW w:w="1137" w:type="dxa"/>
            <w:tcBorders>
              <w:top w:val="single" w:color="C8C8C8" w:sz="4" w:space="0"/>
              <w:bottom w:val="single" w:color="C8C8C8" w:sz="4" w:space="0"/>
            </w:tcBorders>
            <w:shd w:val="clear" w:color="auto" w:fill="ECECEC"/>
          </w:tcPr>
          <w:p w14:paraId="66206C36">
            <w:pPr>
              <w:pStyle w:val="29"/>
              <w:spacing w:before="103"/>
              <w:ind w:left="168"/>
              <w:rPr>
                <w:sz w:val="18"/>
              </w:rPr>
            </w:pPr>
            <w:r>
              <w:rPr>
                <w:spacing w:val="-2"/>
                <w:sz w:val="18"/>
              </w:rPr>
              <w:t>83.622</w:t>
            </w:r>
          </w:p>
        </w:tc>
      </w:tr>
      <w:tr w14:paraId="5709FAC2">
        <w:tblPrEx>
          <w:tblCellMar>
            <w:top w:w="0" w:type="dxa"/>
            <w:left w:w="0" w:type="dxa"/>
            <w:bottom w:w="0" w:type="dxa"/>
            <w:right w:w="0" w:type="dxa"/>
          </w:tblCellMar>
        </w:tblPrEx>
        <w:trPr>
          <w:trHeight w:val="632" w:hRule="atLeast"/>
        </w:trPr>
        <w:tc>
          <w:tcPr>
            <w:tcW w:w="1008" w:type="dxa"/>
            <w:tcBorders>
              <w:top w:val="single" w:color="C8C8C8" w:sz="4" w:space="0"/>
              <w:bottom w:val="single" w:color="C8C8C8" w:sz="4" w:space="0"/>
            </w:tcBorders>
            <w:shd w:val="clear" w:color="auto" w:fill="ECECEC"/>
          </w:tcPr>
          <w:p w14:paraId="79B3963A">
            <w:pPr>
              <w:pStyle w:val="29"/>
              <w:spacing w:before="105"/>
              <w:ind w:left="182"/>
              <w:rPr>
                <w:b/>
                <w:sz w:val="18"/>
              </w:rPr>
            </w:pPr>
            <w:r>
              <w:rPr>
                <w:b/>
                <w:spacing w:val="-5"/>
                <w:sz w:val="18"/>
              </w:rPr>
              <w:t>13</w:t>
            </w:r>
          </w:p>
        </w:tc>
        <w:tc>
          <w:tcPr>
            <w:tcW w:w="4539" w:type="dxa"/>
            <w:tcBorders>
              <w:top w:val="single" w:color="C8C8C8" w:sz="4" w:space="0"/>
              <w:bottom w:val="single" w:color="C8C8C8" w:sz="4" w:space="0"/>
            </w:tcBorders>
            <w:shd w:val="clear" w:color="auto" w:fill="ECECEC"/>
          </w:tcPr>
          <w:p w14:paraId="02DB9A5D">
            <w:pPr>
              <w:pStyle w:val="29"/>
              <w:tabs>
                <w:tab w:val="left" w:pos="1894"/>
                <w:tab w:val="left" w:pos="3050"/>
              </w:tabs>
              <w:spacing w:line="322" w:lineRule="exact"/>
              <w:ind w:left="167" w:right="166"/>
              <w:rPr>
                <w:sz w:val="18"/>
              </w:rPr>
            </w:pPr>
            <w:r>
              <w:rPr>
                <w:sz w:val="18"/>
              </w:rPr>
              <w:t>Sanal</w:t>
            </w:r>
            <w:r>
              <w:rPr>
                <w:spacing w:val="80"/>
                <w:w w:val="150"/>
                <w:sz w:val="18"/>
              </w:rPr>
              <w:t xml:space="preserve"> </w:t>
            </w:r>
            <w:r>
              <w:rPr>
                <w:sz w:val="18"/>
              </w:rPr>
              <w:t>rekreasyon</w:t>
            </w:r>
            <w:r>
              <w:rPr>
                <w:sz w:val="18"/>
              </w:rPr>
              <w:tab/>
            </w:r>
            <w:r>
              <w:rPr>
                <w:spacing w:val="-2"/>
                <w:sz w:val="18"/>
              </w:rPr>
              <w:t>faaliyetleri,</w:t>
            </w:r>
            <w:r>
              <w:rPr>
                <w:sz w:val="18"/>
              </w:rPr>
              <w:tab/>
            </w:r>
            <w:r>
              <w:rPr>
                <w:sz w:val="18"/>
              </w:rPr>
              <w:t>toplum</w:t>
            </w:r>
            <w:r>
              <w:rPr>
                <w:spacing w:val="28"/>
                <w:sz w:val="18"/>
              </w:rPr>
              <w:t xml:space="preserve"> </w:t>
            </w:r>
            <w:r>
              <w:rPr>
                <w:sz w:val="18"/>
              </w:rPr>
              <w:t>içerisinde karşılaştığım sorunları çözmemde bana yardımcı olur.</w:t>
            </w:r>
          </w:p>
        </w:tc>
        <w:tc>
          <w:tcPr>
            <w:tcW w:w="991" w:type="dxa"/>
            <w:tcBorders>
              <w:top w:val="single" w:color="C8C8C8" w:sz="4" w:space="0"/>
              <w:bottom w:val="single" w:color="C8C8C8" w:sz="4" w:space="0"/>
            </w:tcBorders>
            <w:shd w:val="clear" w:color="auto" w:fill="ECECEC"/>
          </w:tcPr>
          <w:p w14:paraId="28CE191E">
            <w:pPr>
              <w:pStyle w:val="29"/>
              <w:spacing w:before="100"/>
              <w:ind w:left="168"/>
              <w:rPr>
                <w:sz w:val="18"/>
              </w:rPr>
            </w:pPr>
            <w:r>
              <w:rPr>
                <w:spacing w:val="-2"/>
                <w:sz w:val="18"/>
              </w:rPr>
              <w:t>0.593</w:t>
            </w:r>
          </w:p>
        </w:tc>
        <w:tc>
          <w:tcPr>
            <w:tcW w:w="1133" w:type="dxa"/>
            <w:tcBorders>
              <w:top w:val="single" w:color="C8C8C8" w:sz="4" w:space="0"/>
              <w:bottom w:val="single" w:color="C8C8C8" w:sz="4" w:space="0"/>
            </w:tcBorders>
            <w:shd w:val="clear" w:color="auto" w:fill="ECECEC"/>
          </w:tcPr>
          <w:p w14:paraId="4DEEA9D0">
            <w:pPr>
              <w:pStyle w:val="29"/>
              <w:spacing w:before="100"/>
              <w:ind w:left="169"/>
              <w:rPr>
                <w:sz w:val="18"/>
              </w:rPr>
            </w:pPr>
            <w:r>
              <w:rPr>
                <w:spacing w:val="-2"/>
                <w:sz w:val="18"/>
              </w:rPr>
              <w:t>1.348</w:t>
            </w:r>
          </w:p>
        </w:tc>
        <w:tc>
          <w:tcPr>
            <w:tcW w:w="1137" w:type="dxa"/>
            <w:tcBorders>
              <w:top w:val="single" w:color="C8C8C8" w:sz="4" w:space="0"/>
              <w:bottom w:val="single" w:color="C8C8C8" w:sz="4" w:space="0"/>
            </w:tcBorders>
            <w:shd w:val="clear" w:color="auto" w:fill="ECECEC"/>
          </w:tcPr>
          <w:p w14:paraId="76BBBC12">
            <w:pPr>
              <w:pStyle w:val="29"/>
              <w:spacing w:before="100"/>
              <w:ind w:left="168"/>
              <w:rPr>
                <w:sz w:val="18"/>
              </w:rPr>
            </w:pPr>
            <w:r>
              <w:rPr>
                <w:spacing w:val="-2"/>
                <w:sz w:val="18"/>
              </w:rPr>
              <w:t>84.971</w:t>
            </w:r>
          </w:p>
        </w:tc>
      </w:tr>
      <w:tr w14:paraId="7B0A73E7">
        <w:tblPrEx>
          <w:tblCellMar>
            <w:top w:w="0" w:type="dxa"/>
            <w:left w:w="0" w:type="dxa"/>
            <w:bottom w:w="0" w:type="dxa"/>
            <w:right w:w="0" w:type="dxa"/>
          </w:tblCellMar>
        </w:tblPrEx>
        <w:trPr>
          <w:trHeight w:val="629" w:hRule="atLeast"/>
        </w:trPr>
        <w:tc>
          <w:tcPr>
            <w:tcW w:w="1008" w:type="dxa"/>
            <w:tcBorders>
              <w:top w:val="single" w:color="C8C8C8" w:sz="4" w:space="0"/>
              <w:bottom w:val="single" w:color="C8C8C8" w:sz="4" w:space="0"/>
            </w:tcBorders>
            <w:shd w:val="clear" w:color="auto" w:fill="ECECEC"/>
          </w:tcPr>
          <w:p w14:paraId="79018738">
            <w:pPr>
              <w:pStyle w:val="29"/>
              <w:spacing w:before="101"/>
              <w:ind w:left="182"/>
              <w:rPr>
                <w:b/>
                <w:sz w:val="18"/>
              </w:rPr>
            </w:pPr>
            <w:r>
              <w:rPr>
                <w:b/>
                <w:spacing w:val="-5"/>
                <w:sz w:val="18"/>
              </w:rPr>
              <w:t>14</w:t>
            </w:r>
          </w:p>
        </w:tc>
        <w:tc>
          <w:tcPr>
            <w:tcW w:w="4539" w:type="dxa"/>
            <w:tcBorders>
              <w:top w:val="single" w:color="C8C8C8" w:sz="4" w:space="0"/>
              <w:bottom w:val="single" w:color="C8C8C8" w:sz="4" w:space="0"/>
            </w:tcBorders>
          </w:tcPr>
          <w:p w14:paraId="1445C929">
            <w:pPr>
              <w:pStyle w:val="29"/>
              <w:spacing w:line="320" w:lineRule="exact"/>
              <w:ind w:left="167"/>
              <w:rPr>
                <w:sz w:val="18"/>
              </w:rPr>
            </w:pPr>
            <w:r>
              <w:rPr>
                <w:sz w:val="18"/>
              </w:rPr>
              <w:t>Sanal</w:t>
            </w:r>
            <w:r>
              <w:rPr>
                <w:spacing w:val="29"/>
                <w:sz w:val="18"/>
              </w:rPr>
              <w:t xml:space="preserve"> </w:t>
            </w:r>
            <w:r>
              <w:rPr>
                <w:sz w:val="18"/>
              </w:rPr>
              <w:t>rekreasyon</w:t>
            </w:r>
            <w:r>
              <w:rPr>
                <w:spacing w:val="29"/>
                <w:sz w:val="18"/>
              </w:rPr>
              <w:t xml:space="preserve"> </w:t>
            </w:r>
            <w:r>
              <w:rPr>
                <w:sz w:val="18"/>
              </w:rPr>
              <w:t>faaliyetleri,</w:t>
            </w:r>
            <w:r>
              <w:rPr>
                <w:spacing w:val="32"/>
                <w:sz w:val="18"/>
              </w:rPr>
              <w:t xml:space="preserve"> </w:t>
            </w:r>
            <w:r>
              <w:rPr>
                <w:sz w:val="18"/>
              </w:rPr>
              <w:t>yeni</w:t>
            </w:r>
            <w:r>
              <w:rPr>
                <w:spacing w:val="29"/>
                <w:sz w:val="18"/>
              </w:rPr>
              <w:t xml:space="preserve"> </w:t>
            </w:r>
            <w:r>
              <w:rPr>
                <w:sz w:val="18"/>
              </w:rPr>
              <w:t>arkadaşlar</w:t>
            </w:r>
            <w:r>
              <w:rPr>
                <w:spacing w:val="29"/>
                <w:sz w:val="18"/>
              </w:rPr>
              <w:t xml:space="preserve"> </w:t>
            </w:r>
            <w:r>
              <w:rPr>
                <w:sz w:val="18"/>
              </w:rPr>
              <w:t xml:space="preserve">edinmemi </w:t>
            </w:r>
            <w:r>
              <w:rPr>
                <w:spacing w:val="-2"/>
                <w:sz w:val="18"/>
              </w:rPr>
              <w:t>sağlar.</w:t>
            </w:r>
          </w:p>
        </w:tc>
        <w:tc>
          <w:tcPr>
            <w:tcW w:w="991" w:type="dxa"/>
            <w:tcBorders>
              <w:top w:val="single" w:color="C8C8C8" w:sz="4" w:space="0"/>
              <w:bottom w:val="single" w:color="C8C8C8" w:sz="4" w:space="0"/>
            </w:tcBorders>
            <w:shd w:val="clear" w:color="auto" w:fill="ECECEC"/>
          </w:tcPr>
          <w:p w14:paraId="6F3C52E4">
            <w:pPr>
              <w:pStyle w:val="29"/>
              <w:spacing w:before="96"/>
              <w:ind w:left="168"/>
              <w:rPr>
                <w:sz w:val="18"/>
              </w:rPr>
            </w:pPr>
            <w:r>
              <w:rPr>
                <w:spacing w:val="-2"/>
                <w:sz w:val="18"/>
              </w:rPr>
              <w:t>0.523</w:t>
            </w:r>
          </w:p>
        </w:tc>
        <w:tc>
          <w:tcPr>
            <w:tcW w:w="1133" w:type="dxa"/>
            <w:tcBorders>
              <w:top w:val="single" w:color="C8C8C8" w:sz="4" w:space="0"/>
              <w:bottom w:val="single" w:color="C8C8C8" w:sz="4" w:space="0"/>
            </w:tcBorders>
          </w:tcPr>
          <w:p w14:paraId="470B2345">
            <w:pPr>
              <w:pStyle w:val="29"/>
              <w:spacing w:before="96"/>
              <w:ind w:left="169"/>
              <w:rPr>
                <w:sz w:val="18"/>
              </w:rPr>
            </w:pPr>
            <w:r>
              <w:rPr>
                <w:spacing w:val="-2"/>
                <w:sz w:val="18"/>
              </w:rPr>
              <w:t>1.188</w:t>
            </w:r>
          </w:p>
        </w:tc>
        <w:tc>
          <w:tcPr>
            <w:tcW w:w="1137" w:type="dxa"/>
            <w:tcBorders>
              <w:top w:val="single" w:color="C8C8C8" w:sz="4" w:space="0"/>
              <w:bottom w:val="single" w:color="C8C8C8" w:sz="4" w:space="0"/>
            </w:tcBorders>
            <w:shd w:val="clear" w:color="auto" w:fill="ECECEC"/>
          </w:tcPr>
          <w:p w14:paraId="2631677A">
            <w:pPr>
              <w:pStyle w:val="29"/>
              <w:spacing w:before="96"/>
              <w:ind w:left="168"/>
              <w:rPr>
                <w:sz w:val="18"/>
              </w:rPr>
            </w:pPr>
            <w:r>
              <w:rPr>
                <w:spacing w:val="-2"/>
                <w:sz w:val="18"/>
              </w:rPr>
              <w:t>86.159</w:t>
            </w:r>
          </w:p>
        </w:tc>
      </w:tr>
      <w:tr w14:paraId="186441AC">
        <w:tblPrEx>
          <w:tblCellMar>
            <w:top w:w="0" w:type="dxa"/>
            <w:left w:w="0" w:type="dxa"/>
            <w:bottom w:w="0" w:type="dxa"/>
            <w:right w:w="0" w:type="dxa"/>
          </w:tblCellMar>
        </w:tblPrEx>
        <w:trPr>
          <w:trHeight w:val="629" w:hRule="atLeast"/>
        </w:trPr>
        <w:tc>
          <w:tcPr>
            <w:tcW w:w="1008" w:type="dxa"/>
            <w:tcBorders>
              <w:top w:val="single" w:color="C8C8C8" w:sz="4" w:space="0"/>
              <w:bottom w:val="single" w:color="C8C8C8" w:sz="4" w:space="0"/>
            </w:tcBorders>
            <w:shd w:val="clear" w:color="auto" w:fill="ECECEC"/>
          </w:tcPr>
          <w:p w14:paraId="58E8035F">
            <w:pPr>
              <w:pStyle w:val="29"/>
              <w:spacing w:before="101"/>
              <w:ind w:left="182"/>
              <w:rPr>
                <w:b/>
                <w:sz w:val="18"/>
              </w:rPr>
            </w:pPr>
            <w:r>
              <w:rPr>
                <w:b/>
                <w:spacing w:val="-5"/>
                <w:sz w:val="18"/>
              </w:rPr>
              <w:t>15</w:t>
            </w:r>
          </w:p>
        </w:tc>
        <w:tc>
          <w:tcPr>
            <w:tcW w:w="4539" w:type="dxa"/>
            <w:tcBorders>
              <w:top w:val="single" w:color="C8C8C8" w:sz="4" w:space="0"/>
              <w:bottom w:val="single" w:color="C8C8C8" w:sz="4" w:space="0"/>
            </w:tcBorders>
            <w:shd w:val="clear" w:color="auto" w:fill="ECECEC"/>
          </w:tcPr>
          <w:p w14:paraId="0F480BA7">
            <w:pPr>
              <w:pStyle w:val="29"/>
              <w:spacing w:line="320" w:lineRule="exact"/>
              <w:ind w:left="167"/>
              <w:rPr>
                <w:sz w:val="18"/>
              </w:rPr>
            </w:pPr>
            <w:r>
              <w:rPr>
                <w:sz w:val="18"/>
              </w:rPr>
              <w:t>Sanal</w:t>
            </w:r>
            <w:r>
              <w:rPr>
                <w:spacing w:val="23"/>
                <w:sz w:val="18"/>
              </w:rPr>
              <w:t xml:space="preserve"> </w:t>
            </w:r>
            <w:r>
              <w:rPr>
                <w:sz w:val="18"/>
              </w:rPr>
              <w:t>rekreasyon</w:t>
            </w:r>
            <w:r>
              <w:rPr>
                <w:spacing w:val="23"/>
                <w:sz w:val="18"/>
              </w:rPr>
              <w:t xml:space="preserve"> </w:t>
            </w:r>
            <w:r>
              <w:rPr>
                <w:sz w:val="18"/>
              </w:rPr>
              <w:t>faaliyetleri,</w:t>
            </w:r>
            <w:r>
              <w:rPr>
                <w:spacing w:val="23"/>
                <w:sz w:val="18"/>
              </w:rPr>
              <w:t xml:space="preserve"> </w:t>
            </w:r>
            <w:r>
              <w:rPr>
                <w:sz w:val="18"/>
              </w:rPr>
              <w:t>takım</w:t>
            </w:r>
            <w:r>
              <w:rPr>
                <w:spacing w:val="19"/>
                <w:sz w:val="18"/>
              </w:rPr>
              <w:t xml:space="preserve"> </w:t>
            </w:r>
            <w:r>
              <w:rPr>
                <w:sz w:val="18"/>
              </w:rPr>
              <w:t>çalışması</w:t>
            </w:r>
            <w:r>
              <w:rPr>
                <w:spacing w:val="22"/>
                <w:sz w:val="18"/>
              </w:rPr>
              <w:t xml:space="preserve"> </w:t>
            </w:r>
            <w:r>
              <w:rPr>
                <w:sz w:val="18"/>
              </w:rPr>
              <w:t>kavramını oluşturmama yardımcı olur.</w:t>
            </w:r>
          </w:p>
        </w:tc>
        <w:tc>
          <w:tcPr>
            <w:tcW w:w="991" w:type="dxa"/>
            <w:tcBorders>
              <w:top w:val="single" w:color="C8C8C8" w:sz="4" w:space="0"/>
              <w:bottom w:val="single" w:color="C8C8C8" w:sz="4" w:space="0"/>
            </w:tcBorders>
            <w:shd w:val="clear" w:color="auto" w:fill="ECECEC"/>
          </w:tcPr>
          <w:p w14:paraId="2342FE13">
            <w:pPr>
              <w:pStyle w:val="29"/>
              <w:spacing w:before="97"/>
              <w:ind w:left="168"/>
              <w:rPr>
                <w:sz w:val="18"/>
              </w:rPr>
            </w:pPr>
            <w:r>
              <w:rPr>
                <w:spacing w:val="-2"/>
                <w:sz w:val="18"/>
              </w:rPr>
              <w:t>0.495</w:t>
            </w:r>
          </w:p>
        </w:tc>
        <w:tc>
          <w:tcPr>
            <w:tcW w:w="1133" w:type="dxa"/>
            <w:tcBorders>
              <w:top w:val="single" w:color="C8C8C8" w:sz="4" w:space="0"/>
              <w:bottom w:val="single" w:color="C8C8C8" w:sz="4" w:space="0"/>
            </w:tcBorders>
            <w:shd w:val="clear" w:color="auto" w:fill="ECECEC"/>
          </w:tcPr>
          <w:p w14:paraId="2D391838">
            <w:pPr>
              <w:pStyle w:val="29"/>
              <w:spacing w:before="97"/>
              <w:ind w:left="169"/>
              <w:rPr>
                <w:sz w:val="18"/>
              </w:rPr>
            </w:pPr>
            <w:r>
              <w:rPr>
                <w:spacing w:val="-2"/>
                <w:sz w:val="18"/>
              </w:rPr>
              <w:t>1.126</w:t>
            </w:r>
          </w:p>
        </w:tc>
        <w:tc>
          <w:tcPr>
            <w:tcW w:w="1137" w:type="dxa"/>
            <w:tcBorders>
              <w:top w:val="single" w:color="C8C8C8" w:sz="4" w:space="0"/>
              <w:bottom w:val="single" w:color="C8C8C8" w:sz="4" w:space="0"/>
            </w:tcBorders>
            <w:shd w:val="clear" w:color="auto" w:fill="ECECEC"/>
          </w:tcPr>
          <w:p w14:paraId="06FCFA6C">
            <w:pPr>
              <w:pStyle w:val="29"/>
              <w:spacing w:before="97"/>
              <w:ind w:left="168"/>
              <w:rPr>
                <w:sz w:val="18"/>
              </w:rPr>
            </w:pPr>
            <w:r>
              <w:rPr>
                <w:spacing w:val="-2"/>
                <w:sz w:val="18"/>
              </w:rPr>
              <w:t>87.285</w:t>
            </w:r>
          </w:p>
        </w:tc>
      </w:tr>
      <w:tr w14:paraId="1D6D29EE">
        <w:tblPrEx>
          <w:tblCellMar>
            <w:top w:w="0" w:type="dxa"/>
            <w:left w:w="0" w:type="dxa"/>
            <w:bottom w:w="0" w:type="dxa"/>
            <w:right w:w="0" w:type="dxa"/>
          </w:tblCellMar>
        </w:tblPrEx>
        <w:trPr>
          <w:trHeight w:val="309" w:hRule="atLeast"/>
        </w:trPr>
        <w:tc>
          <w:tcPr>
            <w:tcW w:w="1008" w:type="dxa"/>
            <w:tcBorders>
              <w:top w:val="single" w:color="C8C8C8" w:sz="4" w:space="0"/>
              <w:bottom w:val="single" w:color="C8C8C8" w:sz="4" w:space="0"/>
            </w:tcBorders>
            <w:shd w:val="clear" w:color="auto" w:fill="ECECEC"/>
          </w:tcPr>
          <w:p w14:paraId="2E445E1C">
            <w:pPr>
              <w:pStyle w:val="29"/>
              <w:spacing w:before="102" w:line="187" w:lineRule="exact"/>
              <w:ind w:left="182"/>
              <w:rPr>
                <w:b/>
                <w:sz w:val="18"/>
              </w:rPr>
            </w:pPr>
            <w:r>
              <w:rPr>
                <w:b/>
                <w:spacing w:val="-5"/>
                <w:sz w:val="18"/>
              </w:rPr>
              <w:t>16</w:t>
            </w:r>
          </w:p>
        </w:tc>
        <w:tc>
          <w:tcPr>
            <w:tcW w:w="4539" w:type="dxa"/>
            <w:tcBorders>
              <w:top w:val="single" w:color="C8C8C8" w:sz="4" w:space="0"/>
              <w:bottom w:val="single" w:color="C8C8C8" w:sz="4" w:space="0"/>
            </w:tcBorders>
          </w:tcPr>
          <w:p w14:paraId="2BC9108C">
            <w:pPr>
              <w:pStyle w:val="29"/>
              <w:spacing w:before="97" w:line="192" w:lineRule="exact"/>
              <w:ind w:left="167"/>
              <w:rPr>
                <w:sz w:val="18"/>
              </w:rPr>
            </w:pPr>
            <w:r>
              <w:rPr>
                <w:sz w:val="18"/>
              </w:rPr>
              <w:t>Sanal</w:t>
            </w:r>
            <w:r>
              <w:rPr>
                <w:spacing w:val="-7"/>
                <w:sz w:val="18"/>
              </w:rPr>
              <w:t xml:space="preserve"> </w:t>
            </w:r>
            <w:r>
              <w:rPr>
                <w:sz w:val="18"/>
              </w:rPr>
              <w:t>rekreasyon</w:t>
            </w:r>
            <w:r>
              <w:rPr>
                <w:spacing w:val="-1"/>
                <w:sz w:val="18"/>
              </w:rPr>
              <w:t xml:space="preserve"> </w:t>
            </w:r>
            <w:r>
              <w:rPr>
                <w:sz w:val="18"/>
              </w:rPr>
              <w:t>faaliyetleri,</w:t>
            </w:r>
            <w:r>
              <w:rPr>
                <w:spacing w:val="-4"/>
                <w:sz w:val="18"/>
              </w:rPr>
              <w:t xml:space="preserve"> </w:t>
            </w:r>
            <w:r>
              <w:rPr>
                <w:sz w:val="18"/>
              </w:rPr>
              <w:t>aile</w:t>
            </w:r>
            <w:r>
              <w:rPr>
                <w:spacing w:val="-2"/>
                <w:sz w:val="18"/>
              </w:rPr>
              <w:t xml:space="preserve"> </w:t>
            </w:r>
            <w:r>
              <w:rPr>
                <w:sz w:val="18"/>
              </w:rPr>
              <w:t>ilişkilerimi</w:t>
            </w:r>
            <w:r>
              <w:rPr>
                <w:spacing w:val="-4"/>
                <w:sz w:val="18"/>
              </w:rPr>
              <w:t xml:space="preserve"> </w:t>
            </w:r>
            <w:r>
              <w:rPr>
                <w:spacing w:val="-2"/>
                <w:sz w:val="18"/>
              </w:rPr>
              <w:t>geliştirir.</w:t>
            </w:r>
          </w:p>
        </w:tc>
        <w:tc>
          <w:tcPr>
            <w:tcW w:w="991" w:type="dxa"/>
            <w:tcBorders>
              <w:top w:val="single" w:color="C8C8C8" w:sz="4" w:space="0"/>
              <w:bottom w:val="single" w:color="C8C8C8" w:sz="4" w:space="0"/>
            </w:tcBorders>
            <w:shd w:val="clear" w:color="auto" w:fill="ECECEC"/>
          </w:tcPr>
          <w:p w14:paraId="38D14CB4">
            <w:pPr>
              <w:pStyle w:val="29"/>
              <w:spacing w:before="97" w:line="192" w:lineRule="exact"/>
              <w:ind w:left="168"/>
              <w:rPr>
                <w:sz w:val="18"/>
              </w:rPr>
            </w:pPr>
            <w:r>
              <w:rPr>
                <w:spacing w:val="-2"/>
                <w:sz w:val="18"/>
              </w:rPr>
              <w:t>0.468</w:t>
            </w:r>
          </w:p>
        </w:tc>
        <w:tc>
          <w:tcPr>
            <w:tcW w:w="1133" w:type="dxa"/>
            <w:tcBorders>
              <w:top w:val="single" w:color="C8C8C8" w:sz="4" w:space="0"/>
              <w:bottom w:val="single" w:color="C8C8C8" w:sz="4" w:space="0"/>
            </w:tcBorders>
          </w:tcPr>
          <w:p w14:paraId="77D3CCEA">
            <w:pPr>
              <w:pStyle w:val="29"/>
              <w:spacing w:before="97" w:line="192" w:lineRule="exact"/>
              <w:ind w:left="169"/>
              <w:rPr>
                <w:sz w:val="18"/>
              </w:rPr>
            </w:pPr>
            <w:r>
              <w:rPr>
                <w:spacing w:val="-2"/>
                <w:sz w:val="18"/>
              </w:rPr>
              <w:t>1.063</w:t>
            </w:r>
          </w:p>
        </w:tc>
        <w:tc>
          <w:tcPr>
            <w:tcW w:w="1137" w:type="dxa"/>
            <w:tcBorders>
              <w:top w:val="single" w:color="C8C8C8" w:sz="4" w:space="0"/>
              <w:bottom w:val="single" w:color="C8C8C8" w:sz="4" w:space="0"/>
            </w:tcBorders>
            <w:shd w:val="clear" w:color="auto" w:fill="ECECEC"/>
          </w:tcPr>
          <w:p w14:paraId="6B3FDF01">
            <w:pPr>
              <w:pStyle w:val="29"/>
              <w:spacing w:before="97" w:line="192" w:lineRule="exact"/>
              <w:ind w:left="168"/>
              <w:rPr>
                <w:sz w:val="18"/>
              </w:rPr>
            </w:pPr>
            <w:r>
              <w:rPr>
                <w:spacing w:val="-2"/>
                <w:sz w:val="18"/>
              </w:rPr>
              <w:t>88.348</w:t>
            </w:r>
          </w:p>
        </w:tc>
      </w:tr>
      <w:tr w14:paraId="2809D44E">
        <w:tblPrEx>
          <w:tblCellMar>
            <w:top w:w="0" w:type="dxa"/>
            <w:left w:w="0" w:type="dxa"/>
            <w:bottom w:w="0" w:type="dxa"/>
            <w:right w:w="0" w:type="dxa"/>
          </w:tblCellMar>
        </w:tblPrEx>
        <w:trPr>
          <w:trHeight w:val="640" w:hRule="atLeast"/>
        </w:trPr>
        <w:tc>
          <w:tcPr>
            <w:tcW w:w="1008" w:type="dxa"/>
            <w:tcBorders>
              <w:top w:val="single" w:color="C8C8C8" w:sz="4" w:space="0"/>
              <w:bottom w:val="single" w:color="C8C8C8" w:sz="4" w:space="0"/>
            </w:tcBorders>
            <w:shd w:val="clear" w:color="auto" w:fill="ECECEC"/>
          </w:tcPr>
          <w:p w14:paraId="1C903B6B">
            <w:pPr>
              <w:pStyle w:val="29"/>
              <w:spacing w:before="112"/>
              <w:ind w:left="182"/>
              <w:rPr>
                <w:b/>
                <w:sz w:val="18"/>
              </w:rPr>
            </w:pPr>
            <w:r>
              <w:rPr>
                <w:b/>
                <w:spacing w:val="-5"/>
                <w:sz w:val="18"/>
              </w:rPr>
              <w:t>17</w:t>
            </w:r>
          </w:p>
        </w:tc>
        <w:tc>
          <w:tcPr>
            <w:tcW w:w="4539" w:type="dxa"/>
            <w:tcBorders>
              <w:top w:val="single" w:color="C8C8C8" w:sz="4" w:space="0"/>
              <w:bottom w:val="single" w:color="C8C8C8" w:sz="4" w:space="0"/>
            </w:tcBorders>
            <w:shd w:val="clear" w:color="auto" w:fill="ECECEC"/>
          </w:tcPr>
          <w:p w14:paraId="6E1DFFE8">
            <w:pPr>
              <w:pStyle w:val="29"/>
              <w:tabs>
                <w:tab w:val="left" w:pos="841"/>
                <w:tab w:val="left" w:pos="2726"/>
                <w:tab w:val="left" w:pos="4056"/>
              </w:tabs>
              <w:spacing w:line="322" w:lineRule="exact"/>
              <w:ind w:left="167" w:right="169"/>
              <w:rPr>
                <w:sz w:val="18"/>
              </w:rPr>
            </w:pPr>
            <w:r>
              <w:rPr>
                <w:spacing w:val="-2"/>
                <w:sz w:val="18"/>
              </w:rPr>
              <w:t>Sanal</w:t>
            </w:r>
            <w:r>
              <w:rPr>
                <w:sz w:val="18"/>
              </w:rPr>
              <w:tab/>
            </w:r>
            <w:r>
              <w:rPr>
                <w:spacing w:val="-2"/>
                <w:sz w:val="18"/>
              </w:rPr>
              <w:t>rekreasyonfaaliyetleri,</w:t>
            </w:r>
            <w:r>
              <w:rPr>
                <w:sz w:val="18"/>
              </w:rPr>
              <w:tab/>
            </w:r>
            <w:r>
              <w:rPr>
                <w:spacing w:val="-2"/>
                <w:sz w:val="18"/>
              </w:rPr>
              <w:t>arkadaşlarımla</w:t>
            </w:r>
            <w:r>
              <w:rPr>
                <w:sz w:val="18"/>
              </w:rPr>
              <w:tab/>
            </w:r>
            <w:r>
              <w:rPr>
                <w:spacing w:val="-4"/>
                <w:sz w:val="18"/>
              </w:rPr>
              <w:t xml:space="preserve">olan </w:t>
            </w:r>
            <w:r>
              <w:rPr>
                <w:sz w:val="18"/>
              </w:rPr>
              <w:t>ilişkilerimi geliştirir.</w:t>
            </w:r>
          </w:p>
        </w:tc>
        <w:tc>
          <w:tcPr>
            <w:tcW w:w="991" w:type="dxa"/>
            <w:tcBorders>
              <w:top w:val="single" w:color="C8C8C8" w:sz="4" w:space="0"/>
              <w:bottom w:val="single" w:color="C8C8C8" w:sz="4" w:space="0"/>
            </w:tcBorders>
            <w:shd w:val="clear" w:color="auto" w:fill="ECECEC"/>
          </w:tcPr>
          <w:p w14:paraId="35540C76">
            <w:pPr>
              <w:pStyle w:val="29"/>
              <w:spacing w:before="107"/>
              <w:ind w:left="168"/>
              <w:rPr>
                <w:sz w:val="18"/>
              </w:rPr>
            </w:pPr>
            <w:r>
              <w:rPr>
                <w:spacing w:val="-2"/>
                <w:sz w:val="18"/>
              </w:rPr>
              <w:t>0.412</w:t>
            </w:r>
          </w:p>
        </w:tc>
        <w:tc>
          <w:tcPr>
            <w:tcW w:w="1133" w:type="dxa"/>
            <w:tcBorders>
              <w:top w:val="single" w:color="C8C8C8" w:sz="4" w:space="0"/>
              <w:bottom w:val="single" w:color="C8C8C8" w:sz="4" w:space="0"/>
            </w:tcBorders>
            <w:shd w:val="clear" w:color="auto" w:fill="ECECEC"/>
          </w:tcPr>
          <w:p w14:paraId="36BA518E">
            <w:pPr>
              <w:pStyle w:val="29"/>
              <w:spacing w:before="107"/>
              <w:ind w:left="169"/>
              <w:rPr>
                <w:sz w:val="18"/>
              </w:rPr>
            </w:pPr>
            <w:r>
              <w:rPr>
                <w:spacing w:val="-2"/>
                <w:sz w:val="18"/>
              </w:rPr>
              <w:t>0.937</w:t>
            </w:r>
          </w:p>
        </w:tc>
        <w:tc>
          <w:tcPr>
            <w:tcW w:w="1137" w:type="dxa"/>
            <w:tcBorders>
              <w:top w:val="single" w:color="C8C8C8" w:sz="4" w:space="0"/>
              <w:bottom w:val="single" w:color="C8C8C8" w:sz="4" w:space="0"/>
            </w:tcBorders>
            <w:shd w:val="clear" w:color="auto" w:fill="ECECEC"/>
          </w:tcPr>
          <w:p w14:paraId="536CB311">
            <w:pPr>
              <w:pStyle w:val="29"/>
              <w:spacing w:before="107"/>
              <w:ind w:left="168"/>
              <w:rPr>
                <w:sz w:val="18"/>
              </w:rPr>
            </w:pPr>
            <w:r>
              <w:rPr>
                <w:spacing w:val="-2"/>
                <w:sz w:val="18"/>
              </w:rPr>
              <w:t>89.285</w:t>
            </w:r>
          </w:p>
        </w:tc>
      </w:tr>
      <w:tr w14:paraId="608B1375">
        <w:tblPrEx>
          <w:tblCellMar>
            <w:top w:w="0" w:type="dxa"/>
            <w:left w:w="0" w:type="dxa"/>
            <w:bottom w:w="0" w:type="dxa"/>
            <w:right w:w="0" w:type="dxa"/>
          </w:tblCellMar>
        </w:tblPrEx>
        <w:trPr>
          <w:trHeight w:val="636" w:hRule="atLeast"/>
        </w:trPr>
        <w:tc>
          <w:tcPr>
            <w:tcW w:w="1008" w:type="dxa"/>
            <w:tcBorders>
              <w:top w:val="single" w:color="C8C8C8" w:sz="4" w:space="0"/>
              <w:bottom w:val="single" w:color="C8C8C8" w:sz="4" w:space="0"/>
            </w:tcBorders>
            <w:shd w:val="clear" w:color="auto" w:fill="ECECEC"/>
          </w:tcPr>
          <w:p w14:paraId="204BE3A1">
            <w:pPr>
              <w:pStyle w:val="29"/>
              <w:spacing w:before="109"/>
              <w:ind w:left="182"/>
              <w:rPr>
                <w:b/>
                <w:sz w:val="18"/>
              </w:rPr>
            </w:pPr>
            <w:r>
              <w:rPr>
                <w:b/>
                <w:spacing w:val="-5"/>
                <w:sz w:val="18"/>
              </w:rPr>
              <w:t>18</w:t>
            </w:r>
          </w:p>
        </w:tc>
        <w:tc>
          <w:tcPr>
            <w:tcW w:w="4539" w:type="dxa"/>
            <w:tcBorders>
              <w:top w:val="single" w:color="C8C8C8" w:sz="4" w:space="0"/>
              <w:bottom w:val="single" w:color="C8C8C8" w:sz="4" w:space="0"/>
            </w:tcBorders>
          </w:tcPr>
          <w:p w14:paraId="1C4708F6">
            <w:pPr>
              <w:pStyle w:val="29"/>
              <w:spacing w:line="320" w:lineRule="exact"/>
              <w:ind w:left="167"/>
              <w:rPr>
                <w:sz w:val="18"/>
              </w:rPr>
            </w:pPr>
            <w:r>
              <w:rPr>
                <w:sz w:val="18"/>
              </w:rPr>
              <w:t>Sanal</w:t>
            </w:r>
            <w:r>
              <w:rPr>
                <w:spacing w:val="40"/>
                <w:sz w:val="18"/>
              </w:rPr>
              <w:t xml:space="preserve"> </w:t>
            </w:r>
            <w:r>
              <w:rPr>
                <w:sz w:val="18"/>
              </w:rPr>
              <w:t>rekreasyon</w:t>
            </w:r>
            <w:r>
              <w:rPr>
                <w:spacing w:val="40"/>
                <w:sz w:val="18"/>
              </w:rPr>
              <w:t xml:space="preserve"> </w:t>
            </w:r>
            <w:r>
              <w:rPr>
                <w:sz w:val="18"/>
              </w:rPr>
              <w:t>faaliyetleri,</w:t>
            </w:r>
            <w:r>
              <w:rPr>
                <w:spacing w:val="40"/>
                <w:sz w:val="18"/>
              </w:rPr>
              <w:t xml:space="preserve"> </w:t>
            </w:r>
            <w:r>
              <w:rPr>
                <w:sz w:val="18"/>
              </w:rPr>
              <w:t>yeni</w:t>
            </w:r>
            <w:r>
              <w:rPr>
                <w:spacing w:val="40"/>
                <w:sz w:val="18"/>
              </w:rPr>
              <w:t xml:space="preserve"> </w:t>
            </w:r>
            <w:r>
              <w:rPr>
                <w:sz w:val="18"/>
              </w:rPr>
              <w:t>bilgiler</w:t>
            </w:r>
            <w:r>
              <w:rPr>
                <w:spacing w:val="40"/>
                <w:sz w:val="18"/>
              </w:rPr>
              <w:t xml:space="preserve"> </w:t>
            </w:r>
            <w:r>
              <w:rPr>
                <w:sz w:val="18"/>
              </w:rPr>
              <w:t xml:space="preserve">öğrenmemi </w:t>
            </w:r>
            <w:r>
              <w:rPr>
                <w:spacing w:val="-2"/>
                <w:sz w:val="18"/>
              </w:rPr>
              <w:t>sağlar.</w:t>
            </w:r>
          </w:p>
        </w:tc>
        <w:tc>
          <w:tcPr>
            <w:tcW w:w="991" w:type="dxa"/>
            <w:tcBorders>
              <w:top w:val="single" w:color="C8C8C8" w:sz="4" w:space="0"/>
              <w:bottom w:val="single" w:color="C8C8C8" w:sz="4" w:space="0"/>
            </w:tcBorders>
            <w:shd w:val="clear" w:color="auto" w:fill="ECECEC"/>
          </w:tcPr>
          <w:p w14:paraId="51EC6338">
            <w:pPr>
              <w:pStyle w:val="29"/>
              <w:spacing w:before="104"/>
              <w:ind w:left="168"/>
              <w:rPr>
                <w:sz w:val="18"/>
              </w:rPr>
            </w:pPr>
            <w:r>
              <w:rPr>
                <w:spacing w:val="-2"/>
                <w:sz w:val="18"/>
              </w:rPr>
              <w:t>0.387</w:t>
            </w:r>
          </w:p>
        </w:tc>
        <w:tc>
          <w:tcPr>
            <w:tcW w:w="1133" w:type="dxa"/>
            <w:tcBorders>
              <w:top w:val="single" w:color="C8C8C8" w:sz="4" w:space="0"/>
              <w:bottom w:val="single" w:color="C8C8C8" w:sz="4" w:space="0"/>
            </w:tcBorders>
          </w:tcPr>
          <w:p w14:paraId="1C624306">
            <w:pPr>
              <w:pStyle w:val="29"/>
              <w:spacing w:before="104"/>
              <w:ind w:left="169"/>
              <w:rPr>
                <w:sz w:val="18"/>
              </w:rPr>
            </w:pPr>
            <w:r>
              <w:rPr>
                <w:spacing w:val="-2"/>
                <w:sz w:val="18"/>
              </w:rPr>
              <w:t>0.879</w:t>
            </w:r>
          </w:p>
        </w:tc>
        <w:tc>
          <w:tcPr>
            <w:tcW w:w="1137" w:type="dxa"/>
            <w:tcBorders>
              <w:top w:val="single" w:color="C8C8C8" w:sz="4" w:space="0"/>
              <w:bottom w:val="single" w:color="C8C8C8" w:sz="4" w:space="0"/>
            </w:tcBorders>
            <w:shd w:val="clear" w:color="auto" w:fill="ECECEC"/>
          </w:tcPr>
          <w:p w14:paraId="19FF0539">
            <w:pPr>
              <w:pStyle w:val="29"/>
              <w:spacing w:before="104"/>
              <w:ind w:left="168"/>
              <w:rPr>
                <w:sz w:val="18"/>
              </w:rPr>
            </w:pPr>
            <w:r>
              <w:rPr>
                <w:spacing w:val="-2"/>
                <w:sz w:val="18"/>
              </w:rPr>
              <w:t>90.163</w:t>
            </w:r>
          </w:p>
        </w:tc>
      </w:tr>
      <w:tr w14:paraId="1066882D">
        <w:tblPrEx>
          <w:tblCellMar>
            <w:top w:w="0" w:type="dxa"/>
            <w:left w:w="0" w:type="dxa"/>
            <w:bottom w:w="0" w:type="dxa"/>
            <w:right w:w="0" w:type="dxa"/>
          </w:tblCellMar>
        </w:tblPrEx>
        <w:trPr>
          <w:trHeight w:val="637" w:hRule="atLeast"/>
        </w:trPr>
        <w:tc>
          <w:tcPr>
            <w:tcW w:w="1008" w:type="dxa"/>
            <w:tcBorders>
              <w:top w:val="single" w:color="C8C8C8" w:sz="4" w:space="0"/>
              <w:bottom w:val="single" w:color="C8C8C8" w:sz="4" w:space="0"/>
            </w:tcBorders>
            <w:shd w:val="clear" w:color="auto" w:fill="ECECEC"/>
          </w:tcPr>
          <w:p w14:paraId="6009CD02">
            <w:pPr>
              <w:pStyle w:val="29"/>
              <w:spacing w:before="109"/>
              <w:ind w:left="182"/>
              <w:rPr>
                <w:b/>
                <w:sz w:val="18"/>
              </w:rPr>
            </w:pPr>
            <w:r>
              <w:rPr>
                <w:b/>
                <w:spacing w:val="-5"/>
                <w:sz w:val="18"/>
              </w:rPr>
              <w:t>19</w:t>
            </w:r>
          </w:p>
        </w:tc>
        <w:tc>
          <w:tcPr>
            <w:tcW w:w="4539" w:type="dxa"/>
            <w:tcBorders>
              <w:top w:val="single" w:color="C8C8C8" w:sz="4" w:space="0"/>
              <w:bottom w:val="single" w:color="C8C8C8" w:sz="4" w:space="0"/>
            </w:tcBorders>
            <w:shd w:val="clear" w:color="auto" w:fill="ECECEC"/>
          </w:tcPr>
          <w:p w14:paraId="23BAF0C9">
            <w:pPr>
              <w:pStyle w:val="29"/>
              <w:spacing w:line="320" w:lineRule="exact"/>
              <w:ind w:left="167"/>
              <w:rPr>
                <w:sz w:val="18"/>
              </w:rPr>
            </w:pPr>
            <w:r>
              <w:rPr>
                <w:sz w:val="18"/>
              </w:rPr>
              <w:t>Sanal</w:t>
            </w:r>
            <w:r>
              <w:rPr>
                <w:spacing w:val="39"/>
                <w:sz w:val="18"/>
              </w:rPr>
              <w:t xml:space="preserve"> </w:t>
            </w:r>
            <w:r>
              <w:rPr>
                <w:sz w:val="18"/>
              </w:rPr>
              <w:t>rekreasyon</w:t>
            </w:r>
            <w:r>
              <w:rPr>
                <w:spacing w:val="40"/>
                <w:sz w:val="18"/>
              </w:rPr>
              <w:t xml:space="preserve"> </w:t>
            </w:r>
            <w:r>
              <w:rPr>
                <w:sz w:val="18"/>
              </w:rPr>
              <w:t>faaliyetleri,</w:t>
            </w:r>
            <w:r>
              <w:rPr>
                <w:spacing w:val="40"/>
                <w:sz w:val="18"/>
              </w:rPr>
              <w:t xml:space="preserve"> </w:t>
            </w:r>
            <w:r>
              <w:rPr>
                <w:sz w:val="18"/>
              </w:rPr>
              <w:t>yeni</w:t>
            </w:r>
            <w:r>
              <w:rPr>
                <w:spacing w:val="39"/>
                <w:sz w:val="18"/>
              </w:rPr>
              <w:t xml:space="preserve"> </w:t>
            </w:r>
            <w:r>
              <w:rPr>
                <w:sz w:val="18"/>
              </w:rPr>
              <w:t>deneyimlerden</w:t>
            </w:r>
            <w:r>
              <w:rPr>
                <w:spacing w:val="39"/>
                <w:sz w:val="18"/>
              </w:rPr>
              <w:t xml:space="preserve"> </w:t>
            </w:r>
            <w:r>
              <w:rPr>
                <w:sz w:val="18"/>
              </w:rPr>
              <w:t>zevk almamı sağlar.</w:t>
            </w:r>
          </w:p>
        </w:tc>
        <w:tc>
          <w:tcPr>
            <w:tcW w:w="991" w:type="dxa"/>
            <w:tcBorders>
              <w:top w:val="single" w:color="C8C8C8" w:sz="4" w:space="0"/>
              <w:bottom w:val="single" w:color="C8C8C8" w:sz="4" w:space="0"/>
            </w:tcBorders>
            <w:shd w:val="clear" w:color="auto" w:fill="ECECEC"/>
          </w:tcPr>
          <w:p w14:paraId="54AF71D6">
            <w:pPr>
              <w:pStyle w:val="29"/>
              <w:spacing w:before="104"/>
              <w:ind w:left="168"/>
              <w:rPr>
                <w:sz w:val="18"/>
              </w:rPr>
            </w:pPr>
            <w:r>
              <w:rPr>
                <w:spacing w:val="-2"/>
                <w:sz w:val="18"/>
              </w:rPr>
              <w:t>0.367</w:t>
            </w:r>
          </w:p>
        </w:tc>
        <w:tc>
          <w:tcPr>
            <w:tcW w:w="1133" w:type="dxa"/>
            <w:tcBorders>
              <w:top w:val="single" w:color="C8C8C8" w:sz="4" w:space="0"/>
              <w:bottom w:val="single" w:color="C8C8C8" w:sz="4" w:space="0"/>
            </w:tcBorders>
            <w:shd w:val="clear" w:color="auto" w:fill="ECECEC"/>
          </w:tcPr>
          <w:p w14:paraId="7090CD0B">
            <w:pPr>
              <w:pStyle w:val="29"/>
              <w:spacing w:before="104"/>
              <w:ind w:left="169"/>
              <w:rPr>
                <w:sz w:val="18"/>
              </w:rPr>
            </w:pPr>
            <w:r>
              <w:rPr>
                <w:spacing w:val="-2"/>
                <w:sz w:val="18"/>
              </w:rPr>
              <w:t>0.835</w:t>
            </w:r>
          </w:p>
        </w:tc>
        <w:tc>
          <w:tcPr>
            <w:tcW w:w="1137" w:type="dxa"/>
            <w:tcBorders>
              <w:top w:val="single" w:color="C8C8C8" w:sz="4" w:space="0"/>
              <w:bottom w:val="single" w:color="C8C8C8" w:sz="4" w:space="0"/>
            </w:tcBorders>
            <w:shd w:val="clear" w:color="auto" w:fill="ECECEC"/>
          </w:tcPr>
          <w:p w14:paraId="3DA4B38D">
            <w:pPr>
              <w:pStyle w:val="29"/>
              <w:spacing w:before="104"/>
              <w:ind w:left="168"/>
              <w:rPr>
                <w:sz w:val="18"/>
              </w:rPr>
            </w:pPr>
            <w:r>
              <w:rPr>
                <w:spacing w:val="-2"/>
                <w:sz w:val="18"/>
              </w:rPr>
              <w:t>90.998</w:t>
            </w:r>
          </w:p>
        </w:tc>
      </w:tr>
    </w:tbl>
    <w:p w14:paraId="4800542F">
      <w:pPr>
        <w:pStyle w:val="9"/>
        <w:spacing w:before="5"/>
        <w:ind w:left="0"/>
        <w:jc w:val="left"/>
        <w:rPr>
          <w:sz w:val="2"/>
        </w:rPr>
      </w:pPr>
    </w:p>
    <w:tbl>
      <w:tblPr>
        <w:tblStyle w:val="7"/>
        <w:tblW w:w="0" w:type="auto"/>
        <w:tblInd w:w="153" w:type="dxa"/>
        <w:tblLayout w:type="fixed"/>
        <w:tblCellMar>
          <w:top w:w="0" w:type="dxa"/>
          <w:left w:w="0" w:type="dxa"/>
          <w:bottom w:w="0" w:type="dxa"/>
          <w:right w:w="0" w:type="dxa"/>
        </w:tblCellMar>
      </w:tblPr>
      <w:tblGrid>
        <w:gridCol w:w="1008"/>
        <w:gridCol w:w="4539"/>
        <w:gridCol w:w="991"/>
        <w:gridCol w:w="1133"/>
        <w:gridCol w:w="1137"/>
      </w:tblGrid>
      <w:tr w14:paraId="6D45B8C3">
        <w:tblPrEx>
          <w:tblCellMar>
            <w:top w:w="0" w:type="dxa"/>
            <w:left w:w="0" w:type="dxa"/>
            <w:bottom w:w="0" w:type="dxa"/>
            <w:right w:w="0" w:type="dxa"/>
          </w:tblCellMar>
        </w:tblPrEx>
        <w:trPr>
          <w:trHeight w:val="640" w:hRule="atLeast"/>
        </w:trPr>
        <w:tc>
          <w:tcPr>
            <w:tcW w:w="1008" w:type="dxa"/>
            <w:tcBorders>
              <w:top w:val="single" w:color="C8C8C8" w:sz="4" w:space="0"/>
              <w:bottom w:val="single" w:color="C8C8C8" w:sz="4" w:space="0"/>
            </w:tcBorders>
            <w:shd w:val="clear" w:color="auto" w:fill="ECECEC"/>
          </w:tcPr>
          <w:p w14:paraId="700FB6D6">
            <w:pPr>
              <w:pStyle w:val="29"/>
              <w:spacing w:before="112"/>
              <w:ind w:left="182"/>
              <w:rPr>
                <w:b/>
                <w:sz w:val="18"/>
              </w:rPr>
            </w:pPr>
            <w:r>
              <w:rPr>
                <w:b/>
                <w:spacing w:val="-5"/>
                <w:sz w:val="18"/>
              </w:rPr>
              <w:t>20</w:t>
            </w:r>
          </w:p>
        </w:tc>
        <w:tc>
          <w:tcPr>
            <w:tcW w:w="4539" w:type="dxa"/>
            <w:tcBorders>
              <w:top w:val="single" w:color="C8C8C8" w:sz="4" w:space="0"/>
              <w:bottom w:val="single" w:color="C8C8C8" w:sz="4" w:space="0"/>
            </w:tcBorders>
          </w:tcPr>
          <w:p w14:paraId="612D77A4">
            <w:pPr>
              <w:pStyle w:val="29"/>
              <w:spacing w:line="320" w:lineRule="exact"/>
              <w:ind w:left="167"/>
              <w:rPr>
                <w:sz w:val="18"/>
              </w:rPr>
            </w:pPr>
            <w:r>
              <w:rPr>
                <w:sz w:val="18"/>
              </w:rPr>
              <w:t>Sanal</w:t>
            </w:r>
            <w:r>
              <w:rPr>
                <w:spacing w:val="80"/>
                <w:sz w:val="18"/>
              </w:rPr>
              <w:t xml:space="preserve"> </w:t>
            </w:r>
            <w:r>
              <w:rPr>
                <w:sz w:val="18"/>
              </w:rPr>
              <w:t>rekreasyon</w:t>
            </w:r>
            <w:r>
              <w:rPr>
                <w:spacing w:val="80"/>
                <w:sz w:val="18"/>
              </w:rPr>
              <w:t xml:space="preserve"> </w:t>
            </w:r>
            <w:r>
              <w:rPr>
                <w:sz w:val="18"/>
              </w:rPr>
              <w:t>faaliyetleri,</w:t>
            </w:r>
            <w:r>
              <w:rPr>
                <w:spacing w:val="80"/>
                <w:sz w:val="18"/>
              </w:rPr>
              <w:t xml:space="preserve"> </w:t>
            </w:r>
            <w:r>
              <w:rPr>
                <w:sz w:val="18"/>
              </w:rPr>
              <w:t>bağımsız</w:t>
            </w:r>
            <w:r>
              <w:rPr>
                <w:spacing w:val="80"/>
                <w:sz w:val="18"/>
              </w:rPr>
              <w:t xml:space="preserve"> </w:t>
            </w:r>
            <w:r>
              <w:rPr>
                <w:sz w:val="18"/>
              </w:rPr>
              <w:t>bir</w:t>
            </w:r>
            <w:r>
              <w:rPr>
                <w:spacing w:val="80"/>
                <w:sz w:val="18"/>
              </w:rPr>
              <w:t xml:space="preserve"> </w:t>
            </w:r>
            <w:r>
              <w:rPr>
                <w:sz w:val="18"/>
              </w:rPr>
              <w:t>kişilik</w:t>
            </w:r>
            <w:r>
              <w:rPr>
                <w:spacing w:val="40"/>
                <w:sz w:val="18"/>
              </w:rPr>
              <w:t xml:space="preserve"> </w:t>
            </w:r>
            <w:r>
              <w:rPr>
                <w:sz w:val="18"/>
              </w:rPr>
              <w:t>geliştirmeme yardımcı olur.</w:t>
            </w:r>
          </w:p>
        </w:tc>
        <w:tc>
          <w:tcPr>
            <w:tcW w:w="991" w:type="dxa"/>
            <w:tcBorders>
              <w:top w:val="single" w:color="C8C8C8" w:sz="4" w:space="0"/>
              <w:bottom w:val="single" w:color="C8C8C8" w:sz="4" w:space="0"/>
            </w:tcBorders>
            <w:shd w:val="clear" w:color="auto" w:fill="ECECEC"/>
          </w:tcPr>
          <w:p w14:paraId="6C9EE04F">
            <w:pPr>
              <w:pStyle w:val="29"/>
              <w:spacing w:before="107"/>
              <w:ind w:left="168"/>
              <w:rPr>
                <w:sz w:val="18"/>
              </w:rPr>
            </w:pPr>
            <w:r>
              <w:rPr>
                <w:spacing w:val="-2"/>
                <w:sz w:val="18"/>
              </w:rPr>
              <w:t>0.329</w:t>
            </w:r>
          </w:p>
        </w:tc>
        <w:tc>
          <w:tcPr>
            <w:tcW w:w="1133" w:type="dxa"/>
            <w:tcBorders>
              <w:top w:val="single" w:color="C8C8C8" w:sz="4" w:space="0"/>
              <w:bottom w:val="single" w:color="C8C8C8" w:sz="4" w:space="0"/>
            </w:tcBorders>
          </w:tcPr>
          <w:p w14:paraId="2BF89FAB">
            <w:pPr>
              <w:pStyle w:val="29"/>
              <w:spacing w:before="107"/>
              <w:ind w:left="169"/>
              <w:rPr>
                <w:sz w:val="18"/>
              </w:rPr>
            </w:pPr>
            <w:r>
              <w:rPr>
                <w:spacing w:val="-2"/>
                <w:sz w:val="18"/>
              </w:rPr>
              <w:t>0.747</w:t>
            </w:r>
          </w:p>
        </w:tc>
        <w:tc>
          <w:tcPr>
            <w:tcW w:w="1137" w:type="dxa"/>
            <w:tcBorders>
              <w:top w:val="single" w:color="C8C8C8" w:sz="4" w:space="0"/>
              <w:bottom w:val="single" w:color="C8C8C8" w:sz="4" w:space="0"/>
            </w:tcBorders>
            <w:shd w:val="clear" w:color="auto" w:fill="ECECEC"/>
          </w:tcPr>
          <w:p w14:paraId="29DE7472">
            <w:pPr>
              <w:pStyle w:val="29"/>
              <w:spacing w:before="107"/>
              <w:ind w:left="168"/>
              <w:rPr>
                <w:sz w:val="18"/>
              </w:rPr>
            </w:pPr>
            <w:r>
              <w:rPr>
                <w:spacing w:val="-2"/>
                <w:sz w:val="18"/>
              </w:rPr>
              <w:t>91.745</w:t>
            </w:r>
          </w:p>
        </w:tc>
      </w:tr>
      <w:tr w14:paraId="6FEAAA75">
        <w:tblPrEx>
          <w:tblCellMar>
            <w:top w:w="0" w:type="dxa"/>
            <w:left w:w="0" w:type="dxa"/>
            <w:bottom w:w="0" w:type="dxa"/>
            <w:right w:w="0" w:type="dxa"/>
          </w:tblCellMar>
        </w:tblPrEx>
        <w:trPr>
          <w:trHeight w:val="640" w:hRule="atLeast"/>
        </w:trPr>
        <w:tc>
          <w:tcPr>
            <w:tcW w:w="1008" w:type="dxa"/>
            <w:tcBorders>
              <w:top w:val="single" w:color="C8C8C8" w:sz="4" w:space="0"/>
              <w:bottom w:val="single" w:color="C8C8C8" w:sz="4" w:space="0"/>
            </w:tcBorders>
            <w:shd w:val="clear" w:color="auto" w:fill="ECECEC"/>
          </w:tcPr>
          <w:p w14:paraId="780ABF18">
            <w:pPr>
              <w:pStyle w:val="29"/>
              <w:spacing w:before="112"/>
              <w:ind w:left="182"/>
              <w:rPr>
                <w:b/>
                <w:sz w:val="18"/>
              </w:rPr>
            </w:pPr>
            <w:r>
              <w:rPr>
                <w:b/>
                <w:spacing w:val="-5"/>
                <w:sz w:val="18"/>
              </w:rPr>
              <w:t>21</w:t>
            </w:r>
          </w:p>
        </w:tc>
        <w:tc>
          <w:tcPr>
            <w:tcW w:w="4539" w:type="dxa"/>
            <w:tcBorders>
              <w:top w:val="single" w:color="C8C8C8" w:sz="4" w:space="0"/>
              <w:bottom w:val="single" w:color="C8C8C8" w:sz="4" w:space="0"/>
            </w:tcBorders>
            <w:shd w:val="clear" w:color="auto" w:fill="ECECEC"/>
          </w:tcPr>
          <w:p w14:paraId="7AC90F74">
            <w:pPr>
              <w:pStyle w:val="29"/>
              <w:spacing w:line="320" w:lineRule="exact"/>
              <w:ind w:left="167"/>
              <w:rPr>
                <w:sz w:val="18"/>
              </w:rPr>
            </w:pPr>
            <w:r>
              <w:rPr>
                <w:sz w:val="18"/>
              </w:rPr>
              <w:t>Sanal</w:t>
            </w:r>
            <w:r>
              <w:rPr>
                <w:spacing w:val="80"/>
                <w:sz w:val="18"/>
              </w:rPr>
              <w:t xml:space="preserve"> </w:t>
            </w:r>
            <w:r>
              <w:rPr>
                <w:sz w:val="18"/>
              </w:rPr>
              <w:t>rekreasyon</w:t>
            </w:r>
            <w:r>
              <w:rPr>
                <w:spacing w:val="80"/>
                <w:sz w:val="18"/>
              </w:rPr>
              <w:t xml:space="preserve"> </w:t>
            </w:r>
            <w:r>
              <w:rPr>
                <w:sz w:val="18"/>
              </w:rPr>
              <w:t>faaliyetleri,</w:t>
            </w:r>
            <w:r>
              <w:rPr>
                <w:spacing w:val="80"/>
                <w:sz w:val="18"/>
              </w:rPr>
              <w:t xml:space="preserve"> </w:t>
            </w:r>
            <w:r>
              <w:rPr>
                <w:sz w:val="18"/>
              </w:rPr>
              <w:t>zorluklarla</w:t>
            </w:r>
            <w:r>
              <w:rPr>
                <w:spacing w:val="80"/>
                <w:sz w:val="18"/>
              </w:rPr>
              <w:t xml:space="preserve"> </w:t>
            </w:r>
            <w:r>
              <w:rPr>
                <w:sz w:val="18"/>
              </w:rPr>
              <w:t>daha</w:t>
            </w:r>
            <w:r>
              <w:rPr>
                <w:spacing w:val="80"/>
                <w:sz w:val="18"/>
              </w:rPr>
              <w:t xml:space="preserve"> </w:t>
            </w:r>
            <w:r>
              <w:rPr>
                <w:sz w:val="18"/>
              </w:rPr>
              <w:t>kolay yüzleşmemi sağlar.</w:t>
            </w:r>
          </w:p>
        </w:tc>
        <w:tc>
          <w:tcPr>
            <w:tcW w:w="991" w:type="dxa"/>
            <w:tcBorders>
              <w:top w:val="single" w:color="C8C8C8" w:sz="4" w:space="0"/>
              <w:bottom w:val="single" w:color="C8C8C8" w:sz="4" w:space="0"/>
            </w:tcBorders>
            <w:shd w:val="clear" w:color="auto" w:fill="ECECEC"/>
          </w:tcPr>
          <w:p w14:paraId="45D462FE">
            <w:pPr>
              <w:pStyle w:val="29"/>
              <w:spacing w:before="107"/>
              <w:ind w:left="168"/>
              <w:rPr>
                <w:sz w:val="18"/>
              </w:rPr>
            </w:pPr>
            <w:r>
              <w:rPr>
                <w:spacing w:val="-2"/>
                <w:sz w:val="18"/>
              </w:rPr>
              <w:t>0.323</w:t>
            </w:r>
          </w:p>
        </w:tc>
        <w:tc>
          <w:tcPr>
            <w:tcW w:w="1133" w:type="dxa"/>
            <w:tcBorders>
              <w:top w:val="single" w:color="C8C8C8" w:sz="4" w:space="0"/>
              <w:bottom w:val="single" w:color="C8C8C8" w:sz="4" w:space="0"/>
            </w:tcBorders>
            <w:shd w:val="clear" w:color="auto" w:fill="ECECEC"/>
          </w:tcPr>
          <w:p w14:paraId="4CF95500">
            <w:pPr>
              <w:pStyle w:val="29"/>
              <w:spacing w:before="107"/>
              <w:ind w:left="169"/>
              <w:rPr>
                <w:sz w:val="18"/>
              </w:rPr>
            </w:pPr>
            <w:r>
              <w:rPr>
                <w:spacing w:val="-2"/>
                <w:sz w:val="18"/>
              </w:rPr>
              <w:t>0.733</w:t>
            </w:r>
          </w:p>
        </w:tc>
        <w:tc>
          <w:tcPr>
            <w:tcW w:w="1137" w:type="dxa"/>
            <w:tcBorders>
              <w:top w:val="single" w:color="C8C8C8" w:sz="4" w:space="0"/>
              <w:bottom w:val="single" w:color="C8C8C8" w:sz="4" w:space="0"/>
            </w:tcBorders>
            <w:shd w:val="clear" w:color="auto" w:fill="ECECEC"/>
          </w:tcPr>
          <w:p w14:paraId="3969928A">
            <w:pPr>
              <w:pStyle w:val="29"/>
              <w:spacing w:before="107"/>
              <w:ind w:left="168"/>
              <w:rPr>
                <w:sz w:val="18"/>
              </w:rPr>
            </w:pPr>
            <w:r>
              <w:rPr>
                <w:spacing w:val="-2"/>
                <w:sz w:val="18"/>
              </w:rPr>
              <w:t>92.479</w:t>
            </w:r>
          </w:p>
        </w:tc>
      </w:tr>
      <w:tr w14:paraId="1B8C652C">
        <w:tblPrEx>
          <w:tblCellMar>
            <w:top w:w="0" w:type="dxa"/>
            <w:left w:w="0" w:type="dxa"/>
            <w:bottom w:w="0" w:type="dxa"/>
            <w:right w:w="0" w:type="dxa"/>
          </w:tblCellMar>
        </w:tblPrEx>
        <w:trPr>
          <w:trHeight w:val="638" w:hRule="atLeast"/>
        </w:trPr>
        <w:tc>
          <w:tcPr>
            <w:tcW w:w="1008" w:type="dxa"/>
            <w:tcBorders>
              <w:top w:val="single" w:color="C8C8C8" w:sz="4" w:space="0"/>
              <w:bottom w:val="single" w:color="C8C8C8" w:sz="4" w:space="0"/>
            </w:tcBorders>
            <w:shd w:val="clear" w:color="auto" w:fill="ECECEC"/>
          </w:tcPr>
          <w:p w14:paraId="03CD4002">
            <w:pPr>
              <w:pStyle w:val="29"/>
              <w:spacing w:before="112"/>
              <w:ind w:left="182"/>
              <w:rPr>
                <w:b/>
                <w:sz w:val="18"/>
              </w:rPr>
            </w:pPr>
            <w:r>
              <w:rPr>
                <w:b/>
                <w:spacing w:val="-5"/>
                <w:sz w:val="18"/>
              </w:rPr>
              <w:t>22</w:t>
            </w:r>
          </w:p>
        </w:tc>
        <w:tc>
          <w:tcPr>
            <w:tcW w:w="4539" w:type="dxa"/>
            <w:tcBorders>
              <w:top w:val="single" w:color="C8C8C8" w:sz="4" w:space="0"/>
              <w:bottom w:val="single" w:color="C8C8C8" w:sz="4" w:space="0"/>
            </w:tcBorders>
          </w:tcPr>
          <w:p w14:paraId="3397DFDC">
            <w:pPr>
              <w:pStyle w:val="29"/>
              <w:spacing w:line="320" w:lineRule="exact"/>
              <w:ind w:left="167"/>
              <w:rPr>
                <w:sz w:val="18"/>
              </w:rPr>
            </w:pPr>
            <w:r>
              <w:rPr>
                <w:sz w:val="18"/>
              </w:rPr>
              <w:t>Sanal rekreasyon</w:t>
            </w:r>
            <w:r>
              <w:rPr>
                <w:spacing w:val="13"/>
                <w:sz w:val="18"/>
              </w:rPr>
              <w:t xml:space="preserve"> </w:t>
            </w:r>
            <w:r>
              <w:rPr>
                <w:sz w:val="18"/>
              </w:rPr>
              <w:t>faaliyetleri, potansiyelimi geliştirmeme yardımcı olur.</w:t>
            </w:r>
          </w:p>
        </w:tc>
        <w:tc>
          <w:tcPr>
            <w:tcW w:w="991" w:type="dxa"/>
            <w:tcBorders>
              <w:top w:val="single" w:color="C8C8C8" w:sz="4" w:space="0"/>
              <w:bottom w:val="single" w:color="C8C8C8" w:sz="4" w:space="0"/>
            </w:tcBorders>
            <w:shd w:val="clear" w:color="auto" w:fill="ECECEC"/>
          </w:tcPr>
          <w:p w14:paraId="121CD3B5">
            <w:pPr>
              <w:pStyle w:val="29"/>
              <w:spacing w:before="107"/>
              <w:ind w:left="168"/>
              <w:rPr>
                <w:sz w:val="18"/>
              </w:rPr>
            </w:pPr>
            <w:r>
              <w:rPr>
                <w:spacing w:val="-2"/>
                <w:sz w:val="18"/>
              </w:rPr>
              <w:t>0.309</w:t>
            </w:r>
          </w:p>
        </w:tc>
        <w:tc>
          <w:tcPr>
            <w:tcW w:w="1133" w:type="dxa"/>
            <w:tcBorders>
              <w:top w:val="single" w:color="C8C8C8" w:sz="4" w:space="0"/>
              <w:bottom w:val="single" w:color="C8C8C8" w:sz="4" w:space="0"/>
            </w:tcBorders>
          </w:tcPr>
          <w:p w14:paraId="14E1BC8F">
            <w:pPr>
              <w:pStyle w:val="29"/>
              <w:spacing w:before="107"/>
              <w:ind w:left="169"/>
              <w:rPr>
                <w:sz w:val="18"/>
              </w:rPr>
            </w:pPr>
            <w:r>
              <w:rPr>
                <w:spacing w:val="-2"/>
                <w:sz w:val="18"/>
              </w:rPr>
              <w:t>0.702</w:t>
            </w:r>
          </w:p>
        </w:tc>
        <w:tc>
          <w:tcPr>
            <w:tcW w:w="1137" w:type="dxa"/>
            <w:tcBorders>
              <w:top w:val="single" w:color="C8C8C8" w:sz="4" w:space="0"/>
              <w:bottom w:val="single" w:color="C8C8C8" w:sz="4" w:space="0"/>
            </w:tcBorders>
            <w:shd w:val="clear" w:color="auto" w:fill="ECECEC"/>
          </w:tcPr>
          <w:p w14:paraId="10F8C1C0">
            <w:pPr>
              <w:pStyle w:val="29"/>
              <w:spacing w:before="107"/>
              <w:ind w:left="168"/>
              <w:rPr>
                <w:sz w:val="18"/>
              </w:rPr>
            </w:pPr>
            <w:r>
              <w:rPr>
                <w:spacing w:val="-2"/>
                <w:sz w:val="18"/>
              </w:rPr>
              <w:t>93.181</w:t>
            </w:r>
          </w:p>
        </w:tc>
      </w:tr>
      <w:tr w14:paraId="7B8AE925">
        <w:tblPrEx>
          <w:tblCellMar>
            <w:top w:w="0" w:type="dxa"/>
            <w:left w:w="0" w:type="dxa"/>
            <w:bottom w:w="0" w:type="dxa"/>
            <w:right w:w="0" w:type="dxa"/>
          </w:tblCellMar>
        </w:tblPrEx>
        <w:trPr>
          <w:trHeight w:val="638" w:hRule="atLeast"/>
        </w:trPr>
        <w:tc>
          <w:tcPr>
            <w:tcW w:w="1008" w:type="dxa"/>
            <w:tcBorders>
              <w:top w:val="single" w:color="C8C8C8" w:sz="4" w:space="0"/>
              <w:bottom w:val="single" w:color="C8C8C8" w:sz="4" w:space="0"/>
            </w:tcBorders>
            <w:shd w:val="clear" w:color="auto" w:fill="ECECEC"/>
          </w:tcPr>
          <w:p w14:paraId="6B6B10BD">
            <w:pPr>
              <w:pStyle w:val="29"/>
              <w:spacing w:before="113"/>
              <w:ind w:left="182"/>
              <w:rPr>
                <w:b/>
                <w:sz w:val="18"/>
              </w:rPr>
            </w:pPr>
            <w:r>
              <w:rPr>
                <w:b/>
                <w:spacing w:val="-5"/>
                <w:sz w:val="18"/>
              </w:rPr>
              <w:t>23</w:t>
            </w:r>
          </w:p>
        </w:tc>
        <w:tc>
          <w:tcPr>
            <w:tcW w:w="4539" w:type="dxa"/>
            <w:tcBorders>
              <w:top w:val="single" w:color="C8C8C8" w:sz="4" w:space="0"/>
              <w:bottom w:val="single" w:color="C8C8C8" w:sz="4" w:space="0"/>
            </w:tcBorders>
            <w:shd w:val="clear" w:color="auto" w:fill="ECECEC"/>
          </w:tcPr>
          <w:p w14:paraId="1764B640">
            <w:pPr>
              <w:pStyle w:val="29"/>
              <w:spacing w:line="320" w:lineRule="exact"/>
              <w:ind w:left="167"/>
              <w:rPr>
                <w:sz w:val="18"/>
              </w:rPr>
            </w:pPr>
            <w:r>
              <w:rPr>
                <w:sz w:val="18"/>
              </w:rPr>
              <w:t>Sanal</w:t>
            </w:r>
            <w:r>
              <w:rPr>
                <w:spacing w:val="80"/>
                <w:sz w:val="18"/>
              </w:rPr>
              <w:t xml:space="preserve"> </w:t>
            </w:r>
            <w:r>
              <w:rPr>
                <w:sz w:val="18"/>
              </w:rPr>
              <w:t>rekreasyon</w:t>
            </w:r>
            <w:r>
              <w:rPr>
                <w:spacing w:val="80"/>
                <w:w w:val="150"/>
                <w:sz w:val="18"/>
              </w:rPr>
              <w:t xml:space="preserve"> </w:t>
            </w:r>
            <w:r>
              <w:rPr>
                <w:sz w:val="18"/>
              </w:rPr>
              <w:t>faaliyetleri,</w:t>
            </w:r>
            <w:r>
              <w:rPr>
                <w:spacing w:val="80"/>
                <w:sz w:val="18"/>
              </w:rPr>
              <w:t xml:space="preserve"> </w:t>
            </w:r>
            <w:r>
              <w:rPr>
                <w:sz w:val="18"/>
              </w:rPr>
              <w:t>kişisel</w:t>
            </w:r>
            <w:r>
              <w:rPr>
                <w:spacing w:val="80"/>
                <w:sz w:val="18"/>
              </w:rPr>
              <w:t xml:space="preserve"> </w:t>
            </w:r>
            <w:r>
              <w:rPr>
                <w:sz w:val="18"/>
              </w:rPr>
              <w:t>becerilerimin</w:t>
            </w:r>
            <w:r>
              <w:rPr>
                <w:spacing w:val="40"/>
                <w:sz w:val="18"/>
              </w:rPr>
              <w:t xml:space="preserve"> </w:t>
            </w:r>
            <w:r>
              <w:rPr>
                <w:sz w:val="18"/>
              </w:rPr>
              <w:t>gelişmesini sağlar.</w:t>
            </w:r>
          </w:p>
        </w:tc>
        <w:tc>
          <w:tcPr>
            <w:tcW w:w="991" w:type="dxa"/>
            <w:tcBorders>
              <w:top w:val="single" w:color="C8C8C8" w:sz="4" w:space="0"/>
              <w:bottom w:val="single" w:color="C8C8C8" w:sz="4" w:space="0"/>
            </w:tcBorders>
            <w:shd w:val="clear" w:color="auto" w:fill="ECECEC"/>
          </w:tcPr>
          <w:p w14:paraId="34928625">
            <w:pPr>
              <w:pStyle w:val="29"/>
              <w:spacing w:before="108"/>
              <w:ind w:left="168"/>
              <w:rPr>
                <w:sz w:val="18"/>
              </w:rPr>
            </w:pPr>
            <w:r>
              <w:rPr>
                <w:spacing w:val="-2"/>
                <w:sz w:val="18"/>
              </w:rPr>
              <w:t>0.284</w:t>
            </w:r>
          </w:p>
        </w:tc>
        <w:tc>
          <w:tcPr>
            <w:tcW w:w="1133" w:type="dxa"/>
            <w:tcBorders>
              <w:top w:val="single" w:color="C8C8C8" w:sz="4" w:space="0"/>
              <w:bottom w:val="single" w:color="C8C8C8" w:sz="4" w:space="0"/>
            </w:tcBorders>
            <w:shd w:val="clear" w:color="auto" w:fill="ECECEC"/>
          </w:tcPr>
          <w:p w14:paraId="3C74EDDC">
            <w:pPr>
              <w:pStyle w:val="29"/>
              <w:spacing w:before="108"/>
              <w:ind w:left="169"/>
              <w:rPr>
                <w:sz w:val="18"/>
              </w:rPr>
            </w:pPr>
            <w:r>
              <w:rPr>
                <w:spacing w:val="-2"/>
                <w:sz w:val="18"/>
              </w:rPr>
              <w:t>0.645</w:t>
            </w:r>
          </w:p>
        </w:tc>
        <w:tc>
          <w:tcPr>
            <w:tcW w:w="1137" w:type="dxa"/>
            <w:tcBorders>
              <w:top w:val="single" w:color="C8C8C8" w:sz="4" w:space="0"/>
              <w:bottom w:val="single" w:color="C8C8C8" w:sz="4" w:space="0"/>
            </w:tcBorders>
            <w:shd w:val="clear" w:color="auto" w:fill="ECECEC"/>
          </w:tcPr>
          <w:p w14:paraId="7A209ED8">
            <w:pPr>
              <w:pStyle w:val="29"/>
              <w:spacing w:before="108"/>
              <w:ind w:left="168"/>
              <w:rPr>
                <w:sz w:val="18"/>
              </w:rPr>
            </w:pPr>
            <w:r>
              <w:rPr>
                <w:spacing w:val="-2"/>
                <w:sz w:val="18"/>
              </w:rPr>
              <w:t>93.826</w:t>
            </w:r>
          </w:p>
        </w:tc>
      </w:tr>
      <w:tr w14:paraId="107FA2C4">
        <w:tblPrEx>
          <w:tblCellMar>
            <w:top w:w="0" w:type="dxa"/>
            <w:left w:w="0" w:type="dxa"/>
            <w:bottom w:w="0" w:type="dxa"/>
            <w:right w:w="0" w:type="dxa"/>
          </w:tblCellMar>
        </w:tblPrEx>
        <w:trPr>
          <w:trHeight w:val="319" w:hRule="atLeast"/>
        </w:trPr>
        <w:tc>
          <w:tcPr>
            <w:tcW w:w="1008" w:type="dxa"/>
            <w:tcBorders>
              <w:top w:val="single" w:color="C8C8C8" w:sz="4" w:space="0"/>
              <w:bottom w:val="single" w:color="C8C8C8" w:sz="4" w:space="0"/>
            </w:tcBorders>
            <w:shd w:val="clear" w:color="auto" w:fill="ECECEC"/>
          </w:tcPr>
          <w:p w14:paraId="3B658C49">
            <w:pPr>
              <w:pStyle w:val="29"/>
              <w:spacing w:before="111" w:line="189" w:lineRule="exact"/>
              <w:ind w:left="182"/>
              <w:rPr>
                <w:b/>
                <w:sz w:val="18"/>
              </w:rPr>
            </w:pPr>
            <w:r>
              <w:rPr>
                <w:b/>
                <w:spacing w:val="-5"/>
                <w:sz w:val="18"/>
              </w:rPr>
              <w:t>24</w:t>
            </w:r>
          </w:p>
        </w:tc>
        <w:tc>
          <w:tcPr>
            <w:tcW w:w="4539" w:type="dxa"/>
            <w:tcBorders>
              <w:top w:val="single" w:color="C8C8C8" w:sz="4" w:space="0"/>
              <w:bottom w:val="single" w:color="C8C8C8" w:sz="4" w:space="0"/>
            </w:tcBorders>
          </w:tcPr>
          <w:p w14:paraId="513D348E">
            <w:pPr>
              <w:pStyle w:val="29"/>
              <w:spacing w:before="106" w:line="193" w:lineRule="exact"/>
              <w:ind w:left="167"/>
              <w:rPr>
                <w:sz w:val="18"/>
              </w:rPr>
            </w:pPr>
            <w:r>
              <w:rPr>
                <w:sz w:val="18"/>
              </w:rPr>
              <w:t>Sanal</w:t>
            </w:r>
            <w:r>
              <w:rPr>
                <w:spacing w:val="-4"/>
                <w:sz w:val="18"/>
              </w:rPr>
              <w:t xml:space="preserve"> </w:t>
            </w:r>
            <w:r>
              <w:rPr>
                <w:sz w:val="18"/>
              </w:rPr>
              <w:t>rekreasyon</w:t>
            </w:r>
            <w:r>
              <w:rPr>
                <w:spacing w:val="-3"/>
                <w:sz w:val="18"/>
              </w:rPr>
              <w:t xml:space="preserve"> </w:t>
            </w:r>
            <w:r>
              <w:rPr>
                <w:sz w:val="18"/>
              </w:rPr>
              <w:t>faaliyetleri,</w:t>
            </w:r>
            <w:r>
              <w:rPr>
                <w:spacing w:val="42"/>
                <w:sz w:val="18"/>
              </w:rPr>
              <w:t xml:space="preserve"> </w:t>
            </w:r>
            <w:r>
              <w:rPr>
                <w:sz w:val="18"/>
              </w:rPr>
              <w:t>stresimi</w:t>
            </w:r>
            <w:r>
              <w:rPr>
                <w:spacing w:val="-3"/>
                <w:sz w:val="18"/>
              </w:rPr>
              <w:t xml:space="preserve"> </w:t>
            </w:r>
            <w:r>
              <w:rPr>
                <w:spacing w:val="-2"/>
                <w:sz w:val="18"/>
              </w:rPr>
              <w:t>azaltır.</w:t>
            </w:r>
          </w:p>
        </w:tc>
        <w:tc>
          <w:tcPr>
            <w:tcW w:w="991" w:type="dxa"/>
            <w:tcBorders>
              <w:top w:val="single" w:color="C8C8C8" w:sz="4" w:space="0"/>
              <w:bottom w:val="single" w:color="C8C8C8" w:sz="4" w:space="0"/>
            </w:tcBorders>
            <w:shd w:val="clear" w:color="auto" w:fill="ECECEC"/>
          </w:tcPr>
          <w:p w14:paraId="5C16E381">
            <w:pPr>
              <w:pStyle w:val="29"/>
              <w:spacing w:before="106" w:line="193" w:lineRule="exact"/>
              <w:ind w:left="168"/>
              <w:rPr>
                <w:sz w:val="18"/>
              </w:rPr>
            </w:pPr>
            <w:r>
              <w:rPr>
                <w:spacing w:val="-2"/>
                <w:sz w:val="18"/>
              </w:rPr>
              <w:t>0.253</w:t>
            </w:r>
          </w:p>
        </w:tc>
        <w:tc>
          <w:tcPr>
            <w:tcW w:w="1133" w:type="dxa"/>
            <w:tcBorders>
              <w:top w:val="single" w:color="C8C8C8" w:sz="4" w:space="0"/>
              <w:bottom w:val="single" w:color="C8C8C8" w:sz="4" w:space="0"/>
            </w:tcBorders>
          </w:tcPr>
          <w:p w14:paraId="541BCAE8">
            <w:pPr>
              <w:pStyle w:val="29"/>
              <w:spacing w:before="106" w:line="193" w:lineRule="exact"/>
              <w:ind w:left="169"/>
              <w:rPr>
                <w:sz w:val="18"/>
              </w:rPr>
            </w:pPr>
            <w:r>
              <w:rPr>
                <w:spacing w:val="-2"/>
                <w:sz w:val="18"/>
              </w:rPr>
              <w:t>0.575</w:t>
            </w:r>
          </w:p>
        </w:tc>
        <w:tc>
          <w:tcPr>
            <w:tcW w:w="1137" w:type="dxa"/>
            <w:tcBorders>
              <w:top w:val="single" w:color="C8C8C8" w:sz="4" w:space="0"/>
              <w:bottom w:val="single" w:color="C8C8C8" w:sz="4" w:space="0"/>
            </w:tcBorders>
            <w:shd w:val="clear" w:color="auto" w:fill="ECECEC"/>
          </w:tcPr>
          <w:p w14:paraId="00C731A4">
            <w:pPr>
              <w:pStyle w:val="29"/>
              <w:spacing w:before="106" w:line="193" w:lineRule="exact"/>
              <w:ind w:left="168"/>
              <w:rPr>
                <w:sz w:val="18"/>
              </w:rPr>
            </w:pPr>
            <w:r>
              <w:rPr>
                <w:spacing w:val="-2"/>
                <w:sz w:val="18"/>
              </w:rPr>
              <w:t>94.401</w:t>
            </w:r>
          </w:p>
        </w:tc>
      </w:tr>
      <w:tr w14:paraId="2C53C84A">
        <w:tblPrEx>
          <w:tblCellMar>
            <w:top w:w="0" w:type="dxa"/>
            <w:left w:w="0" w:type="dxa"/>
            <w:bottom w:w="0" w:type="dxa"/>
            <w:right w:w="0" w:type="dxa"/>
          </w:tblCellMar>
        </w:tblPrEx>
        <w:trPr>
          <w:trHeight w:val="641" w:hRule="atLeast"/>
        </w:trPr>
        <w:tc>
          <w:tcPr>
            <w:tcW w:w="1008" w:type="dxa"/>
            <w:tcBorders>
              <w:top w:val="single" w:color="C8C8C8" w:sz="4" w:space="0"/>
              <w:bottom w:val="single" w:color="C8C8C8" w:sz="4" w:space="0"/>
            </w:tcBorders>
            <w:shd w:val="clear" w:color="auto" w:fill="ECECEC"/>
          </w:tcPr>
          <w:p w14:paraId="42A63303">
            <w:pPr>
              <w:pStyle w:val="29"/>
              <w:spacing w:before="112"/>
              <w:ind w:left="182"/>
              <w:rPr>
                <w:b/>
                <w:sz w:val="18"/>
              </w:rPr>
            </w:pPr>
            <w:r>
              <w:rPr>
                <w:b/>
                <w:spacing w:val="-5"/>
                <w:sz w:val="18"/>
              </w:rPr>
              <w:t>25</w:t>
            </w:r>
          </w:p>
        </w:tc>
        <w:tc>
          <w:tcPr>
            <w:tcW w:w="4539" w:type="dxa"/>
            <w:tcBorders>
              <w:top w:val="single" w:color="C8C8C8" w:sz="4" w:space="0"/>
              <w:bottom w:val="single" w:color="C8C8C8" w:sz="4" w:space="0"/>
            </w:tcBorders>
            <w:shd w:val="clear" w:color="auto" w:fill="ECECEC"/>
          </w:tcPr>
          <w:p w14:paraId="593A6C65">
            <w:pPr>
              <w:pStyle w:val="29"/>
              <w:tabs>
                <w:tab w:val="left" w:pos="791"/>
                <w:tab w:val="left" w:pos="1801"/>
                <w:tab w:val="left" w:pos="2973"/>
                <w:tab w:val="left" w:pos="3867"/>
              </w:tabs>
              <w:spacing w:line="320" w:lineRule="exact"/>
              <w:ind w:left="167" w:right="166"/>
              <w:rPr>
                <w:sz w:val="18"/>
              </w:rPr>
            </w:pPr>
            <w:r>
              <w:rPr>
                <w:spacing w:val="-2"/>
                <w:sz w:val="18"/>
              </w:rPr>
              <w:t>Sanal</w:t>
            </w:r>
            <w:r>
              <w:rPr>
                <w:sz w:val="18"/>
              </w:rPr>
              <w:tab/>
            </w:r>
            <w:r>
              <w:rPr>
                <w:spacing w:val="-2"/>
                <w:sz w:val="18"/>
              </w:rPr>
              <w:t>rekreasyon</w:t>
            </w:r>
            <w:r>
              <w:rPr>
                <w:sz w:val="18"/>
              </w:rPr>
              <w:tab/>
            </w:r>
            <w:r>
              <w:rPr>
                <w:spacing w:val="-2"/>
                <w:sz w:val="18"/>
              </w:rPr>
              <w:t>faaliyetlerine</w:t>
            </w:r>
            <w:r>
              <w:rPr>
                <w:sz w:val="18"/>
              </w:rPr>
              <w:tab/>
            </w:r>
            <w:r>
              <w:rPr>
                <w:spacing w:val="-2"/>
                <w:sz w:val="18"/>
              </w:rPr>
              <w:t>katılmak,</w:t>
            </w:r>
            <w:r>
              <w:rPr>
                <w:sz w:val="18"/>
              </w:rPr>
              <w:tab/>
            </w:r>
            <w:r>
              <w:rPr>
                <w:spacing w:val="-2"/>
                <w:sz w:val="18"/>
              </w:rPr>
              <w:t xml:space="preserve">günlük </w:t>
            </w:r>
            <w:r>
              <w:rPr>
                <w:sz w:val="18"/>
              </w:rPr>
              <w:t>hayatımda yaptığım</w:t>
            </w:r>
            <w:r>
              <w:rPr>
                <w:spacing w:val="80"/>
                <w:sz w:val="18"/>
              </w:rPr>
              <w:t xml:space="preserve"> </w:t>
            </w:r>
            <w:r>
              <w:rPr>
                <w:sz w:val="18"/>
              </w:rPr>
              <w:t>işleri kolaylaştırır.</w:t>
            </w:r>
          </w:p>
        </w:tc>
        <w:tc>
          <w:tcPr>
            <w:tcW w:w="991" w:type="dxa"/>
            <w:tcBorders>
              <w:top w:val="single" w:color="C8C8C8" w:sz="4" w:space="0"/>
              <w:bottom w:val="single" w:color="C8C8C8" w:sz="4" w:space="0"/>
            </w:tcBorders>
            <w:shd w:val="clear" w:color="auto" w:fill="ECECEC"/>
          </w:tcPr>
          <w:p w14:paraId="586B18AC">
            <w:pPr>
              <w:pStyle w:val="29"/>
              <w:spacing w:before="107"/>
              <w:ind w:left="168"/>
              <w:rPr>
                <w:sz w:val="18"/>
              </w:rPr>
            </w:pPr>
            <w:r>
              <w:rPr>
                <w:spacing w:val="-2"/>
                <w:sz w:val="18"/>
              </w:rPr>
              <w:t>0.252</w:t>
            </w:r>
          </w:p>
        </w:tc>
        <w:tc>
          <w:tcPr>
            <w:tcW w:w="1133" w:type="dxa"/>
            <w:tcBorders>
              <w:top w:val="single" w:color="C8C8C8" w:sz="4" w:space="0"/>
              <w:bottom w:val="single" w:color="C8C8C8" w:sz="4" w:space="0"/>
            </w:tcBorders>
            <w:shd w:val="clear" w:color="auto" w:fill="ECECEC"/>
          </w:tcPr>
          <w:p w14:paraId="406439F0">
            <w:pPr>
              <w:pStyle w:val="29"/>
              <w:spacing w:before="107"/>
              <w:ind w:left="169"/>
              <w:rPr>
                <w:sz w:val="18"/>
              </w:rPr>
            </w:pPr>
            <w:r>
              <w:rPr>
                <w:spacing w:val="-2"/>
                <w:sz w:val="18"/>
              </w:rPr>
              <w:t>0.572</w:t>
            </w:r>
          </w:p>
        </w:tc>
        <w:tc>
          <w:tcPr>
            <w:tcW w:w="1137" w:type="dxa"/>
            <w:tcBorders>
              <w:top w:val="single" w:color="C8C8C8" w:sz="4" w:space="0"/>
              <w:bottom w:val="single" w:color="C8C8C8" w:sz="4" w:space="0"/>
            </w:tcBorders>
            <w:shd w:val="clear" w:color="auto" w:fill="ECECEC"/>
          </w:tcPr>
          <w:p w14:paraId="16BD1DB9">
            <w:pPr>
              <w:pStyle w:val="29"/>
              <w:spacing w:before="107"/>
              <w:ind w:left="168"/>
              <w:rPr>
                <w:sz w:val="18"/>
              </w:rPr>
            </w:pPr>
            <w:r>
              <w:rPr>
                <w:spacing w:val="-2"/>
                <w:sz w:val="18"/>
              </w:rPr>
              <w:t>94.974</w:t>
            </w:r>
          </w:p>
        </w:tc>
      </w:tr>
      <w:tr w14:paraId="48C82795">
        <w:tblPrEx>
          <w:tblCellMar>
            <w:top w:w="0" w:type="dxa"/>
            <w:left w:w="0" w:type="dxa"/>
            <w:bottom w:w="0" w:type="dxa"/>
            <w:right w:w="0" w:type="dxa"/>
          </w:tblCellMar>
        </w:tblPrEx>
        <w:trPr>
          <w:trHeight w:val="318" w:hRule="atLeast"/>
        </w:trPr>
        <w:tc>
          <w:tcPr>
            <w:tcW w:w="1008" w:type="dxa"/>
            <w:tcBorders>
              <w:top w:val="single" w:color="C8C8C8" w:sz="4" w:space="0"/>
              <w:bottom w:val="single" w:color="C8C8C8" w:sz="4" w:space="0"/>
            </w:tcBorders>
            <w:shd w:val="clear" w:color="auto" w:fill="ECECEC"/>
          </w:tcPr>
          <w:p w14:paraId="0AB6CDE4">
            <w:pPr>
              <w:pStyle w:val="29"/>
              <w:spacing w:before="112" w:line="186" w:lineRule="exact"/>
              <w:ind w:left="182"/>
              <w:rPr>
                <w:b/>
                <w:sz w:val="18"/>
              </w:rPr>
            </w:pPr>
            <w:r>
              <w:rPr>
                <w:b/>
                <w:spacing w:val="-5"/>
                <w:sz w:val="18"/>
              </w:rPr>
              <w:t>26</w:t>
            </w:r>
          </w:p>
        </w:tc>
        <w:tc>
          <w:tcPr>
            <w:tcW w:w="4539" w:type="dxa"/>
            <w:tcBorders>
              <w:top w:val="single" w:color="C8C8C8" w:sz="4" w:space="0"/>
              <w:bottom w:val="single" w:color="C8C8C8" w:sz="4" w:space="0"/>
            </w:tcBorders>
          </w:tcPr>
          <w:p w14:paraId="3B33DB3F">
            <w:pPr>
              <w:pStyle w:val="29"/>
              <w:spacing w:before="107" w:line="191" w:lineRule="exact"/>
              <w:ind w:left="167"/>
              <w:rPr>
                <w:sz w:val="18"/>
              </w:rPr>
            </w:pPr>
            <w:r>
              <w:rPr>
                <w:sz w:val="18"/>
              </w:rPr>
              <w:t>Sanal</w:t>
            </w:r>
            <w:r>
              <w:rPr>
                <w:spacing w:val="-6"/>
                <w:sz w:val="18"/>
              </w:rPr>
              <w:t xml:space="preserve"> </w:t>
            </w:r>
            <w:r>
              <w:rPr>
                <w:sz w:val="18"/>
              </w:rPr>
              <w:t>rekreasyon</w:t>
            </w:r>
            <w:r>
              <w:rPr>
                <w:spacing w:val="-4"/>
                <w:sz w:val="18"/>
              </w:rPr>
              <w:t xml:space="preserve"> </w:t>
            </w:r>
            <w:r>
              <w:rPr>
                <w:sz w:val="18"/>
              </w:rPr>
              <w:t>faaliyetlerine</w:t>
            </w:r>
            <w:r>
              <w:rPr>
                <w:spacing w:val="-6"/>
                <w:sz w:val="18"/>
              </w:rPr>
              <w:t xml:space="preserve"> </w:t>
            </w:r>
            <w:r>
              <w:rPr>
                <w:sz w:val="18"/>
              </w:rPr>
              <w:t>katılmayı</w:t>
            </w:r>
            <w:r>
              <w:rPr>
                <w:spacing w:val="-5"/>
                <w:sz w:val="18"/>
              </w:rPr>
              <w:t xml:space="preserve"> </w:t>
            </w:r>
            <w:r>
              <w:rPr>
                <w:spacing w:val="-2"/>
                <w:sz w:val="18"/>
              </w:rPr>
              <w:t>severim.</w:t>
            </w:r>
          </w:p>
        </w:tc>
        <w:tc>
          <w:tcPr>
            <w:tcW w:w="991" w:type="dxa"/>
            <w:tcBorders>
              <w:top w:val="single" w:color="C8C8C8" w:sz="4" w:space="0"/>
              <w:bottom w:val="single" w:color="C8C8C8" w:sz="4" w:space="0"/>
            </w:tcBorders>
            <w:shd w:val="clear" w:color="auto" w:fill="ECECEC"/>
          </w:tcPr>
          <w:p w14:paraId="6BDC50ED">
            <w:pPr>
              <w:pStyle w:val="29"/>
              <w:spacing w:before="107" w:line="191" w:lineRule="exact"/>
              <w:ind w:left="168"/>
              <w:rPr>
                <w:sz w:val="18"/>
              </w:rPr>
            </w:pPr>
            <w:r>
              <w:rPr>
                <w:spacing w:val="-2"/>
                <w:sz w:val="18"/>
              </w:rPr>
              <w:t>0.237</w:t>
            </w:r>
          </w:p>
        </w:tc>
        <w:tc>
          <w:tcPr>
            <w:tcW w:w="1133" w:type="dxa"/>
            <w:tcBorders>
              <w:top w:val="single" w:color="C8C8C8" w:sz="4" w:space="0"/>
              <w:bottom w:val="single" w:color="C8C8C8" w:sz="4" w:space="0"/>
            </w:tcBorders>
          </w:tcPr>
          <w:p w14:paraId="2739AC25">
            <w:pPr>
              <w:pStyle w:val="29"/>
              <w:spacing w:before="107" w:line="191" w:lineRule="exact"/>
              <w:ind w:left="169"/>
              <w:rPr>
                <w:sz w:val="18"/>
              </w:rPr>
            </w:pPr>
            <w:r>
              <w:rPr>
                <w:spacing w:val="-2"/>
                <w:sz w:val="18"/>
              </w:rPr>
              <w:t>0.538</w:t>
            </w:r>
          </w:p>
        </w:tc>
        <w:tc>
          <w:tcPr>
            <w:tcW w:w="1137" w:type="dxa"/>
            <w:tcBorders>
              <w:top w:val="single" w:color="C8C8C8" w:sz="4" w:space="0"/>
              <w:bottom w:val="single" w:color="C8C8C8" w:sz="4" w:space="0"/>
            </w:tcBorders>
            <w:shd w:val="clear" w:color="auto" w:fill="ECECEC"/>
          </w:tcPr>
          <w:p w14:paraId="7A1969A1">
            <w:pPr>
              <w:pStyle w:val="29"/>
              <w:spacing w:before="107" w:line="191" w:lineRule="exact"/>
              <w:ind w:left="168"/>
              <w:rPr>
                <w:sz w:val="18"/>
              </w:rPr>
            </w:pPr>
            <w:r>
              <w:rPr>
                <w:spacing w:val="-2"/>
                <w:sz w:val="18"/>
              </w:rPr>
              <w:t>95.512</w:t>
            </w:r>
          </w:p>
        </w:tc>
      </w:tr>
      <w:tr w14:paraId="3082E9A7">
        <w:tblPrEx>
          <w:tblCellMar>
            <w:top w:w="0" w:type="dxa"/>
            <w:left w:w="0" w:type="dxa"/>
            <w:bottom w:w="0" w:type="dxa"/>
            <w:right w:w="0" w:type="dxa"/>
          </w:tblCellMar>
        </w:tblPrEx>
        <w:trPr>
          <w:trHeight w:val="321" w:hRule="atLeast"/>
        </w:trPr>
        <w:tc>
          <w:tcPr>
            <w:tcW w:w="1008" w:type="dxa"/>
            <w:tcBorders>
              <w:top w:val="single" w:color="C8C8C8" w:sz="4" w:space="0"/>
              <w:bottom w:val="single" w:color="C8C8C8" w:sz="4" w:space="0"/>
            </w:tcBorders>
            <w:shd w:val="clear" w:color="auto" w:fill="ECECEC"/>
          </w:tcPr>
          <w:p w14:paraId="02463E73">
            <w:pPr>
              <w:pStyle w:val="29"/>
              <w:spacing w:before="112" w:line="189" w:lineRule="exact"/>
              <w:ind w:left="182"/>
              <w:rPr>
                <w:b/>
                <w:sz w:val="18"/>
              </w:rPr>
            </w:pPr>
            <w:r>
              <w:rPr>
                <w:b/>
                <w:spacing w:val="-5"/>
                <w:sz w:val="18"/>
              </w:rPr>
              <w:t>27</w:t>
            </w:r>
          </w:p>
        </w:tc>
        <w:tc>
          <w:tcPr>
            <w:tcW w:w="4539" w:type="dxa"/>
            <w:tcBorders>
              <w:top w:val="single" w:color="C8C8C8" w:sz="4" w:space="0"/>
              <w:bottom w:val="single" w:color="C8C8C8" w:sz="4" w:space="0"/>
            </w:tcBorders>
            <w:shd w:val="clear" w:color="auto" w:fill="ECECEC"/>
          </w:tcPr>
          <w:p w14:paraId="038B1665">
            <w:pPr>
              <w:pStyle w:val="29"/>
              <w:spacing w:before="107" w:line="193" w:lineRule="exact"/>
              <w:ind w:left="167"/>
              <w:rPr>
                <w:sz w:val="18"/>
              </w:rPr>
            </w:pPr>
            <w:r>
              <w:rPr>
                <w:sz w:val="18"/>
              </w:rPr>
              <w:t>Sanal</w:t>
            </w:r>
            <w:r>
              <w:rPr>
                <w:spacing w:val="-6"/>
                <w:sz w:val="18"/>
              </w:rPr>
              <w:t xml:space="preserve"> </w:t>
            </w:r>
            <w:r>
              <w:rPr>
                <w:sz w:val="18"/>
              </w:rPr>
              <w:t>rekreasyon faaliyetlerine</w:t>
            </w:r>
            <w:r>
              <w:rPr>
                <w:spacing w:val="-5"/>
                <w:sz w:val="18"/>
              </w:rPr>
              <w:t xml:space="preserve"> </w:t>
            </w:r>
            <w:r>
              <w:rPr>
                <w:sz w:val="18"/>
              </w:rPr>
              <w:t>katılmak</w:t>
            </w:r>
            <w:r>
              <w:rPr>
                <w:spacing w:val="-4"/>
                <w:sz w:val="18"/>
              </w:rPr>
              <w:t xml:space="preserve"> </w:t>
            </w:r>
            <w:r>
              <w:rPr>
                <w:sz w:val="18"/>
              </w:rPr>
              <w:t>bana</w:t>
            </w:r>
            <w:r>
              <w:rPr>
                <w:spacing w:val="-4"/>
                <w:sz w:val="18"/>
              </w:rPr>
              <w:t xml:space="preserve"> </w:t>
            </w:r>
            <w:r>
              <w:rPr>
                <w:sz w:val="18"/>
              </w:rPr>
              <w:t>zevk</w:t>
            </w:r>
            <w:r>
              <w:rPr>
                <w:spacing w:val="-2"/>
                <w:sz w:val="18"/>
              </w:rPr>
              <w:t xml:space="preserve"> verir.</w:t>
            </w:r>
          </w:p>
        </w:tc>
        <w:tc>
          <w:tcPr>
            <w:tcW w:w="991" w:type="dxa"/>
            <w:tcBorders>
              <w:top w:val="single" w:color="C8C8C8" w:sz="4" w:space="0"/>
              <w:bottom w:val="single" w:color="C8C8C8" w:sz="4" w:space="0"/>
            </w:tcBorders>
            <w:shd w:val="clear" w:color="auto" w:fill="ECECEC"/>
          </w:tcPr>
          <w:p w14:paraId="6A82F963">
            <w:pPr>
              <w:pStyle w:val="29"/>
              <w:spacing w:before="107" w:line="193" w:lineRule="exact"/>
              <w:ind w:left="168"/>
              <w:rPr>
                <w:sz w:val="18"/>
              </w:rPr>
            </w:pPr>
            <w:r>
              <w:rPr>
                <w:spacing w:val="-2"/>
                <w:sz w:val="18"/>
              </w:rPr>
              <w:t>0.207</w:t>
            </w:r>
          </w:p>
        </w:tc>
        <w:tc>
          <w:tcPr>
            <w:tcW w:w="1133" w:type="dxa"/>
            <w:tcBorders>
              <w:top w:val="single" w:color="C8C8C8" w:sz="4" w:space="0"/>
              <w:bottom w:val="single" w:color="C8C8C8" w:sz="4" w:space="0"/>
            </w:tcBorders>
            <w:shd w:val="clear" w:color="auto" w:fill="ECECEC"/>
          </w:tcPr>
          <w:p w14:paraId="7AB3F1E7">
            <w:pPr>
              <w:pStyle w:val="29"/>
              <w:spacing w:before="107" w:line="193" w:lineRule="exact"/>
              <w:ind w:left="169"/>
              <w:rPr>
                <w:sz w:val="18"/>
              </w:rPr>
            </w:pPr>
            <w:r>
              <w:rPr>
                <w:spacing w:val="-2"/>
                <w:sz w:val="18"/>
              </w:rPr>
              <w:t>0.471</w:t>
            </w:r>
          </w:p>
        </w:tc>
        <w:tc>
          <w:tcPr>
            <w:tcW w:w="1137" w:type="dxa"/>
            <w:tcBorders>
              <w:top w:val="single" w:color="C8C8C8" w:sz="4" w:space="0"/>
              <w:bottom w:val="single" w:color="C8C8C8" w:sz="4" w:space="0"/>
            </w:tcBorders>
            <w:shd w:val="clear" w:color="auto" w:fill="ECECEC"/>
          </w:tcPr>
          <w:p w14:paraId="0DA1F880">
            <w:pPr>
              <w:pStyle w:val="29"/>
              <w:spacing w:before="107" w:line="193" w:lineRule="exact"/>
              <w:ind w:left="168"/>
              <w:rPr>
                <w:sz w:val="18"/>
              </w:rPr>
            </w:pPr>
            <w:r>
              <w:rPr>
                <w:spacing w:val="-2"/>
                <w:sz w:val="18"/>
              </w:rPr>
              <w:t>95.983</w:t>
            </w:r>
          </w:p>
        </w:tc>
      </w:tr>
      <w:tr w14:paraId="5308F42A">
        <w:tblPrEx>
          <w:tblCellMar>
            <w:top w:w="0" w:type="dxa"/>
            <w:left w:w="0" w:type="dxa"/>
            <w:bottom w:w="0" w:type="dxa"/>
            <w:right w:w="0" w:type="dxa"/>
          </w:tblCellMar>
        </w:tblPrEx>
        <w:trPr>
          <w:trHeight w:val="638" w:hRule="atLeast"/>
        </w:trPr>
        <w:tc>
          <w:tcPr>
            <w:tcW w:w="1008" w:type="dxa"/>
            <w:tcBorders>
              <w:top w:val="single" w:color="C8C8C8" w:sz="4" w:space="0"/>
              <w:bottom w:val="single" w:color="C8C8C8" w:sz="4" w:space="0"/>
            </w:tcBorders>
            <w:shd w:val="clear" w:color="auto" w:fill="ECECEC"/>
          </w:tcPr>
          <w:p w14:paraId="0D23AF8E">
            <w:pPr>
              <w:pStyle w:val="29"/>
              <w:spacing w:before="112"/>
              <w:ind w:left="182"/>
              <w:rPr>
                <w:b/>
                <w:sz w:val="18"/>
              </w:rPr>
            </w:pPr>
            <w:r>
              <w:rPr>
                <w:b/>
                <w:spacing w:val="-5"/>
                <w:sz w:val="18"/>
              </w:rPr>
              <w:t>28</w:t>
            </w:r>
          </w:p>
        </w:tc>
        <w:tc>
          <w:tcPr>
            <w:tcW w:w="4539" w:type="dxa"/>
            <w:tcBorders>
              <w:top w:val="single" w:color="C8C8C8" w:sz="4" w:space="0"/>
              <w:bottom w:val="single" w:color="C8C8C8" w:sz="4" w:space="0"/>
            </w:tcBorders>
          </w:tcPr>
          <w:p w14:paraId="0BE5EECE">
            <w:pPr>
              <w:pStyle w:val="29"/>
              <w:spacing w:line="320" w:lineRule="exact"/>
              <w:ind w:left="167"/>
              <w:rPr>
                <w:sz w:val="18"/>
              </w:rPr>
            </w:pPr>
            <w:r>
              <w:rPr>
                <w:sz w:val="18"/>
              </w:rPr>
              <w:t>Sanal</w:t>
            </w:r>
            <w:r>
              <w:rPr>
                <w:spacing w:val="80"/>
                <w:sz w:val="18"/>
              </w:rPr>
              <w:t xml:space="preserve"> </w:t>
            </w:r>
            <w:r>
              <w:rPr>
                <w:sz w:val="18"/>
              </w:rPr>
              <w:t>rekreasyonda</w:t>
            </w:r>
            <w:r>
              <w:rPr>
                <w:spacing w:val="80"/>
                <w:sz w:val="18"/>
              </w:rPr>
              <w:t xml:space="preserve"> </w:t>
            </w:r>
            <w:r>
              <w:rPr>
                <w:sz w:val="18"/>
              </w:rPr>
              <w:t>yaşanan</w:t>
            </w:r>
            <w:r>
              <w:rPr>
                <w:spacing w:val="80"/>
                <w:sz w:val="18"/>
              </w:rPr>
              <w:t xml:space="preserve"> </w:t>
            </w:r>
            <w:r>
              <w:rPr>
                <w:sz w:val="18"/>
              </w:rPr>
              <w:t>teknolojik</w:t>
            </w:r>
            <w:r>
              <w:rPr>
                <w:spacing w:val="80"/>
                <w:sz w:val="18"/>
              </w:rPr>
              <w:t xml:space="preserve"> </w:t>
            </w:r>
            <w:r>
              <w:rPr>
                <w:sz w:val="18"/>
              </w:rPr>
              <w:t>gelişmeleri</w:t>
            </w:r>
            <w:r>
              <w:rPr>
                <w:spacing w:val="40"/>
                <w:sz w:val="18"/>
              </w:rPr>
              <w:t xml:space="preserve"> </w:t>
            </w:r>
            <w:r>
              <w:rPr>
                <w:sz w:val="18"/>
              </w:rPr>
              <w:t>yakından takip ederim.</w:t>
            </w:r>
          </w:p>
        </w:tc>
        <w:tc>
          <w:tcPr>
            <w:tcW w:w="991" w:type="dxa"/>
            <w:tcBorders>
              <w:top w:val="single" w:color="C8C8C8" w:sz="4" w:space="0"/>
              <w:bottom w:val="single" w:color="C8C8C8" w:sz="4" w:space="0"/>
            </w:tcBorders>
            <w:shd w:val="clear" w:color="auto" w:fill="ECECEC"/>
          </w:tcPr>
          <w:p w14:paraId="30309254">
            <w:pPr>
              <w:pStyle w:val="29"/>
              <w:spacing w:before="107"/>
              <w:ind w:left="168"/>
              <w:rPr>
                <w:sz w:val="18"/>
              </w:rPr>
            </w:pPr>
            <w:r>
              <w:rPr>
                <w:spacing w:val="-2"/>
                <w:sz w:val="18"/>
              </w:rPr>
              <w:t>0.204</w:t>
            </w:r>
          </w:p>
        </w:tc>
        <w:tc>
          <w:tcPr>
            <w:tcW w:w="1133" w:type="dxa"/>
            <w:tcBorders>
              <w:top w:val="single" w:color="C8C8C8" w:sz="4" w:space="0"/>
              <w:bottom w:val="single" w:color="C8C8C8" w:sz="4" w:space="0"/>
            </w:tcBorders>
          </w:tcPr>
          <w:p w14:paraId="37485DD4">
            <w:pPr>
              <w:pStyle w:val="29"/>
              <w:spacing w:before="107"/>
              <w:ind w:left="169"/>
              <w:rPr>
                <w:sz w:val="18"/>
              </w:rPr>
            </w:pPr>
            <w:r>
              <w:rPr>
                <w:spacing w:val="-2"/>
                <w:sz w:val="18"/>
              </w:rPr>
              <w:t>0.463</w:t>
            </w:r>
          </w:p>
        </w:tc>
        <w:tc>
          <w:tcPr>
            <w:tcW w:w="1137" w:type="dxa"/>
            <w:tcBorders>
              <w:top w:val="single" w:color="C8C8C8" w:sz="4" w:space="0"/>
              <w:bottom w:val="single" w:color="C8C8C8" w:sz="4" w:space="0"/>
            </w:tcBorders>
            <w:shd w:val="clear" w:color="auto" w:fill="ECECEC"/>
          </w:tcPr>
          <w:p w14:paraId="6FC23111">
            <w:pPr>
              <w:pStyle w:val="29"/>
              <w:spacing w:before="107"/>
              <w:ind w:left="168"/>
              <w:rPr>
                <w:sz w:val="18"/>
              </w:rPr>
            </w:pPr>
            <w:r>
              <w:rPr>
                <w:spacing w:val="-2"/>
                <w:sz w:val="18"/>
              </w:rPr>
              <w:t>96.446</w:t>
            </w:r>
          </w:p>
        </w:tc>
      </w:tr>
      <w:tr w14:paraId="4005F3A2">
        <w:tblPrEx>
          <w:tblCellMar>
            <w:top w:w="0" w:type="dxa"/>
            <w:left w:w="0" w:type="dxa"/>
            <w:bottom w:w="0" w:type="dxa"/>
            <w:right w:w="0" w:type="dxa"/>
          </w:tblCellMar>
        </w:tblPrEx>
        <w:trPr>
          <w:trHeight w:val="319" w:hRule="atLeast"/>
        </w:trPr>
        <w:tc>
          <w:tcPr>
            <w:tcW w:w="1008" w:type="dxa"/>
            <w:tcBorders>
              <w:top w:val="single" w:color="C8C8C8" w:sz="4" w:space="0"/>
              <w:bottom w:val="single" w:color="C8C8C8" w:sz="4" w:space="0"/>
            </w:tcBorders>
            <w:shd w:val="clear" w:color="auto" w:fill="ECECEC"/>
          </w:tcPr>
          <w:p w14:paraId="5A21BC94">
            <w:pPr>
              <w:pStyle w:val="29"/>
              <w:spacing w:before="113" w:line="186" w:lineRule="exact"/>
              <w:ind w:left="182"/>
              <w:rPr>
                <w:b/>
                <w:sz w:val="18"/>
              </w:rPr>
            </w:pPr>
            <w:r>
              <w:rPr>
                <w:b/>
                <w:spacing w:val="-5"/>
                <w:sz w:val="18"/>
              </w:rPr>
              <w:t>29</w:t>
            </w:r>
          </w:p>
        </w:tc>
        <w:tc>
          <w:tcPr>
            <w:tcW w:w="4539" w:type="dxa"/>
            <w:tcBorders>
              <w:top w:val="single" w:color="C8C8C8" w:sz="4" w:space="0"/>
              <w:bottom w:val="single" w:color="C8C8C8" w:sz="4" w:space="0"/>
            </w:tcBorders>
            <w:shd w:val="clear" w:color="auto" w:fill="ECECEC"/>
          </w:tcPr>
          <w:p w14:paraId="73C955BD">
            <w:pPr>
              <w:pStyle w:val="29"/>
              <w:spacing w:before="108" w:line="191" w:lineRule="exact"/>
              <w:ind w:left="167"/>
              <w:rPr>
                <w:sz w:val="18"/>
              </w:rPr>
            </w:pPr>
            <w:r>
              <w:rPr>
                <w:sz w:val="18"/>
              </w:rPr>
              <w:t>Sanal</w:t>
            </w:r>
            <w:r>
              <w:rPr>
                <w:spacing w:val="-4"/>
                <w:sz w:val="18"/>
              </w:rPr>
              <w:t xml:space="preserve"> </w:t>
            </w:r>
            <w:r>
              <w:rPr>
                <w:sz w:val="18"/>
              </w:rPr>
              <w:t>rekreasyon</w:t>
            </w:r>
            <w:r>
              <w:rPr>
                <w:spacing w:val="-4"/>
                <w:sz w:val="18"/>
              </w:rPr>
              <w:t xml:space="preserve"> </w:t>
            </w:r>
            <w:r>
              <w:rPr>
                <w:sz w:val="18"/>
              </w:rPr>
              <w:t>faaliyetlerini</w:t>
            </w:r>
            <w:r>
              <w:rPr>
                <w:spacing w:val="-4"/>
                <w:sz w:val="18"/>
              </w:rPr>
              <w:t xml:space="preserve"> </w:t>
            </w:r>
            <w:r>
              <w:rPr>
                <w:sz w:val="18"/>
              </w:rPr>
              <w:t>zihnimi</w:t>
            </w:r>
            <w:r>
              <w:rPr>
                <w:spacing w:val="-3"/>
                <w:sz w:val="18"/>
              </w:rPr>
              <w:t xml:space="preserve"> </w:t>
            </w:r>
            <w:r>
              <w:rPr>
                <w:spacing w:val="-2"/>
                <w:sz w:val="18"/>
              </w:rPr>
              <w:t>geliştirir.</w:t>
            </w:r>
          </w:p>
        </w:tc>
        <w:tc>
          <w:tcPr>
            <w:tcW w:w="991" w:type="dxa"/>
            <w:tcBorders>
              <w:top w:val="single" w:color="C8C8C8" w:sz="4" w:space="0"/>
              <w:bottom w:val="single" w:color="C8C8C8" w:sz="4" w:space="0"/>
            </w:tcBorders>
            <w:shd w:val="clear" w:color="auto" w:fill="ECECEC"/>
          </w:tcPr>
          <w:p w14:paraId="7C41476A">
            <w:pPr>
              <w:pStyle w:val="29"/>
              <w:spacing w:before="108" w:line="191" w:lineRule="exact"/>
              <w:ind w:left="168"/>
              <w:rPr>
                <w:sz w:val="18"/>
              </w:rPr>
            </w:pPr>
            <w:r>
              <w:rPr>
                <w:spacing w:val="-2"/>
                <w:sz w:val="18"/>
              </w:rPr>
              <w:t>0.176</w:t>
            </w:r>
          </w:p>
        </w:tc>
        <w:tc>
          <w:tcPr>
            <w:tcW w:w="1133" w:type="dxa"/>
            <w:tcBorders>
              <w:top w:val="single" w:color="C8C8C8" w:sz="4" w:space="0"/>
              <w:bottom w:val="single" w:color="C8C8C8" w:sz="4" w:space="0"/>
            </w:tcBorders>
            <w:shd w:val="clear" w:color="auto" w:fill="ECECEC"/>
          </w:tcPr>
          <w:p w14:paraId="7D97B203">
            <w:pPr>
              <w:pStyle w:val="29"/>
              <w:spacing w:before="108" w:line="191" w:lineRule="exact"/>
              <w:ind w:left="169"/>
              <w:rPr>
                <w:sz w:val="18"/>
              </w:rPr>
            </w:pPr>
            <w:r>
              <w:rPr>
                <w:spacing w:val="-2"/>
                <w:sz w:val="18"/>
              </w:rPr>
              <w:t>0.401</w:t>
            </w:r>
          </w:p>
        </w:tc>
        <w:tc>
          <w:tcPr>
            <w:tcW w:w="1137" w:type="dxa"/>
            <w:tcBorders>
              <w:top w:val="single" w:color="C8C8C8" w:sz="4" w:space="0"/>
              <w:bottom w:val="single" w:color="C8C8C8" w:sz="4" w:space="0"/>
            </w:tcBorders>
            <w:shd w:val="clear" w:color="auto" w:fill="ECECEC"/>
          </w:tcPr>
          <w:p w14:paraId="71046F80">
            <w:pPr>
              <w:pStyle w:val="29"/>
              <w:spacing w:before="108" w:line="191" w:lineRule="exact"/>
              <w:ind w:left="168"/>
              <w:rPr>
                <w:sz w:val="18"/>
              </w:rPr>
            </w:pPr>
            <w:r>
              <w:rPr>
                <w:spacing w:val="-2"/>
                <w:sz w:val="18"/>
              </w:rPr>
              <w:t>96.847</w:t>
            </w:r>
          </w:p>
        </w:tc>
      </w:tr>
      <w:tr w14:paraId="48614D6F">
        <w:tblPrEx>
          <w:tblCellMar>
            <w:top w:w="0" w:type="dxa"/>
            <w:left w:w="0" w:type="dxa"/>
            <w:bottom w:w="0" w:type="dxa"/>
            <w:right w:w="0" w:type="dxa"/>
          </w:tblCellMar>
        </w:tblPrEx>
        <w:trPr>
          <w:trHeight w:val="318" w:hRule="atLeast"/>
        </w:trPr>
        <w:tc>
          <w:tcPr>
            <w:tcW w:w="1008" w:type="dxa"/>
            <w:tcBorders>
              <w:top w:val="single" w:color="C8C8C8" w:sz="4" w:space="0"/>
              <w:bottom w:val="single" w:color="C8C8C8" w:sz="4" w:space="0"/>
            </w:tcBorders>
            <w:shd w:val="clear" w:color="auto" w:fill="ECECEC"/>
          </w:tcPr>
          <w:p w14:paraId="24BA0C36">
            <w:pPr>
              <w:pStyle w:val="29"/>
              <w:spacing w:before="112" w:line="186" w:lineRule="exact"/>
              <w:ind w:left="182"/>
              <w:rPr>
                <w:b/>
                <w:sz w:val="18"/>
              </w:rPr>
            </w:pPr>
            <w:r>
              <w:rPr>
                <w:b/>
                <w:spacing w:val="-5"/>
                <w:sz w:val="18"/>
              </w:rPr>
              <w:t>30</w:t>
            </w:r>
          </w:p>
        </w:tc>
        <w:tc>
          <w:tcPr>
            <w:tcW w:w="4539" w:type="dxa"/>
            <w:tcBorders>
              <w:top w:val="single" w:color="C8C8C8" w:sz="4" w:space="0"/>
              <w:bottom w:val="single" w:color="C8C8C8" w:sz="4" w:space="0"/>
            </w:tcBorders>
          </w:tcPr>
          <w:p w14:paraId="2A4E1926">
            <w:pPr>
              <w:pStyle w:val="29"/>
              <w:spacing w:before="107" w:line="191" w:lineRule="exact"/>
              <w:ind w:left="167"/>
              <w:rPr>
                <w:sz w:val="18"/>
              </w:rPr>
            </w:pPr>
            <w:r>
              <w:rPr>
                <w:sz w:val="18"/>
              </w:rPr>
              <w:t>Sanal</w:t>
            </w:r>
            <w:r>
              <w:rPr>
                <w:spacing w:val="-6"/>
                <w:sz w:val="18"/>
              </w:rPr>
              <w:t xml:space="preserve"> </w:t>
            </w:r>
            <w:r>
              <w:rPr>
                <w:sz w:val="18"/>
              </w:rPr>
              <w:t>rekreasyon</w:t>
            </w:r>
            <w:r>
              <w:rPr>
                <w:spacing w:val="-2"/>
                <w:sz w:val="18"/>
              </w:rPr>
              <w:t xml:space="preserve"> </w:t>
            </w:r>
            <w:r>
              <w:rPr>
                <w:sz w:val="18"/>
              </w:rPr>
              <w:t>faaliyetleri</w:t>
            </w:r>
            <w:r>
              <w:rPr>
                <w:spacing w:val="-3"/>
                <w:sz w:val="18"/>
              </w:rPr>
              <w:t xml:space="preserve"> </w:t>
            </w:r>
            <w:r>
              <w:rPr>
                <w:sz w:val="18"/>
              </w:rPr>
              <w:t>yaratıcılığımı</w:t>
            </w:r>
            <w:r>
              <w:rPr>
                <w:spacing w:val="-5"/>
                <w:sz w:val="18"/>
              </w:rPr>
              <w:t xml:space="preserve"> </w:t>
            </w:r>
            <w:r>
              <w:rPr>
                <w:spacing w:val="-2"/>
                <w:sz w:val="18"/>
              </w:rPr>
              <w:t>geliştirir.</w:t>
            </w:r>
          </w:p>
        </w:tc>
        <w:tc>
          <w:tcPr>
            <w:tcW w:w="991" w:type="dxa"/>
            <w:tcBorders>
              <w:top w:val="single" w:color="C8C8C8" w:sz="4" w:space="0"/>
              <w:bottom w:val="single" w:color="C8C8C8" w:sz="4" w:space="0"/>
            </w:tcBorders>
            <w:shd w:val="clear" w:color="auto" w:fill="ECECEC"/>
          </w:tcPr>
          <w:p w14:paraId="5656D685">
            <w:pPr>
              <w:pStyle w:val="29"/>
              <w:spacing w:before="107" w:line="191" w:lineRule="exact"/>
              <w:ind w:left="168"/>
              <w:rPr>
                <w:sz w:val="18"/>
              </w:rPr>
            </w:pPr>
            <w:r>
              <w:rPr>
                <w:spacing w:val="-2"/>
                <w:sz w:val="18"/>
              </w:rPr>
              <w:t>0.168</w:t>
            </w:r>
          </w:p>
        </w:tc>
        <w:tc>
          <w:tcPr>
            <w:tcW w:w="1133" w:type="dxa"/>
            <w:tcBorders>
              <w:top w:val="single" w:color="C8C8C8" w:sz="4" w:space="0"/>
              <w:bottom w:val="single" w:color="C8C8C8" w:sz="4" w:space="0"/>
            </w:tcBorders>
          </w:tcPr>
          <w:p w14:paraId="1EAF1A74">
            <w:pPr>
              <w:pStyle w:val="29"/>
              <w:spacing w:before="107" w:line="191" w:lineRule="exact"/>
              <w:ind w:left="169"/>
              <w:rPr>
                <w:sz w:val="18"/>
              </w:rPr>
            </w:pPr>
            <w:r>
              <w:rPr>
                <w:spacing w:val="-2"/>
                <w:sz w:val="18"/>
              </w:rPr>
              <w:t>0.382</w:t>
            </w:r>
          </w:p>
        </w:tc>
        <w:tc>
          <w:tcPr>
            <w:tcW w:w="1137" w:type="dxa"/>
            <w:tcBorders>
              <w:top w:val="single" w:color="C8C8C8" w:sz="4" w:space="0"/>
              <w:bottom w:val="single" w:color="C8C8C8" w:sz="4" w:space="0"/>
            </w:tcBorders>
            <w:shd w:val="clear" w:color="auto" w:fill="ECECEC"/>
          </w:tcPr>
          <w:p w14:paraId="32A36E10">
            <w:pPr>
              <w:pStyle w:val="29"/>
              <w:spacing w:before="107" w:line="191" w:lineRule="exact"/>
              <w:ind w:left="168"/>
              <w:rPr>
                <w:sz w:val="18"/>
              </w:rPr>
            </w:pPr>
            <w:r>
              <w:rPr>
                <w:spacing w:val="-2"/>
                <w:sz w:val="18"/>
              </w:rPr>
              <w:t>97.229</w:t>
            </w:r>
          </w:p>
        </w:tc>
      </w:tr>
      <w:tr w14:paraId="7EB492FF">
        <w:tblPrEx>
          <w:tblCellMar>
            <w:top w:w="0" w:type="dxa"/>
            <w:left w:w="0" w:type="dxa"/>
            <w:bottom w:w="0" w:type="dxa"/>
            <w:right w:w="0" w:type="dxa"/>
          </w:tblCellMar>
        </w:tblPrEx>
        <w:trPr>
          <w:trHeight w:val="321" w:hRule="atLeast"/>
        </w:trPr>
        <w:tc>
          <w:tcPr>
            <w:tcW w:w="1008" w:type="dxa"/>
            <w:tcBorders>
              <w:top w:val="single" w:color="C8C8C8" w:sz="4" w:space="0"/>
              <w:bottom w:val="single" w:color="C8C8C8" w:sz="4" w:space="0"/>
            </w:tcBorders>
            <w:shd w:val="clear" w:color="auto" w:fill="ECECEC"/>
          </w:tcPr>
          <w:p w14:paraId="3940D4C7">
            <w:pPr>
              <w:pStyle w:val="29"/>
              <w:spacing w:before="115" w:line="186" w:lineRule="exact"/>
              <w:ind w:left="182"/>
              <w:rPr>
                <w:b/>
                <w:sz w:val="18"/>
              </w:rPr>
            </w:pPr>
            <w:r>
              <w:rPr>
                <w:b/>
                <w:spacing w:val="-5"/>
                <w:sz w:val="18"/>
              </w:rPr>
              <w:t>31</w:t>
            </w:r>
          </w:p>
        </w:tc>
        <w:tc>
          <w:tcPr>
            <w:tcW w:w="4539" w:type="dxa"/>
            <w:tcBorders>
              <w:top w:val="single" w:color="C8C8C8" w:sz="4" w:space="0"/>
              <w:bottom w:val="single" w:color="C8C8C8" w:sz="4" w:space="0"/>
            </w:tcBorders>
            <w:shd w:val="clear" w:color="auto" w:fill="ECECEC"/>
          </w:tcPr>
          <w:p w14:paraId="6117138F">
            <w:pPr>
              <w:pStyle w:val="29"/>
              <w:spacing w:before="110" w:line="191" w:lineRule="exact"/>
              <w:ind w:left="167"/>
              <w:rPr>
                <w:sz w:val="18"/>
              </w:rPr>
            </w:pPr>
            <w:r>
              <w:rPr>
                <w:sz w:val="18"/>
              </w:rPr>
              <w:t>Sanal</w:t>
            </w:r>
            <w:r>
              <w:rPr>
                <w:spacing w:val="-2"/>
                <w:sz w:val="18"/>
              </w:rPr>
              <w:t xml:space="preserve"> </w:t>
            </w:r>
            <w:r>
              <w:rPr>
                <w:sz w:val="18"/>
              </w:rPr>
              <w:t>rekreasyon</w:t>
            </w:r>
            <w:r>
              <w:rPr>
                <w:spacing w:val="-1"/>
                <w:sz w:val="18"/>
              </w:rPr>
              <w:t xml:space="preserve"> </w:t>
            </w:r>
            <w:r>
              <w:rPr>
                <w:sz w:val="18"/>
              </w:rPr>
              <w:t>ile</w:t>
            </w:r>
            <w:r>
              <w:rPr>
                <w:spacing w:val="-3"/>
                <w:sz w:val="18"/>
              </w:rPr>
              <w:t xml:space="preserve"> </w:t>
            </w:r>
            <w:r>
              <w:rPr>
                <w:sz w:val="18"/>
              </w:rPr>
              <w:t>benzersiz</w:t>
            </w:r>
            <w:r>
              <w:rPr>
                <w:spacing w:val="-2"/>
                <w:sz w:val="18"/>
              </w:rPr>
              <w:t xml:space="preserve"> </w:t>
            </w:r>
            <w:r>
              <w:rPr>
                <w:sz w:val="18"/>
              </w:rPr>
              <w:t>bir</w:t>
            </w:r>
            <w:r>
              <w:rPr>
                <w:spacing w:val="-4"/>
                <w:sz w:val="18"/>
              </w:rPr>
              <w:t xml:space="preserve"> </w:t>
            </w:r>
            <w:r>
              <w:rPr>
                <w:sz w:val="18"/>
              </w:rPr>
              <w:t>deneyim</w:t>
            </w:r>
            <w:r>
              <w:rPr>
                <w:spacing w:val="-2"/>
                <w:sz w:val="18"/>
              </w:rPr>
              <w:t xml:space="preserve"> yaşarım.</w:t>
            </w:r>
          </w:p>
        </w:tc>
        <w:tc>
          <w:tcPr>
            <w:tcW w:w="991" w:type="dxa"/>
            <w:tcBorders>
              <w:top w:val="single" w:color="C8C8C8" w:sz="4" w:space="0"/>
              <w:bottom w:val="single" w:color="C8C8C8" w:sz="4" w:space="0"/>
            </w:tcBorders>
            <w:shd w:val="clear" w:color="auto" w:fill="ECECEC"/>
          </w:tcPr>
          <w:p w14:paraId="482DEB1D">
            <w:pPr>
              <w:pStyle w:val="29"/>
              <w:spacing w:before="110" w:line="191" w:lineRule="exact"/>
              <w:ind w:left="168"/>
              <w:rPr>
                <w:sz w:val="18"/>
              </w:rPr>
            </w:pPr>
            <w:r>
              <w:rPr>
                <w:spacing w:val="-2"/>
                <w:sz w:val="18"/>
              </w:rPr>
              <w:t>0.156</w:t>
            </w:r>
          </w:p>
        </w:tc>
        <w:tc>
          <w:tcPr>
            <w:tcW w:w="1133" w:type="dxa"/>
            <w:tcBorders>
              <w:top w:val="single" w:color="C8C8C8" w:sz="4" w:space="0"/>
              <w:bottom w:val="single" w:color="C8C8C8" w:sz="4" w:space="0"/>
            </w:tcBorders>
            <w:shd w:val="clear" w:color="auto" w:fill="ECECEC"/>
          </w:tcPr>
          <w:p w14:paraId="7D12C76C">
            <w:pPr>
              <w:pStyle w:val="29"/>
              <w:spacing w:before="110" w:line="191" w:lineRule="exact"/>
              <w:ind w:left="169"/>
              <w:rPr>
                <w:sz w:val="18"/>
              </w:rPr>
            </w:pPr>
            <w:r>
              <w:rPr>
                <w:spacing w:val="-2"/>
                <w:sz w:val="18"/>
              </w:rPr>
              <w:t>0.354</w:t>
            </w:r>
          </w:p>
        </w:tc>
        <w:tc>
          <w:tcPr>
            <w:tcW w:w="1137" w:type="dxa"/>
            <w:tcBorders>
              <w:top w:val="single" w:color="C8C8C8" w:sz="4" w:space="0"/>
              <w:bottom w:val="single" w:color="C8C8C8" w:sz="4" w:space="0"/>
            </w:tcBorders>
            <w:shd w:val="clear" w:color="auto" w:fill="ECECEC"/>
          </w:tcPr>
          <w:p w14:paraId="4A165F5B">
            <w:pPr>
              <w:pStyle w:val="29"/>
              <w:spacing w:before="110" w:line="191" w:lineRule="exact"/>
              <w:ind w:left="168"/>
              <w:rPr>
                <w:sz w:val="18"/>
              </w:rPr>
            </w:pPr>
            <w:r>
              <w:rPr>
                <w:spacing w:val="-2"/>
                <w:sz w:val="18"/>
              </w:rPr>
              <w:t>97.583</w:t>
            </w:r>
          </w:p>
        </w:tc>
      </w:tr>
      <w:tr w14:paraId="5946B60D">
        <w:tblPrEx>
          <w:tblCellMar>
            <w:top w:w="0" w:type="dxa"/>
            <w:left w:w="0" w:type="dxa"/>
            <w:bottom w:w="0" w:type="dxa"/>
            <w:right w:w="0" w:type="dxa"/>
          </w:tblCellMar>
        </w:tblPrEx>
        <w:trPr>
          <w:trHeight w:val="640" w:hRule="atLeast"/>
        </w:trPr>
        <w:tc>
          <w:tcPr>
            <w:tcW w:w="1008" w:type="dxa"/>
            <w:tcBorders>
              <w:top w:val="single" w:color="C8C8C8" w:sz="4" w:space="0"/>
              <w:bottom w:val="single" w:color="C8C8C8" w:sz="4" w:space="0"/>
            </w:tcBorders>
            <w:shd w:val="clear" w:color="auto" w:fill="ECECEC"/>
          </w:tcPr>
          <w:p w14:paraId="5F0E44C1">
            <w:pPr>
              <w:pStyle w:val="29"/>
              <w:spacing w:before="112"/>
              <w:ind w:left="182"/>
              <w:rPr>
                <w:b/>
                <w:sz w:val="18"/>
              </w:rPr>
            </w:pPr>
            <w:r>
              <w:rPr>
                <w:b/>
                <w:spacing w:val="-5"/>
                <w:sz w:val="18"/>
              </w:rPr>
              <w:t>32</w:t>
            </w:r>
          </w:p>
        </w:tc>
        <w:tc>
          <w:tcPr>
            <w:tcW w:w="4539" w:type="dxa"/>
            <w:tcBorders>
              <w:top w:val="single" w:color="C8C8C8" w:sz="4" w:space="0"/>
              <w:bottom w:val="single" w:color="C8C8C8" w:sz="4" w:space="0"/>
            </w:tcBorders>
          </w:tcPr>
          <w:p w14:paraId="67180ED2">
            <w:pPr>
              <w:pStyle w:val="29"/>
              <w:spacing w:line="320" w:lineRule="exact"/>
              <w:ind w:left="167"/>
              <w:rPr>
                <w:sz w:val="18"/>
              </w:rPr>
            </w:pPr>
            <w:r>
              <w:rPr>
                <w:sz w:val="18"/>
              </w:rPr>
              <w:t>Sanal</w:t>
            </w:r>
            <w:r>
              <w:rPr>
                <w:spacing w:val="-2"/>
                <w:sz w:val="18"/>
              </w:rPr>
              <w:t xml:space="preserve"> </w:t>
            </w:r>
            <w:r>
              <w:rPr>
                <w:sz w:val="18"/>
              </w:rPr>
              <w:t>rekreasyon</w:t>
            </w:r>
            <w:r>
              <w:rPr>
                <w:spacing w:val="-1"/>
                <w:sz w:val="18"/>
              </w:rPr>
              <w:t xml:space="preserve"> </w:t>
            </w:r>
            <w:r>
              <w:rPr>
                <w:sz w:val="18"/>
              </w:rPr>
              <w:t>ile</w:t>
            </w:r>
            <w:r>
              <w:rPr>
                <w:spacing w:val="-3"/>
                <w:sz w:val="18"/>
              </w:rPr>
              <w:t xml:space="preserve"> </w:t>
            </w:r>
            <w:r>
              <w:rPr>
                <w:sz w:val="18"/>
              </w:rPr>
              <w:t>sanal</w:t>
            </w:r>
            <w:r>
              <w:rPr>
                <w:spacing w:val="-2"/>
                <w:sz w:val="18"/>
              </w:rPr>
              <w:t xml:space="preserve"> </w:t>
            </w:r>
            <w:r>
              <w:rPr>
                <w:sz w:val="18"/>
              </w:rPr>
              <w:t>dünyalarda</w:t>
            </w:r>
            <w:r>
              <w:rPr>
                <w:spacing w:val="-1"/>
                <w:sz w:val="18"/>
              </w:rPr>
              <w:t xml:space="preserve"> </w:t>
            </w:r>
            <w:r>
              <w:rPr>
                <w:sz w:val="18"/>
              </w:rPr>
              <w:t>yaratılan</w:t>
            </w:r>
            <w:r>
              <w:rPr>
                <w:spacing w:val="-2"/>
                <w:sz w:val="18"/>
              </w:rPr>
              <w:t xml:space="preserve"> </w:t>
            </w:r>
            <w:r>
              <w:rPr>
                <w:sz w:val="18"/>
              </w:rPr>
              <w:t>nesnelerle etkileşime geçerim.</w:t>
            </w:r>
          </w:p>
        </w:tc>
        <w:tc>
          <w:tcPr>
            <w:tcW w:w="991" w:type="dxa"/>
            <w:tcBorders>
              <w:top w:val="single" w:color="C8C8C8" w:sz="4" w:space="0"/>
              <w:bottom w:val="single" w:color="C8C8C8" w:sz="4" w:space="0"/>
            </w:tcBorders>
            <w:shd w:val="clear" w:color="auto" w:fill="ECECEC"/>
          </w:tcPr>
          <w:p w14:paraId="098C728B">
            <w:pPr>
              <w:pStyle w:val="29"/>
              <w:spacing w:before="107"/>
              <w:ind w:left="168"/>
              <w:rPr>
                <w:sz w:val="18"/>
              </w:rPr>
            </w:pPr>
            <w:r>
              <w:rPr>
                <w:spacing w:val="-2"/>
                <w:sz w:val="18"/>
              </w:rPr>
              <w:t>0.140</w:t>
            </w:r>
          </w:p>
        </w:tc>
        <w:tc>
          <w:tcPr>
            <w:tcW w:w="1133" w:type="dxa"/>
            <w:tcBorders>
              <w:top w:val="single" w:color="C8C8C8" w:sz="4" w:space="0"/>
              <w:bottom w:val="single" w:color="C8C8C8" w:sz="4" w:space="0"/>
            </w:tcBorders>
          </w:tcPr>
          <w:p w14:paraId="015AAEF3">
            <w:pPr>
              <w:pStyle w:val="29"/>
              <w:spacing w:before="107"/>
              <w:ind w:left="169"/>
              <w:rPr>
                <w:sz w:val="18"/>
              </w:rPr>
            </w:pPr>
            <w:r>
              <w:rPr>
                <w:spacing w:val="-2"/>
                <w:sz w:val="18"/>
              </w:rPr>
              <w:t>0.319</w:t>
            </w:r>
          </w:p>
        </w:tc>
        <w:tc>
          <w:tcPr>
            <w:tcW w:w="1137" w:type="dxa"/>
            <w:tcBorders>
              <w:top w:val="single" w:color="C8C8C8" w:sz="4" w:space="0"/>
              <w:bottom w:val="single" w:color="C8C8C8" w:sz="4" w:space="0"/>
            </w:tcBorders>
            <w:shd w:val="clear" w:color="auto" w:fill="ECECEC"/>
          </w:tcPr>
          <w:p w14:paraId="44384BD0">
            <w:pPr>
              <w:pStyle w:val="29"/>
              <w:spacing w:before="107"/>
              <w:ind w:left="168"/>
              <w:rPr>
                <w:sz w:val="18"/>
              </w:rPr>
            </w:pPr>
            <w:r>
              <w:rPr>
                <w:spacing w:val="-2"/>
                <w:sz w:val="18"/>
              </w:rPr>
              <w:t>97.902</w:t>
            </w:r>
          </w:p>
        </w:tc>
      </w:tr>
      <w:tr w14:paraId="4A2E6960">
        <w:tblPrEx>
          <w:tblCellMar>
            <w:top w:w="0" w:type="dxa"/>
            <w:left w:w="0" w:type="dxa"/>
            <w:bottom w:w="0" w:type="dxa"/>
            <w:right w:w="0" w:type="dxa"/>
          </w:tblCellMar>
        </w:tblPrEx>
        <w:trPr>
          <w:trHeight w:val="640" w:hRule="atLeast"/>
        </w:trPr>
        <w:tc>
          <w:tcPr>
            <w:tcW w:w="1008" w:type="dxa"/>
            <w:tcBorders>
              <w:top w:val="single" w:color="C8C8C8" w:sz="4" w:space="0"/>
              <w:bottom w:val="single" w:color="C8C8C8" w:sz="4" w:space="0"/>
            </w:tcBorders>
            <w:shd w:val="clear" w:color="auto" w:fill="ECECEC"/>
          </w:tcPr>
          <w:p w14:paraId="0A8DE03C">
            <w:pPr>
              <w:pStyle w:val="29"/>
              <w:spacing w:before="113"/>
              <w:ind w:left="182"/>
              <w:rPr>
                <w:b/>
                <w:sz w:val="18"/>
              </w:rPr>
            </w:pPr>
            <w:r>
              <w:rPr>
                <w:b/>
                <w:spacing w:val="-5"/>
                <w:sz w:val="18"/>
              </w:rPr>
              <w:t>33</w:t>
            </w:r>
          </w:p>
        </w:tc>
        <w:tc>
          <w:tcPr>
            <w:tcW w:w="4539" w:type="dxa"/>
            <w:tcBorders>
              <w:top w:val="single" w:color="C8C8C8" w:sz="4" w:space="0"/>
              <w:bottom w:val="single" w:color="C8C8C8" w:sz="4" w:space="0"/>
            </w:tcBorders>
            <w:shd w:val="clear" w:color="auto" w:fill="ECECEC"/>
          </w:tcPr>
          <w:p w14:paraId="214F9BF1">
            <w:pPr>
              <w:pStyle w:val="29"/>
              <w:spacing w:line="320" w:lineRule="exact"/>
              <w:ind w:left="167"/>
              <w:rPr>
                <w:sz w:val="18"/>
              </w:rPr>
            </w:pPr>
            <w:r>
              <w:rPr>
                <w:sz w:val="18"/>
              </w:rPr>
              <w:t xml:space="preserve">Sanal rekreasyon faaliyetleri ile başka bir dünyaya geçiş </w:t>
            </w:r>
            <w:r>
              <w:rPr>
                <w:spacing w:val="-2"/>
                <w:sz w:val="18"/>
              </w:rPr>
              <w:t>yaparım.</w:t>
            </w:r>
          </w:p>
        </w:tc>
        <w:tc>
          <w:tcPr>
            <w:tcW w:w="991" w:type="dxa"/>
            <w:tcBorders>
              <w:top w:val="single" w:color="C8C8C8" w:sz="4" w:space="0"/>
              <w:bottom w:val="single" w:color="C8C8C8" w:sz="4" w:space="0"/>
            </w:tcBorders>
            <w:shd w:val="clear" w:color="auto" w:fill="ECECEC"/>
          </w:tcPr>
          <w:p w14:paraId="336522AD">
            <w:pPr>
              <w:pStyle w:val="29"/>
              <w:spacing w:before="108"/>
              <w:ind w:left="168"/>
              <w:rPr>
                <w:sz w:val="18"/>
              </w:rPr>
            </w:pPr>
            <w:r>
              <w:rPr>
                <w:spacing w:val="-2"/>
                <w:sz w:val="18"/>
              </w:rPr>
              <w:t>0.136</w:t>
            </w:r>
          </w:p>
        </w:tc>
        <w:tc>
          <w:tcPr>
            <w:tcW w:w="1133" w:type="dxa"/>
            <w:tcBorders>
              <w:top w:val="single" w:color="C8C8C8" w:sz="4" w:space="0"/>
              <w:bottom w:val="single" w:color="C8C8C8" w:sz="4" w:space="0"/>
            </w:tcBorders>
            <w:shd w:val="clear" w:color="auto" w:fill="ECECEC"/>
          </w:tcPr>
          <w:p w14:paraId="714DC315">
            <w:pPr>
              <w:pStyle w:val="29"/>
              <w:spacing w:before="108"/>
              <w:ind w:left="169"/>
              <w:rPr>
                <w:sz w:val="18"/>
              </w:rPr>
            </w:pPr>
            <w:r>
              <w:rPr>
                <w:spacing w:val="-2"/>
                <w:sz w:val="18"/>
              </w:rPr>
              <w:t>0.310</w:t>
            </w:r>
          </w:p>
        </w:tc>
        <w:tc>
          <w:tcPr>
            <w:tcW w:w="1137" w:type="dxa"/>
            <w:tcBorders>
              <w:top w:val="single" w:color="C8C8C8" w:sz="4" w:space="0"/>
              <w:bottom w:val="single" w:color="C8C8C8" w:sz="4" w:space="0"/>
            </w:tcBorders>
            <w:shd w:val="clear" w:color="auto" w:fill="ECECEC"/>
          </w:tcPr>
          <w:p w14:paraId="4BCD544C">
            <w:pPr>
              <w:pStyle w:val="29"/>
              <w:spacing w:before="108"/>
              <w:ind w:left="168"/>
              <w:rPr>
                <w:sz w:val="18"/>
              </w:rPr>
            </w:pPr>
            <w:r>
              <w:rPr>
                <w:spacing w:val="-2"/>
                <w:sz w:val="18"/>
              </w:rPr>
              <w:t>98.212</w:t>
            </w:r>
          </w:p>
        </w:tc>
      </w:tr>
      <w:tr w14:paraId="5D3E3E7F">
        <w:tblPrEx>
          <w:tblCellMar>
            <w:top w:w="0" w:type="dxa"/>
            <w:left w:w="0" w:type="dxa"/>
            <w:bottom w:w="0" w:type="dxa"/>
            <w:right w:w="0" w:type="dxa"/>
          </w:tblCellMar>
        </w:tblPrEx>
        <w:trPr>
          <w:trHeight w:val="637" w:hRule="atLeast"/>
        </w:trPr>
        <w:tc>
          <w:tcPr>
            <w:tcW w:w="1008" w:type="dxa"/>
            <w:tcBorders>
              <w:top w:val="single" w:color="C8C8C8" w:sz="4" w:space="0"/>
              <w:bottom w:val="single" w:color="C8C8C8" w:sz="4" w:space="0"/>
            </w:tcBorders>
            <w:shd w:val="clear" w:color="auto" w:fill="ECECEC"/>
          </w:tcPr>
          <w:p w14:paraId="41BD60F7">
            <w:pPr>
              <w:pStyle w:val="29"/>
              <w:spacing w:before="112"/>
              <w:ind w:left="182"/>
              <w:rPr>
                <w:b/>
                <w:sz w:val="18"/>
              </w:rPr>
            </w:pPr>
            <w:r>
              <w:rPr>
                <w:b/>
                <w:spacing w:val="-5"/>
                <w:sz w:val="18"/>
              </w:rPr>
              <w:t>34</w:t>
            </w:r>
          </w:p>
        </w:tc>
        <w:tc>
          <w:tcPr>
            <w:tcW w:w="4539" w:type="dxa"/>
            <w:tcBorders>
              <w:top w:val="single" w:color="C8C8C8" w:sz="4" w:space="0"/>
              <w:bottom w:val="single" w:color="C8C8C8" w:sz="4" w:space="0"/>
            </w:tcBorders>
          </w:tcPr>
          <w:p w14:paraId="44D9ABE7">
            <w:pPr>
              <w:pStyle w:val="29"/>
              <w:tabs>
                <w:tab w:val="left" w:pos="769"/>
                <w:tab w:val="left" w:pos="1580"/>
                <w:tab w:val="left" w:pos="2407"/>
                <w:tab w:val="left" w:pos="3479"/>
              </w:tabs>
              <w:spacing w:line="320" w:lineRule="exact"/>
              <w:ind w:left="167" w:right="169"/>
              <w:rPr>
                <w:sz w:val="18"/>
              </w:rPr>
            </w:pPr>
            <w:r>
              <w:rPr>
                <w:spacing w:val="-2"/>
                <w:sz w:val="18"/>
              </w:rPr>
              <w:t>Sanal</w:t>
            </w:r>
            <w:r>
              <w:rPr>
                <w:sz w:val="18"/>
              </w:rPr>
              <w:tab/>
            </w:r>
            <w:r>
              <w:rPr>
                <w:spacing w:val="-2"/>
                <w:sz w:val="18"/>
              </w:rPr>
              <w:t>dünyada</w:t>
            </w:r>
            <w:r>
              <w:rPr>
                <w:sz w:val="18"/>
              </w:rPr>
              <w:tab/>
            </w:r>
            <w:r>
              <w:rPr>
                <w:spacing w:val="-2"/>
                <w:sz w:val="18"/>
              </w:rPr>
              <w:t>yaratılan</w:t>
            </w:r>
            <w:r>
              <w:rPr>
                <w:sz w:val="18"/>
              </w:rPr>
              <w:tab/>
            </w:r>
            <w:r>
              <w:rPr>
                <w:spacing w:val="-2"/>
                <w:sz w:val="18"/>
              </w:rPr>
              <w:t>faaliyetlerin</w:t>
            </w:r>
            <w:r>
              <w:rPr>
                <w:sz w:val="18"/>
              </w:rPr>
              <w:tab/>
            </w:r>
            <w:r>
              <w:rPr>
                <w:spacing w:val="-2"/>
                <w:sz w:val="18"/>
              </w:rPr>
              <w:t>gerçekliğine inanırım.</w:t>
            </w:r>
          </w:p>
        </w:tc>
        <w:tc>
          <w:tcPr>
            <w:tcW w:w="991" w:type="dxa"/>
            <w:tcBorders>
              <w:top w:val="single" w:color="C8C8C8" w:sz="4" w:space="0"/>
              <w:bottom w:val="single" w:color="C8C8C8" w:sz="4" w:space="0"/>
            </w:tcBorders>
            <w:shd w:val="clear" w:color="auto" w:fill="ECECEC"/>
          </w:tcPr>
          <w:p w14:paraId="7AE18592">
            <w:pPr>
              <w:pStyle w:val="29"/>
              <w:spacing w:before="107"/>
              <w:ind w:left="168"/>
              <w:rPr>
                <w:sz w:val="18"/>
              </w:rPr>
            </w:pPr>
            <w:r>
              <w:rPr>
                <w:spacing w:val="-2"/>
                <w:sz w:val="18"/>
              </w:rPr>
              <w:t>0.108</w:t>
            </w:r>
          </w:p>
        </w:tc>
        <w:tc>
          <w:tcPr>
            <w:tcW w:w="1133" w:type="dxa"/>
            <w:tcBorders>
              <w:top w:val="single" w:color="C8C8C8" w:sz="4" w:space="0"/>
              <w:bottom w:val="single" w:color="C8C8C8" w:sz="4" w:space="0"/>
            </w:tcBorders>
          </w:tcPr>
          <w:p w14:paraId="1400D1A0">
            <w:pPr>
              <w:pStyle w:val="29"/>
              <w:spacing w:before="107"/>
              <w:ind w:left="169"/>
              <w:rPr>
                <w:sz w:val="18"/>
              </w:rPr>
            </w:pPr>
            <w:r>
              <w:rPr>
                <w:spacing w:val="-2"/>
                <w:sz w:val="18"/>
              </w:rPr>
              <w:t>0.246</w:t>
            </w:r>
          </w:p>
        </w:tc>
        <w:tc>
          <w:tcPr>
            <w:tcW w:w="1137" w:type="dxa"/>
            <w:tcBorders>
              <w:top w:val="single" w:color="C8C8C8" w:sz="4" w:space="0"/>
              <w:bottom w:val="single" w:color="C8C8C8" w:sz="4" w:space="0"/>
            </w:tcBorders>
            <w:shd w:val="clear" w:color="auto" w:fill="ECECEC"/>
          </w:tcPr>
          <w:p w14:paraId="4151A6D1">
            <w:pPr>
              <w:pStyle w:val="29"/>
              <w:spacing w:before="107"/>
              <w:ind w:left="168"/>
              <w:rPr>
                <w:sz w:val="18"/>
              </w:rPr>
            </w:pPr>
            <w:r>
              <w:rPr>
                <w:spacing w:val="-2"/>
                <w:sz w:val="18"/>
              </w:rPr>
              <w:t>98.457</w:t>
            </w:r>
          </w:p>
        </w:tc>
      </w:tr>
      <w:tr w14:paraId="01EDCB1A">
        <w:tblPrEx>
          <w:tblCellMar>
            <w:top w:w="0" w:type="dxa"/>
            <w:left w:w="0" w:type="dxa"/>
            <w:bottom w:w="0" w:type="dxa"/>
            <w:right w:w="0" w:type="dxa"/>
          </w:tblCellMar>
        </w:tblPrEx>
        <w:trPr>
          <w:trHeight w:val="638" w:hRule="atLeast"/>
        </w:trPr>
        <w:tc>
          <w:tcPr>
            <w:tcW w:w="1008" w:type="dxa"/>
            <w:tcBorders>
              <w:top w:val="single" w:color="C8C8C8" w:sz="4" w:space="0"/>
              <w:bottom w:val="single" w:color="C8C8C8" w:sz="4" w:space="0"/>
            </w:tcBorders>
            <w:shd w:val="clear" w:color="auto" w:fill="ECECEC"/>
          </w:tcPr>
          <w:p w14:paraId="6F655ABC">
            <w:pPr>
              <w:pStyle w:val="29"/>
              <w:spacing w:before="113"/>
              <w:ind w:left="182"/>
              <w:rPr>
                <w:b/>
                <w:sz w:val="18"/>
              </w:rPr>
            </w:pPr>
            <w:r>
              <w:rPr>
                <w:b/>
                <w:spacing w:val="-5"/>
                <w:sz w:val="18"/>
              </w:rPr>
              <w:t>35</w:t>
            </w:r>
          </w:p>
        </w:tc>
        <w:tc>
          <w:tcPr>
            <w:tcW w:w="4539" w:type="dxa"/>
            <w:tcBorders>
              <w:top w:val="single" w:color="C8C8C8" w:sz="4" w:space="0"/>
              <w:bottom w:val="single" w:color="C8C8C8" w:sz="4" w:space="0"/>
            </w:tcBorders>
            <w:shd w:val="clear" w:color="auto" w:fill="ECECEC"/>
          </w:tcPr>
          <w:p w14:paraId="6553F586">
            <w:pPr>
              <w:pStyle w:val="29"/>
              <w:spacing w:line="320" w:lineRule="exact"/>
              <w:ind w:left="167"/>
              <w:rPr>
                <w:sz w:val="18"/>
              </w:rPr>
            </w:pPr>
            <w:r>
              <w:rPr>
                <w:sz w:val="18"/>
              </w:rPr>
              <w:t>Sanal</w:t>
            </w:r>
            <w:r>
              <w:rPr>
                <w:spacing w:val="33"/>
                <w:sz w:val="18"/>
              </w:rPr>
              <w:t xml:space="preserve"> </w:t>
            </w:r>
            <w:r>
              <w:rPr>
                <w:sz w:val="18"/>
              </w:rPr>
              <w:t>rekreasyon</w:t>
            </w:r>
            <w:r>
              <w:rPr>
                <w:spacing w:val="34"/>
                <w:sz w:val="18"/>
              </w:rPr>
              <w:t xml:space="preserve"> </w:t>
            </w:r>
            <w:r>
              <w:rPr>
                <w:sz w:val="18"/>
              </w:rPr>
              <w:t>faaliyetleri</w:t>
            </w:r>
            <w:r>
              <w:rPr>
                <w:spacing w:val="33"/>
                <w:sz w:val="18"/>
              </w:rPr>
              <w:t xml:space="preserve"> </w:t>
            </w:r>
            <w:r>
              <w:rPr>
                <w:sz w:val="18"/>
              </w:rPr>
              <w:t>ile</w:t>
            </w:r>
            <w:r>
              <w:rPr>
                <w:spacing w:val="32"/>
                <w:sz w:val="18"/>
              </w:rPr>
              <w:t xml:space="preserve"> </w:t>
            </w:r>
            <w:r>
              <w:rPr>
                <w:sz w:val="18"/>
              </w:rPr>
              <w:t>gerçek</w:t>
            </w:r>
            <w:r>
              <w:rPr>
                <w:spacing w:val="31"/>
                <w:sz w:val="18"/>
              </w:rPr>
              <w:t xml:space="preserve"> </w:t>
            </w:r>
            <w:r>
              <w:rPr>
                <w:sz w:val="18"/>
              </w:rPr>
              <w:t>dünyaya</w:t>
            </w:r>
            <w:r>
              <w:rPr>
                <w:spacing w:val="32"/>
                <w:sz w:val="18"/>
              </w:rPr>
              <w:t xml:space="preserve"> </w:t>
            </w:r>
            <w:r>
              <w:rPr>
                <w:sz w:val="18"/>
              </w:rPr>
              <w:t>ilişkin duygu ve düşüncelerimi unuturum.</w:t>
            </w:r>
          </w:p>
        </w:tc>
        <w:tc>
          <w:tcPr>
            <w:tcW w:w="991" w:type="dxa"/>
            <w:tcBorders>
              <w:top w:val="single" w:color="C8C8C8" w:sz="4" w:space="0"/>
              <w:bottom w:val="single" w:color="C8C8C8" w:sz="4" w:space="0"/>
            </w:tcBorders>
            <w:shd w:val="clear" w:color="auto" w:fill="ECECEC"/>
          </w:tcPr>
          <w:p w14:paraId="23DDED91">
            <w:pPr>
              <w:pStyle w:val="29"/>
              <w:spacing w:before="108"/>
              <w:ind w:left="168"/>
              <w:rPr>
                <w:sz w:val="18"/>
              </w:rPr>
            </w:pPr>
            <w:r>
              <w:rPr>
                <w:spacing w:val="-2"/>
                <w:sz w:val="18"/>
              </w:rPr>
              <w:t>0.099</w:t>
            </w:r>
          </w:p>
        </w:tc>
        <w:tc>
          <w:tcPr>
            <w:tcW w:w="1133" w:type="dxa"/>
            <w:tcBorders>
              <w:top w:val="single" w:color="C8C8C8" w:sz="4" w:space="0"/>
              <w:bottom w:val="single" w:color="C8C8C8" w:sz="4" w:space="0"/>
            </w:tcBorders>
            <w:shd w:val="clear" w:color="auto" w:fill="ECECEC"/>
          </w:tcPr>
          <w:p w14:paraId="39768397">
            <w:pPr>
              <w:pStyle w:val="29"/>
              <w:spacing w:before="108"/>
              <w:ind w:left="169"/>
              <w:rPr>
                <w:sz w:val="18"/>
              </w:rPr>
            </w:pPr>
            <w:r>
              <w:rPr>
                <w:spacing w:val="-2"/>
                <w:sz w:val="18"/>
              </w:rPr>
              <w:t>0.225</w:t>
            </w:r>
          </w:p>
        </w:tc>
        <w:tc>
          <w:tcPr>
            <w:tcW w:w="1137" w:type="dxa"/>
            <w:tcBorders>
              <w:top w:val="single" w:color="C8C8C8" w:sz="4" w:space="0"/>
              <w:bottom w:val="single" w:color="C8C8C8" w:sz="4" w:space="0"/>
            </w:tcBorders>
            <w:shd w:val="clear" w:color="auto" w:fill="ECECEC"/>
          </w:tcPr>
          <w:p w14:paraId="007CC5A7">
            <w:pPr>
              <w:pStyle w:val="29"/>
              <w:spacing w:before="108"/>
              <w:ind w:left="168"/>
              <w:rPr>
                <w:sz w:val="18"/>
              </w:rPr>
            </w:pPr>
            <w:r>
              <w:rPr>
                <w:spacing w:val="-2"/>
                <w:sz w:val="18"/>
              </w:rPr>
              <w:t>98.683</w:t>
            </w:r>
          </w:p>
        </w:tc>
      </w:tr>
      <w:tr w14:paraId="0DC00CE4">
        <w:tblPrEx>
          <w:tblCellMar>
            <w:top w:w="0" w:type="dxa"/>
            <w:left w:w="0" w:type="dxa"/>
            <w:bottom w:w="0" w:type="dxa"/>
            <w:right w:w="0" w:type="dxa"/>
          </w:tblCellMar>
        </w:tblPrEx>
        <w:trPr>
          <w:trHeight w:val="638" w:hRule="atLeast"/>
        </w:trPr>
        <w:tc>
          <w:tcPr>
            <w:tcW w:w="1008" w:type="dxa"/>
            <w:tcBorders>
              <w:top w:val="single" w:color="C8C8C8" w:sz="4" w:space="0"/>
              <w:bottom w:val="single" w:color="C8C8C8" w:sz="4" w:space="0"/>
            </w:tcBorders>
            <w:shd w:val="clear" w:color="auto" w:fill="ECECEC"/>
          </w:tcPr>
          <w:p w14:paraId="629071E3">
            <w:pPr>
              <w:pStyle w:val="29"/>
              <w:spacing w:before="111"/>
              <w:ind w:left="182"/>
              <w:rPr>
                <w:b/>
                <w:sz w:val="18"/>
              </w:rPr>
            </w:pPr>
            <w:r>
              <w:rPr>
                <w:b/>
                <w:spacing w:val="-5"/>
                <w:sz w:val="18"/>
              </w:rPr>
              <w:t>36</w:t>
            </w:r>
          </w:p>
        </w:tc>
        <w:tc>
          <w:tcPr>
            <w:tcW w:w="4539" w:type="dxa"/>
            <w:tcBorders>
              <w:top w:val="single" w:color="C8C8C8" w:sz="4" w:space="0"/>
              <w:bottom w:val="single" w:color="C8C8C8" w:sz="4" w:space="0"/>
            </w:tcBorders>
          </w:tcPr>
          <w:p w14:paraId="0AD305C9">
            <w:pPr>
              <w:pStyle w:val="29"/>
              <w:tabs>
                <w:tab w:val="left" w:pos="803"/>
                <w:tab w:val="left" w:pos="1705"/>
                <w:tab w:val="left" w:pos="2559"/>
                <w:tab w:val="left" w:pos="2974"/>
                <w:tab w:val="left" w:pos="3578"/>
              </w:tabs>
              <w:spacing w:line="322" w:lineRule="exact"/>
              <w:ind w:left="167" w:right="172"/>
              <w:rPr>
                <w:sz w:val="18"/>
              </w:rPr>
            </w:pPr>
            <w:r>
              <w:rPr>
                <w:spacing w:val="-2"/>
                <w:sz w:val="18"/>
              </w:rPr>
              <w:t>Sanal</w:t>
            </w:r>
            <w:r>
              <w:rPr>
                <w:sz w:val="18"/>
              </w:rPr>
              <w:tab/>
            </w:r>
            <w:r>
              <w:rPr>
                <w:spacing w:val="-2"/>
                <w:sz w:val="18"/>
              </w:rPr>
              <w:t>gerçeklik</w:t>
            </w:r>
            <w:r>
              <w:rPr>
                <w:sz w:val="18"/>
              </w:rPr>
              <w:tab/>
            </w:r>
            <w:r>
              <w:rPr>
                <w:spacing w:val="-2"/>
                <w:sz w:val="18"/>
              </w:rPr>
              <w:t>cihazları</w:t>
            </w:r>
            <w:r>
              <w:rPr>
                <w:sz w:val="18"/>
              </w:rPr>
              <w:tab/>
            </w:r>
            <w:r>
              <w:rPr>
                <w:spacing w:val="-4"/>
                <w:sz w:val="18"/>
              </w:rPr>
              <w:t>ile</w:t>
            </w:r>
            <w:r>
              <w:rPr>
                <w:sz w:val="18"/>
              </w:rPr>
              <w:tab/>
            </w:r>
            <w:r>
              <w:rPr>
                <w:spacing w:val="-4"/>
                <w:sz w:val="18"/>
              </w:rPr>
              <w:t>sanal</w:t>
            </w:r>
            <w:r>
              <w:rPr>
                <w:sz w:val="18"/>
              </w:rPr>
              <w:tab/>
            </w:r>
            <w:r>
              <w:rPr>
                <w:spacing w:val="-2"/>
                <w:sz w:val="18"/>
              </w:rPr>
              <w:t xml:space="preserve">rekreasyon </w:t>
            </w:r>
            <w:r>
              <w:rPr>
                <w:sz w:val="18"/>
              </w:rPr>
              <w:t>faaliyetlerinin içine dalarım.</w:t>
            </w:r>
          </w:p>
        </w:tc>
        <w:tc>
          <w:tcPr>
            <w:tcW w:w="991" w:type="dxa"/>
            <w:tcBorders>
              <w:top w:val="single" w:color="C8C8C8" w:sz="4" w:space="0"/>
              <w:bottom w:val="single" w:color="C8C8C8" w:sz="4" w:space="0"/>
            </w:tcBorders>
            <w:shd w:val="clear" w:color="auto" w:fill="ECECEC"/>
          </w:tcPr>
          <w:p w14:paraId="1E5F666E">
            <w:pPr>
              <w:pStyle w:val="29"/>
              <w:spacing w:before="106"/>
              <w:ind w:left="168"/>
              <w:rPr>
                <w:sz w:val="18"/>
              </w:rPr>
            </w:pPr>
            <w:r>
              <w:rPr>
                <w:spacing w:val="-2"/>
                <w:sz w:val="18"/>
              </w:rPr>
              <w:t>0.095</w:t>
            </w:r>
          </w:p>
        </w:tc>
        <w:tc>
          <w:tcPr>
            <w:tcW w:w="1133" w:type="dxa"/>
            <w:tcBorders>
              <w:top w:val="single" w:color="C8C8C8" w:sz="4" w:space="0"/>
              <w:bottom w:val="single" w:color="C8C8C8" w:sz="4" w:space="0"/>
            </w:tcBorders>
          </w:tcPr>
          <w:p w14:paraId="0ACB7970">
            <w:pPr>
              <w:pStyle w:val="29"/>
              <w:spacing w:before="106"/>
              <w:ind w:left="169"/>
              <w:rPr>
                <w:sz w:val="18"/>
              </w:rPr>
            </w:pPr>
            <w:r>
              <w:rPr>
                <w:spacing w:val="-2"/>
                <w:sz w:val="18"/>
              </w:rPr>
              <w:t>0.216</w:t>
            </w:r>
          </w:p>
        </w:tc>
        <w:tc>
          <w:tcPr>
            <w:tcW w:w="1137" w:type="dxa"/>
            <w:tcBorders>
              <w:top w:val="single" w:color="C8C8C8" w:sz="4" w:space="0"/>
              <w:bottom w:val="single" w:color="C8C8C8" w:sz="4" w:space="0"/>
            </w:tcBorders>
            <w:shd w:val="clear" w:color="auto" w:fill="ECECEC"/>
          </w:tcPr>
          <w:p w14:paraId="6EDAA05E">
            <w:pPr>
              <w:pStyle w:val="29"/>
              <w:spacing w:before="106"/>
              <w:ind w:left="168"/>
              <w:rPr>
                <w:sz w:val="18"/>
              </w:rPr>
            </w:pPr>
            <w:r>
              <w:rPr>
                <w:spacing w:val="-2"/>
                <w:sz w:val="18"/>
              </w:rPr>
              <w:t>98.898</w:t>
            </w:r>
          </w:p>
        </w:tc>
      </w:tr>
      <w:tr w14:paraId="770D3A6F">
        <w:tblPrEx>
          <w:tblCellMar>
            <w:top w:w="0" w:type="dxa"/>
            <w:left w:w="0" w:type="dxa"/>
            <w:bottom w:w="0" w:type="dxa"/>
            <w:right w:w="0" w:type="dxa"/>
          </w:tblCellMar>
        </w:tblPrEx>
        <w:trPr>
          <w:trHeight w:val="635" w:hRule="atLeast"/>
        </w:trPr>
        <w:tc>
          <w:tcPr>
            <w:tcW w:w="1008" w:type="dxa"/>
            <w:tcBorders>
              <w:top w:val="single" w:color="C8C8C8" w:sz="4" w:space="0"/>
              <w:bottom w:val="single" w:color="C8C8C8" w:sz="4" w:space="0"/>
            </w:tcBorders>
            <w:shd w:val="clear" w:color="auto" w:fill="ECECEC"/>
          </w:tcPr>
          <w:p w14:paraId="23A64A6A">
            <w:pPr>
              <w:pStyle w:val="29"/>
              <w:spacing w:before="107"/>
              <w:ind w:left="182"/>
              <w:rPr>
                <w:b/>
                <w:sz w:val="18"/>
              </w:rPr>
            </w:pPr>
            <w:r>
              <w:rPr>
                <w:b/>
                <w:spacing w:val="-5"/>
                <w:sz w:val="18"/>
              </w:rPr>
              <w:t>37</w:t>
            </w:r>
          </w:p>
        </w:tc>
        <w:tc>
          <w:tcPr>
            <w:tcW w:w="4539" w:type="dxa"/>
            <w:tcBorders>
              <w:top w:val="single" w:color="C8C8C8" w:sz="4" w:space="0"/>
              <w:bottom w:val="single" w:color="C8C8C8" w:sz="4" w:space="0"/>
            </w:tcBorders>
            <w:shd w:val="clear" w:color="auto" w:fill="ECECEC"/>
          </w:tcPr>
          <w:p w14:paraId="5A8D95F5">
            <w:pPr>
              <w:pStyle w:val="29"/>
              <w:spacing w:line="322" w:lineRule="exact"/>
              <w:ind w:left="167"/>
              <w:rPr>
                <w:sz w:val="18"/>
              </w:rPr>
            </w:pPr>
            <w:r>
              <w:rPr>
                <w:sz w:val="18"/>
              </w:rPr>
              <w:t>Sanal</w:t>
            </w:r>
            <w:r>
              <w:rPr>
                <w:spacing w:val="-9"/>
                <w:sz w:val="18"/>
              </w:rPr>
              <w:t xml:space="preserve"> </w:t>
            </w:r>
            <w:r>
              <w:rPr>
                <w:sz w:val="18"/>
              </w:rPr>
              <w:t>rekreasyon</w:t>
            </w:r>
            <w:r>
              <w:rPr>
                <w:spacing w:val="-7"/>
                <w:sz w:val="18"/>
              </w:rPr>
              <w:t xml:space="preserve"> </w:t>
            </w:r>
            <w:r>
              <w:rPr>
                <w:sz w:val="18"/>
              </w:rPr>
              <w:t>faaliyetlerinin</w:t>
            </w:r>
            <w:r>
              <w:rPr>
                <w:spacing w:val="-9"/>
                <w:sz w:val="18"/>
              </w:rPr>
              <w:t xml:space="preserve"> </w:t>
            </w:r>
            <w:r>
              <w:rPr>
                <w:sz w:val="18"/>
              </w:rPr>
              <w:t>içine</w:t>
            </w:r>
            <w:r>
              <w:rPr>
                <w:spacing w:val="-10"/>
                <w:sz w:val="18"/>
              </w:rPr>
              <w:t xml:space="preserve"> </w:t>
            </w:r>
            <w:r>
              <w:rPr>
                <w:sz w:val="18"/>
              </w:rPr>
              <w:t>daldığımda,</w:t>
            </w:r>
            <w:r>
              <w:rPr>
                <w:spacing w:val="-7"/>
                <w:sz w:val="18"/>
              </w:rPr>
              <w:t xml:space="preserve"> </w:t>
            </w:r>
            <w:r>
              <w:rPr>
                <w:sz w:val="18"/>
              </w:rPr>
              <w:t>yepyeni duygu ve düşünceler edinirim.</w:t>
            </w:r>
          </w:p>
        </w:tc>
        <w:tc>
          <w:tcPr>
            <w:tcW w:w="991" w:type="dxa"/>
            <w:tcBorders>
              <w:top w:val="single" w:color="C8C8C8" w:sz="4" w:space="0"/>
              <w:bottom w:val="single" w:color="C8C8C8" w:sz="4" w:space="0"/>
            </w:tcBorders>
            <w:shd w:val="clear" w:color="auto" w:fill="ECECEC"/>
          </w:tcPr>
          <w:p w14:paraId="08C99AD0">
            <w:pPr>
              <w:pStyle w:val="29"/>
              <w:spacing w:before="102"/>
              <w:ind w:left="168"/>
              <w:rPr>
                <w:sz w:val="18"/>
              </w:rPr>
            </w:pPr>
            <w:r>
              <w:rPr>
                <w:spacing w:val="-2"/>
                <w:sz w:val="18"/>
              </w:rPr>
              <w:t>0.088</w:t>
            </w:r>
          </w:p>
        </w:tc>
        <w:tc>
          <w:tcPr>
            <w:tcW w:w="1133" w:type="dxa"/>
            <w:tcBorders>
              <w:top w:val="single" w:color="C8C8C8" w:sz="4" w:space="0"/>
              <w:bottom w:val="single" w:color="C8C8C8" w:sz="4" w:space="0"/>
            </w:tcBorders>
            <w:shd w:val="clear" w:color="auto" w:fill="ECECEC"/>
          </w:tcPr>
          <w:p w14:paraId="4A59F36B">
            <w:pPr>
              <w:pStyle w:val="29"/>
              <w:spacing w:before="102"/>
              <w:ind w:left="169"/>
              <w:rPr>
                <w:sz w:val="18"/>
              </w:rPr>
            </w:pPr>
            <w:r>
              <w:rPr>
                <w:spacing w:val="-2"/>
                <w:sz w:val="18"/>
              </w:rPr>
              <w:t>0.201</w:t>
            </w:r>
          </w:p>
        </w:tc>
        <w:tc>
          <w:tcPr>
            <w:tcW w:w="1137" w:type="dxa"/>
            <w:tcBorders>
              <w:top w:val="single" w:color="C8C8C8" w:sz="4" w:space="0"/>
              <w:bottom w:val="single" w:color="C8C8C8" w:sz="4" w:space="0"/>
            </w:tcBorders>
            <w:shd w:val="clear" w:color="auto" w:fill="ECECEC"/>
          </w:tcPr>
          <w:p w14:paraId="2F2BDCA5">
            <w:pPr>
              <w:pStyle w:val="29"/>
              <w:spacing w:before="102"/>
              <w:ind w:left="168"/>
              <w:rPr>
                <w:sz w:val="18"/>
              </w:rPr>
            </w:pPr>
            <w:r>
              <w:rPr>
                <w:spacing w:val="-2"/>
                <w:sz w:val="18"/>
              </w:rPr>
              <w:t>99.099</w:t>
            </w:r>
          </w:p>
        </w:tc>
      </w:tr>
      <w:tr w14:paraId="6C77FC65">
        <w:tblPrEx>
          <w:tblCellMar>
            <w:top w:w="0" w:type="dxa"/>
            <w:left w:w="0" w:type="dxa"/>
            <w:bottom w:w="0" w:type="dxa"/>
            <w:right w:w="0" w:type="dxa"/>
          </w:tblCellMar>
        </w:tblPrEx>
        <w:trPr>
          <w:trHeight w:val="631" w:hRule="atLeast"/>
        </w:trPr>
        <w:tc>
          <w:tcPr>
            <w:tcW w:w="1008" w:type="dxa"/>
            <w:tcBorders>
              <w:top w:val="single" w:color="C8C8C8" w:sz="4" w:space="0"/>
              <w:bottom w:val="single" w:color="C8C8C8" w:sz="4" w:space="0"/>
            </w:tcBorders>
            <w:shd w:val="clear" w:color="auto" w:fill="ECECEC"/>
          </w:tcPr>
          <w:p w14:paraId="3C73CF1C">
            <w:pPr>
              <w:pStyle w:val="29"/>
              <w:spacing w:before="103"/>
              <w:ind w:left="182"/>
              <w:rPr>
                <w:b/>
                <w:sz w:val="18"/>
              </w:rPr>
            </w:pPr>
            <w:r>
              <w:rPr>
                <w:b/>
                <w:spacing w:val="-5"/>
                <w:sz w:val="18"/>
              </w:rPr>
              <w:t>38</w:t>
            </w:r>
          </w:p>
        </w:tc>
        <w:tc>
          <w:tcPr>
            <w:tcW w:w="4539" w:type="dxa"/>
            <w:tcBorders>
              <w:top w:val="single" w:color="C8C8C8" w:sz="4" w:space="0"/>
              <w:bottom w:val="single" w:color="C8C8C8" w:sz="4" w:space="0"/>
            </w:tcBorders>
          </w:tcPr>
          <w:p w14:paraId="6F35071E">
            <w:pPr>
              <w:pStyle w:val="29"/>
              <w:spacing w:line="320" w:lineRule="exact"/>
              <w:ind w:left="167"/>
              <w:rPr>
                <w:sz w:val="18"/>
              </w:rPr>
            </w:pPr>
            <w:r>
              <w:rPr>
                <w:sz w:val="18"/>
              </w:rPr>
              <w:t>Sanal</w:t>
            </w:r>
            <w:r>
              <w:rPr>
                <w:spacing w:val="80"/>
                <w:sz w:val="18"/>
              </w:rPr>
              <w:t xml:space="preserve"> </w:t>
            </w:r>
            <w:r>
              <w:rPr>
                <w:sz w:val="18"/>
              </w:rPr>
              <w:t>rekreasyon</w:t>
            </w:r>
            <w:r>
              <w:rPr>
                <w:spacing w:val="80"/>
                <w:w w:val="150"/>
                <w:sz w:val="18"/>
              </w:rPr>
              <w:t xml:space="preserve"> </w:t>
            </w:r>
            <w:r>
              <w:rPr>
                <w:sz w:val="18"/>
              </w:rPr>
              <w:t>faaliyetleri</w:t>
            </w:r>
            <w:r>
              <w:rPr>
                <w:spacing w:val="80"/>
                <w:sz w:val="18"/>
              </w:rPr>
              <w:t xml:space="preserve"> </w:t>
            </w:r>
            <w:r>
              <w:rPr>
                <w:sz w:val="18"/>
              </w:rPr>
              <w:t>ile</w:t>
            </w:r>
            <w:r>
              <w:rPr>
                <w:spacing w:val="80"/>
                <w:sz w:val="18"/>
              </w:rPr>
              <w:t xml:space="preserve"> </w:t>
            </w:r>
            <w:r>
              <w:rPr>
                <w:sz w:val="18"/>
              </w:rPr>
              <w:t>orada</w:t>
            </w:r>
            <w:r>
              <w:rPr>
                <w:spacing w:val="80"/>
                <w:sz w:val="18"/>
              </w:rPr>
              <w:t xml:space="preserve"> </w:t>
            </w:r>
            <w:r>
              <w:rPr>
                <w:sz w:val="18"/>
              </w:rPr>
              <w:t>olduğumu</w:t>
            </w:r>
            <w:r>
              <w:rPr>
                <w:spacing w:val="80"/>
                <w:sz w:val="18"/>
              </w:rPr>
              <w:t xml:space="preserve"> </w:t>
            </w:r>
            <w:r>
              <w:rPr>
                <w:spacing w:val="-2"/>
                <w:sz w:val="18"/>
              </w:rPr>
              <w:t>hissederim.</w:t>
            </w:r>
          </w:p>
        </w:tc>
        <w:tc>
          <w:tcPr>
            <w:tcW w:w="991" w:type="dxa"/>
            <w:tcBorders>
              <w:top w:val="single" w:color="C8C8C8" w:sz="4" w:space="0"/>
              <w:bottom w:val="single" w:color="C8C8C8" w:sz="4" w:space="0"/>
            </w:tcBorders>
            <w:shd w:val="clear" w:color="auto" w:fill="ECECEC"/>
          </w:tcPr>
          <w:p w14:paraId="659A3882">
            <w:pPr>
              <w:pStyle w:val="29"/>
              <w:spacing w:before="99"/>
              <w:ind w:left="168"/>
              <w:rPr>
                <w:sz w:val="18"/>
              </w:rPr>
            </w:pPr>
            <w:r>
              <w:rPr>
                <w:spacing w:val="-2"/>
                <w:sz w:val="18"/>
              </w:rPr>
              <w:t>0.083</w:t>
            </w:r>
          </w:p>
        </w:tc>
        <w:tc>
          <w:tcPr>
            <w:tcW w:w="1133" w:type="dxa"/>
            <w:tcBorders>
              <w:top w:val="single" w:color="C8C8C8" w:sz="4" w:space="0"/>
              <w:bottom w:val="single" w:color="C8C8C8" w:sz="4" w:space="0"/>
            </w:tcBorders>
          </w:tcPr>
          <w:p w14:paraId="3636BD36">
            <w:pPr>
              <w:pStyle w:val="29"/>
              <w:spacing w:before="99"/>
              <w:ind w:left="169"/>
              <w:rPr>
                <w:sz w:val="18"/>
              </w:rPr>
            </w:pPr>
            <w:r>
              <w:rPr>
                <w:spacing w:val="-2"/>
                <w:sz w:val="18"/>
              </w:rPr>
              <w:t>0.189</w:t>
            </w:r>
          </w:p>
        </w:tc>
        <w:tc>
          <w:tcPr>
            <w:tcW w:w="1137" w:type="dxa"/>
            <w:tcBorders>
              <w:top w:val="single" w:color="C8C8C8" w:sz="4" w:space="0"/>
              <w:bottom w:val="single" w:color="C8C8C8" w:sz="4" w:space="0"/>
            </w:tcBorders>
            <w:shd w:val="clear" w:color="auto" w:fill="ECECEC"/>
          </w:tcPr>
          <w:p w14:paraId="32125127">
            <w:pPr>
              <w:pStyle w:val="29"/>
              <w:spacing w:before="99"/>
              <w:ind w:left="168"/>
              <w:rPr>
                <w:sz w:val="18"/>
              </w:rPr>
            </w:pPr>
            <w:r>
              <w:rPr>
                <w:spacing w:val="-2"/>
                <w:sz w:val="18"/>
              </w:rPr>
              <w:t>99.288</w:t>
            </w:r>
          </w:p>
        </w:tc>
      </w:tr>
      <w:tr w14:paraId="697F6DB0">
        <w:tblPrEx>
          <w:tblCellMar>
            <w:top w:w="0" w:type="dxa"/>
            <w:left w:w="0" w:type="dxa"/>
            <w:bottom w:w="0" w:type="dxa"/>
            <w:right w:w="0" w:type="dxa"/>
          </w:tblCellMar>
        </w:tblPrEx>
        <w:trPr>
          <w:trHeight w:val="632" w:hRule="atLeast"/>
        </w:trPr>
        <w:tc>
          <w:tcPr>
            <w:tcW w:w="1008" w:type="dxa"/>
            <w:tcBorders>
              <w:top w:val="single" w:color="C8C8C8" w:sz="4" w:space="0"/>
              <w:bottom w:val="single" w:color="C8C8C8" w:sz="4" w:space="0"/>
            </w:tcBorders>
            <w:shd w:val="clear" w:color="auto" w:fill="ECECEC"/>
          </w:tcPr>
          <w:p w14:paraId="628373F2">
            <w:pPr>
              <w:pStyle w:val="29"/>
              <w:spacing w:before="104"/>
              <w:ind w:left="182"/>
              <w:rPr>
                <w:b/>
                <w:sz w:val="18"/>
              </w:rPr>
            </w:pPr>
            <w:r>
              <w:rPr>
                <w:b/>
                <w:spacing w:val="-5"/>
                <w:sz w:val="18"/>
              </w:rPr>
              <w:t>39</w:t>
            </w:r>
          </w:p>
        </w:tc>
        <w:tc>
          <w:tcPr>
            <w:tcW w:w="4539" w:type="dxa"/>
            <w:tcBorders>
              <w:top w:val="single" w:color="C8C8C8" w:sz="4" w:space="0"/>
              <w:bottom w:val="single" w:color="C8C8C8" w:sz="4" w:space="0"/>
            </w:tcBorders>
            <w:shd w:val="clear" w:color="auto" w:fill="ECECEC"/>
          </w:tcPr>
          <w:p w14:paraId="1C7BD609">
            <w:pPr>
              <w:pStyle w:val="29"/>
              <w:spacing w:line="320" w:lineRule="exact"/>
              <w:ind w:left="167"/>
              <w:rPr>
                <w:sz w:val="18"/>
              </w:rPr>
            </w:pPr>
            <w:r>
              <w:rPr>
                <w:sz w:val="18"/>
              </w:rPr>
              <w:t>Sanal</w:t>
            </w:r>
            <w:r>
              <w:rPr>
                <w:spacing w:val="-3"/>
                <w:sz w:val="18"/>
              </w:rPr>
              <w:t xml:space="preserve"> </w:t>
            </w:r>
            <w:r>
              <w:rPr>
                <w:sz w:val="18"/>
              </w:rPr>
              <w:t>rekreasyon</w:t>
            </w:r>
            <w:r>
              <w:rPr>
                <w:spacing w:val="-2"/>
                <w:sz w:val="18"/>
              </w:rPr>
              <w:t xml:space="preserve"> </w:t>
            </w:r>
            <w:r>
              <w:rPr>
                <w:sz w:val="18"/>
              </w:rPr>
              <w:t>faaliyetlerine</w:t>
            </w:r>
            <w:r>
              <w:rPr>
                <w:spacing w:val="-4"/>
                <w:sz w:val="18"/>
              </w:rPr>
              <w:t xml:space="preserve"> </w:t>
            </w:r>
            <w:r>
              <w:rPr>
                <w:sz w:val="18"/>
              </w:rPr>
              <w:t>katıldığımda,</w:t>
            </w:r>
            <w:r>
              <w:rPr>
                <w:spacing w:val="-3"/>
                <w:sz w:val="18"/>
              </w:rPr>
              <w:t xml:space="preserve"> </w:t>
            </w:r>
            <w:r>
              <w:rPr>
                <w:sz w:val="18"/>
              </w:rPr>
              <w:t>o</w:t>
            </w:r>
            <w:r>
              <w:rPr>
                <w:spacing w:val="-2"/>
                <w:sz w:val="18"/>
              </w:rPr>
              <w:t xml:space="preserve"> </w:t>
            </w:r>
            <w:r>
              <w:rPr>
                <w:sz w:val="18"/>
              </w:rPr>
              <w:t>faaliyetten başka bir şey düşünmem.</w:t>
            </w:r>
          </w:p>
        </w:tc>
        <w:tc>
          <w:tcPr>
            <w:tcW w:w="991" w:type="dxa"/>
            <w:tcBorders>
              <w:top w:val="single" w:color="C8C8C8" w:sz="4" w:space="0"/>
              <w:bottom w:val="single" w:color="C8C8C8" w:sz="4" w:space="0"/>
            </w:tcBorders>
            <w:shd w:val="clear" w:color="auto" w:fill="ECECEC"/>
          </w:tcPr>
          <w:p w14:paraId="76ABA711">
            <w:pPr>
              <w:pStyle w:val="29"/>
              <w:spacing w:before="100"/>
              <w:ind w:left="168"/>
              <w:rPr>
                <w:sz w:val="18"/>
              </w:rPr>
            </w:pPr>
            <w:r>
              <w:rPr>
                <w:spacing w:val="-2"/>
                <w:sz w:val="18"/>
              </w:rPr>
              <w:t>0.070</w:t>
            </w:r>
          </w:p>
        </w:tc>
        <w:tc>
          <w:tcPr>
            <w:tcW w:w="1133" w:type="dxa"/>
            <w:tcBorders>
              <w:top w:val="single" w:color="C8C8C8" w:sz="4" w:space="0"/>
              <w:bottom w:val="single" w:color="C8C8C8" w:sz="4" w:space="0"/>
            </w:tcBorders>
            <w:shd w:val="clear" w:color="auto" w:fill="ECECEC"/>
          </w:tcPr>
          <w:p w14:paraId="6663A29A">
            <w:pPr>
              <w:pStyle w:val="29"/>
              <w:spacing w:before="100"/>
              <w:ind w:left="169"/>
              <w:rPr>
                <w:sz w:val="18"/>
              </w:rPr>
            </w:pPr>
            <w:r>
              <w:rPr>
                <w:spacing w:val="-2"/>
                <w:sz w:val="18"/>
              </w:rPr>
              <w:t>0.159</w:t>
            </w:r>
          </w:p>
        </w:tc>
        <w:tc>
          <w:tcPr>
            <w:tcW w:w="1137" w:type="dxa"/>
            <w:tcBorders>
              <w:top w:val="single" w:color="C8C8C8" w:sz="4" w:space="0"/>
              <w:bottom w:val="single" w:color="C8C8C8" w:sz="4" w:space="0"/>
            </w:tcBorders>
            <w:shd w:val="clear" w:color="auto" w:fill="ECECEC"/>
          </w:tcPr>
          <w:p w14:paraId="3B8D417C">
            <w:pPr>
              <w:pStyle w:val="29"/>
              <w:spacing w:before="100"/>
              <w:ind w:left="168"/>
              <w:rPr>
                <w:sz w:val="18"/>
              </w:rPr>
            </w:pPr>
            <w:r>
              <w:rPr>
                <w:spacing w:val="-2"/>
                <w:sz w:val="18"/>
              </w:rPr>
              <w:t>99.447</w:t>
            </w:r>
          </w:p>
        </w:tc>
      </w:tr>
      <w:tr w14:paraId="5D21A761">
        <w:tblPrEx>
          <w:tblCellMar>
            <w:top w:w="0" w:type="dxa"/>
            <w:left w:w="0" w:type="dxa"/>
            <w:bottom w:w="0" w:type="dxa"/>
            <w:right w:w="0" w:type="dxa"/>
          </w:tblCellMar>
        </w:tblPrEx>
        <w:trPr>
          <w:trHeight w:val="311" w:hRule="atLeast"/>
        </w:trPr>
        <w:tc>
          <w:tcPr>
            <w:tcW w:w="1008" w:type="dxa"/>
            <w:tcBorders>
              <w:top w:val="single" w:color="C8C8C8" w:sz="4" w:space="0"/>
              <w:bottom w:val="single" w:color="C8C8C8" w:sz="4" w:space="0"/>
            </w:tcBorders>
            <w:shd w:val="clear" w:color="auto" w:fill="ECECEC"/>
          </w:tcPr>
          <w:p w14:paraId="175658E2">
            <w:pPr>
              <w:pStyle w:val="29"/>
              <w:spacing w:before="105" w:line="186" w:lineRule="exact"/>
              <w:ind w:left="182"/>
              <w:rPr>
                <w:b/>
                <w:sz w:val="18"/>
              </w:rPr>
            </w:pPr>
            <w:r>
              <w:rPr>
                <w:b/>
                <w:spacing w:val="-5"/>
                <w:sz w:val="18"/>
              </w:rPr>
              <w:t>40</w:t>
            </w:r>
          </w:p>
        </w:tc>
        <w:tc>
          <w:tcPr>
            <w:tcW w:w="4539" w:type="dxa"/>
            <w:tcBorders>
              <w:top w:val="single" w:color="C8C8C8" w:sz="4" w:space="0"/>
              <w:bottom w:val="single" w:color="C8C8C8" w:sz="4" w:space="0"/>
            </w:tcBorders>
          </w:tcPr>
          <w:p w14:paraId="0CA40D8A">
            <w:pPr>
              <w:pStyle w:val="29"/>
              <w:spacing w:before="100" w:line="191" w:lineRule="exact"/>
              <w:ind w:left="167"/>
              <w:rPr>
                <w:sz w:val="18"/>
              </w:rPr>
            </w:pPr>
            <w:r>
              <w:rPr>
                <w:sz w:val="18"/>
              </w:rPr>
              <w:t>Sanal</w:t>
            </w:r>
            <w:r>
              <w:rPr>
                <w:spacing w:val="-4"/>
                <w:sz w:val="18"/>
              </w:rPr>
              <w:t xml:space="preserve"> </w:t>
            </w:r>
            <w:r>
              <w:rPr>
                <w:sz w:val="18"/>
              </w:rPr>
              <w:t>rekreasyon</w:t>
            </w:r>
            <w:r>
              <w:rPr>
                <w:spacing w:val="-2"/>
                <w:sz w:val="18"/>
              </w:rPr>
              <w:t xml:space="preserve"> </w:t>
            </w:r>
            <w:r>
              <w:rPr>
                <w:sz w:val="18"/>
              </w:rPr>
              <w:t>faaliyetinin</w:t>
            </w:r>
            <w:r>
              <w:rPr>
                <w:spacing w:val="-2"/>
                <w:sz w:val="18"/>
              </w:rPr>
              <w:t xml:space="preserve"> </w:t>
            </w:r>
            <w:r>
              <w:rPr>
                <w:sz w:val="18"/>
              </w:rPr>
              <w:t>içinde</w:t>
            </w:r>
            <w:r>
              <w:rPr>
                <w:spacing w:val="-4"/>
                <w:sz w:val="18"/>
              </w:rPr>
              <w:t xml:space="preserve"> </w:t>
            </w:r>
            <w:r>
              <w:rPr>
                <w:sz w:val="18"/>
              </w:rPr>
              <w:t>kaybolup</w:t>
            </w:r>
            <w:r>
              <w:rPr>
                <w:spacing w:val="-4"/>
                <w:sz w:val="18"/>
              </w:rPr>
              <w:t xml:space="preserve"> </w:t>
            </w:r>
            <w:r>
              <w:rPr>
                <w:spacing w:val="-2"/>
                <w:sz w:val="18"/>
              </w:rPr>
              <w:t>giderim.</w:t>
            </w:r>
          </w:p>
        </w:tc>
        <w:tc>
          <w:tcPr>
            <w:tcW w:w="991" w:type="dxa"/>
            <w:tcBorders>
              <w:top w:val="single" w:color="C8C8C8" w:sz="4" w:space="0"/>
              <w:bottom w:val="single" w:color="C8C8C8" w:sz="4" w:space="0"/>
            </w:tcBorders>
            <w:shd w:val="clear" w:color="auto" w:fill="ECECEC"/>
          </w:tcPr>
          <w:p w14:paraId="4406FB58">
            <w:pPr>
              <w:pStyle w:val="29"/>
              <w:spacing w:before="100" w:line="191" w:lineRule="exact"/>
              <w:ind w:left="168"/>
              <w:rPr>
                <w:sz w:val="18"/>
              </w:rPr>
            </w:pPr>
            <w:r>
              <w:rPr>
                <w:spacing w:val="-2"/>
                <w:sz w:val="18"/>
              </w:rPr>
              <w:t>0.065</w:t>
            </w:r>
          </w:p>
        </w:tc>
        <w:tc>
          <w:tcPr>
            <w:tcW w:w="1133" w:type="dxa"/>
            <w:tcBorders>
              <w:top w:val="single" w:color="C8C8C8" w:sz="4" w:space="0"/>
              <w:bottom w:val="single" w:color="C8C8C8" w:sz="4" w:space="0"/>
            </w:tcBorders>
          </w:tcPr>
          <w:p w14:paraId="6F6BAACA">
            <w:pPr>
              <w:pStyle w:val="29"/>
              <w:spacing w:before="100" w:line="191" w:lineRule="exact"/>
              <w:ind w:left="169"/>
              <w:rPr>
                <w:sz w:val="18"/>
              </w:rPr>
            </w:pPr>
            <w:r>
              <w:rPr>
                <w:spacing w:val="-2"/>
                <w:sz w:val="18"/>
              </w:rPr>
              <w:t>0.148</w:t>
            </w:r>
          </w:p>
        </w:tc>
        <w:tc>
          <w:tcPr>
            <w:tcW w:w="1137" w:type="dxa"/>
            <w:tcBorders>
              <w:top w:val="single" w:color="C8C8C8" w:sz="4" w:space="0"/>
              <w:bottom w:val="single" w:color="C8C8C8" w:sz="4" w:space="0"/>
            </w:tcBorders>
            <w:shd w:val="clear" w:color="auto" w:fill="ECECEC"/>
          </w:tcPr>
          <w:p w14:paraId="08A3805B">
            <w:pPr>
              <w:pStyle w:val="29"/>
              <w:spacing w:before="100" w:line="191" w:lineRule="exact"/>
              <w:ind w:left="168"/>
              <w:rPr>
                <w:sz w:val="18"/>
              </w:rPr>
            </w:pPr>
            <w:r>
              <w:rPr>
                <w:spacing w:val="-2"/>
                <w:sz w:val="18"/>
              </w:rPr>
              <w:t>99.595</w:t>
            </w:r>
          </w:p>
        </w:tc>
      </w:tr>
      <w:tr w14:paraId="402938C2">
        <w:tblPrEx>
          <w:tblCellMar>
            <w:top w:w="0" w:type="dxa"/>
            <w:left w:w="0" w:type="dxa"/>
            <w:bottom w:w="0" w:type="dxa"/>
            <w:right w:w="0" w:type="dxa"/>
          </w:tblCellMar>
        </w:tblPrEx>
        <w:trPr>
          <w:trHeight w:val="640" w:hRule="atLeast"/>
        </w:trPr>
        <w:tc>
          <w:tcPr>
            <w:tcW w:w="1008" w:type="dxa"/>
            <w:tcBorders>
              <w:top w:val="single" w:color="C8C8C8" w:sz="4" w:space="0"/>
              <w:bottom w:val="single" w:color="C8C8C8" w:sz="4" w:space="0"/>
            </w:tcBorders>
            <w:shd w:val="clear" w:color="auto" w:fill="ECECEC"/>
          </w:tcPr>
          <w:p w14:paraId="3D87562B">
            <w:pPr>
              <w:pStyle w:val="29"/>
              <w:spacing w:before="112"/>
              <w:ind w:left="182"/>
              <w:rPr>
                <w:b/>
                <w:sz w:val="18"/>
              </w:rPr>
            </w:pPr>
            <w:r>
              <w:rPr>
                <w:b/>
                <w:spacing w:val="-5"/>
                <w:sz w:val="18"/>
              </w:rPr>
              <w:t>41</w:t>
            </w:r>
          </w:p>
        </w:tc>
        <w:tc>
          <w:tcPr>
            <w:tcW w:w="4539" w:type="dxa"/>
            <w:tcBorders>
              <w:top w:val="single" w:color="C8C8C8" w:sz="4" w:space="0"/>
              <w:bottom w:val="single" w:color="C8C8C8" w:sz="4" w:space="0"/>
            </w:tcBorders>
            <w:shd w:val="clear" w:color="auto" w:fill="ECECEC"/>
          </w:tcPr>
          <w:p w14:paraId="6BC9DDF1">
            <w:pPr>
              <w:pStyle w:val="29"/>
              <w:spacing w:line="322" w:lineRule="exact"/>
              <w:ind w:left="167"/>
              <w:rPr>
                <w:sz w:val="18"/>
              </w:rPr>
            </w:pPr>
            <w:r>
              <w:rPr>
                <w:sz w:val="18"/>
              </w:rPr>
              <w:t>Sanal</w:t>
            </w:r>
            <w:r>
              <w:rPr>
                <w:spacing w:val="40"/>
                <w:sz w:val="18"/>
              </w:rPr>
              <w:t xml:space="preserve"> </w:t>
            </w:r>
            <w:r>
              <w:rPr>
                <w:sz w:val="18"/>
              </w:rPr>
              <w:t>rekreasyon</w:t>
            </w:r>
            <w:r>
              <w:rPr>
                <w:spacing w:val="40"/>
                <w:sz w:val="18"/>
              </w:rPr>
              <w:t xml:space="preserve"> </w:t>
            </w:r>
            <w:r>
              <w:rPr>
                <w:sz w:val="18"/>
              </w:rPr>
              <w:t>faaliyetleri</w:t>
            </w:r>
            <w:r>
              <w:rPr>
                <w:spacing w:val="40"/>
                <w:sz w:val="18"/>
              </w:rPr>
              <w:t xml:space="preserve"> </w:t>
            </w:r>
            <w:r>
              <w:rPr>
                <w:sz w:val="18"/>
              </w:rPr>
              <w:t>ile</w:t>
            </w:r>
            <w:r>
              <w:rPr>
                <w:spacing w:val="40"/>
                <w:sz w:val="18"/>
              </w:rPr>
              <w:t xml:space="preserve"> </w:t>
            </w:r>
            <w:r>
              <w:rPr>
                <w:sz w:val="18"/>
              </w:rPr>
              <w:t>kapasitemin</w:t>
            </w:r>
            <w:r>
              <w:rPr>
                <w:spacing w:val="40"/>
                <w:sz w:val="18"/>
              </w:rPr>
              <w:t xml:space="preserve"> </w:t>
            </w:r>
            <w:r>
              <w:rPr>
                <w:sz w:val="18"/>
              </w:rPr>
              <w:t xml:space="preserve">sınırlarını </w:t>
            </w:r>
            <w:r>
              <w:rPr>
                <w:spacing w:val="-2"/>
                <w:sz w:val="18"/>
              </w:rPr>
              <w:t>zorlarım.</w:t>
            </w:r>
          </w:p>
        </w:tc>
        <w:tc>
          <w:tcPr>
            <w:tcW w:w="991" w:type="dxa"/>
            <w:tcBorders>
              <w:top w:val="single" w:color="C8C8C8" w:sz="4" w:space="0"/>
              <w:bottom w:val="single" w:color="C8C8C8" w:sz="4" w:space="0"/>
            </w:tcBorders>
            <w:shd w:val="clear" w:color="auto" w:fill="ECECEC"/>
          </w:tcPr>
          <w:p w14:paraId="4C8EB7C9">
            <w:pPr>
              <w:pStyle w:val="29"/>
              <w:spacing w:before="107"/>
              <w:ind w:left="168"/>
              <w:rPr>
                <w:sz w:val="18"/>
              </w:rPr>
            </w:pPr>
            <w:r>
              <w:rPr>
                <w:spacing w:val="-2"/>
                <w:sz w:val="18"/>
              </w:rPr>
              <w:t>0.059</w:t>
            </w:r>
          </w:p>
        </w:tc>
        <w:tc>
          <w:tcPr>
            <w:tcW w:w="1133" w:type="dxa"/>
            <w:tcBorders>
              <w:top w:val="single" w:color="C8C8C8" w:sz="4" w:space="0"/>
              <w:bottom w:val="single" w:color="C8C8C8" w:sz="4" w:space="0"/>
            </w:tcBorders>
            <w:shd w:val="clear" w:color="auto" w:fill="ECECEC"/>
          </w:tcPr>
          <w:p w14:paraId="4F734693">
            <w:pPr>
              <w:pStyle w:val="29"/>
              <w:spacing w:before="107"/>
              <w:ind w:left="169"/>
              <w:rPr>
                <w:sz w:val="18"/>
              </w:rPr>
            </w:pPr>
            <w:r>
              <w:rPr>
                <w:spacing w:val="-2"/>
                <w:sz w:val="18"/>
              </w:rPr>
              <w:t>0.135</w:t>
            </w:r>
          </w:p>
        </w:tc>
        <w:tc>
          <w:tcPr>
            <w:tcW w:w="1137" w:type="dxa"/>
            <w:tcBorders>
              <w:top w:val="single" w:color="C8C8C8" w:sz="4" w:space="0"/>
              <w:bottom w:val="single" w:color="C8C8C8" w:sz="4" w:space="0"/>
            </w:tcBorders>
            <w:shd w:val="clear" w:color="auto" w:fill="ECECEC"/>
          </w:tcPr>
          <w:p w14:paraId="5DC694BB">
            <w:pPr>
              <w:pStyle w:val="29"/>
              <w:spacing w:before="107"/>
              <w:ind w:left="168"/>
              <w:rPr>
                <w:sz w:val="18"/>
              </w:rPr>
            </w:pPr>
            <w:r>
              <w:rPr>
                <w:spacing w:val="-2"/>
                <w:sz w:val="18"/>
              </w:rPr>
              <w:t>99.730</w:t>
            </w:r>
          </w:p>
        </w:tc>
      </w:tr>
    </w:tbl>
    <w:p w14:paraId="6905F965">
      <w:pPr>
        <w:pStyle w:val="9"/>
        <w:spacing w:before="5"/>
        <w:ind w:left="0"/>
        <w:jc w:val="left"/>
        <w:rPr>
          <w:sz w:val="2"/>
        </w:rPr>
      </w:pPr>
    </w:p>
    <w:tbl>
      <w:tblPr>
        <w:tblStyle w:val="7"/>
        <w:tblW w:w="0" w:type="auto"/>
        <w:tblInd w:w="153" w:type="dxa"/>
        <w:tblLayout w:type="fixed"/>
        <w:tblCellMar>
          <w:top w:w="0" w:type="dxa"/>
          <w:left w:w="0" w:type="dxa"/>
          <w:bottom w:w="0" w:type="dxa"/>
          <w:right w:w="0" w:type="dxa"/>
        </w:tblCellMar>
      </w:tblPr>
      <w:tblGrid>
        <w:gridCol w:w="1008"/>
        <w:gridCol w:w="4539"/>
        <w:gridCol w:w="991"/>
        <w:gridCol w:w="1133"/>
        <w:gridCol w:w="1137"/>
      </w:tblGrid>
      <w:tr w14:paraId="4E19474C">
        <w:tblPrEx>
          <w:tblCellMar>
            <w:top w:w="0" w:type="dxa"/>
            <w:left w:w="0" w:type="dxa"/>
            <w:bottom w:w="0" w:type="dxa"/>
            <w:right w:w="0" w:type="dxa"/>
          </w:tblCellMar>
        </w:tblPrEx>
        <w:trPr>
          <w:trHeight w:val="640" w:hRule="atLeast"/>
        </w:trPr>
        <w:tc>
          <w:tcPr>
            <w:tcW w:w="1008" w:type="dxa"/>
            <w:tcBorders>
              <w:top w:val="single" w:color="C8C8C8" w:sz="4" w:space="0"/>
              <w:bottom w:val="single" w:color="C8C8C8" w:sz="4" w:space="0"/>
            </w:tcBorders>
            <w:shd w:val="clear" w:color="auto" w:fill="ECECEC"/>
          </w:tcPr>
          <w:p w14:paraId="02898E3D">
            <w:pPr>
              <w:pStyle w:val="29"/>
              <w:spacing w:before="112"/>
              <w:ind w:left="182"/>
              <w:rPr>
                <w:b/>
                <w:sz w:val="18"/>
              </w:rPr>
            </w:pPr>
            <w:r>
              <w:rPr>
                <w:b/>
                <w:spacing w:val="-5"/>
                <w:sz w:val="18"/>
              </w:rPr>
              <w:t>42</w:t>
            </w:r>
          </w:p>
        </w:tc>
        <w:tc>
          <w:tcPr>
            <w:tcW w:w="4539" w:type="dxa"/>
            <w:tcBorders>
              <w:top w:val="single" w:color="C8C8C8" w:sz="4" w:space="0"/>
              <w:bottom w:val="single" w:color="C8C8C8" w:sz="4" w:space="0"/>
            </w:tcBorders>
          </w:tcPr>
          <w:p w14:paraId="299B2A87">
            <w:pPr>
              <w:pStyle w:val="29"/>
              <w:spacing w:line="320" w:lineRule="exact"/>
              <w:ind w:left="167"/>
              <w:rPr>
                <w:sz w:val="18"/>
              </w:rPr>
            </w:pPr>
            <w:r>
              <w:rPr>
                <w:sz w:val="18"/>
              </w:rPr>
              <w:t>Sanal</w:t>
            </w:r>
            <w:r>
              <w:rPr>
                <w:spacing w:val="40"/>
                <w:sz w:val="18"/>
              </w:rPr>
              <w:t xml:space="preserve"> </w:t>
            </w:r>
            <w:r>
              <w:rPr>
                <w:sz w:val="18"/>
              </w:rPr>
              <w:t>rekreasyon</w:t>
            </w:r>
            <w:r>
              <w:rPr>
                <w:spacing w:val="40"/>
                <w:sz w:val="18"/>
              </w:rPr>
              <w:t xml:space="preserve"> </w:t>
            </w:r>
            <w:r>
              <w:rPr>
                <w:sz w:val="18"/>
              </w:rPr>
              <w:t>faaliyetleri</w:t>
            </w:r>
            <w:r>
              <w:rPr>
                <w:spacing w:val="40"/>
                <w:sz w:val="18"/>
              </w:rPr>
              <w:t xml:space="preserve"> </w:t>
            </w:r>
            <w:r>
              <w:rPr>
                <w:sz w:val="18"/>
              </w:rPr>
              <w:t>ile</w:t>
            </w:r>
            <w:r>
              <w:rPr>
                <w:spacing w:val="40"/>
                <w:sz w:val="18"/>
              </w:rPr>
              <w:t xml:space="preserve"> </w:t>
            </w:r>
            <w:r>
              <w:rPr>
                <w:sz w:val="18"/>
              </w:rPr>
              <w:t>zorlukların</w:t>
            </w:r>
            <w:r>
              <w:rPr>
                <w:spacing w:val="40"/>
                <w:sz w:val="18"/>
              </w:rPr>
              <w:t xml:space="preserve"> </w:t>
            </w:r>
            <w:r>
              <w:rPr>
                <w:sz w:val="18"/>
              </w:rPr>
              <w:t>üstesinden gelmeyi öğrenirim.</w:t>
            </w:r>
          </w:p>
        </w:tc>
        <w:tc>
          <w:tcPr>
            <w:tcW w:w="991" w:type="dxa"/>
            <w:tcBorders>
              <w:top w:val="single" w:color="C8C8C8" w:sz="4" w:space="0"/>
              <w:bottom w:val="single" w:color="C8C8C8" w:sz="4" w:space="0"/>
            </w:tcBorders>
            <w:shd w:val="clear" w:color="auto" w:fill="ECECEC"/>
          </w:tcPr>
          <w:p w14:paraId="4E544125">
            <w:pPr>
              <w:pStyle w:val="29"/>
              <w:spacing w:before="107"/>
              <w:ind w:left="168"/>
              <w:rPr>
                <w:sz w:val="18"/>
              </w:rPr>
            </w:pPr>
            <w:r>
              <w:rPr>
                <w:spacing w:val="-2"/>
                <w:sz w:val="18"/>
              </w:rPr>
              <w:t>0.045</w:t>
            </w:r>
          </w:p>
        </w:tc>
        <w:tc>
          <w:tcPr>
            <w:tcW w:w="1133" w:type="dxa"/>
            <w:tcBorders>
              <w:top w:val="single" w:color="C8C8C8" w:sz="4" w:space="0"/>
              <w:bottom w:val="single" w:color="C8C8C8" w:sz="4" w:space="0"/>
            </w:tcBorders>
          </w:tcPr>
          <w:p w14:paraId="2A52A68B">
            <w:pPr>
              <w:pStyle w:val="29"/>
              <w:spacing w:before="107"/>
              <w:ind w:left="169"/>
              <w:rPr>
                <w:sz w:val="18"/>
              </w:rPr>
            </w:pPr>
            <w:r>
              <w:rPr>
                <w:spacing w:val="-2"/>
                <w:sz w:val="18"/>
              </w:rPr>
              <w:t>0.103</w:t>
            </w:r>
          </w:p>
        </w:tc>
        <w:tc>
          <w:tcPr>
            <w:tcW w:w="1137" w:type="dxa"/>
            <w:tcBorders>
              <w:top w:val="single" w:color="C8C8C8" w:sz="4" w:space="0"/>
              <w:bottom w:val="single" w:color="C8C8C8" w:sz="4" w:space="0"/>
            </w:tcBorders>
            <w:shd w:val="clear" w:color="auto" w:fill="ECECEC"/>
          </w:tcPr>
          <w:p w14:paraId="19CC25A7">
            <w:pPr>
              <w:pStyle w:val="29"/>
              <w:spacing w:before="107"/>
              <w:ind w:left="168"/>
              <w:rPr>
                <w:sz w:val="18"/>
              </w:rPr>
            </w:pPr>
            <w:r>
              <w:rPr>
                <w:spacing w:val="-2"/>
                <w:sz w:val="18"/>
              </w:rPr>
              <w:t>99.833</w:t>
            </w:r>
          </w:p>
        </w:tc>
      </w:tr>
      <w:tr w14:paraId="6B554A86">
        <w:tblPrEx>
          <w:tblCellMar>
            <w:top w:w="0" w:type="dxa"/>
            <w:left w:w="0" w:type="dxa"/>
            <w:bottom w:w="0" w:type="dxa"/>
            <w:right w:w="0" w:type="dxa"/>
          </w:tblCellMar>
        </w:tblPrEx>
        <w:trPr>
          <w:trHeight w:val="640" w:hRule="atLeast"/>
        </w:trPr>
        <w:tc>
          <w:tcPr>
            <w:tcW w:w="1008" w:type="dxa"/>
            <w:tcBorders>
              <w:top w:val="single" w:color="C8C8C8" w:sz="4" w:space="0"/>
              <w:bottom w:val="single" w:color="C8C8C8" w:sz="4" w:space="0"/>
            </w:tcBorders>
            <w:shd w:val="clear" w:color="auto" w:fill="ECECEC"/>
          </w:tcPr>
          <w:p w14:paraId="30DB15B2">
            <w:pPr>
              <w:pStyle w:val="29"/>
              <w:spacing w:before="112"/>
              <w:ind w:left="182"/>
              <w:rPr>
                <w:b/>
                <w:sz w:val="18"/>
              </w:rPr>
            </w:pPr>
            <w:r>
              <w:rPr>
                <w:b/>
                <w:spacing w:val="-5"/>
                <w:sz w:val="18"/>
              </w:rPr>
              <w:t>43</w:t>
            </w:r>
          </w:p>
        </w:tc>
        <w:tc>
          <w:tcPr>
            <w:tcW w:w="4539" w:type="dxa"/>
            <w:tcBorders>
              <w:top w:val="single" w:color="C8C8C8" w:sz="4" w:space="0"/>
              <w:bottom w:val="single" w:color="C8C8C8" w:sz="4" w:space="0"/>
            </w:tcBorders>
            <w:shd w:val="clear" w:color="auto" w:fill="ECECEC"/>
          </w:tcPr>
          <w:p w14:paraId="01074FA7">
            <w:pPr>
              <w:pStyle w:val="29"/>
              <w:spacing w:line="320" w:lineRule="exact"/>
              <w:ind w:left="167"/>
              <w:rPr>
                <w:sz w:val="18"/>
              </w:rPr>
            </w:pPr>
            <w:r>
              <w:rPr>
                <w:sz w:val="18"/>
              </w:rPr>
              <w:t>Sanal</w:t>
            </w:r>
            <w:r>
              <w:rPr>
                <w:spacing w:val="40"/>
                <w:sz w:val="18"/>
              </w:rPr>
              <w:t xml:space="preserve"> </w:t>
            </w:r>
            <w:r>
              <w:rPr>
                <w:sz w:val="18"/>
              </w:rPr>
              <w:t>rekreasyon</w:t>
            </w:r>
            <w:r>
              <w:rPr>
                <w:spacing w:val="40"/>
                <w:sz w:val="18"/>
              </w:rPr>
              <w:t xml:space="preserve"> </w:t>
            </w:r>
            <w:r>
              <w:rPr>
                <w:sz w:val="18"/>
              </w:rPr>
              <w:t>faaliyetlerini</w:t>
            </w:r>
            <w:r>
              <w:rPr>
                <w:spacing w:val="40"/>
                <w:sz w:val="18"/>
              </w:rPr>
              <w:t xml:space="preserve"> </w:t>
            </w:r>
            <w:r>
              <w:rPr>
                <w:sz w:val="18"/>
              </w:rPr>
              <w:t>yaparken</w:t>
            </w:r>
            <w:r>
              <w:rPr>
                <w:spacing w:val="40"/>
                <w:sz w:val="18"/>
              </w:rPr>
              <w:t xml:space="preserve"> </w:t>
            </w:r>
            <w:r>
              <w:rPr>
                <w:sz w:val="18"/>
              </w:rPr>
              <w:t>zamanın</w:t>
            </w:r>
            <w:r>
              <w:rPr>
                <w:spacing w:val="40"/>
                <w:sz w:val="18"/>
              </w:rPr>
              <w:t xml:space="preserve"> </w:t>
            </w:r>
            <w:r>
              <w:rPr>
                <w:sz w:val="18"/>
              </w:rPr>
              <w:t>nasıl geçtiğini anlamam.</w:t>
            </w:r>
          </w:p>
        </w:tc>
        <w:tc>
          <w:tcPr>
            <w:tcW w:w="991" w:type="dxa"/>
            <w:tcBorders>
              <w:top w:val="single" w:color="C8C8C8" w:sz="4" w:space="0"/>
              <w:bottom w:val="single" w:color="C8C8C8" w:sz="4" w:space="0"/>
            </w:tcBorders>
            <w:shd w:val="clear" w:color="auto" w:fill="ECECEC"/>
          </w:tcPr>
          <w:p w14:paraId="577268D6">
            <w:pPr>
              <w:pStyle w:val="29"/>
              <w:spacing w:before="107"/>
              <w:ind w:left="168"/>
              <w:rPr>
                <w:sz w:val="18"/>
              </w:rPr>
            </w:pPr>
            <w:r>
              <w:rPr>
                <w:spacing w:val="-2"/>
                <w:sz w:val="18"/>
              </w:rPr>
              <w:t>0.038</w:t>
            </w:r>
          </w:p>
        </w:tc>
        <w:tc>
          <w:tcPr>
            <w:tcW w:w="1133" w:type="dxa"/>
            <w:tcBorders>
              <w:top w:val="single" w:color="C8C8C8" w:sz="4" w:space="0"/>
              <w:bottom w:val="single" w:color="C8C8C8" w:sz="4" w:space="0"/>
            </w:tcBorders>
            <w:shd w:val="clear" w:color="auto" w:fill="ECECEC"/>
          </w:tcPr>
          <w:p w14:paraId="5C7E198B">
            <w:pPr>
              <w:pStyle w:val="29"/>
              <w:spacing w:before="107"/>
              <w:ind w:left="169"/>
              <w:rPr>
                <w:sz w:val="18"/>
              </w:rPr>
            </w:pPr>
            <w:r>
              <w:rPr>
                <w:spacing w:val="-2"/>
                <w:sz w:val="18"/>
              </w:rPr>
              <w:t>0.085</w:t>
            </w:r>
          </w:p>
        </w:tc>
        <w:tc>
          <w:tcPr>
            <w:tcW w:w="1137" w:type="dxa"/>
            <w:tcBorders>
              <w:top w:val="single" w:color="C8C8C8" w:sz="4" w:space="0"/>
              <w:bottom w:val="single" w:color="C8C8C8" w:sz="4" w:space="0"/>
            </w:tcBorders>
            <w:shd w:val="clear" w:color="auto" w:fill="ECECEC"/>
          </w:tcPr>
          <w:p w14:paraId="3960116A">
            <w:pPr>
              <w:pStyle w:val="29"/>
              <w:spacing w:before="107"/>
              <w:ind w:left="168"/>
              <w:rPr>
                <w:sz w:val="18"/>
              </w:rPr>
            </w:pPr>
            <w:r>
              <w:rPr>
                <w:spacing w:val="-2"/>
                <w:sz w:val="18"/>
              </w:rPr>
              <w:t>99.919</w:t>
            </w:r>
          </w:p>
        </w:tc>
      </w:tr>
      <w:tr w14:paraId="5A48AAF0">
        <w:tblPrEx>
          <w:tblCellMar>
            <w:top w:w="0" w:type="dxa"/>
            <w:left w:w="0" w:type="dxa"/>
            <w:bottom w:w="0" w:type="dxa"/>
            <w:right w:w="0" w:type="dxa"/>
          </w:tblCellMar>
        </w:tblPrEx>
        <w:trPr>
          <w:trHeight w:val="640" w:hRule="atLeast"/>
        </w:trPr>
        <w:tc>
          <w:tcPr>
            <w:tcW w:w="1008" w:type="dxa"/>
            <w:tcBorders>
              <w:top w:val="single" w:color="C8C8C8" w:sz="4" w:space="0"/>
              <w:bottom w:val="single" w:color="C8C8C8" w:sz="4" w:space="0"/>
            </w:tcBorders>
            <w:shd w:val="clear" w:color="auto" w:fill="ECECEC"/>
          </w:tcPr>
          <w:p w14:paraId="2703FCED">
            <w:pPr>
              <w:pStyle w:val="29"/>
              <w:spacing w:before="112"/>
              <w:ind w:left="182"/>
              <w:rPr>
                <w:b/>
                <w:sz w:val="18"/>
              </w:rPr>
            </w:pPr>
            <w:r>
              <w:rPr>
                <w:b/>
                <w:spacing w:val="-5"/>
                <w:sz w:val="18"/>
              </w:rPr>
              <w:t>44</w:t>
            </w:r>
          </w:p>
        </w:tc>
        <w:tc>
          <w:tcPr>
            <w:tcW w:w="4539" w:type="dxa"/>
            <w:tcBorders>
              <w:top w:val="single" w:color="C8C8C8" w:sz="4" w:space="0"/>
              <w:bottom w:val="single" w:color="C8C8C8" w:sz="4" w:space="0"/>
            </w:tcBorders>
          </w:tcPr>
          <w:p w14:paraId="0F337B9D">
            <w:pPr>
              <w:pStyle w:val="29"/>
              <w:spacing w:line="320" w:lineRule="exact"/>
              <w:ind w:left="167"/>
              <w:rPr>
                <w:sz w:val="18"/>
              </w:rPr>
            </w:pPr>
            <w:r>
              <w:rPr>
                <w:sz w:val="18"/>
              </w:rPr>
              <w:t>Sanal</w:t>
            </w:r>
            <w:r>
              <w:rPr>
                <w:spacing w:val="40"/>
                <w:sz w:val="18"/>
              </w:rPr>
              <w:t xml:space="preserve"> </w:t>
            </w:r>
            <w:r>
              <w:rPr>
                <w:sz w:val="18"/>
              </w:rPr>
              <w:t>rekreasyon</w:t>
            </w:r>
            <w:r>
              <w:rPr>
                <w:spacing w:val="40"/>
                <w:sz w:val="18"/>
              </w:rPr>
              <w:t xml:space="preserve"> </w:t>
            </w:r>
            <w:r>
              <w:rPr>
                <w:sz w:val="18"/>
              </w:rPr>
              <w:t>faaliyetleri</w:t>
            </w:r>
            <w:r>
              <w:rPr>
                <w:spacing w:val="40"/>
                <w:sz w:val="18"/>
              </w:rPr>
              <w:t xml:space="preserve"> </w:t>
            </w:r>
            <w:r>
              <w:rPr>
                <w:sz w:val="18"/>
              </w:rPr>
              <w:t>ile</w:t>
            </w:r>
            <w:r>
              <w:rPr>
                <w:spacing w:val="40"/>
                <w:sz w:val="18"/>
              </w:rPr>
              <w:t xml:space="preserve"> </w:t>
            </w:r>
            <w:r>
              <w:rPr>
                <w:sz w:val="18"/>
              </w:rPr>
              <w:t>kendimi</w:t>
            </w:r>
            <w:r>
              <w:rPr>
                <w:spacing w:val="40"/>
                <w:sz w:val="18"/>
              </w:rPr>
              <w:t xml:space="preserve"> </w:t>
            </w:r>
            <w:r>
              <w:rPr>
                <w:sz w:val="18"/>
              </w:rPr>
              <w:t>sonsuz</w:t>
            </w:r>
            <w:r>
              <w:rPr>
                <w:spacing w:val="40"/>
                <w:sz w:val="18"/>
              </w:rPr>
              <w:t xml:space="preserve"> </w:t>
            </w:r>
            <w:r>
              <w:rPr>
                <w:sz w:val="18"/>
              </w:rPr>
              <w:t>bir</w:t>
            </w:r>
            <w:r>
              <w:rPr>
                <w:spacing w:val="80"/>
                <w:sz w:val="18"/>
              </w:rPr>
              <w:t xml:space="preserve"> </w:t>
            </w:r>
            <w:r>
              <w:rPr>
                <w:sz w:val="18"/>
              </w:rPr>
              <w:t>yolculuğa çıkmış gibi hissederim.</w:t>
            </w:r>
          </w:p>
        </w:tc>
        <w:tc>
          <w:tcPr>
            <w:tcW w:w="991" w:type="dxa"/>
            <w:tcBorders>
              <w:top w:val="single" w:color="C8C8C8" w:sz="4" w:space="0"/>
              <w:bottom w:val="single" w:color="C8C8C8" w:sz="4" w:space="0"/>
            </w:tcBorders>
            <w:shd w:val="clear" w:color="auto" w:fill="ECECEC"/>
          </w:tcPr>
          <w:p w14:paraId="1BA30158">
            <w:pPr>
              <w:pStyle w:val="29"/>
              <w:spacing w:before="107"/>
              <w:ind w:left="168"/>
              <w:rPr>
                <w:sz w:val="18"/>
              </w:rPr>
            </w:pPr>
            <w:r>
              <w:rPr>
                <w:spacing w:val="-2"/>
                <w:sz w:val="18"/>
              </w:rPr>
              <w:t>0.036</w:t>
            </w:r>
          </w:p>
        </w:tc>
        <w:tc>
          <w:tcPr>
            <w:tcW w:w="1133" w:type="dxa"/>
            <w:tcBorders>
              <w:top w:val="single" w:color="C8C8C8" w:sz="4" w:space="0"/>
              <w:bottom w:val="single" w:color="C8C8C8" w:sz="4" w:space="0"/>
            </w:tcBorders>
          </w:tcPr>
          <w:p w14:paraId="04B5D609">
            <w:pPr>
              <w:pStyle w:val="29"/>
              <w:spacing w:before="107"/>
              <w:ind w:left="169"/>
              <w:rPr>
                <w:sz w:val="18"/>
              </w:rPr>
            </w:pPr>
            <w:r>
              <w:rPr>
                <w:spacing w:val="-2"/>
                <w:sz w:val="18"/>
              </w:rPr>
              <w:t>0.081</w:t>
            </w:r>
          </w:p>
        </w:tc>
        <w:tc>
          <w:tcPr>
            <w:tcW w:w="1137" w:type="dxa"/>
            <w:tcBorders>
              <w:top w:val="single" w:color="C8C8C8" w:sz="4" w:space="0"/>
              <w:bottom w:val="single" w:color="C8C8C8" w:sz="4" w:space="0"/>
            </w:tcBorders>
            <w:shd w:val="clear" w:color="auto" w:fill="ECECEC"/>
          </w:tcPr>
          <w:p w14:paraId="6B46D799">
            <w:pPr>
              <w:pStyle w:val="29"/>
              <w:spacing w:before="107"/>
              <w:ind w:left="168"/>
              <w:rPr>
                <w:sz w:val="18"/>
              </w:rPr>
            </w:pPr>
            <w:r>
              <w:rPr>
                <w:spacing w:val="-2"/>
                <w:sz w:val="18"/>
              </w:rPr>
              <w:t>100.000</w:t>
            </w:r>
          </w:p>
        </w:tc>
      </w:tr>
    </w:tbl>
    <w:p w14:paraId="7612E9B1">
      <w:pPr>
        <w:pStyle w:val="9"/>
        <w:spacing w:before="120" w:after="120" w:line="360" w:lineRule="auto"/>
        <w:ind w:left="0" w:firstLine="567"/>
      </w:pPr>
      <w:r>
        <w:t>Tablo 3.5. ile elde edilen veriler, sanal rekreasyon ölçeğinin açımlayıcı faktör analizi sonuçlarını ve ölçek maddelerinin özdeğerleri ile açıklanan varyans yüzdelerini içermektedir.</w:t>
      </w:r>
      <w:r>
        <w:rPr>
          <w:spacing w:val="-5"/>
        </w:rPr>
        <w:t xml:space="preserve"> </w:t>
      </w:r>
      <w:r>
        <w:t>Burada</w:t>
      </w:r>
      <w:r>
        <w:rPr>
          <w:spacing w:val="-9"/>
        </w:rPr>
        <w:t xml:space="preserve"> </w:t>
      </w:r>
      <w:r>
        <w:t>1'den</w:t>
      </w:r>
      <w:r>
        <w:rPr>
          <w:spacing w:val="-8"/>
        </w:rPr>
        <w:t xml:space="preserve"> </w:t>
      </w:r>
      <w:r>
        <w:t>44'e</w:t>
      </w:r>
      <w:r>
        <w:rPr>
          <w:spacing w:val="-9"/>
        </w:rPr>
        <w:t xml:space="preserve"> </w:t>
      </w:r>
      <w:r>
        <w:t>kadar</w:t>
      </w:r>
      <w:r>
        <w:rPr>
          <w:spacing w:val="-9"/>
        </w:rPr>
        <w:t xml:space="preserve"> </w:t>
      </w:r>
      <w:r>
        <w:t>sıralananlar,</w:t>
      </w:r>
      <w:r>
        <w:rPr>
          <w:spacing w:val="-8"/>
        </w:rPr>
        <w:t xml:space="preserve"> </w:t>
      </w:r>
      <w:r>
        <w:t>ölçeğin</w:t>
      </w:r>
      <w:r>
        <w:rPr>
          <w:spacing w:val="-7"/>
        </w:rPr>
        <w:t xml:space="preserve"> </w:t>
      </w:r>
      <w:r>
        <w:t>bireysel</w:t>
      </w:r>
      <w:r>
        <w:rPr>
          <w:spacing w:val="-7"/>
        </w:rPr>
        <w:t xml:space="preserve"> </w:t>
      </w:r>
      <w:r>
        <w:t>sorularını</w:t>
      </w:r>
      <w:r>
        <w:rPr>
          <w:spacing w:val="-7"/>
        </w:rPr>
        <w:t xml:space="preserve"> </w:t>
      </w:r>
      <w:r>
        <w:t>(maddelerini) temsil</w:t>
      </w:r>
      <w:r>
        <w:rPr>
          <w:spacing w:val="-10"/>
        </w:rPr>
        <w:t xml:space="preserve"> </w:t>
      </w:r>
      <w:r>
        <w:t>etmektedir.</w:t>
      </w:r>
      <w:r>
        <w:rPr>
          <w:spacing w:val="-7"/>
        </w:rPr>
        <w:t xml:space="preserve"> </w:t>
      </w:r>
      <w:r>
        <w:t>İlk</w:t>
      </w:r>
      <w:r>
        <w:rPr>
          <w:spacing w:val="-10"/>
        </w:rPr>
        <w:t xml:space="preserve"> </w:t>
      </w:r>
      <w:r>
        <w:t>faktör</w:t>
      </w:r>
      <w:r>
        <w:rPr>
          <w:spacing w:val="-11"/>
        </w:rPr>
        <w:t xml:space="preserve"> </w:t>
      </w:r>
      <w:r>
        <w:t>analizine</w:t>
      </w:r>
      <w:r>
        <w:rPr>
          <w:spacing w:val="-11"/>
        </w:rPr>
        <w:t xml:space="preserve"> </w:t>
      </w:r>
      <w:r>
        <w:t>ilişkin</w:t>
      </w:r>
      <w:r>
        <w:rPr>
          <w:spacing w:val="-11"/>
        </w:rPr>
        <w:t xml:space="preserve"> </w:t>
      </w:r>
      <w:r>
        <w:t>bulgulara</w:t>
      </w:r>
      <w:r>
        <w:rPr>
          <w:spacing w:val="-9"/>
        </w:rPr>
        <w:t xml:space="preserve"> </w:t>
      </w:r>
      <w:r>
        <w:t>göre,</w:t>
      </w:r>
      <w:r>
        <w:rPr>
          <w:spacing w:val="-11"/>
        </w:rPr>
        <w:t xml:space="preserve"> </w:t>
      </w:r>
      <w:r>
        <w:t>tek</w:t>
      </w:r>
      <w:r>
        <w:rPr>
          <w:spacing w:val="-11"/>
        </w:rPr>
        <w:t xml:space="preserve"> </w:t>
      </w:r>
      <w:r>
        <w:t>bir</w:t>
      </w:r>
      <w:r>
        <w:rPr>
          <w:spacing w:val="-11"/>
        </w:rPr>
        <w:t xml:space="preserve"> </w:t>
      </w:r>
      <w:r>
        <w:t>faktör</w:t>
      </w:r>
      <w:r>
        <w:rPr>
          <w:spacing w:val="-9"/>
        </w:rPr>
        <w:t xml:space="preserve"> </w:t>
      </w:r>
      <w:r>
        <w:t>elde</w:t>
      </w:r>
      <w:r>
        <w:rPr>
          <w:spacing w:val="-12"/>
        </w:rPr>
        <w:t xml:space="preserve"> </w:t>
      </w:r>
      <w:r>
        <w:t>edilmiş</w:t>
      </w:r>
      <w:r>
        <w:rPr>
          <w:spacing w:val="-10"/>
        </w:rPr>
        <w:t xml:space="preserve"> </w:t>
      </w:r>
      <w:r>
        <w:t>olup, bu faktör ölçeğin genel yapısını başarıyla açıklamaktadır.</w:t>
      </w:r>
    </w:p>
    <w:p w14:paraId="44DDCB32">
      <w:pPr>
        <w:pStyle w:val="9"/>
        <w:spacing w:before="120" w:after="120" w:line="360" w:lineRule="auto"/>
        <w:ind w:left="0" w:firstLine="567"/>
      </w:pPr>
      <w:r>
        <w:t>Analiz</w:t>
      </w:r>
      <w:r>
        <w:rPr>
          <w:spacing w:val="52"/>
        </w:rPr>
        <w:t xml:space="preserve"> </w:t>
      </w:r>
      <w:r>
        <w:t>sonucunda,</w:t>
      </w:r>
      <w:r>
        <w:rPr>
          <w:spacing w:val="52"/>
        </w:rPr>
        <w:t xml:space="preserve"> </w:t>
      </w:r>
      <w:r>
        <w:t>ilk</w:t>
      </w:r>
      <w:r>
        <w:rPr>
          <w:spacing w:val="53"/>
        </w:rPr>
        <w:t xml:space="preserve"> </w:t>
      </w:r>
      <w:r>
        <w:t>özdeğer</w:t>
      </w:r>
      <w:r>
        <w:rPr>
          <w:spacing w:val="52"/>
        </w:rPr>
        <w:t xml:space="preserve"> </w:t>
      </w:r>
      <w:r>
        <w:t>1.163</w:t>
      </w:r>
      <w:r>
        <w:rPr>
          <w:spacing w:val="53"/>
        </w:rPr>
        <w:t xml:space="preserve"> </w:t>
      </w:r>
      <w:r>
        <w:t>olarak</w:t>
      </w:r>
      <w:r>
        <w:rPr>
          <w:spacing w:val="52"/>
        </w:rPr>
        <w:t xml:space="preserve"> </w:t>
      </w:r>
      <w:r>
        <w:t>bulunmuş</w:t>
      </w:r>
      <w:r>
        <w:rPr>
          <w:spacing w:val="54"/>
        </w:rPr>
        <w:t xml:space="preserve"> </w:t>
      </w:r>
      <w:r>
        <w:t>ve</w:t>
      </w:r>
      <w:r>
        <w:rPr>
          <w:spacing w:val="52"/>
        </w:rPr>
        <w:t xml:space="preserve"> </w:t>
      </w:r>
      <w:r>
        <w:t>bu</w:t>
      </w:r>
      <w:r>
        <w:rPr>
          <w:spacing w:val="53"/>
        </w:rPr>
        <w:t xml:space="preserve"> </w:t>
      </w:r>
      <w:r>
        <w:t>faktör,</w:t>
      </w:r>
      <w:r>
        <w:rPr>
          <w:spacing w:val="52"/>
        </w:rPr>
        <w:t xml:space="preserve"> </w:t>
      </w:r>
      <w:r>
        <w:t>toplam</w:t>
      </w:r>
      <w:r>
        <w:rPr>
          <w:spacing w:val="54"/>
        </w:rPr>
        <w:t xml:space="preserve"> </w:t>
      </w:r>
      <w:r>
        <w:rPr>
          <w:spacing w:val="-2"/>
        </w:rPr>
        <w:t>varyansın</w:t>
      </w:r>
    </w:p>
    <w:p w14:paraId="3C2DCCEF">
      <w:pPr>
        <w:pStyle w:val="9"/>
        <w:spacing w:before="120" w:after="120" w:line="360" w:lineRule="auto"/>
        <w:ind w:left="0" w:firstLine="567"/>
      </w:pPr>
      <w:r>
        <w:t>%51.278’ini</w:t>
      </w:r>
      <w:r>
        <w:rPr>
          <w:spacing w:val="-9"/>
        </w:rPr>
        <w:t xml:space="preserve"> </w:t>
      </w:r>
      <w:r>
        <w:t>açıklamaktadır.</w:t>
      </w:r>
      <w:r>
        <w:rPr>
          <w:spacing w:val="-10"/>
        </w:rPr>
        <w:t xml:space="preserve"> </w:t>
      </w:r>
      <w:r>
        <w:t>Bu</w:t>
      </w:r>
      <w:r>
        <w:rPr>
          <w:spacing w:val="-9"/>
        </w:rPr>
        <w:t xml:space="preserve"> </w:t>
      </w:r>
      <w:r>
        <w:t>durum,</w:t>
      </w:r>
      <w:r>
        <w:rPr>
          <w:spacing w:val="-9"/>
        </w:rPr>
        <w:t xml:space="preserve"> </w:t>
      </w:r>
      <w:r>
        <w:t>ölçeğin</w:t>
      </w:r>
      <w:r>
        <w:rPr>
          <w:spacing w:val="-9"/>
        </w:rPr>
        <w:t xml:space="preserve"> </w:t>
      </w:r>
      <w:r>
        <w:t>tek</w:t>
      </w:r>
      <w:r>
        <w:rPr>
          <w:spacing w:val="-9"/>
        </w:rPr>
        <w:t xml:space="preserve"> </w:t>
      </w:r>
      <w:r>
        <w:t>bir</w:t>
      </w:r>
      <w:r>
        <w:rPr>
          <w:spacing w:val="-10"/>
        </w:rPr>
        <w:t xml:space="preserve"> </w:t>
      </w:r>
      <w:r>
        <w:t>faktör</w:t>
      </w:r>
      <w:r>
        <w:rPr>
          <w:spacing w:val="-10"/>
        </w:rPr>
        <w:t xml:space="preserve"> </w:t>
      </w:r>
      <w:r>
        <w:t>etrafında</w:t>
      </w:r>
      <w:r>
        <w:rPr>
          <w:spacing w:val="-6"/>
        </w:rPr>
        <w:t xml:space="preserve"> </w:t>
      </w:r>
      <w:r>
        <w:t>yoğunlaştığını</w:t>
      </w:r>
      <w:r>
        <w:rPr>
          <w:spacing w:val="-9"/>
        </w:rPr>
        <w:t xml:space="preserve"> </w:t>
      </w:r>
      <w:r>
        <w:t>ve</w:t>
      </w:r>
      <w:r>
        <w:rPr>
          <w:spacing w:val="-10"/>
        </w:rPr>
        <w:t xml:space="preserve"> </w:t>
      </w:r>
      <w:r>
        <w:t>bu faktörün, ölçeğin ölçmeyi amaçladığı sanal rekreasyon kavramını büyük ölçüde temsil ettiğini göstermektedir. Özellikle %50'nin üzerinde varyans açıklama oranları, ölçeklerde geçerliliğin</w:t>
      </w:r>
      <w:r>
        <w:rPr>
          <w:spacing w:val="-2"/>
        </w:rPr>
        <w:t xml:space="preserve"> </w:t>
      </w:r>
      <w:r>
        <w:t>güçlü</w:t>
      </w:r>
      <w:r>
        <w:rPr>
          <w:spacing w:val="-2"/>
        </w:rPr>
        <w:t xml:space="preserve"> </w:t>
      </w:r>
      <w:r>
        <w:t>bir</w:t>
      </w:r>
      <w:r>
        <w:rPr>
          <w:spacing w:val="-3"/>
        </w:rPr>
        <w:t xml:space="preserve"> </w:t>
      </w:r>
      <w:r>
        <w:t>göstergesi</w:t>
      </w:r>
      <w:r>
        <w:rPr>
          <w:spacing w:val="-4"/>
        </w:rPr>
        <w:t xml:space="preserve"> </w:t>
      </w:r>
      <w:r>
        <w:t>olarak</w:t>
      </w:r>
      <w:r>
        <w:rPr>
          <w:spacing w:val="-4"/>
        </w:rPr>
        <w:t xml:space="preserve"> </w:t>
      </w:r>
      <w:r>
        <w:t>kabul</w:t>
      </w:r>
      <w:r>
        <w:rPr>
          <w:spacing w:val="-4"/>
        </w:rPr>
        <w:t xml:space="preserve"> </w:t>
      </w:r>
      <w:r>
        <w:t>edilir.</w:t>
      </w:r>
      <w:r>
        <w:rPr>
          <w:spacing w:val="-4"/>
        </w:rPr>
        <w:t xml:space="preserve"> </w:t>
      </w:r>
      <w:r>
        <w:t>Dolayısıyla,</w:t>
      </w:r>
      <w:r>
        <w:rPr>
          <w:spacing w:val="-4"/>
        </w:rPr>
        <w:t xml:space="preserve"> </w:t>
      </w:r>
      <w:r>
        <w:t>sanal</w:t>
      </w:r>
      <w:r>
        <w:rPr>
          <w:spacing w:val="-2"/>
        </w:rPr>
        <w:t xml:space="preserve"> </w:t>
      </w:r>
      <w:r>
        <w:t>rekreasyon</w:t>
      </w:r>
      <w:r>
        <w:rPr>
          <w:spacing w:val="-4"/>
        </w:rPr>
        <w:t xml:space="preserve"> </w:t>
      </w:r>
      <w:r>
        <w:t>ölçeğinin açıklayıcılık açısından yeterli düzeyde olduğu söylenebilir.</w:t>
      </w:r>
    </w:p>
    <w:p w14:paraId="7C4B9D9F">
      <w:pPr>
        <w:pStyle w:val="9"/>
        <w:spacing w:before="120" w:after="120" w:line="360" w:lineRule="auto"/>
        <w:ind w:left="0" w:firstLine="567"/>
      </w:pPr>
      <w:r>
        <w:t>Özdeğerler tablosunda görüldüğü üzere, ilk faktörden sonra gelen maddeler özdeğer bakımından 1'in altında kalmaktadır ve varyansa katkıları oldukça sınırlıdır. Bu durum, tek faktörlü</w:t>
      </w:r>
      <w:r>
        <w:rPr>
          <w:spacing w:val="-14"/>
        </w:rPr>
        <w:t xml:space="preserve"> </w:t>
      </w:r>
      <w:r>
        <w:t>bir</w:t>
      </w:r>
      <w:r>
        <w:rPr>
          <w:spacing w:val="-12"/>
        </w:rPr>
        <w:t xml:space="preserve"> </w:t>
      </w:r>
      <w:r>
        <w:t>yapının</w:t>
      </w:r>
      <w:r>
        <w:rPr>
          <w:spacing w:val="-14"/>
        </w:rPr>
        <w:t xml:space="preserve"> </w:t>
      </w:r>
      <w:r>
        <w:t>ölçek</w:t>
      </w:r>
      <w:r>
        <w:rPr>
          <w:spacing w:val="-12"/>
        </w:rPr>
        <w:t xml:space="preserve"> </w:t>
      </w:r>
      <w:r>
        <w:t>için</w:t>
      </w:r>
      <w:r>
        <w:rPr>
          <w:spacing w:val="-14"/>
        </w:rPr>
        <w:t xml:space="preserve"> </w:t>
      </w:r>
      <w:r>
        <w:t>en</w:t>
      </w:r>
      <w:r>
        <w:rPr>
          <w:spacing w:val="-14"/>
        </w:rPr>
        <w:t xml:space="preserve"> </w:t>
      </w:r>
      <w:r>
        <w:t>uygun</w:t>
      </w:r>
      <w:r>
        <w:rPr>
          <w:spacing w:val="-14"/>
        </w:rPr>
        <w:t xml:space="preserve"> </w:t>
      </w:r>
      <w:r>
        <w:t>çözüm</w:t>
      </w:r>
      <w:r>
        <w:rPr>
          <w:spacing w:val="-14"/>
        </w:rPr>
        <w:t xml:space="preserve"> </w:t>
      </w:r>
      <w:r>
        <w:t>olduğunu</w:t>
      </w:r>
      <w:r>
        <w:rPr>
          <w:spacing w:val="-12"/>
        </w:rPr>
        <w:t xml:space="preserve"> </w:t>
      </w:r>
      <w:r>
        <w:t>gösterir</w:t>
      </w:r>
      <w:r>
        <w:rPr>
          <w:spacing w:val="-14"/>
        </w:rPr>
        <w:t xml:space="preserve"> </w:t>
      </w:r>
      <w:r>
        <w:t>ve</w:t>
      </w:r>
      <w:r>
        <w:rPr>
          <w:spacing w:val="-15"/>
        </w:rPr>
        <w:t xml:space="preserve"> </w:t>
      </w:r>
      <w:r>
        <w:t>ölçeğin</w:t>
      </w:r>
      <w:r>
        <w:rPr>
          <w:spacing w:val="-9"/>
        </w:rPr>
        <w:t xml:space="preserve"> </w:t>
      </w:r>
      <w:r>
        <w:t>yapısında</w:t>
      </w:r>
      <w:r>
        <w:rPr>
          <w:spacing w:val="-15"/>
        </w:rPr>
        <w:t xml:space="preserve"> </w:t>
      </w:r>
      <w:r>
        <w:t>başka bir alt boyuta ihtiyaç olmadığını ortaya koyar.</w:t>
      </w:r>
    </w:p>
    <w:p w14:paraId="55D55D5A">
      <w:pPr>
        <w:pStyle w:val="9"/>
        <w:spacing w:before="120" w:after="120" w:line="360" w:lineRule="auto"/>
        <w:ind w:left="0" w:firstLine="567"/>
      </w:pPr>
      <w:r>
        <w:t>Ek</w:t>
      </w:r>
      <w:r>
        <w:rPr>
          <w:spacing w:val="-4"/>
        </w:rPr>
        <w:t xml:space="preserve"> </w:t>
      </w:r>
      <w:r>
        <w:t>olarak,</w:t>
      </w:r>
      <w:r>
        <w:rPr>
          <w:spacing w:val="1"/>
        </w:rPr>
        <w:t xml:space="preserve"> </w:t>
      </w:r>
      <w:r>
        <w:t>ölçeğin</w:t>
      </w:r>
      <w:r>
        <w:rPr>
          <w:spacing w:val="-2"/>
        </w:rPr>
        <w:t xml:space="preserve"> </w:t>
      </w:r>
      <w:r>
        <w:t>açıklanan</w:t>
      </w:r>
      <w:r>
        <w:rPr>
          <w:spacing w:val="-1"/>
        </w:rPr>
        <w:t xml:space="preserve"> </w:t>
      </w:r>
      <w:r>
        <w:t>varyans</w:t>
      </w:r>
      <w:r>
        <w:rPr>
          <w:spacing w:val="3"/>
        </w:rPr>
        <w:t xml:space="preserve"> </w:t>
      </w:r>
      <w:r>
        <w:t>yüzdelerine</w:t>
      </w:r>
      <w:r>
        <w:rPr>
          <w:spacing w:val="-1"/>
        </w:rPr>
        <w:t xml:space="preserve"> </w:t>
      </w:r>
      <w:r>
        <w:t>bakıldığında,</w:t>
      </w:r>
      <w:r>
        <w:rPr>
          <w:spacing w:val="-1"/>
        </w:rPr>
        <w:t xml:space="preserve"> </w:t>
      </w:r>
      <w:r>
        <w:t>ilk</w:t>
      </w:r>
      <w:r>
        <w:rPr>
          <w:spacing w:val="2"/>
        </w:rPr>
        <w:t xml:space="preserve"> </w:t>
      </w:r>
      <w:r>
        <w:t>madde toplam</w:t>
      </w:r>
      <w:r>
        <w:rPr>
          <w:spacing w:val="-1"/>
        </w:rPr>
        <w:t xml:space="preserve"> </w:t>
      </w:r>
      <w:r>
        <w:rPr>
          <w:spacing w:val="-2"/>
        </w:rPr>
        <w:t>varyansın</w:t>
      </w:r>
    </w:p>
    <w:p w14:paraId="67D850B8">
      <w:pPr>
        <w:pStyle w:val="9"/>
        <w:spacing w:before="120" w:after="120" w:line="360" w:lineRule="auto"/>
        <w:ind w:left="0" w:firstLine="567"/>
      </w:pPr>
      <w:r>
        <w:t>%51.278'ini açıklarken, sonraki maddelerin katkıları hızla azalmaktadır. Özellikle üçüncü maddeden itibaren varyans oranları %5’in altına düşmektedir. Bu bulgu, ölçeğin maddelerinin büyük çoğunluğunun tek bir faktör altında toplandığını ve sanal rekreasyon kavramını bu faktörle yeterince açıklayabildiğini doğrulamaktadır.</w:t>
      </w:r>
    </w:p>
    <w:p w14:paraId="7204A666">
      <w:pPr>
        <w:pStyle w:val="9"/>
        <w:spacing w:before="120" w:after="120" w:line="360" w:lineRule="auto"/>
        <w:ind w:left="0" w:firstLine="567"/>
      </w:pPr>
      <w:r>
        <w:rPr>
          <w:spacing w:val="-2"/>
        </w:rPr>
        <w:t>Sonuç</w:t>
      </w:r>
      <w:r>
        <w:rPr>
          <w:spacing w:val="-7"/>
        </w:rPr>
        <w:t xml:space="preserve"> </w:t>
      </w:r>
      <w:r>
        <w:rPr>
          <w:spacing w:val="-2"/>
        </w:rPr>
        <w:t>olarak,</w:t>
      </w:r>
      <w:r>
        <w:rPr>
          <w:spacing w:val="-5"/>
        </w:rPr>
        <w:t xml:space="preserve"> </w:t>
      </w:r>
      <w:r>
        <w:rPr>
          <w:spacing w:val="-2"/>
        </w:rPr>
        <w:t>elde</w:t>
      </w:r>
      <w:r>
        <w:rPr>
          <w:spacing w:val="-3"/>
        </w:rPr>
        <w:t xml:space="preserve"> </w:t>
      </w:r>
      <w:r>
        <w:rPr>
          <w:spacing w:val="-2"/>
        </w:rPr>
        <w:t>edilen veriler,</w:t>
      </w:r>
      <w:r>
        <w:rPr>
          <w:spacing w:val="-7"/>
        </w:rPr>
        <w:t xml:space="preserve"> </w:t>
      </w:r>
      <w:r>
        <w:rPr>
          <w:spacing w:val="-2"/>
        </w:rPr>
        <w:t>sanal</w:t>
      </w:r>
      <w:r>
        <w:rPr>
          <w:spacing w:val="-4"/>
        </w:rPr>
        <w:t xml:space="preserve"> </w:t>
      </w:r>
      <w:r>
        <w:rPr>
          <w:spacing w:val="-2"/>
        </w:rPr>
        <w:t>rekreasyon ölçeğinin</w:t>
      </w:r>
      <w:r>
        <w:rPr>
          <w:spacing w:val="-5"/>
        </w:rPr>
        <w:t xml:space="preserve"> </w:t>
      </w:r>
      <w:r>
        <w:rPr>
          <w:spacing w:val="-2"/>
        </w:rPr>
        <w:t>tek</w:t>
      </w:r>
      <w:r>
        <w:rPr>
          <w:spacing w:val="-5"/>
        </w:rPr>
        <w:t xml:space="preserve"> </w:t>
      </w:r>
      <w:r>
        <w:rPr>
          <w:spacing w:val="-2"/>
        </w:rPr>
        <w:t>faktörlü</w:t>
      </w:r>
      <w:r>
        <w:rPr>
          <w:spacing w:val="-5"/>
        </w:rPr>
        <w:t xml:space="preserve"> </w:t>
      </w:r>
      <w:r>
        <w:rPr>
          <w:spacing w:val="-2"/>
        </w:rPr>
        <w:t>bir</w:t>
      </w:r>
      <w:r>
        <w:rPr>
          <w:spacing w:val="-3"/>
        </w:rPr>
        <w:t xml:space="preserve"> </w:t>
      </w:r>
      <w:r>
        <w:rPr>
          <w:spacing w:val="-2"/>
        </w:rPr>
        <w:t>yapıda</w:t>
      </w:r>
      <w:r>
        <w:rPr>
          <w:spacing w:val="-7"/>
        </w:rPr>
        <w:t xml:space="preserve"> </w:t>
      </w:r>
      <w:r>
        <w:rPr>
          <w:spacing w:val="-2"/>
        </w:rPr>
        <w:t xml:space="preserve">olduğunu </w:t>
      </w:r>
      <w:r>
        <w:t>ve bu yapının ölçeğin ölçmek istediği kavramı başarıyla yansıttığını göstermektedir. Bu analiz, ölçeğin bilimsel araştırmalarda geçerli ve güvenilir bir ölçüm aracı olarak kullanılabileceğini desteklemektedir.</w:t>
      </w:r>
    </w:p>
    <w:p w14:paraId="6F873347">
      <w:pPr>
        <w:pStyle w:val="28"/>
        <w:numPr>
          <w:ilvl w:val="3"/>
          <w:numId w:val="15"/>
        </w:numPr>
        <w:spacing w:before="240" w:after="240" w:line="360" w:lineRule="auto"/>
        <w:ind w:left="567" w:firstLine="0"/>
        <w:outlineLvl w:val="3"/>
        <w:rPr>
          <w:b/>
          <w:sz w:val="24"/>
        </w:rPr>
      </w:pPr>
      <w:bookmarkStart w:id="204" w:name="_Toc195877822"/>
      <w:bookmarkStart w:id="205" w:name="_Toc195875843"/>
      <w:bookmarkStart w:id="206" w:name="_Toc197351275"/>
      <w:r>
        <w:rPr>
          <w:b/>
          <w:sz w:val="24"/>
        </w:rPr>
        <w:t>Doğrulayıcı faktör analizi</w:t>
      </w:r>
      <w:bookmarkEnd w:id="204"/>
      <w:bookmarkEnd w:id="205"/>
      <w:bookmarkEnd w:id="206"/>
    </w:p>
    <w:p w14:paraId="704EFC38">
      <w:pPr>
        <w:pStyle w:val="9"/>
        <w:spacing w:before="120" w:after="120" w:line="360" w:lineRule="auto"/>
        <w:ind w:left="0" w:firstLine="567"/>
      </w:pPr>
      <w:r>
        <w:t>Sanal</w:t>
      </w:r>
      <w:r>
        <w:rPr>
          <w:spacing w:val="-3"/>
        </w:rPr>
        <w:t xml:space="preserve"> </w:t>
      </w:r>
      <w:r>
        <w:t>Rekreasyon</w:t>
      </w:r>
      <w:r>
        <w:rPr>
          <w:spacing w:val="-1"/>
        </w:rPr>
        <w:t xml:space="preserve"> </w:t>
      </w:r>
      <w:r>
        <w:t>Ölçeği'nin yapı geçerliliği</w:t>
      </w:r>
      <w:r>
        <w:rPr>
          <w:spacing w:val="-3"/>
        </w:rPr>
        <w:t xml:space="preserve"> </w:t>
      </w:r>
      <w:r>
        <w:t>analizinde,</w:t>
      </w:r>
      <w:r>
        <w:rPr>
          <w:spacing w:val="-4"/>
        </w:rPr>
        <w:t xml:space="preserve"> </w:t>
      </w:r>
      <w:r>
        <w:t>temel</w:t>
      </w:r>
      <w:r>
        <w:rPr>
          <w:spacing w:val="-3"/>
        </w:rPr>
        <w:t xml:space="preserve"> </w:t>
      </w:r>
      <w:r>
        <w:t>bileşenler</w:t>
      </w:r>
      <w:r>
        <w:rPr>
          <w:spacing w:val="-5"/>
        </w:rPr>
        <w:t xml:space="preserve"> </w:t>
      </w:r>
      <w:r>
        <w:t>analizi</w:t>
      </w:r>
      <w:r>
        <w:rPr>
          <w:spacing w:val="-3"/>
        </w:rPr>
        <w:t xml:space="preserve"> </w:t>
      </w:r>
      <w:r>
        <w:t>sonucunda elde edilen tek faktörlü yapının doğrulanması amacıyla doğrulayıcı faktör analizi (DFA) uygulanmıştır. DFA, daha önceden belirlenmiş bir faktör modelinin veri setiyle uyumunu test</w:t>
      </w:r>
      <w:r>
        <w:rPr>
          <w:spacing w:val="-15"/>
        </w:rPr>
        <w:t xml:space="preserve"> </w:t>
      </w:r>
      <w:r>
        <w:t>etmek</w:t>
      </w:r>
      <w:r>
        <w:rPr>
          <w:spacing w:val="-15"/>
        </w:rPr>
        <w:t xml:space="preserve"> </w:t>
      </w:r>
      <w:r>
        <w:t>için</w:t>
      </w:r>
      <w:r>
        <w:rPr>
          <w:spacing w:val="-15"/>
        </w:rPr>
        <w:t xml:space="preserve"> </w:t>
      </w:r>
      <w:r>
        <w:t>kullanılan</w:t>
      </w:r>
      <w:r>
        <w:rPr>
          <w:spacing w:val="-15"/>
        </w:rPr>
        <w:t xml:space="preserve"> </w:t>
      </w:r>
      <w:r>
        <w:t>etkin</w:t>
      </w:r>
      <w:r>
        <w:rPr>
          <w:spacing w:val="-15"/>
        </w:rPr>
        <w:t xml:space="preserve"> </w:t>
      </w:r>
      <w:r>
        <w:t>bir</w:t>
      </w:r>
      <w:r>
        <w:rPr>
          <w:spacing w:val="-15"/>
        </w:rPr>
        <w:t xml:space="preserve"> </w:t>
      </w:r>
      <w:r>
        <w:t>analiz</w:t>
      </w:r>
      <w:r>
        <w:rPr>
          <w:spacing w:val="-12"/>
        </w:rPr>
        <w:t xml:space="preserve"> </w:t>
      </w:r>
      <w:r>
        <w:t>yöntemidir.</w:t>
      </w:r>
      <w:r>
        <w:rPr>
          <w:spacing w:val="-15"/>
        </w:rPr>
        <w:t xml:space="preserve"> </w:t>
      </w:r>
      <w:r>
        <w:t>Bu</w:t>
      </w:r>
      <w:r>
        <w:rPr>
          <w:spacing w:val="-9"/>
        </w:rPr>
        <w:t xml:space="preserve"> </w:t>
      </w:r>
      <w:r>
        <w:t>yöntem,</w:t>
      </w:r>
      <w:r>
        <w:rPr>
          <w:spacing w:val="-15"/>
        </w:rPr>
        <w:t xml:space="preserve"> </w:t>
      </w:r>
      <w:r>
        <w:t>verilerin</w:t>
      </w:r>
      <w:r>
        <w:rPr>
          <w:spacing w:val="-15"/>
        </w:rPr>
        <w:t xml:space="preserve"> </w:t>
      </w:r>
      <w:r>
        <w:t>belirlenmiş</w:t>
      </w:r>
      <w:r>
        <w:rPr>
          <w:spacing w:val="-15"/>
        </w:rPr>
        <w:t xml:space="preserve"> </w:t>
      </w:r>
      <w:r>
        <w:t xml:space="preserve">faktör yapısıyla uyumunu değerlendirerek, ölçüm aracının geçerliliğini doğrulamada önemli bir role sahiptir. Büyüköztürk (2012) tarafından da belirtildiği üzere, DFA, ölçüm aracı geliştirmede kritik öneme sahiptir.DFA uygulamasında, modelin veri setiyle uyumunu göstermek için birden fazla uyum iyiliği indeksi kullanılmaktadır. Bu indeksler, modelin genel uyumunu ve tahmin edilen faktör yapısının verilerle ne derece uyumlu olduğunu değerlendirmektedir. DFA'nın uyum iyiliği indeksleri ve normallik değerleri, modelin geçerliliğini ve güvenilirliğini anlamak için hayati öneme sahiptir. Schreiber, Nora, Stage, Barlow ve King (2006) tarafından belirtilen kabul edilebilir değerleri Tablo 3.6’de yer </w:t>
      </w:r>
      <w:r>
        <w:rPr>
          <w:spacing w:val="-2"/>
        </w:rPr>
        <w:t>almaktadır.</w:t>
      </w:r>
    </w:p>
    <w:p w14:paraId="31C039F7">
      <w:pPr>
        <w:pStyle w:val="9"/>
        <w:spacing w:line="360" w:lineRule="auto"/>
        <w:ind w:left="0"/>
        <w:jc w:val="left"/>
        <w:rPr>
          <w:b/>
        </w:rPr>
      </w:pPr>
      <w:r>
        <w:rPr>
          <w:b/>
        </w:rPr>
        <w:t>Tablo</w:t>
      </w:r>
      <w:r>
        <w:rPr>
          <w:b/>
          <w:spacing w:val="-3"/>
        </w:rPr>
        <w:t xml:space="preserve"> </w:t>
      </w:r>
      <w:r>
        <w:rPr>
          <w:b/>
        </w:rPr>
        <w:t>3.6.</w:t>
      </w:r>
      <w:r>
        <w:rPr>
          <w:b/>
          <w:spacing w:val="-2"/>
        </w:rPr>
        <w:t xml:space="preserve"> </w:t>
      </w:r>
      <w:r>
        <w:t>Uyum İyiliği</w:t>
      </w:r>
      <w:r>
        <w:rPr>
          <w:spacing w:val="-1"/>
        </w:rPr>
        <w:t xml:space="preserve"> </w:t>
      </w:r>
      <w:r>
        <w:t>İndeksleri</w:t>
      </w:r>
      <w:r>
        <w:rPr>
          <w:spacing w:val="-2"/>
        </w:rPr>
        <w:t xml:space="preserve"> </w:t>
      </w:r>
      <w:r>
        <w:t>Normallik</w:t>
      </w:r>
      <w:r>
        <w:rPr>
          <w:spacing w:val="-2"/>
        </w:rPr>
        <w:t xml:space="preserve"> Değerleri</w:t>
      </w:r>
    </w:p>
    <w:p w14:paraId="4BD377FC">
      <w:pPr>
        <w:pStyle w:val="9"/>
        <w:spacing w:before="10"/>
        <w:ind w:left="0"/>
        <w:jc w:val="left"/>
        <w:rPr>
          <w:sz w:val="29"/>
        </w:rPr>
      </w:pPr>
    </w:p>
    <w:tbl>
      <w:tblPr>
        <w:tblStyle w:val="7"/>
        <w:tblW w:w="0" w:type="auto"/>
        <w:tblInd w:w="160" w:type="dxa"/>
        <w:tblLayout w:type="fixed"/>
        <w:tblCellMar>
          <w:top w:w="0" w:type="dxa"/>
          <w:left w:w="0" w:type="dxa"/>
          <w:bottom w:w="0" w:type="dxa"/>
          <w:right w:w="0" w:type="dxa"/>
        </w:tblCellMar>
      </w:tblPr>
      <w:tblGrid>
        <w:gridCol w:w="4405"/>
        <w:gridCol w:w="4385"/>
      </w:tblGrid>
      <w:tr w14:paraId="549D2F04">
        <w:tblPrEx>
          <w:tblCellMar>
            <w:top w:w="0" w:type="dxa"/>
            <w:left w:w="0" w:type="dxa"/>
            <w:bottom w:w="0" w:type="dxa"/>
            <w:right w:w="0" w:type="dxa"/>
          </w:tblCellMar>
        </w:tblPrEx>
        <w:trPr>
          <w:trHeight w:val="230" w:hRule="atLeast"/>
        </w:trPr>
        <w:tc>
          <w:tcPr>
            <w:tcW w:w="4405" w:type="dxa"/>
            <w:tcBorders>
              <w:top w:val="single" w:color="000000" w:sz="4" w:space="0"/>
              <w:bottom w:val="single" w:color="000000" w:sz="4" w:space="0"/>
            </w:tcBorders>
          </w:tcPr>
          <w:p w14:paraId="21B5D3F3">
            <w:pPr>
              <w:pStyle w:val="29"/>
              <w:spacing w:line="210" w:lineRule="exact"/>
              <w:ind w:left="115"/>
              <w:rPr>
                <w:sz w:val="20"/>
              </w:rPr>
            </w:pPr>
            <w:r>
              <w:rPr>
                <w:sz w:val="20"/>
              </w:rPr>
              <w:t>İndeks</w:t>
            </w:r>
            <w:r>
              <w:rPr>
                <w:spacing w:val="-9"/>
                <w:sz w:val="20"/>
              </w:rPr>
              <w:t xml:space="preserve"> </w:t>
            </w:r>
            <w:r>
              <w:rPr>
                <w:spacing w:val="-4"/>
                <w:sz w:val="20"/>
              </w:rPr>
              <w:t>Türü</w:t>
            </w:r>
          </w:p>
        </w:tc>
        <w:tc>
          <w:tcPr>
            <w:tcW w:w="4385" w:type="dxa"/>
            <w:tcBorders>
              <w:top w:val="single" w:color="000000" w:sz="4" w:space="0"/>
              <w:bottom w:val="single" w:color="000000" w:sz="4" w:space="0"/>
            </w:tcBorders>
          </w:tcPr>
          <w:p w14:paraId="47264D93">
            <w:pPr>
              <w:pStyle w:val="29"/>
              <w:spacing w:line="210" w:lineRule="exact"/>
              <w:ind w:left="110"/>
              <w:rPr>
                <w:sz w:val="20"/>
              </w:rPr>
            </w:pPr>
            <w:r>
              <w:rPr>
                <w:sz w:val="20"/>
              </w:rPr>
              <w:t>Kabul</w:t>
            </w:r>
            <w:r>
              <w:rPr>
                <w:spacing w:val="-7"/>
                <w:sz w:val="20"/>
              </w:rPr>
              <w:t xml:space="preserve"> </w:t>
            </w:r>
            <w:r>
              <w:rPr>
                <w:sz w:val="20"/>
              </w:rPr>
              <w:t>edilebilir</w:t>
            </w:r>
            <w:r>
              <w:rPr>
                <w:spacing w:val="-6"/>
                <w:sz w:val="20"/>
              </w:rPr>
              <w:t xml:space="preserve"> </w:t>
            </w:r>
            <w:r>
              <w:rPr>
                <w:spacing w:val="-2"/>
                <w:sz w:val="20"/>
              </w:rPr>
              <w:t>Değer</w:t>
            </w:r>
          </w:p>
        </w:tc>
      </w:tr>
      <w:tr w14:paraId="0746A186">
        <w:tblPrEx>
          <w:tblCellMar>
            <w:top w:w="0" w:type="dxa"/>
            <w:left w:w="0" w:type="dxa"/>
            <w:bottom w:w="0" w:type="dxa"/>
            <w:right w:w="0" w:type="dxa"/>
          </w:tblCellMar>
        </w:tblPrEx>
        <w:trPr>
          <w:trHeight w:val="227" w:hRule="atLeast"/>
        </w:trPr>
        <w:tc>
          <w:tcPr>
            <w:tcW w:w="4405" w:type="dxa"/>
            <w:tcBorders>
              <w:top w:val="single" w:color="000000" w:sz="4" w:space="0"/>
            </w:tcBorders>
          </w:tcPr>
          <w:p w14:paraId="3FF478A8">
            <w:pPr>
              <w:pStyle w:val="29"/>
              <w:spacing w:line="208" w:lineRule="exact"/>
              <w:ind w:left="115"/>
              <w:rPr>
                <w:sz w:val="20"/>
              </w:rPr>
            </w:pPr>
            <w:r>
              <w:rPr>
                <w:sz w:val="20"/>
              </w:rPr>
              <w:t>Goodness</w:t>
            </w:r>
            <w:r>
              <w:rPr>
                <w:spacing w:val="-5"/>
                <w:sz w:val="20"/>
              </w:rPr>
              <w:t xml:space="preserve"> </w:t>
            </w:r>
            <w:r>
              <w:rPr>
                <w:sz w:val="20"/>
              </w:rPr>
              <w:t>of</w:t>
            </w:r>
            <w:r>
              <w:rPr>
                <w:spacing w:val="-5"/>
                <w:sz w:val="20"/>
              </w:rPr>
              <w:t xml:space="preserve"> </w:t>
            </w:r>
            <w:r>
              <w:rPr>
                <w:sz w:val="20"/>
              </w:rPr>
              <w:t>Fit</w:t>
            </w:r>
            <w:r>
              <w:rPr>
                <w:spacing w:val="-4"/>
                <w:sz w:val="20"/>
              </w:rPr>
              <w:t xml:space="preserve"> </w:t>
            </w:r>
            <w:r>
              <w:rPr>
                <w:sz w:val="20"/>
              </w:rPr>
              <w:t>Index</w:t>
            </w:r>
            <w:r>
              <w:rPr>
                <w:spacing w:val="-5"/>
                <w:sz w:val="20"/>
              </w:rPr>
              <w:t xml:space="preserve"> </w:t>
            </w:r>
            <w:r>
              <w:rPr>
                <w:spacing w:val="-2"/>
                <w:sz w:val="20"/>
              </w:rPr>
              <w:t>(GFI)</w:t>
            </w:r>
          </w:p>
        </w:tc>
        <w:tc>
          <w:tcPr>
            <w:tcW w:w="4385" w:type="dxa"/>
            <w:tcBorders>
              <w:top w:val="single" w:color="000000" w:sz="4" w:space="0"/>
            </w:tcBorders>
          </w:tcPr>
          <w:p w14:paraId="2C98F021">
            <w:pPr>
              <w:pStyle w:val="29"/>
              <w:spacing w:line="208" w:lineRule="exact"/>
              <w:ind w:left="110"/>
              <w:rPr>
                <w:sz w:val="20"/>
              </w:rPr>
            </w:pPr>
            <w:r>
              <w:rPr>
                <w:spacing w:val="-2"/>
                <w:sz w:val="20"/>
              </w:rPr>
              <w:t>&gt;0.90</w:t>
            </w:r>
          </w:p>
        </w:tc>
      </w:tr>
      <w:tr w14:paraId="0132F43A">
        <w:tblPrEx>
          <w:tblCellMar>
            <w:top w:w="0" w:type="dxa"/>
            <w:left w:w="0" w:type="dxa"/>
            <w:bottom w:w="0" w:type="dxa"/>
            <w:right w:w="0" w:type="dxa"/>
          </w:tblCellMar>
        </w:tblPrEx>
        <w:trPr>
          <w:trHeight w:val="230" w:hRule="atLeast"/>
        </w:trPr>
        <w:tc>
          <w:tcPr>
            <w:tcW w:w="4405" w:type="dxa"/>
          </w:tcPr>
          <w:p w14:paraId="3BD68124">
            <w:pPr>
              <w:pStyle w:val="29"/>
              <w:spacing w:line="210" w:lineRule="exact"/>
              <w:ind w:left="115"/>
              <w:rPr>
                <w:sz w:val="20"/>
              </w:rPr>
            </w:pPr>
            <w:r>
              <w:rPr>
                <w:sz w:val="20"/>
              </w:rPr>
              <w:t>Adjusted</w:t>
            </w:r>
            <w:r>
              <w:rPr>
                <w:spacing w:val="-4"/>
                <w:sz w:val="20"/>
              </w:rPr>
              <w:t xml:space="preserve"> </w:t>
            </w:r>
            <w:r>
              <w:rPr>
                <w:sz w:val="20"/>
              </w:rPr>
              <w:t>Goodness</w:t>
            </w:r>
            <w:r>
              <w:rPr>
                <w:spacing w:val="-5"/>
                <w:sz w:val="20"/>
              </w:rPr>
              <w:t xml:space="preserve"> </w:t>
            </w:r>
            <w:r>
              <w:rPr>
                <w:sz w:val="20"/>
              </w:rPr>
              <w:t>of</w:t>
            </w:r>
            <w:r>
              <w:rPr>
                <w:spacing w:val="-6"/>
                <w:sz w:val="20"/>
              </w:rPr>
              <w:t xml:space="preserve"> </w:t>
            </w:r>
            <w:r>
              <w:rPr>
                <w:sz w:val="20"/>
              </w:rPr>
              <w:t>Fit</w:t>
            </w:r>
            <w:r>
              <w:rPr>
                <w:spacing w:val="-6"/>
                <w:sz w:val="20"/>
              </w:rPr>
              <w:t xml:space="preserve"> </w:t>
            </w:r>
            <w:r>
              <w:rPr>
                <w:sz w:val="20"/>
              </w:rPr>
              <w:t>Index</w:t>
            </w:r>
            <w:r>
              <w:rPr>
                <w:spacing w:val="-5"/>
                <w:sz w:val="20"/>
              </w:rPr>
              <w:t xml:space="preserve"> </w:t>
            </w:r>
            <w:r>
              <w:rPr>
                <w:spacing w:val="-2"/>
                <w:sz w:val="20"/>
              </w:rPr>
              <w:t>(AGFI)</w:t>
            </w:r>
          </w:p>
        </w:tc>
        <w:tc>
          <w:tcPr>
            <w:tcW w:w="4385" w:type="dxa"/>
          </w:tcPr>
          <w:p w14:paraId="49BDCE45">
            <w:pPr>
              <w:pStyle w:val="29"/>
              <w:spacing w:line="210" w:lineRule="exact"/>
              <w:ind w:left="110"/>
              <w:rPr>
                <w:sz w:val="20"/>
              </w:rPr>
            </w:pPr>
            <w:r>
              <w:rPr>
                <w:spacing w:val="-2"/>
                <w:sz w:val="20"/>
              </w:rPr>
              <w:t>&gt;0.90</w:t>
            </w:r>
          </w:p>
        </w:tc>
      </w:tr>
      <w:tr w14:paraId="1BBA0EB8">
        <w:tblPrEx>
          <w:tblCellMar>
            <w:top w:w="0" w:type="dxa"/>
            <w:left w:w="0" w:type="dxa"/>
            <w:bottom w:w="0" w:type="dxa"/>
            <w:right w:w="0" w:type="dxa"/>
          </w:tblCellMar>
        </w:tblPrEx>
        <w:trPr>
          <w:trHeight w:val="229" w:hRule="atLeast"/>
        </w:trPr>
        <w:tc>
          <w:tcPr>
            <w:tcW w:w="4405" w:type="dxa"/>
          </w:tcPr>
          <w:p w14:paraId="681F96A9">
            <w:pPr>
              <w:pStyle w:val="29"/>
              <w:spacing w:line="209" w:lineRule="exact"/>
              <w:ind w:left="115"/>
              <w:rPr>
                <w:sz w:val="20"/>
              </w:rPr>
            </w:pPr>
            <w:r>
              <w:rPr>
                <w:sz w:val="20"/>
              </w:rPr>
              <w:t>Normed</w:t>
            </w:r>
            <w:r>
              <w:rPr>
                <w:spacing w:val="-5"/>
                <w:sz w:val="20"/>
              </w:rPr>
              <w:t xml:space="preserve"> </w:t>
            </w:r>
            <w:r>
              <w:rPr>
                <w:sz w:val="20"/>
              </w:rPr>
              <w:t>Fit</w:t>
            </w:r>
            <w:r>
              <w:rPr>
                <w:spacing w:val="-6"/>
                <w:sz w:val="20"/>
              </w:rPr>
              <w:t xml:space="preserve"> </w:t>
            </w:r>
            <w:r>
              <w:rPr>
                <w:sz w:val="20"/>
              </w:rPr>
              <w:t>Index</w:t>
            </w:r>
            <w:r>
              <w:rPr>
                <w:spacing w:val="-6"/>
                <w:sz w:val="20"/>
              </w:rPr>
              <w:t xml:space="preserve"> </w:t>
            </w:r>
            <w:r>
              <w:rPr>
                <w:spacing w:val="-2"/>
                <w:sz w:val="20"/>
              </w:rPr>
              <w:t>(NFI)</w:t>
            </w:r>
          </w:p>
        </w:tc>
        <w:tc>
          <w:tcPr>
            <w:tcW w:w="4385" w:type="dxa"/>
          </w:tcPr>
          <w:p w14:paraId="57AE59D0">
            <w:pPr>
              <w:pStyle w:val="29"/>
              <w:spacing w:line="209" w:lineRule="exact"/>
              <w:ind w:left="110"/>
              <w:rPr>
                <w:sz w:val="20"/>
              </w:rPr>
            </w:pPr>
            <w:r>
              <w:rPr>
                <w:spacing w:val="-2"/>
                <w:sz w:val="20"/>
              </w:rPr>
              <w:t>&gt;0.90</w:t>
            </w:r>
          </w:p>
        </w:tc>
      </w:tr>
      <w:tr w14:paraId="4A00BF5F">
        <w:tblPrEx>
          <w:tblCellMar>
            <w:top w:w="0" w:type="dxa"/>
            <w:left w:w="0" w:type="dxa"/>
            <w:bottom w:w="0" w:type="dxa"/>
            <w:right w:w="0" w:type="dxa"/>
          </w:tblCellMar>
        </w:tblPrEx>
        <w:trPr>
          <w:trHeight w:val="229" w:hRule="atLeast"/>
        </w:trPr>
        <w:tc>
          <w:tcPr>
            <w:tcW w:w="4405" w:type="dxa"/>
          </w:tcPr>
          <w:p w14:paraId="6F07AC31">
            <w:pPr>
              <w:pStyle w:val="29"/>
              <w:spacing w:line="209" w:lineRule="exact"/>
              <w:ind w:left="115"/>
              <w:rPr>
                <w:sz w:val="20"/>
              </w:rPr>
            </w:pPr>
            <w:r>
              <w:rPr>
                <w:sz w:val="20"/>
              </w:rPr>
              <w:t>Comparative</w:t>
            </w:r>
            <w:r>
              <w:rPr>
                <w:spacing w:val="-5"/>
                <w:sz w:val="20"/>
              </w:rPr>
              <w:t xml:space="preserve"> </w:t>
            </w:r>
            <w:r>
              <w:rPr>
                <w:sz w:val="20"/>
              </w:rPr>
              <w:t>Fit</w:t>
            </w:r>
            <w:r>
              <w:rPr>
                <w:spacing w:val="-7"/>
                <w:sz w:val="20"/>
              </w:rPr>
              <w:t xml:space="preserve"> </w:t>
            </w:r>
            <w:r>
              <w:rPr>
                <w:sz w:val="20"/>
              </w:rPr>
              <w:t>Index</w:t>
            </w:r>
            <w:r>
              <w:rPr>
                <w:spacing w:val="-7"/>
                <w:sz w:val="20"/>
              </w:rPr>
              <w:t xml:space="preserve"> </w:t>
            </w:r>
            <w:r>
              <w:rPr>
                <w:spacing w:val="-4"/>
                <w:sz w:val="20"/>
              </w:rPr>
              <w:t>(CFI)</w:t>
            </w:r>
          </w:p>
        </w:tc>
        <w:tc>
          <w:tcPr>
            <w:tcW w:w="4385" w:type="dxa"/>
          </w:tcPr>
          <w:p w14:paraId="20A07F1C">
            <w:pPr>
              <w:pStyle w:val="29"/>
              <w:spacing w:line="209" w:lineRule="exact"/>
              <w:ind w:left="110"/>
              <w:rPr>
                <w:sz w:val="20"/>
              </w:rPr>
            </w:pPr>
            <w:r>
              <w:rPr>
                <w:spacing w:val="-2"/>
                <w:sz w:val="20"/>
              </w:rPr>
              <w:t>&gt;0.90</w:t>
            </w:r>
          </w:p>
        </w:tc>
      </w:tr>
      <w:tr w14:paraId="58A6811E">
        <w:tblPrEx>
          <w:tblCellMar>
            <w:top w:w="0" w:type="dxa"/>
            <w:left w:w="0" w:type="dxa"/>
            <w:bottom w:w="0" w:type="dxa"/>
            <w:right w:w="0" w:type="dxa"/>
          </w:tblCellMar>
        </w:tblPrEx>
        <w:trPr>
          <w:trHeight w:val="463" w:hRule="atLeast"/>
        </w:trPr>
        <w:tc>
          <w:tcPr>
            <w:tcW w:w="4405" w:type="dxa"/>
            <w:tcBorders>
              <w:bottom w:val="single" w:color="000000" w:sz="4" w:space="0"/>
            </w:tcBorders>
          </w:tcPr>
          <w:p w14:paraId="42C1E120">
            <w:pPr>
              <w:pStyle w:val="29"/>
              <w:spacing w:line="226" w:lineRule="exact"/>
              <w:ind w:left="115"/>
              <w:rPr>
                <w:sz w:val="20"/>
              </w:rPr>
            </w:pPr>
            <w:r>
              <w:rPr>
                <w:sz w:val="20"/>
              </w:rPr>
              <w:t>Root</w:t>
            </w:r>
            <w:r>
              <w:rPr>
                <w:spacing w:val="45"/>
                <w:sz w:val="20"/>
              </w:rPr>
              <w:t xml:space="preserve">  </w:t>
            </w:r>
            <w:r>
              <w:rPr>
                <w:sz w:val="20"/>
              </w:rPr>
              <w:t>Mean</w:t>
            </w:r>
            <w:r>
              <w:rPr>
                <w:spacing w:val="45"/>
                <w:sz w:val="20"/>
              </w:rPr>
              <w:t xml:space="preserve">  </w:t>
            </w:r>
            <w:r>
              <w:rPr>
                <w:sz w:val="20"/>
              </w:rPr>
              <w:t>Square</w:t>
            </w:r>
            <w:r>
              <w:rPr>
                <w:spacing w:val="46"/>
                <w:sz w:val="20"/>
              </w:rPr>
              <w:t xml:space="preserve">  </w:t>
            </w:r>
            <w:r>
              <w:rPr>
                <w:sz w:val="20"/>
              </w:rPr>
              <w:t>Error</w:t>
            </w:r>
            <w:r>
              <w:rPr>
                <w:spacing w:val="45"/>
                <w:sz w:val="20"/>
              </w:rPr>
              <w:t xml:space="preserve">  </w:t>
            </w:r>
            <w:r>
              <w:rPr>
                <w:sz w:val="20"/>
              </w:rPr>
              <w:t>of</w:t>
            </w:r>
            <w:r>
              <w:rPr>
                <w:spacing w:val="46"/>
                <w:sz w:val="20"/>
              </w:rPr>
              <w:t xml:space="preserve">  </w:t>
            </w:r>
            <w:r>
              <w:rPr>
                <w:spacing w:val="-2"/>
                <w:sz w:val="20"/>
              </w:rPr>
              <w:t>Approximation</w:t>
            </w:r>
          </w:p>
          <w:p w14:paraId="78B7B2C5">
            <w:pPr>
              <w:pStyle w:val="29"/>
              <w:spacing w:line="217" w:lineRule="exact"/>
              <w:ind w:left="115"/>
              <w:rPr>
                <w:sz w:val="20"/>
              </w:rPr>
            </w:pPr>
            <w:r>
              <w:rPr>
                <w:spacing w:val="-2"/>
                <w:sz w:val="20"/>
              </w:rPr>
              <w:t>(RMSEA)</w:t>
            </w:r>
          </w:p>
        </w:tc>
        <w:tc>
          <w:tcPr>
            <w:tcW w:w="4385" w:type="dxa"/>
            <w:tcBorders>
              <w:bottom w:val="single" w:color="000000" w:sz="4" w:space="0"/>
            </w:tcBorders>
          </w:tcPr>
          <w:p w14:paraId="223D9033">
            <w:pPr>
              <w:pStyle w:val="29"/>
              <w:spacing w:line="226" w:lineRule="exact"/>
              <w:ind w:left="110"/>
              <w:rPr>
                <w:sz w:val="20"/>
              </w:rPr>
            </w:pPr>
            <w:r>
              <w:rPr>
                <w:spacing w:val="-2"/>
                <w:sz w:val="20"/>
              </w:rPr>
              <w:t>&lt;0.08</w:t>
            </w:r>
          </w:p>
        </w:tc>
      </w:tr>
    </w:tbl>
    <w:p w14:paraId="0A1A4EDD">
      <w:pPr>
        <w:pStyle w:val="9"/>
        <w:spacing w:before="120" w:after="120" w:line="360" w:lineRule="auto"/>
        <w:ind w:left="0" w:firstLine="567"/>
      </w:pPr>
      <w:r>
        <w:t>Bu</w:t>
      </w:r>
      <w:r>
        <w:rPr>
          <w:spacing w:val="-9"/>
        </w:rPr>
        <w:t xml:space="preserve"> </w:t>
      </w:r>
      <w:r>
        <w:t>değerler,</w:t>
      </w:r>
      <w:r>
        <w:rPr>
          <w:spacing w:val="-10"/>
        </w:rPr>
        <w:t xml:space="preserve"> </w:t>
      </w:r>
      <w:r>
        <w:t>ölçeğin</w:t>
      </w:r>
      <w:r>
        <w:rPr>
          <w:spacing w:val="-9"/>
        </w:rPr>
        <w:t xml:space="preserve"> </w:t>
      </w:r>
      <w:r>
        <w:t>veya</w:t>
      </w:r>
      <w:r>
        <w:rPr>
          <w:spacing w:val="-8"/>
        </w:rPr>
        <w:t xml:space="preserve"> </w:t>
      </w:r>
      <w:r>
        <w:t>modelin</w:t>
      </w:r>
      <w:r>
        <w:rPr>
          <w:spacing w:val="-9"/>
        </w:rPr>
        <w:t xml:space="preserve"> </w:t>
      </w:r>
      <w:r>
        <w:t>genel</w:t>
      </w:r>
      <w:r>
        <w:rPr>
          <w:spacing w:val="-9"/>
        </w:rPr>
        <w:t xml:space="preserve"> </w:t>
      </w:r>
      <w:r>
        <w:t>uyumunu</w:t>
      </w:r>
      <w:r>
        <w:rPr>
          <w:spacing w:val="-6"/>
        </w:rPr>
        <w:t xml:space="preserve"> </w:t>
      </w:r>
      <w:r>
        <w:t>ve</w:t>
      </w:r>
      <w:r>
        <w:rPr>
          <w:spacing w:val="-8"/>
        </w:rPr>
        <w:t xml:space="preserve"> </w:t>
      </w:r>
      <w:r>
        <w:t>yapısal</w:t>
      </w:r>
      <w:r>
        <w:rPr>
          <w:spacing w:val="-9"/>
        </w:rPr>
        <w:t xml:space="preserve"> </w:t>
      </w:r>
      <w:r>
        <w:t>bütünlüğünü</w:t>
      </w:r>
      <w:r>
        <w:rPr>
          <w:spacing w:val="-9"/>
        </w:rPr>
        <w:t xml:space="preserve"> </w:t>
      </w:r>
      <w:r>
        <w:t>değerlendirmede kullanılmakta</w:t>
      </w:r>
      <w:r>
        <w:rPr>
          <w:spacing w:val="-6"/>
        </w:rPr>
        <w:t xml:space="preserve"> </w:t>
      </w:r>
      <w:r>
        <w:t>olup,</w:t>
      </w:r>
      <w:r>
        <w:rPr>
          <w:spacing w:val="-4"/>
        </w:rPr>
        <w:t xml:space="preserve"> </w:t>
      </w:r>
      <w:r>
        <w:t>GFI,</w:t>
      </w:r>
      <w:r>
        <w:rPr>
          <w:spacing w:val="-3"/>
        </w:rPr>
        <w:t xml:space="preserve"> </w:t>
      </w:r>
      <w:r>
        <w:t>AGFI,</w:t>
      </w:r>
      <w:r>
        <w:rPr>
          <w:spacing w:val="-3"/>
        </w:rPr>
        <w:t xml:space="preserve"> </w:t>
      </w:r>
      <w:r>
        <w:t>NFI</w:t>
      </w:r>
      <w:r>
        <w:rPr>
          <w:spacing w:val="-8"/>
        </w:rPr>
        <w:t xml:space="preserve"> </w:t>
      </w:r>
      <w:r>
        <w:t>ve</w:t>
      </w:r>
      <w:r>
        <w:rPr>
          <w:spacing w:val="-6"/>
        </w:rPr>
        <w:t xml:space="preserve"> </w:t>
      </w:r>
      <w:r>
        <w:t>CFI</w:t>
      </w:r>
      <w:r>
        <w:rPr>
          <w:spacing w:val="-6"/>
        </w:rPr>
        <w:t xml:space="preserve"> </w:t>
      </w:r>
      <w:r>
        <w:t>gibi</w:t>
      </w:r>
      <w:r>
        <w:rPr>
          <w:spacing w:val="-4"/>
        </w:rPr>
        <w:t xml:space="preserve"> </w:t>
      </w:r>
      <w:r>
        <w:t>indeksler</w:t>
      </w:r>
      <w:r>
        <w:rPr>
          <w:spacing w:val="-6"/>
        </w:rPr>
        <w:t xml:space="preserve"> </w:t>
      </w:r>
      <w:r>
        <w:t>modelin</w:t>
      </w:r>
      <w:r>
        <w:rPr>
          <w:spacing w:val="-4"/>
        </w:rPr>
        <w:t xml:space="preserve"> </w:t>
      </w:r>
      <w:r>
        <w:t>uyumunun</w:t>
      </w:r>
      <w:r>
        <w:rPr>
          <w:spacing w:val="-4"/>
        </w:rPr>
        <w:t xml:space="preserve"> </w:t>
      </w:r>
      <w:r>
        <w:t>ne</w:t>
      </w:r>
      <w:r>
        <w:rPr>
          <w:spacing w:val="-6"/>
        </w:rPr>
        <w:t xml:space="preserve"> </w:t>
      </w:r>
      <w:r>
        <w:t>derece</w:t>
      </w:r>
      <w:r>
        <w:rPr>
          <w:spacing w:val="-6"/>
        </w:rPr>
        <w:t xml:space="preserve"> </w:t>
      </w:r>
      <w:r>
        <w:t>iyi olduğunu gösterirken, RMSEA ise modelin tahmini hatalarını değerlendirmektedir. Bu indekslerin kabul edilebilir aralıklarda bulunması, ölçeğin veya modelin veri setiyle iyi bir uyum içerisinde olduğunu ve yapısal geçerliliğinin güçlü olduğunu işaret etmektedir. Dolayısıyla,</w:t>
      </w:r>
      <w:r>
        <w:rPr>
          <w:spacing w:val="-3"/>
        </w:rPr>
        <w:t xml:space="preserve"> </w:t>
      </w:r>
      <w:r>
        <w:t>DFA'nın ölçek</w:t>
      </w:r>
      <w:r>
        <w:rPr>
          <w:spacing w:val="-2"/>
        </w:rPr>
        <w:t xml:space="preserve"> </w:t>
      </w:r>
      <w:r>
        <w:t>geliştirme</w:t>
      </w:r>
      <w:r>
        <w:rPr>
          <w:spacing w:val="-6"/>
        </w:rPr>
        <w:t xml:space="preserve"> </w:t>
      </w:r>
      <w:r>
        <w:t>sürecindeki</w:t>
      </w:r>
      <w:r>
        <w:rPr>
          <w:spacing w:val="-2"/>
        </w:rPr>
        <w:t xml:space="preserve"> </w:t>
      </w:r>
      <w:r>
        <w:t>rolü,</w:t>
      </w:r>
      <w:r>
        <w:rPr>
          <w:spacing w:val="-4"/>
        </w:rPr>
        <w:t xml:space="preserve"> </w:t>
      </w:r>
      <w:r>
        <w:t>veri</w:t>
      </w:r>
      <w:r>
        <w:rPr>
          <w:spacing w:val="-4"/>
        </w:rPr>
        <w:t xml:space="preserve"> </w:t>
      </w:r>
      <w:r>
        <w:t>setinin</w:t>
      </w:r>
      <w:r>
        <w:rPr>
          <w:spacing w:val="-2"/>
        </w:rPr>
        <w:t xml:space="preserve"> </w:t>
      </w:r>
      <w:r>
        <w:t>yapısını</w:t>
      </w:r>
      <w:r>
        <w:rPr>
          <w:spacing w:val="-4"/>
        </w:rPr>
        <w:t xml:space="preserve"> </w:t>
      </w:r>
      <w:r>
        <w:t>doğrulamak</w:t>
      </w:r>
      <w:r>
        <w:rPr>
          <w:spacing w:val="-4"/>
        </w:rPr>
        <w:t xml:space="preserve"> </w:t>
      </w:r>
      <w:r>
        <w:t>ve ölçme</w:t>
      </w:r>
      <w:r>
        <w:rPr>
          <w:spacing w:val="-14"/>
        </w:rPr>
        <w:t xml:space="preserve"> </w:t>
      </w:r>
      <w:r>
        <w:t>aracının</w:t>
      </w:r>
      <w:r>
        <w:rPr>
          <w:spacing w:val="-12"/>
        </w:rPr>
        <w:t xml:space="preserve"> </w:t>
      </w:r>
      <w:r>
        <w:t>geçerliliğini</w:t>
      </w:r>
      <w:r>
        <w:rPr>
          <w:spacing w:val="-14"/>
        </w:rPr>
        <w:t xml:space="preserve"> </w:t>
      </w:r>
      <w:r>
        <w:t>sağlamak</w:t>
      </w:r>
      <w:r>
        <w:rPr>
          <w:spacing w:val="-14"/>
        </w:rPr>
        <w:t xml:space="preserve"> </w:t>
      </w:r>
      <w:r>
        <w:t>açısından</w:t>
      </w:r>
      <w:r>
        <w:rPr>
          <w:spacing w:val="-14"/>
        </w:rPr>
        <w:t xml:space="preserve"> </w:t>
      </w:r>
      <w:r>
        <w:t>büyük</w:t>
      </w:r>
      <w:r>
        <w:rPr>
          <w:spacing w:val="-14"/>
        </w:rPr>
        <w:t xml:space="preserve"> </w:t>
      </w:r>
      <w:r>
        <w:t>öneme</w:t>
      </w:r>
      <w:r>
        <w:rPr>
          <w:spacing w:val="-14"/>
        </w:rPr>
        <w:t xml:space="preserve"> </w:t>
      </w:r>
      <w:r>
        <w:t>sahiptir.DFA</w:t>
      </w:r>
      <w:r>
        <w:rPr>
          <w:spacing w:val="-12"/>
        </w:rPr>
        <w:t xml:space="preserve"> </w:t>
      </w:r>
      <w:r>
        <w:t>uyum</w:t>
      </w:r>
      <w:r>
        <w:rPr>
          <w:spacing w:val="-14"/>
        </w:rPr>
        <w:t xml:space="preserve"> </w:t>
      </w:r>
      <w:r>
        <w:t>indeksleri ve bunların kabul edilebilir sınırları, ölçeğin yapısal geçerliliğini değerlendirmede önemli bir temel oluşturmaktadır. Bu indeksler, Sanal Rekreasyon Ölçeği'nin veri setiyle uyum düzeyini</w:t>
      </w:r>
      <w:r>
        <w:rPr>
          <w:spacing w:val="70"/>
        </w:rPr>
        <w:t xml:space="preserve"> </w:t>
      </w:r>
      <w:r>
        <w:t>gösteren</w:t>
      </w:r>
      <w:r>
        <w:rPr>
          <w:spacing w:val="69"/>
        </w:rPr>
        <w:t xml:space="preserve"> </w:t>
      </w:r>
      <w:r>
        <w:t>kritik</w:t>
      </w:r>
      <w:r>
        <w:rPr>
          <w:spacing w:val="72"/>
        </w:rPr>
        <w:t xml:space="preserve"> </w:t>
      </w:r>
      <w:r>
        <w:t>göstergelerdir.</w:t>
      </w:r>
      <w:r>
        <w:rPr>
          <w:spacing w:val="72"/>
        </w:rPr>
        <w:t xml:space="preserve"> </w:t>
      </w:r>
      <w:r>
        <w:t>Ölçek,</w:t>
      </w:r>
      <w:r>
        <w:rPr>
          <w:spacing w:val="77"/>
        </w:rPr>
        <w:t xml:space="preserve"> </w:t>
      </w:r>
      <w:r>
        <w:t>sanal</w:t>
      </w:r>
      <w:r>
        <w:rPr>
          <w:spacing w:val="70"/>
        </w:rPr>
        <w:t xml:space="preserve"> </w:t>
      </w:r>
      <w:r>
        <w:t>rekreasyon</w:t>
      </w:r>
      <w:r>
        <w:rPr>
          <w:spacing w:val="70"/>
        </w:rPr>
        <w:t xml:space="preserve"> </w:t>
      </w:r>
      <w:r>
        <w:t>faaliyetlerine</w:t>
      </w:r>
      <w:r>
        <w:rPr>
          <w:spacing w:val="73"/>
        </w:rPr>
        <w:t xml:space="preserve"> </w:t>
      </w:r>
      <w:r>
        <w:rPr>
          <w:spacing w:val="-2"/>
        </w:rPr>
        <w:t>yönelik</w:t>
      </w:r>
      <w:r>
        <w:t xml:space="preserve"> bireylerin görüşlerini belirlemeye yönelik olarak tasarlanmıştır</w:t>
      </w:r>
      <w:r>
        <w:rPr>
          <w:spacing w:val="-1"/>
        </w:rPr>
        <w:t xml:space="preserve"> </w:t>
      </w:r>
      <w:r>
        <w:t>ve</w:t>
      </w:r>
      <w:r>
        <w:rPr>
          <w:spacing w:val="-1"/>
        </w:rPr>
        <w:t xml:space="preserve"> </w:t>
      </w:r>
      <w:r>
        <w:t>5’li Likert tipi puanlama sistemi uygulanmıştır. Bu sistemde olumlu maddeler 1'den 5'e kadar puanlanmıştır (1: kesinlikle katılmıyorum, 5: kesinlikle katılıyorum).</w:t>
      </w:r>
    </w:p>
    <w:p w14:paraId="5926FA24">
      <w:pPr>
        <w:pStyle w:val="9"/>
        <w:spacing w:before="120" w:after="120" w:line="360" w:lineRule="auto"/>
        <w:ind w:left="0" w:firstLine="567"/>
      </w:pPr>
      <w:r>
        <w:t>Açımlayıcı faktör analizi sonucunda, ölçeğin tek faktörlü bir yapıya sahip olduğu tespit edilmiştir. Bu tek faktörlü yapı, ölçeğin revize edilmiş son haliyle 104 bireye uygulanmış, ardından doğrulayıcı faktör analizi gerçekleştirilmiştir. Doğrulayıcı faktör analizi, açımlayıcı faktör analizi ile belirlenen yapının veri setiyle ne kadar uyumlu olduğunu değerlendirerek, ölçeğin yapısal geçerliliğini daha da güçlendirmektedir. Bu analiz süreci, ölçeğinsanal rekreasyon faaliyetlerine yönelik görüşlerini doğru bir şekilde ölçebilme yeteneği</w:t>
      </w:r>
      <w:r>
        <w:rPr>
          <w:spacing w:val="-13"/>
        </w:rPr>
        <w:t xml:space="preserve"> </w:t>
      </w:r>
      <w:r>
        <w:t>hakkında</w:t>
      </w:r>
      <w:r>
        <w:rPr>
          <w:spacing w:val="-14"/>
        </w:rPr>
        <w:t xml:space="preserve"> </w:t>
      </w:r>
      <w:r>
        <w:t>daha</w:t>
      </w:r>
      <w:r>
        <w:rPr>
          <w:spacing w:val="-14"/>
        </w:rPr>
        <w:t xml:space="preserve"> </w:t>
      </w:r>
      <w:r>
        <w:t>fazla</w:t>
      </w:r>
      <w:r>
        <w:rPr>
          <w:spacing w:val="-14"/>
        </w:rPr>
        <w:t xml:space="preserve"> </w:t>
      </w:r>
      <w:r>
        <w:t>güven</w:t>
      </w:r>
      <w:r>
        <w:rPr>
          <w:spacing w:val="-13"/>
        </w:rPr>
        <w:t xml:space="preserve"> </w:t>
      </w:r>
      <w:r>
        <w:t>sağlamakta</w:t>
      </w:r>
      <w:r>
        <w:rPr>
          <w:spacing w:val="-14"/>
        </w:rPr>
        <w:t xml:space="preserve"> </w:t>
      </w:r>
      <w:r>
        <w:t>ve</w:t>
      </w:r>
      <w:r>
        <w:rPr>
          <w:spacing w:val="-12"/>
        </w:rPr>
        <w:t xml:space="preserve"> </w:t>
      </w:r>
      <w:r>
        <w:t>ölçeğin</w:t>
      </w:r>
      <w:r>
        <w:rPr>
          <w:spacing w:val="-13"/>
        </w:rPr>
        <w:t xml:space="preserve"> </w:t>
      </w:r>
      <w:r>
        <w:t>daha</w:t>
      </w:r>
      <w:r>
        <w:rPr>
          <w:spacing w:val="-12"/>
        </w:rPr>
        <w:t xml:space="preserve"> </w:t>
      </w:r>
      <w:r>
        <w:t>geniş</w:t>
      </w:r>
      <w:r>
        <w:rPr>
          <w:spacing w:val="-12"/>
        </w:rPr>
        <w:t xml:space="preserve"> </w:t>
      </w:r>
      <w:r>
        <w:t>bir</w:t>
      </w:r>
      <w:r>
        <w:rPr>
          <w:spacing w:val="-11"/>
        </w:rPr>
        <w:t xml:space="preserve"> </w:t>
      </w:r>
      <w:r>
        <w:t>örneklem</w:t>
      </w:r>
      <w:r>
        <w:rPr>
          <w:spacing w:val="-13"/>
        </w:rPr>
        <w:t xml:space="preserve"> </w:t>
      </w:r>
      <w:r>
        <w:t>üzerinde kullanılabilirliğini</w:t>
      </w:r>
      <w:r>
        <w:rPr>
          <w:spacing w:val="-14"/>
        </w:rPr>
        <w:t xml:space="preserve"> </w:t>
      </w:r>
      <w:r>
        <w:t>doğrulamaktadır.</w:t>
      </w:r>
      <w:r>
        <w:rPr>
          <w:spacing w:val="-14"/>
        </w:rPr>
        <w:t xml:space="preserve"> </w:t>
      </w:r>
      <w:r>
        <w:t>Bu</w:t>
      </w:r>
      <w:r>
        <w:rPr>
          <w:spacing w:val="-15"/>
        </w:rPr>
        <w:t xml:space="preserve"> </w:t>
      </w:r>
      <w:r>
        <w:t>süreç,</w:t>
      </w:r>
      <w:r>
        <w:rPr>
          <w:spacing w:val="-15"/>
        </w:rPr>
        <w:t xml:space="preserve"> </w:t>
      </w:r>
      <w:r>
        <w:t>psikolojik</w:t>
      </w:r>
      <w:r>
        <w:rPr>
          <w:spacing w:val="-15"/>
        </w:rPr>
        <w:t xml:space="preserve"> </w:t>
      </w:r>
      <w:r>
        <w:t>ölçüm</w:t>
      </w:r>
      <w:r>
        <w:rPr>
          <w:spacing w:val="-15"/>
        </w:rPr>
        <w:t xml:space="preserve"> </w:t>
      </w:r>
      <w:r>
        <w:t>araçlarının</w:t>
      </w:r>
      <w:r>
        <w:rPr>
          <w:spacing w:val="-13"/>
        </w:rPr>
        <w:t xml:space="preserve"> </w:t>
      </w:r>
      <w:r>
        <w:t>geliştirilmesinde kritik bir adım olarak, ölçeğin geçerliliğini ve güvenilirliğini artırmaktadır.Doğrulayıcı faktör</w:t>
      </w:r>
      <w:r>
        <w:rPr>
          <w:spacing w:val="-15"/>
        </w:rPr>
        <w:t xml:space="preserve"> </w:t>
      </w:r>
      <w:r>
        <w:t>analizine</w:t>
      </w:r>
      <w:r>
        <w:rPr>
          <w:spacing w:val="-15"/>
        </w:rPr>
        <w:t xml:space="preserve"> </w:t>
      </w:r>
      <w:r>
        <w:t>ait</w:t>
      </w:r>
      <w:r>
        <w:rPr>
          <w:spacing w:val="-15"/>
        </w:rPr>
        <w:t xml:space="preserve"> </w:t>
      </w:r>
      <w:r>
        <w:t>uyum</w:t>
      </w:r>
      <w:r>
        <w:rPr>
          <w:spacing w:val="-15"/>
        </w:rPr>
        <w:t xml:space="preserve"> </w:t>
      </w:r>
      <w:r>
        <w:t>indeksleri,</w:t>
      </w:r>
      <w:r>
        <w:rPr>
          <w:spacing w:val="-15"/>
        </w:rPr>
        <w:t xml:space="preserve"> </w:t>
      </w:r>
      <w:r>
        <w:t>ölçeğin</w:t>
      </w:r>
      <w:r>
        <w:rPr>
          <w:spacing w:val="-15"/>
        </w:rPr>
        <w:t xml:space="preserve"> </w:t>
      </w:r>
      <w:r>
        <w:t>modelinin</w:t>
      </w:r>
      <w:r>
        <w:rPr>
          <w:spacing w:val="-15"/>
        </w:rPr>
        <w:t xml:space="preserve"> </w:t>
      </w:r>
      <w:r>
        <w:t>veri</w:t>
      </w:r>
      <w:r>
        <w:rPr>
          <w:spacing w:val="-15"/>
        </w:rPr>
        <w:t xml:space="preserve"> </w:t>
      </w:r>
      <w:r>
        <w:t>setiyle</w:t>
      </w:r>
      <w:r>
        <w:rPr>
          <w:spacing w:val="-15"/>
        </w:rPr>
        <w:t xml:space="preserve"> </w:t>
      </w:r>
      <w:r>
        <w:t>uyumunu</w:t>
      </w:r>
      <w:r>
        <w:rPr>
          <w:spacing w:val="-15"/>
        </w:rPr>
        <w:t xml:space="preserve"> </w:t>
      </w:r>
      <w:r>
        <w:t>değerlendirmek için kullanılmıştır. Tablo 3.7, bu uyum indekslerine ilişkin sonuçları içermekte olup, modelin veri setiyle ne derece uyumlu olduğunu gösteren önemli bilgiler sağlamaktadır.</w:t>
      </w:r>
    </w:p>
    <w:p w14:paraId="001A981E">
      <w:pPr>
        <w:pStyle w:val="9"/>
        <w:spacing w:line="360" w:lineRule="auto"/>
        <w:ind w:left="0"/>
        <w:jc w:val="left"/>
      </w:pPr>
      <w:r>
        <w:rPr>
          <w:b/>
        </w:rPr>
        <w:t>Tablo</w:t>
      </w:r>
      <w:r>
        <w:rPr>
          <w:b/>
          <w:spacing w:val="-4"/>
        </w:rPr>
        <w:t xml:space="preserve"> </w:t>
      </w:r>
      <w:r>
        <w:rPr>
          <w:b/>
        </w:rPr>
        <w:t>3.7.</w:t>
      </w:r>
      <w:r>
        <w:rPr>
          <w:b/>
          <w:spacing w:val="-2"/>
        </w:rPr>
        <w:t xml:space="preserve"> </w:t>
      </w:r>
      <w:r>
        <w:t>Sanal</w:t>
      </w:r>
      <w:r>
        <w:rPr>
          <w:spacing w:val="-2"/>
        </w:rPr>
        <w:t xml:space="preserve"> </w:t>
      </w:r>
      <w:r>
        <w:t>Rekreasyon</w:t>
      </w:r>
      <w:r>
        <w:rPr>
          <w:spacing w:val="-2"/>
        </w:rPr>
        <w:t xml:space="preserve"> </w:t>
      </w:r>
      <w:r>
        <w:t>Ölçeği Uyum</w:t>
      </w:r>
      <w:r>
        <w:rPr>
          <w:spacing w:val="-1"/>
        </w:rPr>
        <w:t xml:space="preserve"> </w:t>
      </w:r>
      <w:r>
        <w:t>İndeksleri</w:t>
      </w:r>
      <w:r>
        <w:rPr>
          <w:spacing w:val="-1"/>
        </w:rPr>
        <w:t xml:space="preserve"> </w:t>
      </w:r>
      <w:r>
        <w:rPr>
          <w:spacing w:val="-2"/>
        </w:rPr>
        <w:t>Analizi</w:t>
      </w:r>
    </w:p>
    <w:tbl>
      <w:tblPr>
        <w:tblStyle w:val="7"/>
        <w:tblW w:w="0" w:type="auto"/>
        <w:tblInd w:w="160" w:type="dxa"/>
        <w:tblLayout w:type="fixed"/>
        <w:tblCellMar>
          <w:top w:w="0" w:type="dxa"/>
          <w:left w:w="0" w:type="dxa"/>
          <w:bottom w:w="0" w:type="dxa"/>
          <w:right w:w="0" w:type="dxa"/>
        </w:tblCellMar>
      </w:tblPr>
      <w:tblGrid>
        <w:gridCol w:w="2681"/>
        <w:gridCol w:w="6110"/>
      </w:tblGrid>
      <w:tr w14:paraId="7A2D66E5">
        <w:tblPrEx>
          <w:tblCellMar>
            <w:top w:w="0" w:type="dxa"/>
            <w:left w:w="0" w:type="dxa"/>
            <w:bottom w:w="0" w:type="dxa"/>
            <w:right w:w="0" w:type="dxa"/>
          </w:tblCellMar>
        </w:tblPrEx>
        <w:trPr>
          <w:trHeight w:val="230" w:hRule="atLeast"/>
        </w:trPr>
        <w:tc>
          <w:tcPr>
            <w:tcW w:w="2681" w:type="dxa"/>
            <w:tcBorders>
              <w:top w:val="single" w:color="000000" w:sz="4" w:space="0"/>
              <w:bottom w:val="single" w:color="000000" w:sz="4" w:space="0"/>
            </w:tcBorders>
          </w:tcPr>
          <w:p w14:paraId="50A87589">
            <w:pPr>
              <w:pStyle w:val="29"/>
              <w:spacing w:line="210" w:lineRule="exact"/>
              <w:ind w:left="115"/>
              <w:rPr>
                <w:sz w:val="20"/>
              </w:rPr>
            </w:pPr>
            <w:r>
              <w:rPr>
                <w:spacing w:val="-2"/>
                <w:sz w:val="20"/>
              </w:rPr>
              <w:t>İndeksler</w:t>
            </w:r>
          </w:p>
        </w:tc>
        <w:tc>
          <w:tcPr>
            <w:tcW w:w="6110" w:type="dxa"/>
            <w:tcBorders>
              <w:top w:val="single" w:color="000000" w:sz="4" w:space="0"/>
              <w:bottom w:val="single" w:color="000000" w:sz="4" w:space="0"/>
            </w:tcBorders>
          </w:tcPr>
          <w:p w14:paraId="3F4BA8CE">
            <w:pPr>
              <w:pStyle w:val="29"/>
              <w:spacing w:line="210" w:lineRule="exact"/>
              <w:ind w:left="1824"/>
              <w:rPr>
                <w:sz w:val="20"/>
              </w:rPr>
            </w:pPr>
            <w:r>
              <w:rPr>
                <w:sz w:val="20"/>
              </w:rPr>
              <w:t>Modele</w:t>
            </w:r>
            <w:r>
              <w:rPr>
                <w:spacing w:val="-8"/>
                <w:sz w:val="20"/>
              </w:rPr>
              <w:t xml:space="preserve"> </w:t>
            </w:r>
            <w:r>
              <w:rPr>
                <w:sz w:val="20"/>
              </w:rPr>
              <w:t>ilişkin</w:t>
            </w:r>
            <w:r>
              <w:rPr>
                <w:spacing w:val="-8"/>
                <w:sz w:val="20"/>
              </w:rPr>
              <w:t xml:space="preserve"> </w:t>
            </w:r>
            <w:r>
              <w:rPr>
                <w:spacing w:val="-2"/>
                <w:sz w:val="20"/>
              </w:rPr>
              <w:t>değerler</w:t>
            </w:r>
          </w:p>
        </w:tc>
      </w:tr>
      <w:tr w14:paraId="278C6ED7">
        <w:tblPrEx>
          <w:tblCellMar>
            <w:top w:w="0" w:type="dxa"/>
            <w:left w:w="0" w:type="dxa"/>
            <w:bottom w:w="0" w:type="dxa"/>
            <w:right w:w="0" w:type="dxa"/>
          </w:tblCellMar>
        </w:tblPrEx>
        <w:trPr>
          <w:trHeight w:val="227" w:hRule="atLeast"/>
        </w:trPr>
        <w:tc>
          <w:tcPr>
            <w:tcW w:w="2681" w:type="dxa"/>
            <w:tcBorders>
              <w:top w:val="single" w:color="000000" w:sz="4" w:space="0"/>
            </w:tcBorders>
          </w:tcPr>
          <w:p w14:paraId="60F790DF">
            <w:pPr>
              <w:pStyle w:val="29"/>
              <w:spacing w:line="208" w:lineRule="exact"/>
              <w:ind w:left="115"/>
              <w:rPr>
                <w:sz w:val="20"/>
              </w:rPr>
            </w:pPr>
            <w:r>
              <w:rPr>
                <w:spacing w:val="-5"/>
                <w:sz w:val="20"/>
              </w:rPr>
              <w:t>X²</w:t>
            </w:r>
          </w:p>
        </w:tc>
        <w:tc>
          <w:tcPr>
            <w:tcW w:w="6110" w:type="dxa"/>
            <w:tcBorders>
              <w:top w:val="single" w:color="000000" w:sz="4" w:space="0"/>
            </w:tcBorders>
          </w:tcPr>
          <w:p w14:paraId="4AF07225">
            <w:pPr>
              <w:pStyle w:val="29"/>
              <w:spacing w:line="208" w:lineRule="exact"/>
              <w:ind w:left="1824"/>
              <w:rPr>
                <w:sz w:val="20"/>
              </w:rPr>
            </w:pPr>
            <w:r>
              <w:rPr>
                <w:spacing w:val="-2"/>
                <w:sz w:val="20"/>
              </w:rPr>
              <w:t>2499.021</w:t>
            </w:r>
          </w:p>
        </w:tc>
      </w:tr>
      <w:tr w14:paraId="599AECB9">
        <w:tblPrEx>
          <w:tblCellMar>
            <w:top w:w="0" w:type="dxa"/>
            <w:left w:w="0" w:type="dxa"/>
            <w:bottom w:w="0" w:type="dxa"/>
            <w:right w:w="0" w:type="dxa"/>
          </w:tblCellMar>
        </w:tblPrEx>
        <w:trPr>
          <w:trHeight w:val="229" w:hRule="atLeast"/>
        </w:trPr>
        <w:tc>
          <w:tcPr>
            <w:tcW w:w="2681" w:type="dxa"/>
          </w:tcPr>
          <w:p w14:paraId="07DB1E9D">
            <w:pPr>
              <w:pStyle w:val="29"/>
              <w:spacing w:line="209" w:lineRule="exact"/>
              <w:ind w:left="115"/>
              <w:rPr>
                <w:sz w:val="20"/>
              </w:rPr>
            </w:pPr>
            <w:r>
              <w:rPr>
                <w:spacing w:val="-5"/>
                <w:sz w:val="20"/>
              </w:rPr>
              <w:t>Df</w:t>
            </w:r>
          </w:p>
        </w:tc>
        <w:tc>
          <w:tcPr>
            <w:tcW w:w="6110" w:type="dxa"/>
          </w:tcPr>
          <w:p w14:paraId="2E6C1241">
            <w:pPr>
              <w:pStyle w:val="29"/>
              <w:spacing w:line="209" w:lineRule="exact"/>
              <w:ind w:left="1824"/>
              <w:rPr>
                <w:sz w:val="20"/>
              </w:rPr>
            </w:pPr>
            <w:r>
              <w:rPr>
                <w:spacing w:val="-5"/>
                <w:sz w:val="20"/>
              </w:rPr>
              <w:t>902</w:t>
            </w:r>
          </w:p>
        </w:tc>
      </w:tr>
      <w:tr w14:paraId="60A61D7A">
        <w:tblPrEx>
          <w:tblCellMar>
            <w:top w:w="0" w:type="dxa"/>
            <w:left w:w="0" w:type="dxa"/>
            <w:bottom w:w="0" w:type="dxa"/>
            <w:right w:w="0" w:type="dxa"/>
          </w:tblCellMar>
        </w:tblPrEx>
        <w:trPr>
          <w:trHeight w:val="229" w:hRule="atLeast"/>
        </w:trPr>
        <w:tc>
          <w:tcPr>
            <w:tcW w:w="2681" w:type="dxa"/>
          </w:tcPr>
          <w:p w14:paraId="2B23A68F">
            <w:pPr>
              <w:pStyle w:val="29"/>
              <w:spacing w:line="209" w:lineRule="exact"/>
              <w:ind w:left="115"/>
              <w:rPr>
                <w:sz w:val="20"/>
              </w:rPr>
            </w:pPr>
            <w:r>
              <w:rPr>
                <w:sz w:val="20"/>
              </w:rPr>
              <w:t>X²/</w:t>
            </w:r>
            <w:r>
              <w:rPr>
                <w:spacing w:val="-3"/>
                <w:sz w:val="20"/>
              </w:rPr>
              <w:t xml:space="preserve"> </w:t>
            </w:r>
            <w:r>
              <w:rPr>
                <w:spacing w:val="-5"/>
                <w:sz w:val="20"/>
              </w:rPr>
              <w:t>df</w:t>
            </w:r>
          </w:p>
        </w:tc>
        <w:tc>
          <w:tcPr>
            <w:tcW w:w="6110" w:type="dxa"/>
          </w:tcPr>
          <w:p w14:paraId="37556EE8">
            <w:pPr>
              <w:pStyle w:val="29"/>
              <w:spacing w:line="209" w:lineRule="exact"/>
              <w:ind w:left="1824"/>
              <w:rPr>
                <w:sz w:val="20"/>
              </w:rPr>
            </w:pPr>
            <w:r>
              <w:rPr>
                <w:spacing w:val="-2"/>
                <w:sz w:val="20"/>
              </w:rPr>
              <w:t>2.771</w:t>
            </w:r>
          </w:p>
        </w:tc>
      </w:tr>
      <w:tr w14:paraId="688B17C5">
        <w:tblPrEx>
          <w:tblCellMar>
            <w:top w:w="0" w:type="dxa"/>
            <w:left w:w="0" w:type="dxa"/>
            <w:bottom w:w="0" w:type="dxa"/>
            <w:right w:w="0" w:type="dxa"/>
          </w:tblCellMar>
        </w:tblPrEx>
        <w:trPr>
          <w:trHeight w:val="230" w:hRule="atLeast"/>
        </w:trPr>
        <w:tc>
          <w:tcPr>
            <w:tcW w:w="2681" w:type="dxa"/>
          </w:tcPr>
          <w:p w14:paraId="60CC2F24">
            <w:pPr>
              <w:pStyle w:val="29"/>
              <w:spacing w:line="210" w:lineRule="exact"/>
              <w:ind w:left="115"/>
              <w:rPr>
                <w:sz w:val="20"/>
              </w:rPr>
            </w:pPr>
            <w:r>
              <w:rPr>
                <w:spacing w:val="-2"/>
                <w:sz w:val="20"/>
              </w:rPr>
              <w:t>RMSEA</w:t>
            </w:r>
          </w:p>
        </w:tc>
        <w:tc>
          <w:tcPr>
            <w:tcW w:w="6110" w:type="dxa"/>
          </w:tcPr>
          <w:p w14:paraId="22910842">
            <w:pPr>
              <w:pStyle w:val="29"/>
              <w:spacing w:line="210" w:lineRule="exact"/>
              <w:ind w:left="1824"/>
              <w:rPr>
                <w:sz w:val="20"/>
              </w:rPr>
            </w:pPr>
            <w:r>
              <w:rPr>
                <w:spacing w:val="-4"/>
                <w:sz w:val="20"/>
              </w:rPr>
              <w:t>0.07</w:t>
            </w:r>
          </w:p>
        </w:tc>
      </w:tr>
      <w:tr w14:paraId="1780380C">
        <w:tblPrEx>
          <w:tblCellMar>
            <w:top w:w="0" w:type="dxa"/>
            <w:left w:w="0" w:type="dxa"/>
            <w:bottom w:w="0" w:type="dxa"/>
            <w:right w:w="0" w:type="dxa"/>
          </w:tblCellMar>
        </w:tblPrEx>
        <w:trPr>
          <w:trHeight w:val="230" w:hRule="atLeast"/>
        </w:trPr>
        <w:tc>
          <w:tcPr>
            <w:tcW w:w="2681" w:type="dxa"/>
          </w:tcPr>
          <w:p w14:paraId="507F2C3A">
            <w:pPr>
              <w:pStyle w:val="29"/>
              <w:spacing w:line="210" w:lineRule="exact"/>
              <w:ind w:left="115"/>
              <w:rPr>
                <w:sz w:val="20"/>
              </w:rPr>
            </w:pPr>
            <w:r>
              <w:rPr>
                <w:spacing w:val="-4"/>
                <w:sz w:val="20"/>
              </w:rPr>
              <w:t>SRMR</w:t>
            </w:r>
          </w:p>
        </w:tc>
        <w:tc>
          <w:tcPr>
            <w:tcW w:w="6110" w:type="dxa"/>
          </w:tcPr>
          <w:p w14:paraId="750C6001">
            <w:pPr>
              <w:pStyle w:val="29"/>
              <w:spacing w:line="210" w:lineRule="exact"/>
              <w:ind w:left="1824"/>
              <w:rPr>
                <w:sz w:val="20"/>
              </w:rPr>
            </w:pPr>
            <w:r>
              <w:rPr>
                <w:spacing w:val="-4"/>
                <w:sz w:val="20"/>
              </w:rPr>
              <w:t>0.06</w:t>
            </w:r>
          </w:p>
        </w:tc>
      </w:tr>
      <w:tr w14:paraId="78119A38">
        <w:tblPrEx>
          <w:tblCellMar>
            <w:top w:w="0" w:type="dxa"/>
            <w:left w:w="0" w:type="dxa"/>
            <w:bottom w:w="0" w:type="dxa"/>
            <w:right w:w="0" w:type="dxa"/>
          </w:tblCellMar>
        </w:tblPrEx>
        <w:trPr>
          <w:trHeight w:val="230" w:hRule="atLeast"/>
        </w:trPr>
        <w:tc>
          <w:tcPr>
            <w:tcW w:w="2681" w:type="dxa"/>
          </w:tcPr>
          <w:p w14:paraId="578FB5B0">
            <w:pPr>
              <w:pStyle w:val="29"/>
              <w:spacing w:line="210" w:lineRule="exact"/>
              <w:ind w:left="115"/>
              <w:rPr>
                <w:sz w:val="20"/>
              </w:rPr>
            </w:pPr>
            <w:r>
              <w:rPr>
                <w:spacing w:val="-5"/>
                <w:sz w:val="20"/>
              </w:rPr>
              <w:t>GFI</w:t>
            </w:r>
          </w:p>
        </w:tc>
        <w:tc>
          <w:tcPr>
            <w:tcW w:w="6110" w:type="dxa"/>
          </w:tcPr>
          <w:p w14:paraId="57A4FF44">
            <w:pPr>
              <w:pStyle w:val="29"/>
              <w:spacing w:line="210" w:lineRule="exact"/>
              <w:ind w:left="1824"/>
              <w:rPr>
                <w:sz w:val="20"/>
              </w:rPr>
            </w:pPr>
            <w:r>
              <w:rPr>
                <w:spacing w:val="-4"/>
                <w:sz w:val="20"/>
              </w:rPr>
              <w:t>0.91</w:t>
            </w:r>
          </w:p>
        </w:tc>
      </w:tr>
      <w:tr w14:paraId="495CF127">
        <w:tblPrEx>
          <w:tblCellMar>
            <w:top w:w="0" w:type="dxa"/>
            <w:left w:w="0" w:type="dxa"/>
            <w:bottom w:w="0" w:type="dxa"/>
            <w:right w:w="0" w:type="dxa"/>
          </w:tblCellMar>
        </w:tblPrEx>
        <w:trPr>
          <w:trHeight w:val="230" w:hRule="atLeast"/>
        </w:trPr>
        <w:tc>
          <w:tcPr>
            <w:tcW w:w="2681" w:type="dxa"/>
          </w:tcPr>
          <w:p w14:paraId="52AB6386">
            <w:pPr>
              <w:pStyle w:val="29"/>
              <w:spacing w:line="210" w:lineRule="exact"/>
              <w:ind w:left="115"/>
              <w:rPr>
                <w:sz w:val="20"/>
              </w:rPr>
            </w:pPr>
            <w:r>
              <w:rPr>
                <w:spacing w:val="-4"/>
                <w:sz w:val="20"/>
              </w:rPr>
              <w:t>AGFI</w:t>
            </w:r>
          </w:p>
        </w:tc>
        <w:tc>
          <w:tcPr>
            <w:tcW w:w="6110" w:type="dxa"/>
          </w:tcPr>
          <w:p w14:paraId="799F6473">
            <w:pPr>
              <w:pStyle w:val="29"/>
              <w:spacing w:line="210" w:lineRule="exact"/>
              <w:ind w:left="1824"/>
              <w:rPr>
                <w:sz w:val="20"/>
              </w:rPr>
            </w:pPr>
            <w:r>
              <w:rPr>
                <w:spacing w:val="-4"/>
                <w:sz w:val="20"/>
              </w:rPr>
              <w:t>0.92</w:t>
            </w:r>
          </w:p>
        </w:tc>
      </w:tr>
      <w:tr w14:paraId="0509357F">
        <w:tblPrEx>
          <w:tblCellMar>
            <w:top w:w="0" w:type="dxa"/>
            <w:left w:w="0" w:type="dxa"/>
            <w:bottom w:w="0" w:type="dxa"/>
            <w:right w:w="0" w:type="dxa"/>
          </w:tblCellMar>
        </w:tblPrEx>
        <w:trPr>
          <w:trHeight w:val="229" w:hRule="atLeast"/>
        </w:trPr>
        <w:tc>
          <w:tcPr>
            <w:tcW w:w="2681" w:type="dxa"/>
          </w:tcPr>
          <w:p w14:paraId="552C4705">
            <w:pPr>
              <w:pStyle w:val="29"/>
              <w:spacing w:line="209" w:lineRule="exact"/>
              <w:ind w:left="115"/>
              <w:rPr>
                <w:sz w:val="20"/>
              </w:rPr>
            </w:pPr>
            <w:r>
              <w:rPr>
                <w:spacing w:val="-5"/>
                <w:sz w:val="20"/>
              </w:rPr>
              <w:t>NFI</w:t>
            </w:r>
          </w:p>
        </w:tc>
        <w:tc>
          <w:tcPr>
            <w:tcW w:w="6110" w:type="dxa"/>
          </w:tcPr>
          <w:p w14:paraId="3D1BB19A">
            <w:pPr>
              <w:pStyle w:val="29"/>
              <w:spacing w:line="209" w:lineRule="exact"/>
              <w:ind w:left="1824"/>
              <w:rPr>
                <w:sz w:val="20"/>
              </w:rPr>
            </w:pPr>
            <w:r>
              <w:rPr>
                <w:spacing w:val="-4"/>
                <w:sz w:val="20"/>
              </w:rPr>
              <w:t>0.91</w:t>
            </w:r>
          </w:p>
        </w:tc>
      </w:tr>
      <w:tr w14:paraId="3BD99C7B">
        <w:tblPrEx>
          <w:tblCellMar>
            <w:top w:w="0" w:type="dxa"/>
            <w:left w:w="0" w:type="dxa"/>
            <w:bottom w:w="0" w:type="dxa"/>
            <w:right w:w="0" w:type="dxa"/>
          </w:tblCellMar>
        </w:tblPrEx>
        <w:trPr>
          <w:trHeight w:val="229" w:hRule="atLeast"/>
        </w:trPr>
        <w:tc>
          <w:tcPr>
            <w:tcW w:w="2681" w:type="dxa"/>
          </w:tcPr>
          <w:p w14:paraId="5213514B">
            <w:pPr>
              <w:pStyle w:val="29"/>
              <w:spacing w:line="209" w:lineRule="exact"/>
              <w:ind w:left="115"/>
              <w:rPr>
                <w:sz w:val="20"/>
              </w:rPr>
            </w:pPr>
            <w:r>
              <w:rPr>
                <w:spacing w:val="-5"/>
                <w:sz w:val="20"/>
              </w:rPr>
              <w:t>TLI</w:t>
            </w:r>
          </w:p>
        </w:tc>
        <w:tc>
          <w:tcPr>
            <w:tcW w:w="6110" w:type="dxa"/>
          </w:tcPr>
          <w:p w14:paraId="47E0A859">
            <w:pPr>
              <w:pStyle w:val="29"/>
              <w:spacing w:line="209" w:lineRule="exact"/>
              <w:ind w:left="1824"/>
              <w:rPr>
                <w:sz w:val="20"/>
              </w:rPr>
            </w:pPr>
            <w:r>
              <w:rPr>
                <w:spacing w:val="-4"/>
                <w:sz w:val="20"/>
              </w:rPr>
              <w:t>0.91</w:t>
            </w:r>
          </w:p>
        </w:tc>
      </w:tr>
      <w:tr w14:paraId="1B1B1F95">
        <w:tblPrEx>
          <w:tblCellMar>
            <w:top w:w="0" w:type="dxa"/>
            <w:left w:w="0" w:type="dxa"/>
            <w:bottom w:w="0" w:type="dxa"/>
            <w:right w:w="0" w:type="dxa"/>
          </w:tblCellMar>
        </w:tblPrEx>
        <w:trPr>
          <w:trHeight w:val="232" w:hRule="atLeast"/>
        </w:trPr>
        <w:tc>
          <w:tcPr>
            <w:tcW w:w="2681" w:type="dxa"/>
            <w:tcBorders>
              <w:bottom w:val="single" w:color="000000" w:sz="4" w:space="0"/>
            </w:tcBorders>
          </w:tcPr>
          <w:p w14:paraId="77307A2B">
            <w:pPr>
              <w:pStyle w:val="29"/>
              <w:spacing w:line="213" w:lineRule="exact"/>
              <w:ind w:left="115"/>
              <w:rPr>
                <w:sz w:val="20"/>
              </w:rPr>
            </w:pPr>
            <w:r>
              <w:rPr>
                <w:spacing w:val="-5"/>
                <w:sz w:val="20"/>
              </w:rPr>
              <w:t>CFI</w:t>
            </w:r>
          </w:p>
        </w:tc>
        <w:tc>
          <w:tcPr>
            <w:tcW w:w="6110" w:type="dxa"/>
            <w:tcBorders>
              <w:bottom w:val="single" w:color="000000" w:sz="4" w:space="0"/>
            </w:tcBorders>
          </w:tcPr>
          <w:p w14:paraId="0C2025F3">
            <w:pPr>
              <w:pStyle w:val="29"/>
              <w:spacing w:line="213" w:lineRule="exact"/>
              <w:ind w:left="1824"/>
              <w:rPr>
                <w:sz w:val="20"/>
              </w:rPr>
            </w:pPr>
            <w:r>
              <w:rPr>
                <w:spacing w:val="-4"/>
                <w:sz w:val="20"/>
              </w:rPr>
              <w:t>0.93</w:t>
            </w:r>
          </w:p>
        </w:tc>
      </w:tr>
    </w:tbl>
    <w:p w14:paraId="4A2841C2">
      <w:pPr>
        <w:pStyle w:val="9"/>
        <w:spacing w:before="120" w:after="120" w:line="360" w:lineRule="auto"/>
        <w:ind w:left="0" w:firstLine="567"/>
      </w:pPr>
      <w:r>
        <w:t>Bu indeksler, Sanal Rekreasyon Ölçeği'nin yapısal modelinin genel uyumunu ve tahmin edilen faktör yapısının verilerle ne derece uyumlu olduğunu değerlendirmede kritik öneme sahiptir. X²/df oranı, RMSEA ve SRMR gibi indeksler modelin tahmini hatalarını ve uyumunu ortaya koyarken, GFI, AGFI, NFI, TLI ve CFI gibi indeksler modelin genel uyumunun</w:t>
      </w:r>
      <w:r>
        <w:rPr>
          <w:spacing w:val="-15"/>
        </w:rPr>
        <w:t xml:space="preserve"> </w:t>
      </w:r>
      <w:r>
        <w:t>ne</w:t>
      </w:r>
      <w:r>
        <w:rPr>
          <w:spacing w:val="-15"/>
        </w:rPr>
        <w:t xml:space="preserve"> </w:t>
      </w:r>
      <w:r>
        <w:t>derece</w:t>
      </w:r>
      <w:r>
        <w:rPr>
          <w:spacing w:val="-15"/>
        </w:rPr>
        <w:t xml:space="preserve"> </w:t>
      </w:r>
      <w:r>
        <w:t>iyi</w:t>
      </w:r>
      <w:r>
        <w:rPr>
          <w:spacing w:val="-15"/>
        </w:rPr>
        <w:t xml:space="preserve"> </w:t>
      </w:r>
      <w:r>
        <w:t>olduğunu</w:t>
      </w:r>
      <w:r>
        <w:rPr>
          <w:spacing w:val="-15"/>
        </w:rPr>
        <w:t xml:space="preserve"> </w:t>
      </w:r>
      <w:r>
        <w:t>göstermektedir.</w:t>
      </w:r>
      <w:r>
        <w:rPr>
          <w:spacing w:val="-15"/>
        </w:rPr>
        <w:t xml:space="preserve"> </w:t>
      </w:r>
      <w:r>
        <w:t>Bu</w:t>
      </w:r>
      <w:r>
        <w:rPr>
          <w:spacing w:val="-15"/>
        </w:rPr>
        <w:t xml:space="preserve"> </w:t>
      </w:r>
      <w:r>
        <w:t>indekslerin</w:t>
      </w:r>
      <w:r>
        <w:rPr>
          <w:spacing w:val="-15"/>
        </w:rPr>
        <w:t xml:space="preserve"> </w:t>
      </w:r>
      <w:r>
        <w:t>kabul</w:t>
      </w:r>
      <w:r>
        <w:rPr>
          <w:spacing w:val="-15"/>
        </w:rPr>
        <w:t xml:space="preserve"> </w:t>
      </w:r>
      <w:r>
        <w:t>edilebilir</w:t>
      </w:r>
      <w:r>
        <w:rPr>
          <w:spacing w:val="-15"/>
        </w:rPr>
        <w:t xml:space="preserve"> </w:t>
      </w:r>
      <w:r>
        <w:t>aralıklarda bulunması,</w:t>
      </w:r>
      <w:r>
        <w:rPr>
          <w:spacing w:val="-7"/>
        </w:rPr>
        <w:t xml:space="preserve"> </w:t>
      </w:r>
      <w:r>
        <w:t>Sanal</w:t>
      </w:r>
      <w:r>
        <w:rPr>
          <w:spacing w:val="-7"/>
        </w:rPr>
        <w:t xml:space="preserve"> </w:t>
      </w:r>
      <w:r>
        <w:t>Rekreasyon</w:t>
      </w:r>
      <w:r>
        <w:rPr>
          <w:spacing w:val="-8"/>
        </w:rPr>
        <w:t xml:space="preserve"> </w:t>
      </w:r>
      <w:r>
        <w:t>Ölçeği'nin</w:t>
      </w:r>
      <w:r>
        <w:rPr>
          <w:spacing w:val="-3"/>
        </w:rPr>
        <w:t xml:space="preserve"> </w:t>
      </w:r>
      <w:r>
        <w:t>yapısının</w:t>
      </w:r>
      <w:r>
        <w:rPr>
          <w:spacing w:val="-7"/>
        </w:rPr>
        <w:t xml:space="preserve"> </w:t>
      </w:r>
      <w:r>
        <w:t>veri</w:t>
      </w:r>
      <w:r>
        <w:rPr>
          <w:spacing w:val="-8"/>
        </w:rPr>
        <w:t xml:space="preserve"> </w:t>
      </w:r>
      <w:r>
        <w:t>setiyle</w:t>
      </w:r>
      <w:r>
        <w:rPr>
          <w:spacing w:val="-8"/>
        </w:rPr>
        <w:t xml:space="preserve"> </w:t>
      </w:r>
      <w:r>
        <w:t>iyi</w:t>
      </w:r>
      <w:r>
        <w:rPr>
          <w:spacing w:val="-7"/>
        </w:rPr>
        <w:t xml:space="preserve"> </w:t>
      </w:r>
      <w:r>
        <w:t>bir</w:t>
      </w:r>
      <w:r>
        <w:rPr>
          <w:spacing w:val="-8"/>
        </w:rPr>
        <w:t xml:space="preserve"> </w:t>
      </w:r>
      <w:r>
        <w:t>uyum</w:t>
      </w:r>
      <w:r>
        <w:rPr>
          <w:spacing w:val="-7"/>
        </w:rPr>
        <w:t xml:space="preserve"> </w:t>
      </w:r>
      <w:r>
        <w:t>içinde</w:t>
      </w:r>
      <w:r>
        <w:rPr>
          <w:spacing w:val="-9"/>
        </w:rPr>
        <w:t xml:space="preserve"> </w:t>
      </w:r>
      <w:r>
        <w:t>olduğunu ve</w:t>
      </w:r>
      <w:r>
        <w:rPr>
          <w:spacing w:val="52"/>
          <w:w w:val="150"/>
        </w:rPr>
        <w:t xml:space="preserve"> </w:t>
      </w:r>
      <w:r>
        <w:t>yapısal</w:t>
      </w:r>
      <w:r>
        <w:rPr>
          <w:spacing w:val="54"/>
          <w:w w:val="150"/>
        </w:rPr>
        <w:t xml:space="preserve"> </w:t>
      </w:r>
      <w:r>
        <w:t>geçerliliğinin</w:t>
      </w:r>
      <w:r>
        <w:rPr>
          <w:spacing w:val="51"/>
          <w:w w:val="150"/>
        </w:rPr>
        <w:t xml:space="preserve"> </w:t>
      </w:r>
      <w:r>
        <w:t>güçlü</w:t>
      </w:r>
      <w:r>
        <w:rPr>
          <w:spacing w:val="52"/>
          <w:w w:val="150"/>
        </w:rPr>
        <w:t xml:space="preserve"> </w:t>
      </w:r>
      <w:r>
        <w:t>olduğunu</w:t>
      </w:r>
      <w:r>
        <w:rPr>
          <w:spacing w:val="54"/>
          <w:w w:val="150"/>
        </w:rPr>
        <w:t xml:space="preserve"> </w:t>
      </w:r>
      <w:r>
        <w:t>göstermektedir.</w:t>
      </w:r>
      <w:r>
        <w:rPr>
          <w:spacing w:val="53"/>
          <w:w w:val="150"/>
        </w:rPr>
        <w:t xml:space="preserve"> </w:t>
      </w:r>
      <w:r>
        <w:t>Bu</w:t>
      </w:r>
      <w:r>
        <w:rPr>
          <w:spacing w:val="53"/>
          <w:w w:val="150"/>
        </w:rPr>
        <w:t xml:space="preserve"> </w:t>
      </w:r>
      <w:r>
        <w:t>sonuçlar,</w:t>
      </w:r>
      <w:r>
        <w:rPr>
          <w:spacing w:val="51"/>
          <w:w w:val="150"/>
        </w:rPr>
        <w:t xml:space="preserve"> </w:t>
      </w:r>
      <w:r>
        <w:t>ölçeğin</w:t>
      </w:r>
      <w:r>
        <w:rPr>
          <w:spacing w:val="52"/>
          <w:w w:val="150"/>
        </w:rPr>
        <w:t xml:space="preserve"> </w:t>
      </w:r>
      <w:r>
        <w:rPr>
          <w:spacing w:val="-2"/>
        </w:rPr>
        <w:t>sanal</w:t>
      </w:r>
      <w:r>
        <w:t xml:space="preserve"> rekreasyon faaliyetlerine yönelik görüşleri doğru bir şekilde ölçebileceğini ve bu alanda güvenilir bir araç olduğunu desteklemektedir.</w:t>
      </w:r>
    </w:p>
    <w:p w14:paraId="2BCF7D82">
      <w:pPr>
        <w:pStyle w:val="9"/>
        <w:spacing w:before="120" w:after="120" w:line="360" w:lineRule="auto"/>
        <w:ind w:left="0" w:firstLine="567"/>
      </w:pPr>
      <w:r>
        <w:t>Ki-kare (X²) değeri, modelin önerdiği kovaryans matrisi ile örneklem verilerinden elde edilen kovaryans matrisi arasındaki uyumu test etmek için kullanılır. Eğer ki-kare değeri anlamlı değilse, bu durum veri ile model arasında iyi bir uyum olduğunu gösterir. Ancak, ki-kare değeri örneklem büyüklüğüne duyarlı olduğundan, büyük örneklem boyutlarına sahip çalışmalarda genellikle anlamlı sonuçlar verir. Bu nedenle, sadece ki-kare değerine bakmak</w:t>
      </w:r>
      <w:r>
        <w:rPr>
          <w:spacing w:val="-15"/>
        </w:rPr>
        <w:t xml:space="preserve"> </w:t>
      </w:r>
      <w:r>
        <w:t>yeterli</w:t>
      </w:r>
      <w:r>
        <w:rPr>
          <w:spacing w:val="-15"/>
        </w:rPr>
        <w:t xml:space="preserve"> </w:t>
      </w:r>
      <w:r>
        <w:t>olmayabilir</w:t>
      </w:r>
      <w:r>
        <w:rPr>
          <w:spacing w:val="-15"/>
        </w:rPr>
        <w:t xml:space="preserve"> </w:t>
      </w:r>
      <w:r>
        <w:t>ve</w:t>
      </w:r>
      <w:r>
        <w:rPr>
          <w:spacing w:val="-15"/>
        </w:rPr>
        <w:t xml:space="preserve"> </w:t>
      </w:r>
      <w:r>
        <w:t>bu</w:t>
      </w:r>
      <w:r>
        <w:rPr>
          <w:spacing w:val="-15"/>
        </w:rPr>
        <w:t xml:space="preserve"> </w:t>
      </w:r>
      <w:r>
        <w:t>değerin</w:t>
      </w:r>
      <w:r>
        <w:rPr>
          <w:spacing w:val="-15"/>
        </w:rPr>
        <w:t xml:space="preserve"> </w:t>
      </w:r>
      <w:r>
        <w:t>serbestlik</w:t>
      </w:r>
      <w:r>
        <w:rPr>
          <w:spacing w:val="-15"/>
        </w:rPr>
        <w:t xml:space="preserve"> </w:t>
      </w:r>
      <w:r>
        <w:t>derecesine</w:t>
      </w:r>
      <w:r>
        <w:rPr>
          <w:spacing w:val="-15"/>
        </w:rPr>
        <w:t xml:space="preserve"> </w:t>
      </w:r>
      <w:r>
        <w:t>(df)</w:t>
      </w:r>
      <w:r>
        <w:rPr>
          <w:spacing w:val="-15"/>
        </w:rPr>
        <w:t xml:space="preserve"> </w:t>
      </w:r>
      <w:r>
        <w:t>oranı</w:t>
      </w:r>
      <w:r>
        <w:rPr>
          <w:spacing w:val="-15"/>
        </w:rPr>
        <w:t xml:space="preserve"> </w:t>
      </w:r>
      <w:r>
        <w:t>dikkate</w:t>
      </w:r>
      <w:r>
        <w:rPr>
          <w:spacing w:val="-15"/>
        </w:rPr>
        <w:t xml:space="preserve"> </w:t>
      </w:r>
      <w:r>
        <w:t>alınmalıdır. Bu oranın 3'ün altında olması modelin iyi uyum gösterdiğini, 2 ile 5 arasında olması ise kabul</w:t>
      </w:r>
      <w:r>
        <w:rPr>
          <w:spacing w:val="-15"/>
        </w:rPr>
        <w:t xml:space="preserve"> </w:t>
      </w:r>
      <w:r>
        <w:t>edilebilir</w:t>
      </w:r>
      <w:r>
        <w:rPr>
          <w:spacing w:val="-15"/>
        </w:rPr>
        <w:t xml:space="preserve"> </w:t>
      </w:r>
      <w:r>
        <w:t>uyumu</w:t>
      </w:r>
      <w:r>
        <w:rPr>
          <w:spacing w:val="-15"/>
        </w:rPr>
        <w:t xml:space="preserve"> </w:t>
      </w:r>
      <w:r>
        <w:t>işaret</w:t>
      </w:r>
      <w:r>
        <w:rPr>
          <w:spacing w:val="-15"/>
        </w:rPr>
        <w:t xml:space="preserve"> </w:t>
      </w:r>
      <w:r>
        <w:t>eder.</w:t>
      </w:r>
      <w:r>
        <w:rPr>
          <w:spacing w:val="-14"/>
        </w:rPr>
        <w:t xml:space="preserve"> </w:t>
      </w:r>
      <w:r>
        <w:t>Ölçeğin</w:t>
      </w:r>
      <w:r>
        <w:rPr>
          <w:spacing w:val="-13"/>
        </w:rPr>
        <w:t xml:space="preserve"> </w:t>
      </w:r>
      <w:r>
        <w:t>analiz</w:t>
      </w:r>
      <w:r>
        <w:rPr>
          <w:spacing w:val="-14"/>
        </w:rPr>
        <w:t xml:space="preserve"> </w:t>
      </w:r>
      <w:r>
        <w:t>sonucunda</w:t>
      </w:r>
      <w:r>
        <w:rPr>
          <w:spacing w:val="-15"/>
        </w:rPr>
        <w:t xml:space="preserve"> </w:t>
      </w:r>
      <w:r>
        <w:t>elde</w:t>
      </w:r>
      <w:r>
        <w:rPr>
          <w:spacing w:val="-15"/>
        </w:rPr>
        <w:t xml:space="preserve"> </w:t>
      </w:r>
      <w:r>
        <w:t>edilen</w:t>
      </w:r>
      <w:r>
        <w:rPr>
          <w:spacing w:val="-13"/>
        </w:rPr>
        <w:t xml:space="preserve"> </w:t>
      </w:r>
      <w:r>
        <w:t>X²/df</w:t>
      </w:r>
      <w:r>
        <w:rPr>
          <w:spacing w:val="-15"/>
        </w:rPr>
        <w:t xml:space="preserve"> </w:t>
      </w:r>
      <w:r>
        <w:t>oranı</w:t>
      </w:r>
      <w:r>
        <w:rPr>
          <w:spacing w:val="-15"/>
        </w:rPr>
        <w:t xml:space="preserve"> </w:t>
      </w:r>
      <w:r>
        <w:t>2.77'dir. Bu oran, modelin verilerle mükemmel uyum gösterdiğini işaret eder ve diğer uyum indeksleriyle birlikte değerlendirildiğinde, modelin yapısal geçerliliğinin güçlü olduğunu gösterir.</w:t>
      </w:r>
      <w:r>
        <w:rPr>
          <w:spacing w:val="-12"/>
        </w:rPr>
        <w:t xml:space="preserve"> </w:t>
      </w:r>
      <w:r>
        <w:t>RMSEA</w:t>
      </w:r>
      <w:r>
        <w:rPr>
          <w:spacing w:val="-12"/>
        </w:rPr>
        <w:t xml:space="preserve"> </w:t>
      </w:r>
      <w:r>
        <w:t>(Root</w:t>
      </w:r>
      <w:r>
        <w:rPr>
          <w:spacing w:val="-12"/>
        </w:rPr>
        <w:t xml:space="preserve"> </w:t>
      </w:r>
      <w:r>
        <w:t>Mean</w:t>
      </w:r>
      <w:r>
        <w:rPr>
          <w:spacing w:val="-12"/>
        </w:rPr>
        <w:t xml:space="preserve"> </w:t>
      </w:r>
      <w:r>
        <w:t>Square</w:t>
      </w:r>
      <w:r>
        <w:rPr>
          <w:spacing w:val="-13"/>
        </w:rPr>
        <w:t xml:space="preserve"> </w:t>
      </w:r>
      <w:r>
        <w:t>Error</w:t>
      </w:r>
      <w:r>
        <w:rPr>
          <w:spacing w:val="-12"/>
        </w:rPr>
        <w:t xml:space="preserve"> </w:t>
      </w:r>
      <w:r>
        <w:t>of</w:t>
      </w:r>
      <w:r>
        <w:rPr>
          <w:spacing w:val="-12"/>
        </w:rPr>
        <w:t xml:space="preserve"> </w:t>
      </w:r>
      <w:r>
        <w:t>Approximation),</w:t>
      </w:r>
      <w:r>
        <w:rPr>
          <w:spacing w:val="-12"/>
        </w:rPr>
        <w:t xml:space="preserve"> </w:t>
      </w:r>
      <w:r>
        <w:t>modelin</w:t>
      </w:r>
      <w:r>
        <w:rPr>
          <w:spacing w:val="-12"/>
        </w:rPr>
        <w:t xml:space="preserve"> </w:t>
      </w:r>
      <w:r>
        <w:t>evrensel</w:t>
      </w:r>
      <w:r>
        <w:rPr>
          <w:spacing w:val="-12"/>
        </w:rPr>
        <w:t xml:space="preserve"> </w:t>
      </w:r>
      <w:r>
        <w:t>kovaryans matrisi ile veriler arasındaki farkı ifade eden bir değerdir. RMSEA'nın 0 ile 0.05 arasında olması mükemmel uyumu, 0.05 ile 0.08 arasında olması iyi uyumu gösterir. Analiz sonucunda ölçek için RMSEA değeri 0.07 olarak bulunmuştur. Bu değer, model parametrelerinin</w:t>
      </w:r>
      <w:r>
        <w:rPr>
          <w:spacing w:val="-7"/>
        </w:rPr>
        <w:t xml:space="preserve"> </w:t>
      </w:r>
      <w:r>
        <w:t>evrensel</w:t>
      </w:r>
      <w:r>
        <w:rPr>
          <w:spacing w:val="-5"/>
        </w:rPr>
        <w:t xml:space="preserve"> </w:t>
      </w:r>
      <w:r>
        <w:t>kovaryansları</w:t>
      </w:r>
      <w:r>
        <w:rPr>
          <w:spacing w:val="-6"/>
        </w:rPr>
        <w:t xml:space="preserve"> </w:t>
      </w:r>
      <w:r>
        <w:t>ile</w:t>
      </w:r>
      <w:r>
        <w:rPr>
          <w:spacing w:val="-8"/>
        </w:rPr>
        <w:t xml:space="preserve"> </w:t>
      </w:r>
      <w:r>
        <w:t>iyi</w:t>
      </w:r>
      <w:r>
        <w:rPr>
          <w:spacing w:val="-6"/>
        </w:rPr>
        <w:t xml:space="preserve"> </w:t>
      </w:r>
      <w:r>
        <w:t>bir</w:t>
      </w:r>
      <w:r>
        <w:rPr>
          <w:spacing w:val="-7"/>
        </w:rPr>
        <w:t xml:space="preserve"> </w:t>
      </w:r>
      <w:r>
        <w:t>uyum</w:t>
      </w:r>
      <w:r>
        <w:rPr>
          <w:spacing w:val="-6"/>
        </w:rPr>
        <w:t xml:space="preserve"> </w:t>
      </w:r>
      <w:r>
        <w:t>gösterdiğini</w:t>
      </w:r>
      <w:r>
        <w:rPr>
          <w:spacing w:val="-6"/>
        </w:rPr>
        <w:t xml:space="preserve"> </w:t>
      </w:r>
      <w:r>
        <w:t>ve</w:t>
      </w:r>
      <w:r>
        <w:rPr>
          <w:spacing w:val="-8"/>
        </w:rPr>
        <w:t xml:space="preserve"> </w:t>
      </w:r>
      <w:r>
        <w:t>modelin</w:t>
      </w:r>
      <w:r>
        <w:rPr>
          <w:spacing w:val="-6"/>
        </w:rPr>
        <w:t xml:space="preserve"> </w:t>
      </w:r>
      <w:r>
        <w:t>veri</w:t>
      </w:r>
      <w:r>
        <w:rPr>
          <w:spacing w:val="-7"/>
        </w:rPr>
        <w:t xml:space="preserve"> </w:t>
      </w:r>
      <w:r>
        <w:t>setiyle uyumlu</w:t>
      </w:r>
      <w:r>
        <w:rPr>
          <w:spacing w:val="-2"/>
        </w:rPr>
        <w:t xml:space="preserve"> </w:t>
      </w:r>
      <w:r>
        <w:t>olduğunu</w:t>
      </w:r>
      <w:r>
        <w:rPr>
          <w:spacing w:val="-1"/>
        </w:rPr>
        <w:t xml:space="preserve"> </w:t>
      </w:r>
      <w:r>
        <w:t>göstermektedir</w:t>
      </w:r>
      <w:r>
        <w:rPr>
          <w:spacing w:val="-3"/>
        </w:rPr>
        <w:t xml:space="preserve"> </w:t>
      </w:r>
      <w:r>
        <w:t>(Şimşek,</w:t>
      </w:r>
      <w:r>
        <w:rPr>
          <w:spacing w:val="-2"/>
        </w:rPr>
        <w:t xml:space="preserve"> </w:t>
      </w:r>
      <w:r>
        <w:t>2007).</w:t>
      </w:r>
      <w:r>
        <w:rPr>
          <w:spacing w:val="-2"/>
        </w:rPr>
        <w:t xml:space="preserve"> </w:t>
      </w:r>
      <w:r>
        <w:t>SRMR</w:t>
      </w:r>
      <w:r>
        <w:rPr>
          <w:spacing w:val="-4"/>
        </w:rPr>
        <w:t xml:space="preserve"> </w:t>
      </w:r>
      <w:r>
        <w:t>(Standardized</w:t>
      </w:r>
      <w:r>
        <w:rPr>
          <w:spacing w:val="-2"/>
        </w:rPr>
        <w:t xml:space="preserve"> </w:t>
      </w:r>
      <w:r>
        <w:t>Root</w:t>
      </w:r>
      <w:r>
        <w:rPr>
          <w:spacing w:val="-2"/>
        </w:rPr>
        <w:t xml:space="preserve"> </w:t>
      </w:r>
      <w:r>
        <w:t>Mean</w:t>
      </w:r>
      <w:r>
        <w:rPr>
          <w:spacing w:val="-2"/>
        </w:rPr>
        <w:t xml:space="preserve"> </w:t>
      </w:r>
      <w:r>
        <w:t>Square Residual), modelin artıklarının standartlaştırılmış ortalamasını ölçmektedir. SRMR değerinin</w:t>
      </w:r>
      <w:r>
        <w:rPr>
          <w:spacing w:val="-8"/>
        </w:rPr>
        <w:t xml:space="preserve"> </w:t>
      </w:r>
      <w:r>
        <w:t>0.08'den</w:t>
      </w:r>
      <w:r>
        <w:rPr>
          <w:spacing w:val="-5"/>
        </w:rPr>
        <w:t xml:space="preserve"> </w:t>
      </w:r>
      <w:r>
        <w:t>küçük</w:t>
      </w:r>
      <w:r>
        <w:rPr>
          <w:spacing w:val="-3"/>
        </w:rPr>
        <w:t xml:space="preserve"> </w:t>
      </w:r>
      <w:r>
        <w:t>olması</w:t>
      </w:r>
      <w:r>
        <w:rPr>
          <w:spacing w:val="-4"/>
        </w:rPr>
        <w:t xml:space="preserve"> </w:t>
      </w:r>
      <w:r>
        <w:t>beklenirken,</w:t>
      </w:r>
      <w:r>
        <w:rPr>
          <w:spacing w:val="-5"/>
        </w:rPr>
        <w:t xml:space="preserve"> </w:t>
      </w:r>
      <w:r>
        <w:t>0</w:t>
      </w:r>
      <w:r>
        <w:rPr>
          <w:spacing w:val="-5"/>
        </w:rPr>
        <w:t xml:space="preserve"> </w:t>
      </w:r>
      <w:r>
        <w:t>ile</w:t>
      </w:r>
      <w:r>
        <w:rPr>
          <w:spacing w:val="-5"/>
        </w:rPr>
        <w:t xml:space="preserve"> </w:t>
      </w:r>
      <w:r>
        <w:t>0.05</w:t>
      </w:r>
      <w:r>
        <w:rPr>
          <w:spacing w:val="-5"/>
        </w:rPr>
        <w:t xml:space="preserve"> </w:t>
      </w:r>
      <w:r>
        <w:t>arasında</w:t>
      </w:r>
      <w:r>
        <w:rPr>
          <w:spacing w:val="-5"/>
        </w:rPr>
        <w:t xml:space="preserve"> </w:t>
      </w:r>
      <w:r>
        <w:t>olması</w:t>
      </w:r>
      <w:r>
        <w:rPr>
          <w:spacing w:val="-4"/>
        </w:rPr>
        <w:t xml:space="preserve"> </w:t>
      </w:r>
      <w:r>
        <w:t>mükemmel</w:t>
      </w:r>
      <w:r>
        <w:rPr>
          <w:spacing w:val="-4"/>
        </w:rPr>
        <w:t xml:space="preserve"> </w:t>
      </w:r>
      <w:r>
        <w:rPr>
          <w:spacing w:val="-2"/>
        </w:rPr>
        <w:t>uyumu,</w:t>
      </w:r>
      <w:r>
        <w:t xml:space="preserve"> 0.05</w:t>
      </w:r>
      <w:r>
        <w:rPr>
          <w:spacing w:val="-11"/>
        </w:rPr>
        <w:t xml:space="preserve"> </w:t>
      </w:r>
      <w:r>
        <w:t>ile</w:t>
      </w:r>
      <w:r>
        <w:rPr>
          <w:spacing w:val="-10"/>
        </w:rPr>
        <w:t xml:space="preserve"> </w:t>
      </w:r>
      <w:r>
        <w:t>0.10</w:t>
      </w:r>
      <w:r>
        <w:rPr>
          <w:spacing w:val="-9"/>
        </w:rPr>
        <w:t xml:space="preserve"> </w:t>
      </w:r>
      <w:r>
        <w:t>arasında</w:t>
      </w:r>
      <w:r>
        <w:rPr>
          <w:spacing w:val="-7"/>
        </w:rPr>
        <w:t xml:space="preserve"> </w:t>
      </w:r>
      <w:r>
        <w:t>olması</w:t>
      </w:r>
      <w:r>
        <w:rPr>
          <w:spacing w:val="-8"/>
        </w:rPr>
        <w:t xml:space="preserve"> </w:t>
      </w:r>
      <w:r>
        <w:t>ise</w:t>
      </w:r>
      <w:r>
        <w:rPr>
          <w:spacing w:val="-8"/>
        </w:rPr>
        <w:t xml:space="preserve"> </w:t>
      </w:r>
      <w:r>
        <w:t>iyi</w:t>
      </w:r>
      <w:r>
        <w:rPr>
          <w:spacing w:val="-6"/>
        </w:rPr>
        <w:t xml:space="preserve"> </w:t>
      </w:r>
      <w:r>
        <w:t>uyumu</w:t>
      </w:r>
      <w:r>
        <w:rPr>
          <w:spacing w:val="-6"/>
        </w:rPr>
        <w:t xml:space="preserve"> </w:t>
      </w:r>
      <w:r>
        <w:t>göstermektedir.</w:t>
      </w:r>
      <w:r>
        <w:rPr>
          <w:spacing w:val="-9"/>
        </w:rPr>
        <w:t xml:space="preserve"> </w:t>
      </w:r>
      <w:r>
        <w:t>Analiz</w:t>
      </w:r>
      <w:r>
        <w:rPr>
          <w:spacing w:val="-7"/>
        </w:rPr>
        <w:t xml:space="preserve"> </w:t>
      </w:r>
      <w:r>
        <w:t>sonucunda</w:t>
      </w:r>
      <w:r>
        <w:rPr>
          <w:spacing w:val="-10"/>
        </w:rPr>
        <w:t xml:space="preserve"> </w:t>
      </w:r>
      <w:r>
        <w:t>SRMR</w:t>
      </w:r>
      <w:r>
        <w:rPr>
          <w:spacing w:val="-7"/>
        </w:rPr>
        <w:t xml:space="preserve"> </w:t>
      </w:r>
      <w:r>
        <w:rPr>
          <w:spacing w:val="-2"/>
        </w:rPr>
        <w:t>değeri</w:t>
      </w:r>
      <w:r>
        <w:t xml:space="preserve"> 0.06</w:t>
      </w:r>
      <w:r>
        <w:rPr>
          <w:spacing w:val="-2"/>
        </w:rPr>
        <w:t xml:space="preserve"> </w:t>
      </w:r>
      <w:r>
        <w:t>olarak</w:t>
      </w:r>
      <w:r>
        <w:rPr>
          <w:spacing w:val="-1"/>
        </w:rPr>
        <w:t xml:space="preserve"> </w:t>
      </w:r>
      <w:r>
        <w:t>tespit edilmiş</w:t>
      </w:r>
      <w:r>
        <w:rPr>
          <w:spacing w:val="-2"/>
        </w:rPr>
        <w:t xml:space="preserve"> </w:t>
      </w:r>
      <w:r>
        <w:t>ve</w:t>
      </w:r>
      <w:r>
        <w:rPr>
          <w:spacing w:val="-3"/>
        </w:rPr>
        <w:t xml:space="preserve"> </w:t>
      </w:r>
      <w:r>
        <w:t>iyi</w:t>
      </w:r>
      <w:r>
        <w:rPr>
          <w:spacing w:val="-1"/>
        </w:rPr>
        <w:t xml:space="preserve"> </w:t>
      </w:r>
      <w:r>
        <w:t>bir</w:t>
      </w:r>
      <w:r>
        <w:rPr>
          <w:spacing w:val="-1"/>
        </w:rPr>
        <w:t xml:space="preserve"> </w:t>
      </w:r>
      <w:r>
        <w:t>uyumu</w:t>
      </w:r>
      <w:r>
        <w:rPr>
          <w:spacing w:val="1"/>
        </w:rPr>
        <w:t xml:space="preserve"> </w:t>
      </w:r>
      <w:r>
        <w:rPr>
          <w:spacing w:val="-2"/>
        </w:rPr>
        <w:t>göstermiştir.</w:t>
      </w:r>
    </w:p>
    <w:p w14:paraId="194FF2CD">
      <w:pPr>
        <w:pStyle w:val="9"/>
        <w:spacing w:before="120" w:after="120" w:line="360" w:lineRule="auto"/>
        <w:ind w:left="0" w:firstLine="567"/>
      </w:pPr>
      <w:r>
        <w:t>GFI (Goodness of Fit Index) değeri, modelin verilerden elde edilen varyans-kovaryans matrisini ne derece iyi ölçtüğünü göstermektedir. Çokluk ve diğerleri (2012) tarafından belirtildiği üzere, GFI değeri, iki ayrı modelin aynı örneklem içinde karşılaştırılmasında kullanılmaktadır.</w:t>
      </w:r>
      <w:r>
        <w:rPr>
          <w:spacing w:val="15"/>
        </w:rPr>
        <w:t xml:space="preserve"> </w:t>
      </w:r>
      <w:r>
        <w:t>GFI</w:t>
      </w:r>
      <w:r>
        <w:rPr>
          <w:spacing w:val="12"/>
        </w:rPr>
        <w:t xml:space="preserve"> </w:t>
      </w:r>
      <w:r>
        <w:t>değerinin</w:t>
      </w:r>
      <w:r>
        <w:rPr>
          <w:spacing w:val="16"/>
        </w:rPr>
        <w:t xml:space="preserve"> </w:t>
      </w:r>
      <w:r>
        <w:t>0.95</w:t>
      </w:r>
      <w:r>
        <w:rPr>
          <w:spacing w:val="15"/>
        </w:rPr>
        <w:t xml:space="preserve"> </w:t>
      </w:r>
      <w:r>
        <w:t>ile</w:t>
      </w:r>
      <w:r>
        <w:rPr>
          <w:spacing w:val="16"/>
        </w:rPr>
        <w:t xml:space="preserve"> </w:t>
      </w:r>
      <w:r>
        <w:t>1,00</w:t>
      </w:r>
      <w:r>
        <w:rPr>
          <w:spacing w:val="18"/>
        </w:rPr>
        <w:t xml:space="preserve"> </w:t>
      </w:r>
      <w:r>
        <w:t>arasında</w:t>
      </w:r>
      <w:r>
        <w:rPr>
          <w:spacing w:val="15"/>
        </w:rPr>
        <w:t xml:space="preserve"> </w:t>
      </w:r>
      <w:r>
        <w:t>olması</w:t>
      </w:r>
      <w:r>
        <w:rPr>
          <w:spacing w:val="16"/>
        </w:rPr>
        <w:t xml:space="preserve"> </w:t>
      </w:r>
      <w:r>
        <w:t>mükemmel</w:t>
      </w:r>
      <w:r>
        <w:rPr>
          <w:spacing w:val="18"/>
        </w:rPr>
        <w:t xml:space="preserve"> </w:t>
      </w:r>
      <w:r>
        <w:t>uyumu,</w:t>
      </w:r>
      <w:r>
        <w:rPr>
          <w:spacing w:val="18"/>
        </w:rPr>
        <w:t xml:space="preserve"> </w:t>
      </w:r>
      <w:r>
        <w:t>0.90</w:t>
      </w:r>
      <w:r>
        <w:rPr>
          <w:spacing w:val="16"/>
        </w:rPr>
        <w:t xml:space="preserve"> </w:t>
      </w:r>
      <w:r>
        <w:rPr>
          <w:spacing w:val="-5"/>
        </w:rPr>
        <w:t>ile</w:t>
      </w:r>
      <w:r>
        <w:t xml:space="preserve"> 0.95 arasında olması ise iyi uyumu gösterir. Analiz sonucunda elde edilen GFI değeri 0.91 bulunmuş olup, bu sonuç modelin veri setiyle yeterli derecede uyumlu olduğunu göstermektedir.</w:t>
      </w:r>
      <w:r>
        <w:rPr>
          <w:spacing w:val="31"/>
        </w:rPr>
        <w:t xml:space="preserve"> </w:t>
      </w:r>
      <w:r>
        <w:t>AGFI</w:t>
      </w:r>
      <w:r>
        <w:rPr>
          <w:spacing w:val="30"/>
        </w:rPr>
        <w:t xml:space="preserve"> </w:t>
      </w:r>
      <w:r>
        <w:t>(Adjusted</w:t>
      </w:r>
      <w:r>
        <w:rPr>
          <w:spacing w:val="32"/>
        </w:rPr>
        <w:t xml:space="preserve"> </w:t>
      </w:r>
      <w:r>
        <w:t>Goodness</w:t>
      </w:r>
      <w:r>
        <w:rPr>
          <w:spacing w:val="31"/>
        </w:rPr>
        <w:t xml:space="preserve"> </w:t>
      </w:r>
      <w:r>
        <w:t>of</w:t>
      </w:r>
      <w:r>
        <w:rPr>
          <w:spacing w:val="34"/>
        </w:rPr>
        <w:t xml:space="preserve"> </w:t>
      </w:r>
      <w:r>
        <w:t>Fit</w:t>
      </w:r>
      <w:r>
        <w:rPr>
          <w:spacing w:val="34"/>
        </w:rPr>
        <w:t xml:space="preserve"> </w:t>
      </w:r>
      <w:r>
        <w:t>Index),</w:t>
      </w:r>
      <w:r>
        <w:rPr>
          <w:spacing w:val="31"/>
        </w:rPr>
        <w:t xml:space="preserve"> </w:t>
      </w:r>
      <w:r>
        <w:t>GFI'nin</w:t>
      </w:r>
      <w:r>
        <w:rPr>
          <w:spacing w:val="31"/>
        </w:rPr>
        <w:t xml:space="preserve"> </w:t>
      </w:r>
      <w:r>
        <w:t>karmaşıklığını</w:t>
      </w:r>
      <w:r>
        <w:rPr>
          <w:spacing w:val="33"/>
        </w:rPr>
        <w:t xml:space="preserve"> </w:t>
      </w:r>
      <w:r>
        <w:rPr>
          <w:spacing w:val="-2"/>
        </w:rPr>
        <w:t>dikkate</w:t>
      </w:r>
      <w:r>
        <w:t xml:space="preserve"> alarak düzenlenmiş halidir ve modelin serbestlik derecesine göre düzeltilmiş uyumunu yansıtır. AGFI değerinin 0.90 ile 1,00 arasında olması mükemmel uyumu, 0.85 ile 0.90 arasında</w:t>
      </w:r>
      <w:r>
        <w:rPr>
          <w:spacing w:val="-2"/>
        </w:rPr>
        <w:t xml:space="preserve"> </w:t>
      </w:r>
      <w:r>
        <w:t>olması</w:t>
      </w:r>
      <w:r>
        <w:rPr>
          <w:spacing w:val="-1"/>
        </w:rPr>
        <w:t xml:space="preserve"> </w:t>
      </w:r>
      <w:r>
        <w:t>ise</w:t>
      </w:r>
      <w:r>
        <w:rPr>
          <w:spacing w:val="-2"/>
        </w:rPr>
        <w:t xml:space="preserve"> </w:t>
      </w:r>
      <w:r>
        <w:t>iyi</w:t>
      </w:r>
      <w:r>
        <w:rPr>
          <w:spacing w:val="-1"/>
        </w:rPr>
        <w:t xml:space="preserve"> </w:t>
      </w:r>
      <w:r>
        <w:t>uyumu</w:t>
      </w:r>
      <w:r>
        <w:rPr>
          <w:spacing w:val="-1"/>
        </w:rPr>
        <w:t xml:space="preserve"> </w:t>
      </w:r>
      <w:r>
        <w:t>göstermektedir.</w:t>
      </w:r>
      <w:r>
        <w:rPr>
          <w:spacing w:val="-1"/>
        </w:rPr>
        <w:t xml:space="preserve"> </w:t>
      </w:r>
      <w:r>
        <w:t>Analiz sonucunda</w:t>
      </w:r>
      <w:r>
        <w:rPr>
          <w:spacing w:val="-2"/>
        </w:rPr>
        <w:t xml:space="preserve"> </w:t>
      </w:r>
      <w:r>
        <w:t>AGFI</w:t>
      </w:r>
      <w:r>
        <w:rPr>
          <w:spacing w:val="-2"/>
        </w:rPr>
        <w:t xml:space="preserve"> </w:t>
      </w:r>
      <w:r>
        <w:t>değeri</w:t>
      </w:r>
      <w:r>
        <w:rPr>
          <w:spacing w:val="-2"/>
        </w:rPr>
        <w:t xml:space="preserve"> </w:t>
      </w:r>
      <w:r>
        <w:t>0.793</w:t>
      </w:r>
      <w:r>
        <w:rPr>
          <w:spacing w:val="-1"/>
        </w:rPr>
        <w:t xml:space="preserve"> </w:t>
      </w:r>
      <w:r>
        <w:t>olarak bulunmuş ve iyi bir uyumu işaret etmiştir. CFI (Comparative Fit Index), önerilen modelin bağımsızlık modeline göre ne derece iyi performans gösterdiğini göstermektedir. CFI değerinin</w:t>
      </w:r>
      <w:r>
        <w:rPr>
          <w:spacing w:val="-6"/>
        </w:rPr>
        <w:t xml:space="preserve"> </w:t>
      </w:r>
      <w:r>
        <w:t>0.97</w:t>
      </w:r>
      <w:r>
        <w:rPr>
          <w:spacing w:val="-4"/>
        </w:rPr>
        <w:t xml:space="preserve"> </w:t>
      </w:r>
      <w:r>
        <w:t>ile</w:t>
      </w:r>
      <w:r>
        <w:rPr>
          <w:spacing w:val="-7"/>
        </w:rPr>
        <w:t xml:space="preserve"> </w:t>
      </w:r>
      <w:r>
        <w:t>1,00</w:t>
      </w:r>
      <w:r>
        <w:rPr>
          <w:spacing w:val="-4"/>
        </w:rPr>
        <w:t xml:space="preserve"> </w:t>
      </w:r>
      <w:r>
        <w:t>arasında</w:t>
      </w:r>
      <w:r>
        <w:rPr>
          <w:spacing w:val="-6"/>
        </w:rPr>
        <w:t xml:space="preserve"> </w:t>
      </w:r>
      <w:r>
        <w:t>olması</w:t>
      </w:r>
      <w:r>
        <w:rPr>
          <w:spacing w:val="-5"/>
        </w:rPr>
        <w:t xml:space="preserve"> </w:t>
      </w:r>
      <w:r>
        <w:t>mükemmel</w:t>
      </w:r>
      <w:r>
        <w:rPr>
          <w:spacing w:val="-4"/>
        </w:rPr>
        <w:t xml:space="preserve"> </w:t>
      </w:r>
      <w:r>
        <w:t>uyumu,</w:t>
      </w:r>
      <w:r>
        <w:rPr>
          <w:spacing w:val="-3"/>
        </w:rPr>
        <w:t xml:space="preserve"> </w:t>
      </w:r>
      <w:r>
        <w:t>0.95</w:t>
      </w:r>
      <w:r>
        <w:rPr>
          <w:spacing w:val="-6"/>
        </w:rPr>
        <w:t xml:space="preserve"> </w:t>
      </w:r>
      <w:r>
        <w:t>ile</w:t>
      </w:r>
      <w:r>
        <w:rPr>
          <w:spacing w:val="-5"/>
        </w:rPr>
        <w:t xml:space="preserve"> </w:t>
      </w:r>
      <w:r>
        <w:t>0.97</w:t>
      </w:r>
      <w:r>
        <w:rPr>
          <w:spacing w:val="-3"/>
        </w:rPr>
        <w:t xml:space="preserve"> </w:t>
      </w:r>
      <w:r>
        <w:t>arasında</w:t>
      </w:r>
      <w:r>
        <w:rPr>
          <w:spacing w:val="-6"/>
        </w:rPr>
        <w:t xml:space="preserve"> </w:t>
      </w:r>
      <w:r>
        <w:t>olması</w:t>
      </w:r>
      <w:r>
        <w:rPr>
          <w:spacing w:val="-5"/>
        </w:rPr>
        <w:t xml:space="preserve"> </w:t>
      </w:r>
      <w:r>
        <w:t>ise iyi uyumu göstermektedir. Analiz sonucunda CFI değeri 0.93 olarak bulunmuş ve kabul edilebilir bir uyumu işaret etmiştir. NFI (Normed Fit Index), önerilen modelin bağımsızlık modeliyle karşılaştırılmasını sağlamaktadır. NFI değerinin 0.95 ile 1,00 arasında olması mükemmel uyumu, 0.90 ile 0.95 arasında olması ise iyi uyumu göstermektedir. Analiz sonucunda NFI değeri 0.92 olarak bulunmuş ve iyi bir uyumu göstermiştir.</w:t>
      </w:r>
    </w:p>
    <w:p w14:paraId="7847D752">
      <w:pPr>
        <w:pStyle w:val="9"/>
        <w:spacing w:before="120" w:after="120" w:line="360" w:lineRule="auto"/>
        <w:ind w:left="0" w:firstLine="567"/>
      </w:pPr>
      <w:r>
        <w:t>Faktör yükleri</w:t>
      </w:r>
      <w:r>
        <w:rPr>
          <w:spacing w:val="-3"/>
        </w:rPr>
        <w:t xml:space="preserve"> </w:t>
      </w:r>
      <w:r>
        <w:t>açısından değerlendirme yapıldığında,</w:t>
      </w:r>
      <w:r>
        <w:rPr>
          <w:spacing w:val="-2"/>
        </w:rPr>
        <w:t xml:space="preserve"> </w:t>
      </w:r>
      <w:r>
        <w:t>Tablo</w:t>
      </w:r>
      <w:r>
        <w:rPr>
          <w:spacing w:val="-2"/>
        </w:rPr>
        <w:t xml:space="preserve"> </w:t>
      </w:r>
      <w:r>
        <w:t>3.2'de</w:t>
      </w:r>
      <w:r>
        <w:rPr>
          <w:spacing w:val="-1"/>
        </w:rPr>
        <w:t xml:space="preserve"> </w:t>
      </w:r>
      <w:r>
        <w:t>sunulan değerler,</w:t>
      </w:r>
      <w:r>
        <w:rPr>
          <w:spacing w:val="-3"/>
        </w:rPr>
        <w:t xml:space="preserve"> </w:t>
      </w:r>
      <w:r>
        <w:t>her</w:t>
      </w:r>
      <w:r>
        <w:rPr>
          <w:spacing w:val="-1"/>
        </w:rPr>
        <w:t xml:space="preserve"> </w:t>
      </w:r>
      <w:r>
        <w:t>bir maddenin</w:t>
      </w:r>
      <w:r>
        <w:rPr>
          <w:spacing w:val="-7"/>
        </w:rPr>
        <w:t xml:space="preserve"> </w:t>
      </w:r>
      <w:r>
        <w:t>0.40'ın</w:t>
      </w:r>
      <w:r>
        <w:rPr>
          <w:spacing w:val="-7"/>
        </w:rPr>
        <w:t xml:space="preserve"> </w:t>
      </w:r>
      <w:r>
        <w:t>üzerinde</w:t>
      </w:r>
      <w:r>
        <w:rPr>
          <w:spacing w:val="-8"/>
        </w:rPr>
        <w:t xml:space="preserve"> </w:t>
      </w:r>
      <w:r>
        <w:t>bir</w:t>
      </w:r>
      <w:r>
        <w:rPr>
          <w:spacing w:val="-8"/>
        </w:rPr>
        <w:t xml:space="preserve"> </w:t>
      </w:r>
      <w:r>
        <w:t>değere</w:t>
      </w:r>
      <w:r>
        <w:rPr>
          <w:spacing w:val="-8"/>
        </w:rPr>
        <w:t xml:space="preserve"> </w:t>
      </w:r>
      <w:r>
        <w:t>sahip</w:t>
      </w:r>
      <w:r>
        <w:rPr>
          <w:spacing w:val="-7"/>
        </w:rPr>
        <w:t xml:space="preserve"> </w:t>
      </w:r>
      <w:r>
        <w:t>olmasıyla</w:t>
      </w:r>
      <w:r>
        <w:rPr>
          <w:spacing w:val="-6"/>
        </w:rPr>
        <w:t xml:space="preserve"> </w:t>
      </w:r>
      <w:r>
        <w:t>Ford</w:t>
      </w:r>
      <w:r>
        <w:rPr>
          <w:spacing w:val="-8"/>
        </w:rPr>
        <w:t xml:space="preserve"> </w:t>
      </w:r>
      <w:r>
        <w:t>et</w:t>
      </w:r>
      <w:r>
        <w:rPr>
          <w:spacing w:val="-5"/>
        </w:rPr>
        <w:t xml:space="preserve"> </w:t>
      </w:r>
      <w:r>
        <w:t>al.</w:t>
      </w:r>
      <w:r>
        <w:rPr>
          <w:spacing w:val="-7"/>
        </w:rPr>
        <w:t xml:space="preserve"> </w:t>
      </w:r>
      <w:r>
        <w:t>(1986)</w:t>
      </w:r>
      <w:r>
        <w:rPr>
          <w:spacing w:val="-8"/>
        </w:rPr>
        <w:t xml:space="preserve"> </w:t>
      </w:r>
      <w:r>
        <w:t>tarafından</w:t>
      </w:r>
      <w:r>
        <w:rPr>
          <w:spacing w:val="-7"/>
        </w:rPr>
        <w:t xml:space="preserve"> </w:t>
      </w:r>
      <w:r>
        <w:t>belirtilen yapısal geçerlilik kriterlerini karşılamaktadır. Bu yüksek faktör yükleri, ölçeğin her bir maddesinin ilgili faktörlerle olan güçlü ve anlamlı ilişkisini göstererek, ölçeğin yapısal geçerliliğini desteklemektedir.</w:t>
      </w:r>
      <w:r>
        <w:rPr>
          <w:spacing w:val="-2"/>
        </w:rPr>
        <w:t xml:space="preserve"> </w:t>
      </w:r>
      <w:r>
        <w:t>Ayrıca,</w:t>
      </w:r>
      <w:r>
        <w:rPr>
          <w:spacing w:val="-1"/>
        </w:rPr>
        <w:t xml:space="preserve"> </w:t>
      </w:r>
      <w:r>
        <w:t>bu yüksek</w:t>
      </w:r>
      <w:r>
        <w:rPr>
          <w:spacing w:val="-1"/>
        </w:rPr>
        <w:t xml:space="preserve"> </w:t>
      </w:r>
      <w:r>
        <w:t>değerler,</w:t>
      </w:r>
      <w:r>
        <w:rPr>
          <w:spacing w:val="-2"/>
        </w:rPr>
        <w:t xml:space="preserve"> </w:t>
      </w:r>
      <w:r>
        <w:t>ölçeğin maddelerinin</w:t>
      </w:r>
      <w:r>
        <w:rPr>
          <w:spacing w:val="-1"/>
        </w:rPr>
        <w:t xml:space="preserve"> </w:t>
      </w:r>
      <w:r>
        <w:t>belirlenen faktörler</w:t>
      </w:r>
      <w:r>
        <w:rPr>
          <w:spacing w:val="-5"/>
        </w:rPr>
        <w:t xml:space="preserve"> </w:t>
      </w:r>
      <w:r>
        <w:t>tarafından</w:t>
      </w:r>
      <w:r>
        <w:rPr>
          <w:spacing w:val="-5"/>
        </w:rPr>
        <w:t xml:space="preserve"> </w:t>
      </w:r>
      <w:r>
        <w:t>etkin</w:t>
      </w:r>
      <w:r>
        <w:rPr>
          <w:spacing w:val="-3"/>
        </w:rPr>
        <w:t xml:space="preserve"> </w:t>
      </w:r>
      <w:r>
        <w:t>bir</w:t>
      </w:r>
      <w:r>
        <w:rPr>
          <w:spacing w:val="-5"/>
        </w:rPr>
        <w:t xml:space="preserve"> </w:t>
      </w:r>
      <w:r>
        <w:t>şekilde</w:t>
      </w:r>
      <w:r>
        <w:rPr>
          <w:spacing w:val="-5"/>
        </w:rPr>
        <w:t xml:space="preserve"> </w:t>
      </w:r>
      <w:r>
        <w:t>temsil</w:t>
      </w:r>
      <w:r>
        <w:rPr>
          <w:spacing w:val="-6"/>
        </w:rPr>
        <w:t xml:space="preserve"> </w:t>
      </w:r>
      <w:r>
        <w:t>edildiğini</w:t>
      </w:r>
      <w:r>
        <w:rPr>
          <w:spacing w:val="-5"/>
        </w:rPr>
        <w:t xml:space="preserve"> </w:t>
      </w:r>
      <w:r>
        <w:t>ve</w:t>
      </w:r>
      <w:r>
        <w:rPr>
          <w:spacing w:val="-5"/>
        </w:rPr>
        <w:t xml:space="preserve"> </w:t>
      </w:r>
      <w:r>
        <w:t>ölçeğin</w:t>
      </w:r>
      <w:r>
        <w:rPr>
          <w:spacing w:val="-5"/>
        </w:rPr>
        <w:t xml:space="preserve"> </w:t>
      </w:r>
      <w:r>
        <w:t>teorik</w:t>
      </w:r>
      <w:r>
        <w:rPr>
          <w:spacing w:val="-4"/>
        </w:rPr>
        <w:t xml:space="preserve"> </w:t>
      </w:r>
      <w:r>
        <w:t>yapıya</w:t>
      </w:r>
      <w:r>
        <w:rPr>
          <w:spacing w:val="-4"/>
        </w:rPr>
        <w:t xml:space="preserve"> </w:t>
      </w:r>
      <w:r>
        <w:t>uygunluğunu göstermektedir. Bu durum, ölçeğin genel tutarlılığını ve güvenilirliğini artırırken, aynı zamanda ölçeğin geçerli olduğunu da işaret etmektedir. Dolayısıyla, bu yüksek faktör yükleri,</w:t>
      </w:r>
      <w:r>
        <w:rPr>
          <w:spacing w:val="-15"/>
        </w:rPr>
        <w:t xml:space="preserve"> </w:t>
      </w:r>
      <w:r>
        <w:t>Sanal</w:t>
      </w:r>
      <w:r>
        <w:rPr>
          <w:spacing w:val="-15"/>
        </w:rPr>
        <w:t xml:space="preserve"> </w:t>
      </w:r>
      <w:r>
        <w:t>Rekreasyon</w:t>
      </w:r>
      <w:r>
        <w:rPr>
          <w:spacing w:val="-15"/>
        </w:rPr>
        <w:t xml:space="preserve"> </w:t>
      </w:r>
      <w:r>
        <w:t>Ölçeği'nin</w:t>
      </w:r>
      <w:r>
        <w:rPr>
          <w:spacing w:val="-15"/>
        </w:rPr>
        <w:t xml:space="preserve"> </w:t>
      </w:r>
      <w:r>
        <w:t>sanal</w:t>
      </w:r>
      <w:r>
        <w:rPr>
          <w:spacing w:val="-15"/>
        </w:rPr>
        <w:t xml:space="preserve"> </w:t>
      </w:r>
      <w:r>
        <w:t>rekreasyon</w:t>
      </w:r>
      <w:r>
        <w:rPr>
          <w:spacing w:val="-15"/>
        </w:rPr>
        <w:t xml:space="preserve"> </w:t>
      </w:r>
      <w:r>
        <w:t>faaliyetlerine</w:t>
      </w:r>
      <w:r>
        <w:rPr>
          <w:spacing w:val="-14"/>
        </w:rPr>
        <w:t xml:space="preserve"> </w:t>
      </w:r>
      <w:r>
        <w:t>yönelik</w:t>
      </w:r>
      <w:r>
        <w:rPr>
          <w:spacing w:val="-15"/>
        </w:rPr>
        <w:t xml:space="preserve"> </w:t>
      </w:r>
      <w:r>
        <w:t>görüşleri</w:t>
      </w:r>
      <w:r>
        <w:rPr>
          <w:spacing w:val="-15"/>
        </w:rPr>
        <w:t xml:space="preserve"> </w:t>
      </w:r>
      <w:r>
        <w:t>doğru ve güvenilir bir şekilde ölçebileceğini göstermektedir. Bu, ölçeğin geliştirilmesi sürecinde önemli bir adımı temsil etmekte ve ölçeğin psikometrik özelliklerinin sağlam olduğunu ortaya koymaktadır.</w:t>
      </w:r>
    </w:p>
    <w:p w14:paraId="586C4ADD">
      <w:pPr>
        <w:pStyle w:val="9"/>
        <w:spacing w:before="120" w:after="120" w:line="360" w:lineRule="auto"/>
        <w:ind w:left="0" w:firstLine="567"/>
      </w:pPr>
      <w:r>
        <w:t>Bu değerlendirmeler, Sanal Rekreasyon Ölçeği'nin yapısal modelinin veri setiyle genel olarak iyi bir uyum içinde olduğunu ve modelin yapısal geçerliliğinin güçlü olduğunu göstermiştir. Bu sonuçlar, ölçeğin psikometrik özelliklerinin sağlam olduğunu ve sanal rekreasyon faaliyetlerine yönelik görüşleri doğru ve güvenilir bir şekilde ölçebileceğini desteklemektedir.</w:t>
      </w:r>
      <w:r>
        <w:rPr>
          <w:spacing w:val="45"/>
        </w:rPr>
        <w:t xml:space="preserve"> </w:t>
      </w:r>
      <w:r>
        <w:t>DFA'nın</w:t>
      </w:r>
      <w:r>
        <w:rPr>
          <w:spacing w:val="46"/>
        </w:rPr>
        <w:t xml:space="preserve"> </w:t>
      </w:r>
      <w:r>
        <w:t>bu</w:t>
      </w:r>
      <w:r>
        <w:rPr>
          <w:spacing w:val="45"/>
        </w:rPr>
        <w:t xml:space="preserve"> </w:t>
      </w:r>
      <w:r>
        <w:t>tür</w:t>
      </w:r>
      <w:r>
        <w:rPr>
          <w:spacing w:val="46"/>
        </w:rPr>
        <w:t xml:space="preserve"> </w:t>
      </w:r>
      <w:r>
        <w:t>analizleri,</w:t>
      </w:r>
      <w:r>
        <w:rPr>
          <w:spacing w:val="46"/>
        </w:rPr>
        <w:t xml:space="preserve"> </w:t>
      </w:r>
      <w:r>
        <w:t>ölçme</w:t>
      </w:r>
      <w:r>
        <w:rPr>
          <w:spacing w:val="45"/>
        </w:rPr>
        <w:t xml:space="preserve"> </w:t>
      </w:r>
      <w:r>
        <w:t>araçlarının</w:t>
      </w:r>
      <w:r>
        <w:rPr>
          <w:spacing w:val="46"/>
        </w:rPr>
        <w:t xml:space="preserve"> </w:t>
      </w:r>
      <w:r>
        <w:t>geliştirilmesi</w:t>
      </w:r>
      <w:r>
        <w:rPr>
          <w:spacing w:val="46"/>
        </w:rPr>
        <w:t xml:space="preserve"> </w:t>
      </w:r>
      <w:r>
        <w:rPr>
          <w:spacing w:val="-5"/>
        </w:rPr>
        <w:t>ve</w:t>
      </w:r>
      <w:r>
        <w:t xml:space="preserve"> değerlendirilmesi</w:t>
      </w:r>
      <w:r>
        <w:rPr>
          <w:spacing w:val="-9"/>
        </w:rPr>
        <w:t xml:space="preserve"> </w:t>
      </w:r>
      <w:r>
        <w:t>sürecinde</w:t>
      </w:r>
      <w:r>
        <w:rPr>
          <w:spacing w:val="-10"/>
        </w:rPr>
        <w:t xml:space="preserve"> </w:t>
      </w:r>
      <w:r>
        <w:t>kritik</w:t>
      </w:r>
      <w:r>
        <w:rPr>
          <w:spacing w:val="-9"/>
        </w:rPr>
        <w:t xml:space="preserve"> </w:t>
      </w:r>
      <w:r>
        <w:t>bir</w:t>
      </w:r>
      <w:r>
        <w:rPr>
          <w:spacing w:val="-10"/>
        </w:rPr>
        <w:t xml:space="preserve"> </w:t>
      </w:r>
      <w:r>
        <w:t>adımı</w:t>
      </w:r>
      <w:r>
        <w:rPr>
          <w:spacing w:val="-9"/>
        </w:rPr>
        <w:t xml:space="preserve"> </w:t>
      </w:r>
      <w:r>
        <w:t>temsil</w:t>
      </w:r>
      <w:r>
        <w:rPr>
          <w:spacing w:val="-5"/>
        </w:rPr>
        <w:t xml:space="preserve"> </w:t>
      </w:r>
      <w:r>
        <w:t>etmekte</w:t>
      </w:r>
      <w:r>
        <w:rPr>
          <w:spacing w:val="-9"/>
        </w:rPr>
        <w:t xml:space="preserve"> </w:t>
      </w:r>
      <w:r>
        <w:t>ve</w:t>
      </w:r>
      <w:r>
        <w:rPr>
          <w:spacing w:val="-10"/>
        </w:rPr>
        <w:t xml:space="preserve"> </w:t>
      </w:r>
      <w:r>
        <w:t>ölçeğin</w:t>
      </w:r>
      <w:r>
        <w:rPr>
          <w:spacing w:val="-6"/>
        </w:rPr>
        <w:t xml:space="preserve"> </w:t>
      </w:r>
      <w:r>
        <w:t>geçerliliği</w:t>
      </w:r>
      <w:r>
        <w:rPr>
          <w:spacing w:val="-9"/>
        </w:rPr>
        <w:t xml:space="preserve"> </w:t>
      </w:r>
      <w:r>
        <w:t>konusunda önemli bilgiler sağlamaktadır.</w:t>
      </w:r>
    </w:p>
    <w:p w14:paraId="28E78A4A">
      <w:pPr>
        <w:pStyle w:val="9"/>
        <w:spacing w:before="120" w:after="120" w:line="360" w:lineRule="auto"/>
        <w:ind w:left="0" w:firstLine="567"/>
      </w:pPr>
    </w:p>
    <w:p w14:paraId="70866225">
      <w:pPr>
        <w:pStyle w:val="28"/>
        <w:numPr>
          <w:ilvl w:val="3"/>
          <w:numId w:val="15"/>
        </w:numPr>
        <w:spacing w:before="240" w:after="240" w:line="360" w:lineRule="auto"/>
        <w:ind w:left="567" w:firstLine="0"/>
        <w:outlineLvl w:val="3"/>
        <w:rPr>
          <w:b/>
          <w:sz w:val="24"/>
        </w:rPr>
      </w:pPr>
      <w:bookmarkStart w:id="207" w:name="_Toc197351276"/>
      <w:bookmarkStart w:id="208" w:name="_Toc195875844"/>
      <w:bookmarkStart w:id="209" w:name="_Toc195877823"/>
      <w:r>
        <w:rPr>
          <w:b/>
          <w:sz w:val="24"/>
        </w:rPr>
        <w:t>Yaşam Kalitesi Ölçeği Geçerlilik ve Güvenirlik Analizleri</w:t>
      </w:r>
      <w:bookmarkEnd w:id="207"/>
      <w:bookmarkEnd w:id="208"/>
      <w:bookmarkEnd w:id="209"/>
    </w:p>
    <w:p w14:paraId="1EA78DF1">
      <w:pPr>
        <w:pStyle w:val="9"/>
        <w:spacing w:before="120" w:after="120" w:line="360" w:lineRule="auto"/>
        <w:ind w:left="0" w:firstLine="567"/>
      </w:pPr>
      <w:r>
        <w:t>Yaşam kalitesi ölçeğinin geçerlilik ve güvenirlilik durumunu değerlendirmek amacıyla Kaiser-Meyer-Olkin (KMO) testi, Açıklayıcı Faktör Analizi (AFA) ve Doğrulayıcı Faktör Analizi (DFA) uygulanacaktır. KMO testi, verilerin faktör analizi için uygunluğunu belirlerken, AFA, ölçeğin altında yatan faktör yapısını ortaya koymak için kullanılır. DFA ise, ortaya çıkan yapının doğruluğunu test etmek ve ölçeğin teorik modelle uyumunu değerlendirmek için önemli bir araçtır. Bu analizler, yaşam kalitesi ölçeğinin güvenilir bir şekilde ölçüm yapabilmesi için gerekli bilimsel temeli oluşturacaktır.</w:t>
      </w:r>
    </w:p>
    <w:p w14:paraId="750E3601">
      <w:pPr>
        <w:pStyle w:val="9"/>
        <w:spacing w:before="120" w:after="120" w:line="360" w:lineRule="auto"/>
        <w:ind w:left="0" w:firstLine="567"/>
      </w:pPr>
      <w:r>
        <w:t>Yaşam kalitesi ölçeği alt boyutlarına ait geçerliliği sağlamak adına “Açımlayıcı Faktör Analizi” gerçekleştirilmiştir. Bu kapsamda ilk olarak “Kaiser-Mayer-Olkin ve Barlett's Test” sonuçları dikkate alınmış ve ilgili ölçme aracının istatistiksel açıdan uygun olduğu tespit edilmiştir (Tablo 3.8).</w:t>
      </w:r>
    </w:p>
    <w:p w14:paraId="53FF8B33">
      <w:pPr>
        <w:pStyle w:val="9"/>
        <w:spacing w:line="360" w:lineRule="auto"/>
        <w:ind w:left="0"/>
        <w:jc w:val="left"/>
        <w:rPr>
          <w:b/>
        </w:rPr>
      </w:pPr>
      <w:r>
        <w:rPr>
          <w:b/>
        </w:rPr>
        <w:t>Tablo</w:t>
      </w:r>
      <w:r>
        <w:rPr>
          <w:b/>
          <w:spacing w:val="-12"/>
        </w:rPr>
        <w:t xml:space="preserve"> </w:t>
      </w:r>
      <w:r>
        <w:rPr>
          <w:b/>
        </w:rPr>
        <w:t>3.8.</w:t>
      </w:r>
      <w:r>
        <w:rPr>
          <w:b/>
          <w:spacing w:val="-14"/>
        </w:rPr>
        <w:t xml:space="preserve"> </w:t>
      </w:r>
      <w:r>
        <w:t>Yaşam</w:t>
      </w:r>
      <w:r>
        <w:rPr>
          <w:spacing w:val="-7"/>
        </w:rPr>
        <w:t xml:space="preserve"> </w:t>
      </w:r>
      <w:r>
        <w:t>Kalitesi</w:t>
      </w:r>
      <w:r>
        <w:rPr>
          <w:spacing w:val="-6"/>
        </w:rPr>
        <w:t xml:space="preserve"> </w:t>
      </w:r>
      <w:r>
        <w:t>Ölçeği</w:t>
      </w:r>
      <w:r>
        <w:rPr>
          <w:spacing w:val="47"/>
        </w:rPr>
        <w:t xml:space="preserve"> </w:t>
      </w:r>
      <w:r>
        <w:t>KMO</w:t>
      </w:r>
      <w:r>
        <w:rPr>
          <w:spacing w:val="-7"/>
        </w:rPr>
        <w:t xml:space="preserve"> </w:t>
      </w:r>
      <w:r>
        <w:t>–</w:t>
      </w:r>
      <w:r>
        <w:rPr>
          <w:spacing w:val="-6"/>
        </w:rPr>
        <w:t xml:space="preserve"> </w:t>
      </w:r>
      <w:r>
        <w:t>Barlett’s</w:t>
      </w:r>
      <w:r>
        <w:rPr>
          <w:spacing w:val="-15"/>
        </w:rPr>
        <w:t xml:space="preserve"> </w:t>
      </w:r>
      <w:r>
        <w:rPr>
          <w:spacing w:val="-2"/>
        </w:rPr>
        <w:t>Analizi</w:t>
      </w:r>
    </w:p>
    <w:p w14:paraId="58D89E19">
      <w:pPr>
        <w:pStyle w:val="9"/>
        <w:spacing w:after="1"/>
        <w:ind w:left="0"/>
        <w:jc w:val="left"/>
        <w:rPr>
          <w:sz w:val="23"/>
        </w:rPr>
      </w:pPr>
    </w:p>
    <w:tbl>
      <w:tblPr>
        <w:tblStyle w:val="7"/>
        <w:tblW w:w="0" w:type="auto"/>
        <w:tblInd w:w="167" w:type="dxa"/>
        <w:tblLayout w:type="fixed"/>
        <w:tblCellMar>
          <w:top w:w="0" w:type="dxa"/>
          <w:left w:w="0" w:type="dxa"/>
          <w:bottom w:w="0" w:type="dxa"/>
          <w:right w:w="0" w:type="dxa"/>
        </w:tblCellMar>
      </w:tblPr>
      <w:tblGrid>
        <w:gridCol w:w="3341"/>
        <w:gridCol w:w="3210"/>
        <w:gridCol w:w="2097"/>
      </w:tblGrid>
      <w:tr w14:paraId="3B6C8099">
        <w:tblPrEx>
          <w:tblCellMar>
            <w:top w:w="0" w:type="dxa"/>
            <w:left w:w="0" w:type="dxa"/>
            <w:bottom w:w="0" w:type="dxa"/>
            <w:right w:w="0" w:type="dxa"/>
          </w:tblCellMar>
        </w:tblPrEx>
        <w:trPr>
          <w:trHeight w:val="253" w:hRule="atLeast"/>
        </w:trPr>
        <w:tc>
          <w:tcPr>
            <w:tcW w:w="3341" w:type="dxa"/>
            <w:tcBorders>
              <w:top w:val="single" w:color="000000" w:sz="4" w:space="0"/>
              <w:bottom w:val="single" w:color="000000" w:sz="4" w:space="0"/>
            </w:tcBorders>
          </w:tcPr>
          <w:p w14:paraId="000553E9">
            <w:pPr>
              <w:pStyle w:val="29"/>
              <w:spacing w:before="17" w:line="217" w:lineRule="exact"/>
              <w:ind w:left="69"/>
              <w:rPr>
                <w:sz w:val="20"/>
              </w:rPr>
            </w:pPr>
            <w:r>
              <w:rPr>
                <w:spacing w:val="-2"/>
                <w:sz w:val="20"/>
              </w:rPr>
              <w:t>Kaiser-Mayer-Olkin</w:t>
            </w:r>
            <w:r>
              <w:rPr>
                <w:spacing w:val="16"/>
                <w:sz w:val="20"/>
              </w:rPr>
              <w:t xml:space="preserve"> </w:t>
            </w:r>
            <w:r>
              <w:rPr>
                <w:spacing w:val="-2"/>
                <w:sz w:val="20"/>
              </w:rPr>
              <w:t>(KMO)</w:t>
            </w:r>
          </w:p>
        </w:tc>
        <w:tc>
          <w:tcPr>
            <w:tcW w:w="3210" w:type="dxa"/>
            <w:tcBorders>
              <w:top w:val="single" w:color="000000" w:sz="4" w:space="0"/>
              <w:bottom w:val="single" w:color="000000" w:sz="4" w:space="0"/>
            </w:tcBorders>
          </w:tcPr>
          <w:p w14:paraId="3CA3951B">
            <w:pPr>
              <w:pStyle w:val="29"/>
              <w:rPr>
                <w:sz w:val="18"/>
              </w:rPr>
            </w:pPr>
          </w:p>
        </w:tc>
        <w:tc>
          <w:tcPr>
            <w:tcW w:w="2097" w:type="dxa"/>
            <w:tcBorders>
              <w:top w:val="single" w:color="000000" w:sz="4" w:space="0"/>
              <w:bottom w:val="single" w:color="000000" w:sz="4" w:space="0"/>
            </w:tcBorders>
          </w:tcPr>
          <w:p w14:paraId="488761A9">
            <w:pPr>
              <w:pStyle w:val="29"/>
              <w:spacing w:before="17" w:line="217" w:lineRule="exact"/>
              <w:ind w:right="68"/>
              <w:jc w:val="right"/>
              <w:rPr>
                <w:sz w:val="20"/>
              </w:rPr>
            </w:pPr>
            <w:r>
              <w:rPr>
                <w:spacing w:val="-4"/>
                <w:sz w:val="20"/>
              </w:rPr>
              <w:t>.800</w:t>
            </w:r>
          </w:p>
        </w:tc>
      </w:tr>
      <w:tr w14:paraId="388DF3F4">
        <w:tblPrEx>
          <w:tblCellMar>
            <w:top w:w="0" w:type="dxa"/>
            <w:left w:w="0" w:type="dxa"/>
            <w:bottom w:w="0" w:type="dxa"/>
            <w:right w:w="0" w:type="dxa"/>
          </w:tblCellMar>
        </w:tblPrEx>
        <w:trPr>
          <w:trHeight w:val="253" w:hRule="atLeast"/>
        </w:trPr>
        <w:tc>
          <w:tcPr>
            <w:tcW w:w="3341" w:type="dxa"/>
            <w:tcBorders>
              <w:top w:val="single" w:color="000000" w:sz="4" w:space="0"/>
            </w:tcBorders>
          </w:tcPr>
          <w:p w14:paraId="55859436">
            <w:pPr>
              <w:pStyle w:val="29"/>
              <w:rPr>
                <w:sz w:val="18"/>
              </w:rPr>
            </w:pPr>
          </w:p>
        </w:tc>
        <w:tc>
          <w:tcPr>
            <w:tcW w:w="3210" w:type="dxa"/>
            <w:tcBorders>
              <w:top w:val="single" w:color="000000" w:sz="4" w:space="0"/>
              <w:bottom w:val="single" w:color="000000" w:sz="4" w:space="0"/>
            </w:tcBorders>
          </w:tcPr>
          <w:p w14:paraId="39676952">
            <w:pPr>
              <w:pStyle w:val="29"/>
              <w:spacing w:before="19" w:line="215" w:lineRule="exact"/>
              <w:ind w:left="69"/>
              <w:rPr>
                <w:sz w:val="20"/>
              </w:rPr>
            </w:pPr>
            <w:r>
              <w:rPr>
                <w:sz w:val="20"/>
              </w:rPr>
              <w:t>Approx.</w:t>
            </w:r>
            <w:r>
              <w:rPr>
                <w:spacing w:val="-13"/>
                <w:sz w:val="20"/>
              </w:rPr>
              <w:t xml:space="preserve"> </w:t>
            </w:r>
            <w:r>
              <w:rPr>
                <w:sz w:val="20"/>
              </w:rPr>
              <w:t>Chi-</w:t>
            </w:r>
            <w:r>
              <w:rPr>
                <w:spacing w:val="-2"/>
                <w:sz w:val="20"/>
              </w:rPr>
              <w:t>Square</w:t>
            </w:r>
          </w:p>
        </w:tc>
        <w:tc>
          <w:tcPr>
            <w:tcW w:w="2097" w:type="dxa"/>
            <w:tcBorders>
              <w:top w:val="single" w:color="000000" w:sz="4" w:space="0"/>
              <w:bottom w:val="single" w:color="000000" w:sz="4" w:space="0"/>
            </w:tcBorders>
          </w:tcPr>
          <w:p w14:paraId="67E408CD">
            <w:pPr>
              <w:pStyle w:val="29"/>
              <w:spacing w:before="19" w:line="215" w:lineRule="exact"/>
              <w:ind w:right="66"/>
              <w:jc w:val="right"/>
              <w:rPr>
                <w:sz w:val="20"/>
              </w:rPr>
            </w:pPr>
            <w:r>
              <w:rPr>
                <w:spacing w:val="-4"/>
                <w:sz w:val="20"/>
              </w:rPr>
              <w:t>1973</w:t>
            </w:r>
          </w:p>
        </w:tc>
      </w:tr>
      <w:tr w14:paraId="6EA61D0B">
        <w:tblPrEx>
          <w:tblCellMar>
            <w:top w:w="0" w:type="dxa"/>
            <w:left w:w="0" w:type="dxa"/>
            <w:bottom w:w="0" w:type="dxa"/>
            <w:right w:w="0" w:type="dxa"/>
          </w:tblCellMar>
        </w:tblPrEx>
        <w:trPr>
          <w:trHeight w:val="270" w:hRule="atLeast"/>
        </w:trPr>
        <w:tc>
          <w:tcPr>
            <w:tcW w:w="3341" w:type="dxa"/>
          </w:tcPr>
          <w:p w14:paraId="6544E896">
            <w:pPr>
              <w:pStyle w:val="29"/>
              <w:spacing w:before="7"/>
              <w:ind w:left="69"/>
              <w:rPr>
                <w:sz w:val="20"/>
              </w:rPr>
            </w:pPr>
            <w:r>
              <w:rPr>
                <w:sz w:val="20"/>
              </w:rPr>
              <w:t>Barlett's</w:t>
            </w:r>
            <w:r>
              <w:rPr>
                <w:spacing w:val="-8"/>
                <w:sz w:val="20"/>
              </w:rPr>
              <w:t xml:space="preserve"> </w:t>
            </w:r>
            <w:r>
              <w:rPr>
                <w:sz w:val="20"/>
              </w:rPr>
              <w:t>Test</w:t>
            </w:r>
            <w:r>
              <w:rPr>
                <w:spacing w:val="-7"/>
                <w:sz w:val="20"/>
              </w:rPr>
              <w:t xml:space="preserve"> </w:t>
            </w:r>
            <w:r>
              <w:rPr>
                <w:spacing w:val="-2"/>
                <w:sz w:val="20"/>
              </w:rPr>
              <w:t>Sonuçları</w:t>
            </w:r>
          </w:p>
        </w:tc>
        <w:tc>
          <w:tcPr>
            <w:tcW w:w="3210" w:type="dxa"/>
            <w:tcBorders>
              <w:top w:val="single" w:color="000000" w:sz="4" w:space="0"/>
            </w:tcBorders>
          </w:tcPr>
          <w:p w14:paraId="6470B293">
            <w:pPr>
              <w:pStyle w:val="29"/>
              <w:tabs>
                <w:tab w:val="left" w:pos="4935"/>
              </w:tabs>
              <w:spacing w:before="19"/>
              <w:ind w:right="-1728"/>
              <w:rPr>
                <w:sz w:val="20"/>
              </w:rPr>
            </w:pPr>
            <w:r>
              <w:rPr>
                <w:spacing w:val="18"/>
                <w:sz w:val="20"/>
                <w:u w:val="single"/>
              </w:rPr>
              <w:t xml:space="preserve"> </w:t>
            </w:r>
            <w:r>
              <w:rPr>
                <w:spacing w:val="-5"/>
                <w:sz w:val="20"/>
                <w:u w:val="single"/>
              </w:rPr>
              <w:t>df</w:t>
            </w:r>
            <w:r>
              <w:rPr>
                <w:sz w:val="20"/>
                <w:u w:val="single"/>
              </w:rPr>
              <w:tab/>
            </w:r>
          </w:p>
        </w:tc>
        <w:tc>
          <w:tcPr>
            <w:tcW w:w="2097" w:type="dxa"/>
            <w:tcBorders>
              <w:top w:val="single" w:color="000000" w:sz="4" w:space="0"/>
            </w:tcBorders>
          </w:tcPr>
          <w:p w14:paraId="337BCB7A">
            <w:pPr>
              <w:pStyle w:val="29"/>
              <w:spacing w:before="19"/>
              <w:ind w:right="-15"/>
              <w:jc w:val="right"/>
              <w:rPr>
                <w:sz w:val="20"/>
              </w:rPr>
            </w:pPr>
            <w:r>
              <w:rPr>
                <w:spacing w:val="-5"/>
                <w:sz w:val="20"/>
                <w:u w:val="single"/>
              </w:rPr>
              <w:t>351</w:t>
            </w:r>
            <w:r>
              <w:rPr>
                <w:spacing w:val="40"/>
                <w:sz w:val="20"/>
                <w:u w:val="single"/>
              </w:rPr>
              <w:t xml:space="preserve"> </w:t>
            </w:r>
          </w:p>
        </w:tc>
      </w:tr>
      <w:tr w14:paraId="4009CB61">
        <w:tblPrEx>
          <w:tblCellMar>
            <w:top w:w="0" w:type="dxa"/>
            <w:left w:w="0" w:type="dxa"/>
            <w:bottom w:w="0" w:type="dxa"/>
            <w:right w:w="0" w:type="dxa"/>
          </w:tblCellMar>
        </w:tblPrEx>
        <w:trPr>
          <w:trHeight w:val="249" w:hRule="atLeast"/>
        </w:trPr>
        <w:tc>
          <w:tcPr>
            <w:tcW w:w="3341" w:type="dxa"/>
            <w:tcBorders>
              <w:bottom w:val="single" w:color="000000" w:sz="4" w:space="0"/>
            </w:tcBorders>
          </w:tcPr>
          <w:p w14:paraId="3B818F7B">
            <w:pPr>
              <w:pStyle w:val="29"/>
              <w:rPr>
                <w:sz w:val="18"/>
              </w:rPr>
            </w:pPr>
          </w:p>
        </w:tc>
        <w:tc>
          <w:tcPr>
            <w:tcW w:w="3210" w:type="dxa"/>
            <w:tcBorders>
              <w:bottom w:val="single" w:color="000000" w:sz="4" w:space="0"/>
            </w:tcBorders>
          </w:tcPr>
          <w:p w14:paraId="16013E3D">
            <w:pPr>
              <w:pStyle w:val="29"/>
              <w:spacing w:before="12" w:line="217" w:lineRule="exact"/>
              <w:ind w:left="69"/>
              <w:rPr>
                <w:sz w:val="20"/>
              </w:rPr>
            </w:pPr>
            <w:r>
              <w:rPr>
                <w:spacing w:val="-4"/>
                <w:sz w:val="20"/>
              </w:rPr>
              <w:t>Sig.</w:t>
            </w:r>
          </w:p>
        </w:tc>
        <w:tc>
          <w:tcPr>
            <w:tcW w:w="2097" w:type="dxa"/>
            <w:tcBorders>
              <w:bottom w:val="single" w:color="000000" w:sz="4" w:space="0"/>
            </w:tcBorders>
          </w:tcPr>
          <w:p w14:paraId="366B090C">
            <w:pPr>
              <w:pStyle w:val="29"/>
              <w:spacing w:before="12" w:line="217" w:lineRule="exact"/>
              <w:ind w:right="68"/>
              <w:jc w:val="right"/>
              <w:rPr>
                <w:sz w:val="20"/>
              </w:rPr>
            </w:pPr>
            <w:r>
              <w:rPr>
                <w:sz w:val="20"/>
              </w:rPr>
              <w:t>&lt;</w:t>
            </w:r>
            <w:r>
              <w:rPr>
                <w:spacing w:val="-11"/>
                <w:sz w:val="20"/>
              </w:rPr>
              <w:t xml:space="preserve"> </w:t>
            </w:r>
            <w:r>
              <w:rPr>
                <w:spacing w:val="-4"/>
                <w:sz w:val="20"/>
              </w:rPr>
              <w:t>.001</w:t>
            </w:r>
          </w:p>
        </w:tc>
      </w:tr>
    </w:tbl>
    <w:p w14:paraId="1326F067">
      <w:pPr>
        <w:pStyle w:val="9"/>
        <w:spacing w:before="120" w:after="120" w:line="360" w:lineRule="auto"/>
        <w:ind w:left="0" w:firstLine="567"/>
      </w:pPr>
      <w:r>
        <w:t>Kaiser-Meyer-Olkin (KMO) test değeri 0.800 ve Barlett's test sonucu ise χ²(351) = 1973, p &lt; .001</w:t>
      </w:r>
      <w:r>
        <w:rPr>
          <w:i/>
        </w:rPr>
        <w:t xml:space="preserve"> </w:t>
      </w:r>
      <w:r>
        <w:t>şeklinde bulunmuştur (Tablo 3.6). KMO değeri .50 üzeri olması, verilerin faktör analizi için uygunluğunu ölçer ve 0 ile 1 değerleri arasında bulunmalıdır. Yeterli seviyede KMO değerleri, verilerin faktör analizlerinin yapılabilmesi adına uygunluğunu ortaya koymaktadır. Bu incelemeler ile birlikte, 0.800lük KMO değeri, ve Barlett's test sonucunda, ortaya çıkan korelasyon matrisinin anlamlı olduğunu (p &lt; .001)</w:t>
      </w:r>
      <w:r>
        <w:rPr>
          <w:i/>
        </w:rPr>
        <w:t xml:space="preserve"> </w:t>
      </w:r>
      <w:r>
        <w:t>ortaya koymaktadır. Elde edilen sonuçlar incelendiğinde verilerin üzerinde faktör analizleri yapılabileceğini ortaya koymaktadır. EK olarak gerçekleştirilecek analizlerin sonuçlarının güvenilirliğini</w:t>
      </w:r>
      <w:r>
        <w:rPr>
          <w:spacing w:val="-15"/>
        </w:rPr>
        <w:t xml:space="preserve"> </w:t>
      </w:r>
      <w:r>
        <w:t>kanıtlamaktadır.</w:t>
      </w:r>
      <w:r>
        <w:rPr>
          <w:spacing w:val="-15"/>
        </w:rPr>
        <w:t xml:space="preserve"> </w:t>
      </w:r>
      <w:r>
        <w:t>Elde</w:t>
      </w:r>
      <w:r>
        <w:rPr>
          <w:spacing w:val="-15"/>
        </w:rPr>
        <w:t xml:space="preserve"> </w:t>
      </w:r>
      <w:r>
        <w:t>edilen</w:t>
      </w:r>
      <w:r>
        <w:rPr>
          <w:spacing w:val="-15"/>
        </w:rPr>
        <w:t xml:space="preserve"> </w:t>
      </w:r>
      <w:r>
        <w:t>bu</w:t>
      </w:r>
      <w:r>
        <w:rPr>
          <w:spacing w:val="-15"/>
        </w:rPr>
        <w:t xml:space="preserve"> </w:t>
      </w:r>
      <w:r>
        <w:t>sonuçlar</w:t>
      </w:r>
      <w:r>
        <w:rPr>
          <w:spacing w:val="-15"/>
        </w:rPr>
        <w:t xml:space="preserve"> </w:t>
      </w:r>
      <w:r>
        <w:t>çalışmanın</w:t>
      </w:r>
      <w:r>
        <w:rPr>
          <w:spacing w:val="-15"/>
        </w:rPr>
        <w:t xml:space="preserve"> </w:t>
      </w:r>
      <w:r>
        <w:t>yapısal</w:t>
      </w:r>
      <w:r>
        <w:rPr>
          <w:spacing w:val="-15"/>
        </w:rPr>
        <w:t xml:space="preserve"> </w:t>
      </w:r>
      <w:r>
        <w:t>geçerliliği</w:t>
      </w:r>
      <w:r>
        <w:rPr>
          <w:spacing w:val="-15"/>
        </w:rPr>
        <w:t xml:space="preserve"> </w:t>
      </w:r>
      <w:r>
        <w:t>ve</w:t>
      </w:r>
      <w:r>
        <w:rPr>
          <w:spacing w:val="-15"/>
        </w:rPr>
        <w:t xml:space="preserve"> </w:t>
      </w:r>
      <w:r>
        <w:t xml:space="preserve">veri setinin doğruluğu ile ilgili önemli ve değerli bilgiler sağlayarak, araştırma güvenilirliğini </w:t>
      </w:r>
      <w:r>
        <w:rPr>
          <w:spacing w:val="-2"/>
        </w:rPr>
        <w:t>artırmaktadır.</w:t>
      </w:r>
    </w:p>
    <w:p w14:paraId="12D2E52F">
      <w:pPr>
        <w:pStyle w:val="9"/>
        <w:spacing w:before="120" w:after="120" w:line="360" w:lineRule="auto"/>
        <w:ind w:left="0" w:firstLine="567"/>
      </w:pPr>
      <w:r>
        <w:t>KMO ve Barlett's analiz sonuçları incelenmiş ve ölçme aracının istatistiksel açıdan herhangi bir sorun ile karşılaşılmadığı tespit edilmiştir (Tablo 3.8).</w:t>
      </w:r>
      <w:r>
        <w:rPr>
          <w:spacing w:val="40"/>
        </w:rPr>
        <w:t xml:space="preserve"> </w:t>
      </w:r>
      <w:r>
        <w:t>İstatistiksel olarak uygunluğu kanıtlanan verilen “Yaşam Kalitesi Ölçeği” ne ait alt boyutlar ve faktör yükleri Tablo 3.9.’te sunulmuştur.</w:t>
      </w:r>
    </w:p>
    <w:p w14:paraId="451D2CDD">
      <w:pPr>
        <w:pStyle w:val="9"/>
        <w:spacing w:line="360" w:lineRule="auto"/>
        <w:ind w:left="0"/>
        <w:jc w:val="left"/>
        <w:rPr>
          <w:b/>
        </w:rPr>
      </w:pPr>
      <w:r>
        <w:rPr>
          <w:b/>
        </w:rPr>
        <w:t>Tablo</w:t>
      </w:r>
      <w:r>
        <w:rPr>
          <w:b/>
          <w:spacing w:val="-4"/>
        </w:rPr>
        <w:t xml:space="preserve"> </w:t>
      </w:r>
      <w:r>
        <w:rPr>
          <w:b/>
        </w:rPr>
        <w:t>3.9.</w:t>
      </w:r>
      <w:r>
        <w:rPr>
          <w:b/>
          <w:spacing w:val="-1"/>
        </w:rPr>
        <w:t xml:space="preserve"> </w:t>
      </w:r>
      <w:r>
        <w:t>Yaşam</w:t>
      </w:r>
      <w:r>
        <w:rPr>
          <w:spacing w:val="-1"/>
        </w:rPr>
        <w:t xml:space="preserve"> </w:t>
      </w:r>
      <w:r>
        <w:t>Kalitesi</w:t>
      </w:r>
      <w:r>
        <w:rPr>
          <w:spacing w:val="-2"/>
        </w:rPr>
        <w:t xml:space="preserve"> </w:t>
      </w:r>
      <w:r>
        <w:t>Ölçeği</w:t>
      </w:r>
      <w:r>
        <w:rPr>
          <w:spacing w:val="-1"/>
        </w:rPr>
        <w:t xml:space="preserve"> </w:t>
      </w:r>
      <w:r>
        <w:t>Açımlayıcı</w:t>
      </w:r>
      <w:r>
        <w:rPr>
          <w:spacing w:val="-1"/>
        </w:rPr>
        <w:t xml:space="preserve"> </w:t>
      </w:r>
      <w:r>
        <w:t>Faktör</w:t>
      </w:r>
      <w:r>
        <w:rPr>
          <w:spacing w:val="-1"/>
        </w:rPr>
        <w:t xml:space="preserve"> </w:t>
      </w:r>
      <w:r>
        <w:rPr>
          <w:spacing w:val="-2"/>
        </w:rPr>
        <w:t>Analizi</w:t>
      </w:r>
    </w:p>
    <w:p w14:paraId="170D3492">
      <w:pPr>
        <w:pStyle w:val="9"/>
        <w:spacing w:before="10"/>
        <w:ind w:left="0"/>
        <w:jc w:val="left"/>
        <w:rPr>
          <w:sz w:val="29"/>
        </w:rPr>
      </w:pPr>
    </w:p>
    <w:tbl>
      <w:tblPr>
        <w:tblStyle w:val="7"/>
        <w:tblW w:w="0" w:type="auto"/>
        <w:tblInd w:w="153" w:type="dxa"/>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Layout w:type="fixed"/>
        <w:tblCellMar>
          <w:top w:w="0" w:type="dxa"/>
          <w:left w:w="0" w:type="dxa"/>
          <w:bottom w:w="0" w:type="dxa"/>
          <w:right w:w="0" w:type="dxa"/>
        </w:tblCellMar>
      </w:tblPr>
      <w:tblGrid>
        <w:gridCol w:w="866"/>
        <w:gridCol w:w="4251"/>
        <w:gridCol w:w="710"/>
        <w:gridCol w:w="708"/>
        <w:gridCol w:w="711"/>
        <w:gridCol w:w="708"/>
        <w:gridCol w:w="850"/>
      </w:tblGrid>
      <w:tr w14:paraId="6DAC443A">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827" w:hRule="atLeast"/>
        </w:trPr>
        <w:tc>
          <w:tcPr>
            <w:tcW w:w="866" w:type="dxa"/>
            <w:vMerge w:val="restart"/>
            <w:tcBorders>
              <w:left w:val="nil"/>
              <w:bottom w:val="single" w:color="000000" w:sz="4" w:space="0"/>
              <w:right w:val="single" w:color="000000" w:sz="4" w:space="0"/>
            </w:tcBorders>
          </w:tcPr>
          <w:p w14:paraId="62FA8A8B">
            <w:pPr>
              <w:pStyle w:val="29"/>
              <w:ind w:left="122" w:right="189"/>
              <w:rPr>
                <w:b/>
                <w:sz w:val="18"/>
              </w:rPr>
            </w:pPr>
            <w:r>
              <w:rPr>
                <w:b/>
                <w:spacing w:val="-2"/>
                <w:sz w:val="18"/>
              </w:rPr>
              <w:t xml:space="preserve">Madde </w:t>
            </w:r>
            <w:r>
              <w:rPr>
                <w:b/>
                <w:spacing w:val="-6"/>
                <w:sz w:val="18"/>
              </w:rPr>
              <w:t>No</w:t>
            </w:r>
          </w:p>
        </w:tc>
        <w:tc>
          <w:tcPr>
            <w:tcW w:w="4251" w:type="dxa"/>
            <w:vMerge w:val="restart"/>
            <w:tcBorders>
              <w:left w:val="single" w:color="000000" w:sz="4" w:space="0"/>
              <w:bottom w:val="single" w:color="000000" w:sz="4" w:space="0"/>
              <w:right w:val="single" w:color="000000" w:sz="4" w:space="0"/>
            </w:tcBorders>
          </w:tcPr>
          <w:p w14:paraId="65E351BB">
            <w:pPr>
              <w:pStyle w:val="29"/>
              <w:spacing w:line="207" w:lineRule="exact"/>
              <w:ind w:left="100"/>
              <w:rPr>
                <w:b/>
                <w:sz w:val="18"/>
              </w:rPr>
            </w:pPr>
            <w:r>
              <w:rPr>
                <w:b/>
                <w:spacing w:val="-2"/>
                <w:sz w:val="18"/>
              </w:rPr>
              <w:t>Maddeler</w:t>
            </w:r>
          </w:p>
        </w:tc>
        <w:tc>
          <w:tcPr>
            <w:tcW w:w="2837" w:type="dxa"/>
            <w:gridSpan w:val="4"/>
            <w:tcBorders>
              <w:left w:val="single" w:color="000000" w:sz="4" w:space="0"/>
              <w:bottom w:val="single" w:color="000000" w:sz="4" w:space="0"/>
              <w:right w:val="single" w:color="000000" w:sz="4" w:space="0"/>
            </w:tcBorders>
          </w:tcPr>
          <w:p w14:paraId="0270BC37">
            <w:pPr>
              <w:pStyle w:val="29"/>
              <w:rPr>
                <w:sz w:val="18"/>
              </w:rPr>
            </w:pPr>
          </w:p>
        </w:tc>
        <w:tc>
          <w:tcPr>
            <w:tcW w:w="850" w:type="dxa"/>
            <w:tcBorders>
              <w:left w:val="single" w:color="000000" w:sz="4" w:space="0"/>
              <w:bottom w:val="single" w:color="000000" w:sz="4" w:space="0"/>
              <w:right w:val="nil"/>
            </w:tcBorders>
          </w:tcPr>
          <w:p w14:paraId="70F33CA0">
            <w:pPr>
              <w:pStyle w:val="29"/>
              <w:ind w:left="101" w:right="152"/>
              <w:rPr>
                <w:sz w:val="18"/>
              </w:rPr>
            </w:pPr>
            <w:r>
              <w:rPr>
                <w:spacing w:val="-2"/>
                <w:sz w:val="18"/>
              </w:rPr>
              <w:t xml:space="preserve">Ortak </w:t>
            </w:r>
            <w:r>
              <w:rPr>
                <w:spacing w:val="-4"/>
                <w:sz w:val="18"/>
              </w:rPr>
              <w:t xml:space="preserve">Varyans </w:t>
            </w:r>
            <w:r>
              <w:rPr>
                <w:spacing w:val="-2"/>
                <w:sz w:val="18"/>
              </w:rPr>
              <w:t>Analizi</w:t>
            </w:r>
          </w:p>
          <w:p w14:paraId="330A74D0">
            <w:pPr>
              <w:pStyle w:val="29"/>
              <w:spacing w:line="191" w:lineRule="exact"/>
              <w:ind w:left="101"/>
              <w:rPr>
                <w:sz w:val="18"/>
              </w:rPr>
            </w:pPr>
            <w:r>
              <w:rPr>
                <w:spacing w:val="-4"/>
                <w:sz w:val="18"/>
              </w:rPr>
              <w:t>(h2)</w:t>
            </w:r>
          </w:p>
        </w:tc>
      </w:tr>
      <w:tr w14:paraId="1FC4152E">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314" w:hRule="atLeast"/>
        </w:trPr>
        <w:tc>
          <w:tcPr>
            <w:tcW w:w="866" w:type="dxa"/>
            <w:vMerge w:val="continue"/>
            <w:tcBorders>
              <w:top w:val="nil"/>
              <w:left w:val="nil"/>
              <w:bottom w:val="single" w:color="000000" w:sz="4" w:space="0"/>
              <w:right w:val="single" w:color="000000" w:sz="4" w:space="0"/>
            </w:tcBorders>
          </w:tcPr>
          <w:p w14:paraId="4A039778">
            <w:pPr>
              <w:rPr>
                <w:sz w:val="2"/>
                <w:szCs w:val="2"/>
              </w:rPr>
            </w:pPr>
          </w:p>
        </w:tc>
        <w:tc>
          <w:tcPr>
            <w:tcW w:w="4251" w:type="dxa"/>
            <w:vMerge w:val="continue"/>
            <w:tcBorders>
              <w:top w:val="nil"/>
              <w:left w:val="single" w:color="000000" w:sz="4" w:space="0"/>
              <w:bottom w:val="single" w:color="000000" w:sz="4" w:space="0"/>
              <w:right w:val="single" w:color="000000" w:sz="4" w:space="0"/>
            </w:tcBorders>
          </w:tcPr>
          <w:p w14:paraId="78084D08">
            <w:pPr>
              <w:rPr>
                <w:sz w:val="2"/>
                <w:szCs w:val="2"/>
              </w:rPr>
            </w:pPr>
          </w:p>
        </w:tc>
        <w:tc>
          <w:tcPr>
            <w:tcW w:w="710" w:type="dxa"/>
            <w:tcBorders>
              <w:top w:val="single" w:color="000000" w:sz="4" w:space="0"/>
              <w:left w:val="single" w:color="000000" w:sz="4" w:space="0"/>
              <w:bottom w:val="single" w:color="000000" w:sz="4" w:space="0"/>
              <w:right w:val="single" w:color="000000" w:sz="4" w:space="0"/>
            </w:tcBorders>
            <w:shd w:val="clear" w:color="auto" w:fill="ECECEC"/>
          </w:tcPr>
          <w:p w14:paraId="1C6638D9">
            <w:pPr>
              <w:pStyle w:val="29"/>
              <w:spacing w:line="203" w:lineRule="exact"/>
              <w:ind w:left="103"/>
              <w:rPr>
                <w:sz w:val="18"/>
              </w:rPr>
            </w:pPr>
            <w:r>
              <w:rPr>
                <w:sz w:val="18"/>
              </w:rPr>
              <w:t>1</w:t>
            </w:r>
          </w:p>
        </w:tc>
        <w:tc>
          <w:tcPr>
            <w:tcW w:w="708" w:type="dxa"/>
            <w:tcBorders>
              <w:top w:val="single" w:color="000000" w:sz="4" w:space="0"/>
              <w:left w:val="single" w:color="000000" w:sz="4" w:space="0"/>
              <w:bottom w:val="single" w:color="000000" w:sz="4" w:space="0"/>
              <w:right w:val="single" w:color="000000" w:sz="4" w:space="0"/>
            </w:tcBorders>
            <w:shd w:val="clear" w:color="auto" w:fill="ECECEC"/>
          </w:tcPr>
          <w:p w14:paraId="628F582A">
            <w:pPr>
              <w:pStyle w:val="29"/>
              <w:spacing w:line="203" w:lineRule="exact"/>
              <w:ind w:left="101"/>
              <w:rPr>
                <w:sz w:val="18"/>
              </w:rPr>
            </w:pPr>
            <w:r>
              <w:rPr>
                <w:sz w:val="18"/>
              </w:rPr>
              <w:t>2</w:t>
            </w:r>
          </w:p>
        </w:tc>
        <w:tc>
          <w:tcPr>
            <w:tcW w:w="711" w:type="dxa"/>
            <w:tcBorders>
              <w:top w:val="single" w:color="000000" w:sz="4" w:space="0"/>
              <w:left w:val="single" w:color="000000" w:sz="4" w:space="0"/>
              <w:bottom w:val="single" w:color="000000" w:sz="4" w:space="0"/>
              <w:right w:val="single" w:color="000000" w:sz="4" w:space="0"/>
            </w:tcBorders>
            <w:shd w:val="clear" w:color="auto" w:fill="ECECEC"/>
          </w:tcPr>
          <w:p w14:paraId="577A8CFC">
            <w:pPr>
              <w:pStyle w:val="29"/>
              <w:spacing w:line="203" w:lineRule="exact"/>
              <w:ind w:left="104"/>
              <w:rPr>
                <w:sz w:val="18"/>
              </w:rPr>
            </w:pPr>
            <w:r>
              <w:rPr>
                <w:sz w:val="18"/>
              </w:rPr>
              <w:t>3</w:t>
            </w:r>
          </w:p>
        </w:tc>
        <w:tc>
          <w:tcPr>
            <w:tcW w:w="708" w:type="dxa"/>
            <w:tcBorders>
              <w:top w:val="single" w:color="000000" w:sz="4" w:space="0"/>
              <w:left w:val="single" w:color="000000" w:sz="4" w:space="0"/>
              <w:bottom w:val="single" w:color="000000" w:sz="4" w:space="0"/>
              <w:right w:val="single" w:color="000000" w:sz="4" w:space="0"/>
            </w:tcBorders>
            <w:shd w:val="clear" w:color="auto" w:fill="ECECEC"/>
          </w:tcPr>
          <w:p w14:paraId="5F32D2AF">
            <w:pPr>
              <w:pStyle w:val="29"/>
              <w:spacing w:line="203" w:lineRule="exact"/>
              <w:ind w:left="101"/>
              <w:rPr>
                <w:sz w:val="18"/>
              </w:rPr>
            </w:pPr>
            <w:r>
              <w:rPr>
                <w:sz w:val="18"/>
              </w:rPr>
              <w:t>4</w:t>
            </w:r>
          </w:p>
        </w:tc>
        <w:tc>
          <w:tcPr>
            <w:tcW w:w="850" w:type="dxa"/>
            <w:tcBorders>
              <w:top w:val="single" w:color="000000" w:sz="4" w:space="0"/>
              <w:left w:val="single" w:color="000000" w:sz="4" w:space="0"/>
              <w:bottom w:val="single" w:color="000000" w:sz="4" w:space="0"/>
              <w:right w:val="nil"/>
            </w:tcBorders>
            <w:shd w:val="clear" w:color="auto" w:fill="ECECEC"/>
          </w:tcPr>
          <w:p w14:paraId="11DEDDB7">
            <w:pPr>
              <w:pStyle w:val="29"/>
              <w:rPr>
                <w:sz w:val="18"/>
              </w:rPr>
            </w:pPr>
          </w:p>
        </w:tc>
      </w:tr>
      <w:tr w14:paraId="57D833E0">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414" w:hRule="atLeast"/>
        </w:trPr>
        <w:tc>
          <w:tcPr>
            <w:tcW w:w="866" w:type="dxa"/>
            <w:tcBorders>
              <w:top w:val="single" w:color="000000" w:sz="4" w:space="0"/>
              <w:left w:val="nil"/>
              <w:bottom w:val="single" w:color="000000" w:sz="4" w:space="0"/>
              <w:right w:val="single" w:color="000000" w:sz="4" w:space="0"/>
            </w:tcBorders>
          </w:tcPr>
          <w:p w14:paraId="65072FC1">
            <w:pPr>
              <w:pStyle w:val="29"/>
              <w:spacing w:line="202" w:lineRule="exact"/>
              <w:ind w:left="122"/>
              <w:rPr>
                <w:sz w:val="18"/>
              </w:rPr>
            </w:pPr>
            <w:r>
              <w:rPr>
                <w:spacing w:val="-5"/>
                <w:sz w:val="18"/>
              </w:rPr>
              <w:t>3b</w:t>
            </w:r>
          </w:p>
        </w:tc>
        <w:tc>
          <w:tcPr>
            <w:tcW w:w="4251" w:type="dxa"/>
            <w:tcBorders>
              <w:top w:val="single" w:color="000000" w:sz="4" w:space="0"/>
              <w:left w:val="single" w:color="000000" w:sz="4" w:space="0"/>
              <w:bottom w:val="single" w:color="000000" w:sz="4" w:space="0"/>
              <w:right w:val="single" w:color="000000" w:sz="4" w:space="0"/>
            </w:tcBorders>
          </w:tcPr>
          <w:p w14:paraId="3A36FEA8">
            <w:pPr>
              <w:pStyle w:val="29"/>
              <w:tabs>
                <w:tab w:val="left" w:pos="1288"/>
                <w:tab w:val="left" w:pos="2242"/>
                <w:tab w:val="left" w:pos="3307"/>
                <w:tab w:val="left" w:pos="3734"/>
              </w:tabs>
              <w:spacing w:line="202" w:lineRule="exact"/>
              <w:ind w:left="100"/>
              <w:rPr>
                <w:sz w:val="18"/>
              </w:rPr>
            </w:pPr>
            <w:r>
              <w:rPr>
                <w:spacing w:val="-2"/>
                <w:sz w:val="18"/>
              </w:rPr>
              <w:t>Ağrılarınızın</w:t>
            </w:r>
            <w:r>
              <w:rPr>
                <w:sz w:val="18"/>
              </w:rPr>
              <w:tab/>
            </w:r>
            <w:r>
              <w:rPr>
                <w:spacing w:val="-2"/>
                <w:sz w:val="18"/>
              </w:rPr>
              <w:t>yapmanız</w:t>
            </w:r>
            <w:r>
              <w:rPr>
                <w:sz w:val="18"/>
              </w:rPr>
              <w:tab/>
            </w:r>
            <w:r>
              <w:rPr>
                <w:spacing w:val="-2"/>
                <w:sz w:val="18"/>
              </w:rPr>
              <w:t>gerekenleri</w:t>
            </w:r>
            <w:r>
              <w:rPr>
                <w:sz w:val="18"/>
              </w:rPr>
              <w:tab/>
            </w:r>
            <w:r>
              <w:rPr>
                <w:spacing w:val="-5"/>
                <w:sz w:val="18"/>
              </w:rPr>
              <w:t>ne</w:t>
            </w:r>
            <w:r>
              <w:rPr>
                <w:sz w:val="18"/>
              </w:rPr>
              <w:tab/>
            </w:r>
            <w:r>
              <w:rPr>
                <w:spacing w:val="-4"/>
                <w:sz w:val="18"/>
              </w:rPr>
              <w:t>kadar</w:t>
            </w:r>
          </w:p>
          <w:p w14:paraId="48619FD0">
            <w:pPr>
              <w:pStyle w:val="29"/>
              <w:spacing w:before="2" w:line="191" w:lineRule="exact"/>
              <w:ind w:left="100"/>
              <w:rPr>
                <w:sz w:val="18"/>
              </w:rPr>
            </w:pPr>
            <w:r>
              <w:rPr>
                <w:sz w:val="18"/>
              </w:rPr>
              <w:t>engellediğini</w:t>
            </w:r>
            <w:r>
              <w:rPr>
                <w:spacing w:val="-3"/>
                <w:sz w:val="18"/>
              </w:rPr>
              <w:t xml:space="preserve"> </w:t>
            </w:r>
            <w:r>
              <w:rPr>
                <w:spacing w:val="-2"/>
                <w:sz w:val="18"/>
              </w:rPr>
              <w:t>düşünüyorsunuz?</w:t>
            </w:r>
          </w:p>
        </w:tc>
        <w:tc>
          <w:tcPr>
            <w:tcW w:w="710" w:type="dxa"/>
            <w:tcBorders>
              <w:top w:val="single" w:color="000000" w:sz="4" w:space="0"/>
              <w:left w:val="single" w:color="000000" w:sz="4" w:space="0"/>
              <w:bottom w:val="single" w:color="000000" w:sz="4" w:space="0"/>
              <w:right w:val="single" w:color="000000" w:sz="4" w:space="0"/>
            </w:tcBorders>
          </w:tcPr>
          <w:p w14:paraId="22C5B491">
            <w:pPr>
              <w:pStyle w:val="29"/>
              <w:spacing w:line="202" w:lineRule="exact"/>
              <w:ind w:left="103"/>
              <w:rPr>
                <w:sz w:val="18"/>
              </w:rPr>
            </w:pPr>
            <w:r>
              <w:rPr>
                <w:spacing w:val="-2"/>
                <w:sz w:val="18"/>
              </w:rPr>
              <w:t>0.521</w:t>
            </w:r>
          </w:p>
        </w:tc>
        <w:tc>
          <w:tcPr>
            <w:tcW w:w="708" w:type="dxa"/>
            <w:tcBorders>
              <w:top w:val="single" w:color="000000" w:sz="4" w:space="0"/>
              <w:left w:val="single" w:color="000000" w:sz="4" w:space="0"/>
              <w:bottom w:val="single" w:color="000000" w:sz="4" w:space="0"/>
              <w:right w:val="single" w:color="000000" w:sz="4" w:space="0"/>
            </w:tcBorders>
          </w:tcPr>
          <w:p w14:paraId="40F890D0">
            <w:pPr>
              <w:pStyle w:val="29"/>
              <w:rPr>
                <w:sz w:val="18"/>
              </w:rPr>
            </w:pPr>
          </w:p>
        </w:tc>
        <w:tc>
          <w:tcPr>
            <w:tcW w:w="711" w:type="dxa"/>
            <w:tcBorders>
              <w:top w:val="single" w:color="000000" w:sz="4" w:space="0"/>
              <w:left w:val="single" w:color="000000" w:sz="4" w:space="0"/>
              <w:bottom w:val="single" w:color="000000" w:sz="4" w:space="0"/>
              <w:right w:val="single" w:color="000000" w:sz="4" w:space="0"/>
            </w:tcBorders>
          </w:tcPr>
          <w:p w14:paraId="567CF32C">
            <w:pPr>
              <w:pStyle w:val="29"/>
              <w:rPr>
                <w:sz w:val="18"/>
              </w:rPr>
            </w:pPr>
          </w:p>
        </w:tc>
        <w:tc>
          <w:tcPr>
            <w:tcW w:w="708" w:type="dxa"/>
            <w:tcBorders>
              <w:top w:val="single" w:color="000000" w:sz="4" w:space="0"/>
              <w:left w:val="single" w:color="000000" w:sz="4" w:space="0"/>
              <w:bottom w:val="single" w:color="000000" w:sz="4" w:space="0"/>
              <w:right w:val="single" w:color="000000" w:sz="4" w:space="0"/>
            </w:tcBorders>
          </w:tcPr>
          <w:p w14:paraId="3DFEA425">
            <w:pPr>
              <w:pStyle w:val="29"/>
              <w:rPr>
                <w:sz w:val="18"/>
              </w:rPr>
            </w:pPr>
          </w:p>
        </w:tc>
        <w:tc>
          <w:tcPr>
            <w:tcW w:w="850" w:type="dxa"/>
            <w:tcBorders>
              <w:top w:val="single" w:color="000000" w:sz="4" w:space="0"/>
              <w:left w:val="single" w:color="000000" w:sz="4" w:space="0"/>
              <w:bottom w:val="single" w:color="000000" w:sz="4" w:space="0"/>
              <w:right w:val="nil"/>
            </w:tcBorders>
          </w:tcPr>
          <w:p w14:paraId="0D2C4C63">
            <w:pPr>
              <w:pStyle w:val="29"/>
              <w:spacing w:line="202" w:lineRule="exact"/>
              <w:ind w:left="101"/>
              <w:rPr>
                <w:sz w:val="18"/>
              </w:rPr>
            </w:pPr>
            <w:r>
              <w:rPr>
                <w:spacing w:val="-2"/>
                <w:sz w:val="18"/>
              </w:rPr>
              <w:t>0.909</w:t>
            </w:r>
          </w:p>
        </w:tc>
      </w:tr>
      <w:tr w14:paraId="3578E1F0">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414" w:hRule="atLeast"/>
        </w:trPr>
        <w:tc>
          <w:tcPr>
            <w:tcW w:w="866" w:type="dxa"/>
            <w:tcBorders>
              <w:top w:val="single" w:color="000000" w:sz="4" w:space="0"/>
              <w:left w:val="nil"/>
              <w:bottom w:val="single" w:color="000000" w:sz="4" w:space="0"/>
              <w:right w:val="single" w:color="000000" w:sz="4" w:space="0"/>
            </w:tcBorders>
            <w:shd w:val="clear" w:color="auto" w:fill="ECECEC"/>
          </w:tcPr>
          <w:p w14:paraId="033E6EE6">
            <w:pPr>
              <w:pStyle w:val="29"/>
              <w:spacing w:line="202" w:lineRule="exact"/>
              <w:ind w:left="122"/>
              <w:rPr>
                <w:sz w:val="18"/>
              </w:rPr>
            </w:pPr>
            <w:r>
              <w:rPr>
                <w:spacing w:val="-5"/>
                <w:sz w:val="18"/>
              </w:rPr>
              <w:t>4b</w:t>
            </w:r>
          </w:p>
        </w:tc>
        <w:tc>
          <w:tcPr>
            <w:tcW w:w="4251" w:type="dxa"/>
            <w:tcBorders>
              <w:top w:val="single" w:color="000000" w:sz="4" w:space="0"/>
              <w:left w:val="single" w:color="000000" w:sz="4" w:space="0"/>
              <w:bottom w:val="single" w:color="000000" w:sz="4" w:space="0"/>
              <w:right w:val="single" w:color="000000" w:sz="4" w:space="0"/>
            </w:tcBorders>
            <w:shd w:val="clear" w:color="auto" w:fill="ECECEC"/>
          </w:tcPr>
          <w:p w14:paraId="293BD9F3">
            <w:pPr>
              <w:pStyle w:val="29"/>
              <w:spacing w:line="202" w:lineRule="exact"/>
              <w:ind w:left="100"/>
              <w:rPr>
                <w:sz w:val="18"/>
              </w:rPr>
            </w:pPr>
            <w:r>
              <w:rPr>
                <w:spacing w:val="-2"/>
                <w:sz w:val="18"/>
              </w:rPr>
              <w:t>Günlük</w:t>
            </w:r>
            <w:r>
              <w:rPr>
                <w:spacing w:val="2"/>
                <w:sz w:val="18"/>
              </w:rPr>
              <w:t xml:space="preserve"> </w:t>
            </w:r>
            <w:r>
              <w:rPr>
                <w:spacing w:val="-2"/>
                <w:sz w:val="18"/>
              </w:rPr>
              <w:t>uğraşlarınızı</w:t>
            </w:r>
            <w:r>
              <w:rPr>
                <w:spacing w:val="6"/>
                <w:sz w:val="18"/>
              </w:rPr>
              <w:t xml:space="preserve"> </w:t>
            </w:r>
            <w:r>
              <w:rPr>
                <w:spacing w:val="-2"/>
                <w:sz w:val="18"/>
              </w:rPr>
              <w:t>yürütebilmek</w:t>
            </w:r>
            <w:r>
              <w:rPr>
                <w:spacing w:val="3"/>
                <w:sz w:val="18"/>
              </w:rPr>
              <w:t xml:space="preserve"> </w:t>
            </w:r>
            <w:r>
              <w:rPr>
                <w:spacing w:val="-2"/>
                <w:sz w:val="18"/>
              </w:rPr>
              <w:t>için</w:t>
            </w:r>
            <w:r>
              <w:rPr>
                <w:spacing w:val="3"/>
                <w:sz w:val="18"/>
              </w:rPr>
              <w:t xml:space="preserve"> </w:t>
            </w:r>
            <w:r>
              <w:rPr>
                <w:spacing w:val="-2"/>
                <w:sz w:val="18"/>
              </w:rPr>
              <w:t>herhangi</w:t>
            </w:r>
            <w:r>
              <w:rPr>
                <w:spacing w:val="3"/>
                <w:sz w:val="18"/>
              </w:rPr>
              <w:t xml:space="preserve"> </w:t>
            </w:r>
            <w:r>
              <w:rPr>
                <w:spacing w:val="-2"/>
                <w:sz w:val="18"/>
              </w:rPr>
              <w:t>bir</w:t>
            </w:r>
            <w:r>
              <w:rPr>
                <w:spacing w:val="3"/>
                <w:sz w:val="18"/>
              </w:rPr>
              <w:t xml:space="preserve"> </w:t>
            </w:r>
            <w:r>
              <w:rPr>
                <w:spacing w:val="-4"/>
                <w:sz w:val="18"/>
              </w:rPr>
              <w:t>tıbbi</w:t>
            </w:r>
          </w:p>
          <w:p w14:paraId="75DD8620">
            <w:pPr>
              <w:pStyle w:val="29"/>
              <w:spacing w:line="193" w:lineRule="exact"/>
              <w:ind w:left="100"/>
              <w:rPr>
                <w:sz w:val="18"/>
              </w:rPr>
            </w:pPr>
            <w:r>
              <w:rPr>
                <w:sz w:val="18"/>
              </w:rPr>
              <w:t>tedaviye</w:t>
            </w:r>
            <w:r>
              <w:rPr>
                <w:spacing w:val="-4"/>
                <w:sz w:val="18"/>
              </w:rPr>
              <w:t xml:space="preserve"> </w:t>
            </w:r>
            <w:r>
              <w:rPr>
                <w:sz w:val="18"/>
              </w:rPr>
              <w:t>ne</w:t>
            </w:r>
            <w:r>
              <w:rPr>
                <w:spacing w:val="-3"/>
                <w:sz w:val="18"/>
              </w:rPr>
              <w:t xml:space="preserve"> </w:t>
            </w:r>
            <w:r>
              <w:rPr>
                <w:sz w:val="18"/>
              </w:rPr>
              <w:t>kadar</w:t>
            </w:r>
            <w:r>
              <w:rPr>
                <w:spacing w:val="-2"/>
                <w:sz w:val="18"/>
              </w:rPr>
              <w:t xml:space="preserve"> </w:t>
            </w:r>
            <w:r>
              <w:rPr>
                <w:sz w:val="18"/>
              </w:rPr>
              <w:t>ihtiyaç</w:t>
            </w:r>
            <w:r>
              <w:rPr>
                <w:spacing w:val="-3"/>
                <w:sz w:val="18"/>
              </w:rPr>
              <w:t xml:space="preserve"> </w:t>
            </w:r>
            <w:r>
              <w:rPr>
                <w:spacing w:val="-2"/>
                <w:sz w:val="18"/>
              </w:rPr>
              <w:t>duyuyorsunuz?</w:t>
            </w:r>
          </w:p>
        </w:tc>
        <w:tc>
          <w:tcPr>
            <w:tcW w:w="710" w:type="dxa"/>
            <w:tcBorders>
              <w:top w:val="single" w:color="000000" w:sz="4" w:space="0"/>
              <w:left w:val="single" w:color="000000" w:sz="4" w:space="0"/>
              <w:bottom w:val="single" w:color="000000" w:sz="4" w:space="0"/>
              <w:right w:val="single" w:color="000000" w:sz="4" w:space="0"/>
            </w:tcBorders>
            <w:shd w:val="clear" w:color="auto" w:fill="ECECEC"/>
          </w:tcPr>
          <w:p w14:paraId="1C7F31AD">
            <w:pPr>
              <w:pStyle w:val="29"/>
              <w:spacing w:line="202" w:lineRule="exact"/>
              <w:ind w:left="103"/>
              <w:rPr>
                <w:sz w:val="18"/>
              </w:rPr>
            </w:pPr>
            <w:r>
              <w:rPr>
                <w:spacing w:val="-2"/>
                <w:sz w:val="18"/>
              </w:rPr>
              <w:t>0.645</w:t>
            </w:r>
          </w:p>
        </w:tc>
        <w:tc>
          <w:tcPr>
            <w:tcW w:w="708" w:type="dxa"/>
            <w:tcBorders>
              <w:top w:val="single" w:color="000000" w:sz="4" w:space="0"/>
              <w:left w:val="single" w:color="000000" w:sz="4" w:space="0"/>
              <w:bottom w:val="single" w:color="000000" w:sz="4" w:space="0"/>
              <w:right w:val="single" w:color="000000" w:sz="4" w:space="0"/>
            </w:tcBorders>
            <w:shd w:val="clear" w:color="auto" w:fill="ECECEC"/>
          </w:tcPr>
          <w:p w14:paraId="7FFF018B">
            <w:pPr>
              <w:pStyle w:val="29"/>
              <w:rPr>
                <w:sz w:val="18"/>
              </w:rPr>
            </w:pPr>
          </w:p>
        </w:tc>
        <w:tc>
          <w:tcPr>
            <w:tcW w:w="711" w:type="dxa"/>
            <w:tcBorders>
              <w:top w:val="single" w:color="000000" w:sz="4" w:space="0"/>
              <w:left w:val="single" w:color="000000" w:sz="4" w:space="0"/>
              <w:bottom w:val="single" w:color="000000" w:sz="4" w:space="0"/>
              <w:right w:val="single" w:color="000000" w:sz="4" w:space="0"/>
            </w:tcBorders>
            <w:shd w:val="clear" w:color="auto" w:fill="ECECEC"/>
          </w:tcPr>
          <w:p w14:paraId="72F26D9A">
            <w:pPr>
              <w:pStyle w:val="29"/>
              <w:rPr>
                <w:sz w:val="18"/>
              </w:rPr>
            </w:pPr>
          </w:p>
        </w:tc>
        <w:tc>
          <w:tcPr>
            <w:tcW w:w="708" w:type="dxa"/>
            <w:tcBorders>
              <w:top w:val="single" w:color="000000" w:sz="4" w:space="0"/>
              <w:left w:val="single" w:color="000000" w:sz="4" w:space="0"/>
              <w:bottom w:val="single" w:color="000000" w:sz="4" w:space="0"/>
              <w:right w:val="single" w:color="000000" w:sz="4" w:space="0"/>
            </w:tcBorders>
            <w:shd w:val="clear" w:color="auto" w:fill="ECECEC"/>
          </w:tcPr>
          <w:p w14:paraId="42DE58D1">
            <w:pPr>
              <w:pStyle w:val="29"/>
              <w:rPr>
                <w:sz w:val="18"/>
              </w:rPr>
            </w:pPr>
          </w:p>
        </w:tc>
        <w:tc>
          <w:tcPr>
            <w:tcW w:w="850" w:type="dxa"/>
            <w:tcBorders>
              <w:top w:val="single" w:color="000000" w:sz="4" w:space="0"/>
              <w:left w:val="single" w:color="000000" w:sz="4" w:space="0"/>
              <w:bottom w:val="single" w:color="000000" w:sz="4" w:space="0"/>
              <w:right w:val="nil"/>
            </w:tcBorders>
            <w:shd w:val="clear" w:color="auto" w:fill="ECECEC"/>
          </w:tcPr>
          <w:p w14:paraId="177B36E9">
            <w:pPr>
              <w:pStyle w:val="29"/>
              <w:spacing w:line="202" w:lineRule="exact"/>
              <w:ind w:left="101"/>
              <w:rPr>
                <w:sz w:val="18"/>
              </w:rPr>
            </w:pPr>
            <w:r>
              <w:rPr>
                <w:spacing w:val="-2"/>
                <w:sz w:val="18"/>
              </w:rPr>
              <w:t>0.739</w:t>
            </w:r>
          </w:p>
        </w:tc>
      </w:tr>
      <w:tr w14:paraId="10A9A28E">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412" w:hRule="atLeast"/>
        </w:trPr>
        <w:tc>
          <w:tcPr>
            <w:tcW w:w="866" w:type="dxa"/>
            <w:tcBorders>
              <w:top w:val="single" w:color="000000" w:sz="4" w:space="0"/>
              <w:left w:val="nil"/>
              <w:bottom w:val="single" w:color="000000" w:sz="4" w:space="0"/>
              <w:right w:val="single" w:color="000000" w:sz="4" w:space="0"/>
            </w:tcBorders>
          </w:tcPr>
          <w:p w14:paraId="77101A30">
            <w:pPr>
              <w:pStyle w:val="29"/>
              <w:spacing w:line="207" w:lineRule="exact"/>
              <w:ind w:left="122"/>
              <w:rPr>
                <w:b/>
                <w:sz w:val="18"/>
              </w:rPr>
            </w:pPr>
            <w:r>
              <w:rPr>
                <w:b/>
                <w:spacing w:val="-5"/>
                <w:sz w:val="18"/>
              </w:rPr>
              <w:t>10b</w:t>
            </w:r>
          </w:p>
        </w:tc>
        <w:tc>
          <w:tcPr>
            <w:tcW w:w="4251" w:type="dxa"/>
            <w:tcBorders>
              <w:top w:val="single" w:color="000000" w:sz="4" w:space="0"/>
              <w:left w:val="single" w:color="000000" w:sz="4" w:space="0"/>
              <w:bottom w:val="single" w:color="000000" w:sz="4" w:space="0"/>
              <w:right w:val="single" w:color="000000" w:sz="4" w:space="0"/>
            </w:tcBorders>
          </w:tcPr>
          <w:p w14:paraId="25DD954E">
            <w:pPr>
              <w:pStyle w:val="29"/>
              <w:spacing w:line="202" w:lineRule="exact"/>
              <w:ind w:left="100"/>
              <w:rPr>
                <w:sz w:val="18"/>
              </w:rPr>
            </w:pPr>
            <w:r>
              <w:rPr>
                <w:sz w:val="18"/>
              </w:rPr>
              <w:t>Günlük</w:t>
            </w:r>
            <w:r>
              <w:rPr>
                <w:spacing w:val="42"/>
                <w:sz w:val="18"/>
              </w:rPr>
              <w:t xml:space="preserve">  </w:t>
            </w:r>
            <w:r>
              <w:rPr>
                <w:sz w:val="18"/>
              </w:rPr>
              <w:t>yaşamı</w:t>
            </w:r>
            <w:r>
              <w:rPr>
                <w:spacing w:val="41"/>
                <w:sz w:val="18"/>
              </w:rPr>
              <w:t xml:space="preserve">  </w:t>
            </w:r>
            <w:r>
              <w:rPr>
                <w:sz w:val="18"/>
              </w:rPr>
              <w:t>sürdürmek</w:t>
            </w:r>
            <w:r>
              <w:rPr>
                <w:spacing w:val="41"/>
                <w:sz w:val="18"/>
              </w:rPr>
              <w:t xml:space="preserve">  </w:t>
            </w:r>
            <w:r>
              <w:rPr>
                <w:sz w:val="18"/>
              </w:rPr>
              <w:t>için</w:t>
            </w:r>
            <w:r>
              <w:rPr>
                <w:spacing w:val="42"/>
                <w:sz w:val="18"/>
              </w:rPr>
              <w:t xml:space="preserve">  </w:t>
            </w:r>
            <w:r>
              <w:rPr>
                <w:sz w:val="18"/>
              </w:rPr>
              <w:t>yeterli</w:t>
            </w:r>
            <w:r>
              <w:rPr>
                <w:spacing w:val="41"/>
                <w:sz w:val="18"/>
              </w:rPr>
              <w:t xml:space="preserve">  </w:t>
            </w:r>
            <w:r>
              <w:rPr>
                <w:spacing w:val="-2"/>
                <w:sz w:val="18"/>
              </w:rPr>
              <w:t>gücünüz</w:t>
            </w:r>
          </w:p>
          <w:p w14:paraId="7F8228BE">
            <w:pPr>
              <w:pStyle w:val="29"/>
              <w:spacing w:line="191" w:lineRule="exact"/>
              <w:ind w:left="100"/>
              <w:rPr>
                <w:sz w:val="18"/>
              </w:rPr>
            </w:pPr>
            <w:r>
              <w:rPr>
                <w:sz w:val="18"/>
              </w:rPr>
              <w:t>kuvvetiniz</w:t>
            </w:r>
            <w:r>
              <w:rPr>
                <w:spacing w:val="-4"/>
                <w:sz w:val="18"/>
              </w:rPr>
              <w:t xml:space="preserve"> </w:t>
            </w:r>
            <w:r>
              <w:rPr>
                <w:sz w:val="18"/>
              </w:rPr>
              <w:t>var</w:t>
            </w:r>
            <w:r>
              <w:rPr>
                <w:spacing w:val="-1"/>
                <w:sz w:val="18"/>
              </w:rPr>
              <w:t xml:space="preserve"> </w:t>
            </w:r>
            <w:r>
              <w:rPr>
                <w:spacing w:val="-5"/>
                <w:sz w:val="18"/>
              </w:rPr>
              <w:t>mı?</w:t>
            </w:r>
          </w:p>
        </w:tc>
        <w:tc>
          <w:tcPr>
            <w:tcW w:w="710" w:type="dxa"/>
            <w:tcBorders>
              <w:top w:val="single" w:color="000000" w:sz="4" w:space="0"/>
              <w:left w:val="single" w:color="000000" w:sz="4" w:space="0"/>
              <w:bottom w:val="single" w:color="000000" w:sz="4" w:space="0"/>
              <w:right w:val="single" w:color="000000" w:sz="4" w:space="0"/>
            </w:tcBorders>
          </w:tcPr>
          <w:p w14:paraId="6BB1A68A">
            <w:pPr>
              <w:pStyle w:val="29"/>
              <w:spacing w:line="202" w:lineRule="exact"/>
              <w:ind w:left="103"/>
              <w:rPr>
                <w:sz w:val="18"/>
              </w:rPr>
            </w:pPr>
            <w:r>
              <w:rPr>
                <w:spacing w:val="-2"/>
                <w:sz w:val="18"/>
              </w:rPr>
              <w:t>0.598</w:t>
            </w:r>
          </w:p>
        </w:tc>
        <w:tc>
          <w:tcPr>
            <w:tcW w:w="708" w:type="dxa"/>
            <w:tcBorders>
              <w:top w:val="single" w:color="000000" w:sz="4" w:space="0"/>
              <w:left w:val="single" w:color="000000" w:sz="4" w:space="0"/>
              <w:bottom w:val="single" w:color="000000" w:sz="4" w:space="0"/>
              <w:right w:val="single" w:color="000000" w:sz="4" w:space="0"/>
            </w:tcBorders>
          </w:tcPr>
          <w:p w14:paraId="4A324190">
            <w:pPr>
              <w:pStyle w:val="29"/>
              <w:rPr>
                <w:sz w:val="18"/>
              </w:rPr>
            </w:pPr>
          </w:p>
        </w:tc>
        <w:tc>
          <w:tcPr>
            <w:tcW w:w="711" w:type="dxa"/>
            <w:tcBorders>
              <w:top w:val="single" w:color="000000" w:sz="4" w:space="0"/>
              <w:left w:val="single" w:color="000000" w:sz="4" w:space="0"/>
              <w:bottom w:val="single" w:color="000000" w:sz="4" w:space="0"/>
              <w:right w:val="single" w:color="000000" w:sz="4" w:space="0"/>
            </w:tcBorders>
          </w:tcPr>
          <w:p w14:paraId="6C9BDC5D">
            <w:pPr>
              <w:pStyle w:val="29"/>
              <w:rPr>
                <w:sz w:val="18"/>
              </w:rPr>
            </w:pPr>
          </w:p>
        </w:tc>
        <w:tc>
          <w:tcPr>
            <w:tcW w:w="708" w:type="dxa"/>
            <w:tcBorders>
              <w:top w:val="single" w:color="000000" w:sz="4" w:space="0"/>
              <w:left w:val="single" w:color="000000" w:sz="4" w:space="0"/>
              <w:bottom w:val="single" w:color="000000" w:sz="4" w:space="0"/>
              <w:right w:val="single" w:color="000000" w:sz="4" w:space="0"/>
            </w:tcBorders>
          </w:tcPr>
          <w:p w14:paraId="44FD6C16">
            <w:pPr>
              <w:pStyle w:val="29"/>
              <w:rPr>
                <w:sz w:val="18"/>
              </w:rPr>
            </w:pPr>
          </w:p>
        </w:tc>
        <w:tc>
          <w:tcPr>
            <w:tcW w:w="850" w:type="dxa"/>
            <w:tcBorders>
              <w:top w:val="single" w:color="000000" w:sz="4" w:space="0"/>
              <w:left w:val="single" w:color="000000" w:sz="4" w:space="0"/>
              <w:bottom w:val="single" w:color="000000" w:sz="4" w:space="0"/>
              <w:right w:val="nil"/>
            </w:tcBorders>
          </w:tcPr>
          <w:p w14:paraId="21487BCA">
            <w:pPr>
              <w:pStyle w:val="29"/>
              <w:spacing w:line="202" w:lineRule="exact"/>
              <w:ind w:left="101"/>
              <w:rPr>
                <w:sz w:val="18"/>
              </w:rPr>
            </w:pPr>
            <w:r>
              <w:rPr>
                <w:spacing w:val="-2"/>
                <w:sz w:val="18"/>
              </w:rPr>
              <w:t>0.862</w:t>
            </w:r>
          </w:p>
        </w:tc>
      </w:tr>
      <w:tr w14:paraId="5A483126">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208" w:hRule="atLeast"/>
        </w:trPr>
        <w:tc>
          <w:tcPr>
            <w:tcW w:w="866" w:type="dxa"/>
            <w:tcBorders>
              <w:top w:val="single" w:color="000000" w:sz="4" w:space="0"/>
              <w:left w:val="nil"/>
              <w:bottom w:val="single" w:color="000000" w:sz="4" w:space="0"/>
              <w:right w:val="single" w:color="000000" w:sz="4" w:space="0"/>
            </w:tcBorders>
            <w:shd w:val="clear" w:color="auto" w:fill="ECECEC"/>
          </w:tcPr>
          <w:p w14:paraId="2E889372">
            <w:pPr>
              <w:pStyle w:val="29"/>
              <w:spacing w:line="188" w:lineRule="exact"/>
              <w:ind w:left="122"/>
              <w:rPr>
                <w:b/>
                <w:sz w:val="18"/>
              </w:rPr>
            </w:pPr>
            <w:r>
              <w:rPr>
                <w:b/>
                <w:spacing w:val="-5"/>
                <w:sz w:val="18"/>
              </w:rPr>
              <w:t>15b</w:t>
            </w:r>
          </w:p>
        </w:tc>
        <w:tc>
          <w:tcPr>
            <w:tcW w:w="4251" w:type="dxa"/>
            <w:tcBorders>
              <w:top w:val="single" w:color="000000" w:sz="4" w:space="0"/>
              <w:left w:val="single" w:color="000000" w:sz="4" w:space="0"/>
              <w:bottom w:val="single" w:color="000000" w:sz="4" w:space="0"/>
              <w:right w:val="single" w:color="000000" w:sz="4" w:space="0"/>
            </w:tcBorders>
            <w:shd w:val="clear" w:color="auto" w:fill="ECECEC"/>
          </w:tcPr>
          <w:p w14:paraId="14874905">
            <w:pPr>
              <w:pStyle w:val="29"/>
              <w:spacing w:line="188" w:lineRule="exact"/>
              <w:ind w:left="100"/>
              <w:rPr>
                <w:sz w:val="18"/>
              </w:rPr>
            </w:pPr>
            <w:r>
              <w:rPr>
                <w:sz w:val="18"/>
              </w:rPr>
              <w:t>Bedensel</w:t>
            </w:r>
            <w:r>
              <w:rPr>
                <w:spacing w:val="-3"/>
                <w:sz w:val="18"/>
              </w:rPr>
              <w:t xml:space="preserve"> </w:t>
            </w:r>
            <w:r>
              <w:rPr>
                <w:sz w:val="18"/>
              </w:rPr>
              <w:t>hareketlilik</w:t>
            </w:r>
            <w:r>
              <w:rPr>
                <w:spacing w:val="-3"/>
                <w:sz w:val="18"/>
              </w:rPr>
              <w:t xml:space="preserve"> </w:t>
            </w:r>
            <w:r>
              <w:rPr>
                <w:sz w:val="18"/>
              </w:rPr>
              <w:t>beceriniz</w:t>
            </w:r>
            <w:r>
              <w:rPr>
                <w:spacing w:val="-2"/>
                <w:sz w:val="18"/>
              </w:rPr>
              <w:t xml:space="preserve"> nasıldır?</w:t>
            </w:r>
          </w:p>
        </w:tc>
        <w:tc>
          <w:tcPr>
            <w:tcW w:w="710" w:type="dxa"/>
            <w:tcBorders>
              <w:top w:val="single" w:color="000000" w:sz="4" w:space="0"/>
              <w:left w:val="single" w:color="000000" w:sz="4" w:space="0"/>
              <w:bottom w:val="single" w:color="000000" w:sz="4" w:space="0"/>
              <w:right w:val="single" w:color="000000" w:sz="4" w:space="0"/>
            </w:tcBorders>
            <w:shd w:val="clear" w:color="auto" w:fill="ECECEC"/>
          </w:tcPr>
          <w:p w14:paraId="046BC82E">
            <w:pPr>
              <w:pStyle w:val="29"/>
              <w:spacing w:line="188" w:lineRule="exact"/>
              <w:ind w:left="103"/>
              <w:rPr>
                <w:sz w:val="18"/>
              </w:rPr>
            </w:pPr>
            <w:r>
              <w:rPr>
                <w:spacing w:val="-2"/>
                <w:sz w:val="18"/>
              </w:rPr>
              <w:t>0.623</w:t>
            </w:r>
          </w:p>
        </w:tc>
        <w:tc>
          <w:tcPr>
            <w:tcW w:w="708" w:type="dxa"/>
            <w:tcBorders>
              <w:top w:val="single" w:color="000000" w:sz="4" w:space="0"/>
              <w:left w:val="single" w:color="000000" w:sz="4" w:space="0"/>
              <w:bottom w:val="single" w:color="000000" w:sz="4" w:space="0"/>
              <w:right w:val="single" w:color="000000" w:sz="4" w:space="0"/>
            </w:tcBorders>
            <w:shd w:val="clear" w:color="auto" w:fill="ECECEC"/>
          </w:tcPr>
          <w:p w14:paraId="5DF3DF5E">
            <w:pPr>
              <w:pStyle w:val="29"/>
              <w:rPr>
                <w:sz w:val="14"/>
              </w:rPr>
            </w:pPr>
          </w:p>
        </w:tc>
        <w:tc>
          <w:tcPr>
            <w:tcW w:w="711" w:type="dxa"/>
            <w:tcBorders>
              <w:top w:val="single" w:color="000000" w:sz="4" w:space="0"/>
              <w:left w:val="single" w:color="000000" w:sz="4" w:space="0"/>
              <w:bottom w:val="single" w:color="000000" w:sz="4" w:space="0"/>
              <w:right w:val="single" w:color="000000" w:sz="4" w:space="0"/>
            </w:tcBorders>
            <w:shd w:val="clear" w:color="auto" w:fill="ECECEC"/>
          </w:tcPr>
          <w:p w14:paraId="0D2687BF">
            <w:pPr>
              <w:pStyle w:val="29"/>
              <w:rPr>
                <w:sz w:val="14"/>
              </w:rPr>
            </w:pPr>
          </w:p>
        </w:tc>
        <w:tc>
          <w:tcPr>
            <w:tcW w:w="708" w:type="dxa"/>
            <w:tcBorders>
              <w:top w:val="single" w:color="000000" w:sz="4" w:space="0"/>
              <w:left w:val="single" w:color="000000" w:sz="4" w:space="0"/>
              <w:bottom w:val="single" w:color="000000" w:sz="4" w:space="0"/>
              <w:right w:val="single" w:color="000000" w:sz="4" w:space="0"/>
            </w:tcBorders>
            <w:shd w:val="clear" w:color="auto" w:fill="ECECEC"/>
          </w:tcPr>
          <w:p w14:paraId="6E5D5A2A">
            <w:pPr>
              <w:pStyle w:val="29"/>
              <w:rPr>
                <w:sz w:val="14"/>
              </w:rPr>
            </w:pPr>
          </w:p>
        </w:tc>
        <w:tc>
          <w:tcPr>
            <w:tcW w:w="850" w:type="dxa"/>
            <w:tcBorders>
              <w:top w:val="single" w:color="000000" w:sz="4" w:space="0"/>
              <w:left w:val="single" w:color="000000" w:sz="4" w:space="0"/>
              <w:bottom w:val="single" w:color="000000" w:sz="4" w:space="0"/>
              <w:right w:val="nil"/>
            </w:tcBorders>
            <w:shd w:val="clear" w:color="auto" w:fill="ECECEC"/>
          </w:tcPr>
          <w:p w14:paraId="052C21B1">
            <w:pPr>
              <w:pStyle w:val="29"/>
              <w:spacing w:line="188" w:lineRule="exact"/>
              <w:ind w:left="101"/>
              <w:rPr>
                <w:sz w:val="18"/>
              </w:rPr>
            </w:pPr>
            <w:r>
              <w:rPr>
                <w:spacing w:val="-2"/>
                <w:sz w:val="18"/>
              </w:rPr>
              <w:t>0.878</w:t>
            </w:r>
          </w:p>
        </w:tc>
      </w:tr>
      <w:tr w14:paraId="6B994CE7">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206" w:hRule="atLeast"/>
        </w:trPr>
        <w:tc>
          <w:tcPr>
            <w:tcW w:w="866" w:type="dxa"/>
            <w:tcBorders>
              <w:top w:val="single" w:color="000000" w:sz="4" w:space="0"/>
              <w:left w:val="nil"/>
              <w:bottom w:val="single" w:color="000000" w:sz="4" w:space="0"/>
              <w:right w:val="single" w:color="000000" w:sz="4" w:space="0"/>
            </w:tcBorders>
          </w:tcPr>
          <w:p w14:paraId="4001AC46">
            <w:pPr>
              <w:pStyle w:val="29"/>
              <w:spacing w:line="186" w:lineRule="exact"/>
              <w:ind w:left="122"/>
              <w:rPr>
                <w:b/>
                <w:sz w:val="18"/>
              </w:rPr>
            </w:pPr>
            <w:r>
              <w:rPr>
                <w:b/>
                <w:spacing w:val="-5"/>
                <w:sz w:val="18"/>
              </w:rPr>
              <w:t>16b</w:t>
            </w:r>
          </w:p>
        </w:tc>
        <w:tc>
          <w:tcPr>
            <w:tcW w:w="4251" w:type="dxa"/>
            <w:tcBorders>
              <w:top w:val="single" w:color="000000" w:sz="4" w:space="0"/>
              <w:left w:val="single" w:color="000000" w:sz="4" w:space="0"/>
              <w:bottom w:val="single" w:color="000000" w:sz="4" w:space="0"/>
              <w:right w:val="single" w:color="000000" w:sz="4" w:space="0"/>
            </w:tcBorders>
          </w:tcPr>
          <w:p w14:paraId="5A85A4D0">
            <w:pPr>
              <w:pStyle w:val="29"/>
              <w:spacing w:line="186" w:lineRule="exact"/>
              <w:ind w:left="100"/>
              <w:rPr>
                <w:sz w:val="18"/>
              </w:rPr>
            </w:pPr>
            <w:r>
              <w:rPr>
                <w:sz w:val="18"/>
              </w:rPr>
              <w:t>Uykunuzdan</w:t>
            </w:r>
            <w:r>
              <w:rPr>
                <w:spacing w:val="-1"/>
                <w:sz w:val="18"/>
              </w:rPr>
              <w:t xml:space="preserve"> </w:t>
            </w:r>
            <w:r>
              <w:rPr>
                <w:sz w:val="18"/>
              </w:rPr>
              <w:t>ne</w:t>
            </w:r>
            <w:r>
              <w:rPr>
                <w:spacing w:val="-3"/>
                <w:sz w:val="18"/>
              </w:rPr>
              <w:t xml:space="preserve"> </w:t>
            </w:r>
            <w:r>
              <w:rPr>
                <w:sz w:val="18"/>
              </w:rPr>
              <w:t>kadar</w:t>
            </w:r>
            <w:r>
              <w:rPr>
                <w:spacing w:val="-3"/>
                <w:sz w:val="18"/>
              </w:rPr>
              <w:t xml:space="preserve"> </w:t>
            </w:r>
            <w:r>
              <w:rPr>
                <w:spacing w:val="-2"/>
                <w:sz w:val="18"/>
              </w:rPr>
              <w:t>hoşnutsunuz?</w:t>
            </w:r>
          </w:p>
        </w:tc>
        <w:tc>
          <w:tcPr>
            <w:tcW w:w="710" w:type="dxa"/>
            <w:tcBorders>
              <w:top w:val="single" w:color="000000" w:sz="4" w:space="0"/>
              <w:left w:val="single" w:color="000000" w:sz="4" w:space="0"/>
              <w:bottom w:val="single" w:color="000000" w:sz="4" w:space="0"/>
              <w:right w:val="single" w:color="000000" w:sz="4" w:space="0"/>
            </w:tcBorders>
          </w:tcPr>
          <w:p w14:paraId="6265B1C6">
            <w:pPr>
              <w:pStyle w:val="29"/>
              <w:spacing w:line="186" w:lineRule="exact"/>
              <w:ind w:left="103"/>
              <w:rPr>
                <w:sz w:val="18"/>
              </w:rPr>
            </w:pPr>
            <w:r>
              <w:rPr>
                <w:spacing w:val="-2"/>
                <w:sz w:val="18"/>
              </w:rPr>
              <w:t>0.610</w:t>
            </w:r>
          </w:p>
        </w:tc>
        <w:tc>
          <w:tcPr>
            <w:tcW w:w="708" w:type="dxa"/>
            <w:tcBorders>
              <w:top w:val="single" w:color="000000" w:sz="4" w:space="0"/>
              <w:left w:val="single" w:color="000000" w:sz="4" w:space="0"/>
              <w:bottom w:val="single" w:color="000000" w:sz="4" w:space="0"/>
              <w:right w:val="single" w:color="000000" w:sz="4" w:space="0"/>
            </w:tcBorders>
          </w:tcPr>
          <w:p w14:paraId="3377B81F">
            <w:pPr>
              <w:pStyle w:val="29"/>
              <w:rPr>
                <w:sz w:val="14"/>
              </w:rPr>
            </w:pPr>
          </w:p>
        </w:tc>
        <w:tc>
          <w:tcPr>
            <w:tcW w:w="711" w:type="dxa"/>
            <w:tcBorders>
              <w:top w:val="single" w:color="000000" w:sz="4" w:space="0"/>
              <w:left w:val="single" w:color="000000" w:sz="4" w:space="0"/>
              <w:bottom w:val="single" w:color="000000" w:sz="4" w:space="0"/>
              <w:right w:val="single" w:color="000000" w:sz="4" w:space="0"/>
            </w:tcBorders>
          </w:tcPr>
          <w:p w14:paraId="3CB8E774">
            <w:pPr>
              <w:pStyle w:val="29"/>
              <w:rPr>
                <w:sz w:val="14"/>
              </w:rPr>
            </w:pPr>
          </w:p>
        </w:tc>
        <w:tc>
          <w:tcPr>
            <w:tcW w:w="708" w:type="dxa"/>
            <w:tcBorders>
              <w:top w:val="single" w:color="000000" w:sz="4" w:space="0"/>
              <w:left w:val="single" w:color="000000" w:sz="4" w:space="0"/>
              <w:bottom w:val="single" w:color="000000" w:sz="4" w:space="0"/>
              <w:right w:val="single" w:color="000000" w:sz="4" w:space="0"/>
            </w:tcBorders>
          </w:tcPr>
          <w:p w14:paraId="50573EAA">
            <w:pPr>
              <w:pStyle w:val="29"/>
              <w:rPr>
                <w:sz w:val="14"/>
              </w:rPr>
            </w:pPr>
          </w:p>
        </w:tc>
        <w:tc>
          <w:tcPr>
            <w:tcW w:w="850" w:type="dxa"/>
            <w:tcBorders>
              <w:top w:val="single" w:color="000000" w:sz="4" w:space="0"/>
              <w:left w:val="single" w:color="000000" w:sz="4" w:space="0"/>
              <w:bottom w:val="single" w:color="000000" w:sz="4" w:space="0"/>
              <w:right w:val="nil"/>
            </w:tcBorders>
          </w:tcPr>
          <w:p w14:paraId="72B9E020">
            <w:pPr>
              <w:pStyle w:val="29"/>
              <w:spacing w:line="186" w:lineRule="exact"/>
              <w:ind w:left="101"/>
              <w:rPr>
                <w:sz w:val="18"/>
              </w:rPr>
            </w:pPr>
            <w:r>
              <w:rPr>
                <w:spacing w:val="-2"/>
                <w:sz w:val="18"/>
              </w:rPr>
              <w:t>0.931</w:t>
            </w:r>
          </w:p>
        </w:tc>
      </w:tr>
      <w:tr w14:paraId="45CB3198">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414" w:hRule="atLeast"/>
        </w:trPr>
        <w:tc>
          <w:tcPr>
            <w:tcW w:w="866" w:type="dxa"/>
            <w:tcBorders>
              <w:top w:val="single" w:color="000000" w:sz="4" w:space="0"/>
              <w:left w:val="nil"/>
              <w:bottom w:val="single" w:color="000000" w:sz="4" w:space="0"/>
              <w:right w:val="single" w:color="000000" w:sz="4" w:space="0"/>
            </w:tcBorders>
            <w:shd w:val="clear" w:color="auto" w:fill="ECECEC"/>
          </w:tcPr>
          <w:p w14:paraId="1586A354">
            <w:pPr>
              <w:pStyle w:val="29"/>
              <w:spacing w:line="207" w:lineRule="exact"/>
              <w:ind w:left="122"/>
              <w:rPr>
                <w:b/>
                <w:sz w:val="18"/>
              </w:rPr>
            </w:pPr>
            <w:r>
              <w:rPr>
                <w:b/>
                <w:spacing w:val="-5"/>
                <w:sz w:val="18"/>
              </w:rPr>
              <w:t>17b</w:t>
            </w:r>
          </w:p>
        </w:tc>
        <w:tc>
          <w:tcPr>
            <w:tcW w:w="4251" w:type="dxa"/>
            <w:tcBorders>
              <w:top w:val="single" w:color="000000" w:sz="4" w:space="0"/>
              <w:left w:val="single" w:color="000000" w:sz="4" w:space="0"/>
              <w:bottom w:val="single" w:color="000000" w:sz="4" w:space="0"/>
              <w:right w:val="single" w:color="000000" w:sz="4" w:space="0"/>
            </w:tcBorders>
            <w:shd w:val="clear" w:color="auto" w:fill="ECECEC"/>
          </w:tcPr>
          <w:p w14:paraId="4AA43722">
            <w:pPr>
              <w:pStyle w:val="29"/>
              <w:spacing w:line="202" w:lineRule="exact"/>
              <w:ind w:left="100"/>
              <w:rPr>
                <w:sz w:val="18"/>
              </w:rPr>
            </w:pPr>
            <w:r>
              <w:rPr>
                <w:sz w:val="18"/>
              </w:rPr>
              <w:t>Günlük</w:t>
            </w:r>
            <w:r>
              <w:rPr>
                <w:spacing w:val="-1"/>
                <w:sz w:val="18"/>
              </w:rPr>
              <w:t xml:space="preserve"> </w:t>
            </w:r>
            <w:r>
              <w:rPr>
                <w:sz w:val="18"/>
              </w:rPr>
              <w:t>uğraşlarınızı yürütebilme</w:t>
            </w:r>
            <w:r>
              <w:rPr>
                <w:spacing w:val="2"/>
                <w:sz w:val="18"/>
              </w:rPr>
              <w:t xml:space="preserve"> </w:t>
            </w:r>
            <w:r>
              <w:rPr>
                <w:sz w:val="18"/>
              </w:rPr>
              <w:t>becerinizden</w:t>
            </w:r>
            <w:r>
              <w:rPr>
                <w:spacing w:val="-1"/>
                <w:sz w:val="18"/>
              </w:rPr>
              <w:t xml:space="preserve"> </w:t>
            </w:r>
            <w:r>
              <w:rPr>
                <w:sz w:val="18"/>
              </w:rPr>
              <w:t>ne</w:t>
            </w:r>
            <w:r>
              <w:rPr>
                <w:spacing w:val="1"/>
                <w:sz w:val="18"/>
              </w:rPr>
              <w:t xml:space="preserve"> </w:t>
            </w:r>
            <w:r>
              <w:rPr>
                <w:spacing w:val="-4"/>
                <w:sz w:val="18"/>
              </w:rPr>
              <w:t>kadar</w:t>
            </w:r>
          </w:p>
          <w:p w14:paraId="395D9E88">
            <w:pPr>
              <w:pStyle w:val="29"/>
              <w:spacing w:line="193" w:lineRule="exact"/>
              <w:ind w:left="100"/>
              <w:rPr>
                <w:sz w:val="18"/>
              </w:rPr>
            </w:pPr>
            <w:r>
              <w:rPr>
                <w:spacing w:val="-2"/>
                <w:sz w:val="18"/>
              </w:rPr>
              <w:t>hoşnutsunuz?</w:t>
            </w:r>
          </w:p>
        </w:tc>
        <w:tc>
          <w:tcPr>
            <w:tcW w:w="710" w:type="dxa"/>
            <w:tcBorders>
              <w:top w:val="single" w:color="000000" w:sz="4" w:space="0"/>
              <w:left w:val="single" w:color="000000" w:sz="4" w:space="0"/>
              <w:bottom w:val="single" w:color="000000" w:sz="4" w:space="0"/>
              <w:right w:val="single" w:color="000000" w:sz="4" w:space="0"/>
            </w:tcBorders>
            <w:shd w:val="clear" w:color="auto" w:fill="ECECEC"/>
          </w:tcPr>
          <w:p w14:paraId="51E5056E">
            <w:pPr>
              <w:pStyle w:val="29"/>
              <w:spacing w:line="202" w:lineRule="exact"/>
              <w:ind w:left="103"/>
              <w:rPr>
                <w:sz w:val="18"/>
              </w:rPr>
            </w:pPr>
            <w:r>
              <w:rPr>
                <w:spacing w:val="-2"/>
                <w:sz w:val="18"/>
              </w:rPr>
              <w:t>0.598</w:t>
            </w:r>
          </w:p>
        </w:tc>
        <w:tc>
          <w:tcPr>
            <w:tcW w:w="708" w:type="dxa"/>
            <w:tcBorders>
              <w:top w:val="single" w:color="000000" w:sz="4" w:space="0"/>
              <w:left w:val="single" w:color="000000" w:sz="4" w:space="0"/>
              <w:bottom w:val="single" w:color="000000" w:sz="4" w:space="0"/>
              <w:right w:val="single" w:color="000000" w:sz="4" w:space="0"/>
            </w:tcBorders>
            <w:shd w:val="clear" w:color="auto" w:fill="ECECEC"/>
          </w:tcPr>
          <w:p w14:paraId="0D634C2B">
            <w:pPr>
              <w:pStyle w:val="29"/>
              <w:rPr>
                <w:sz w:val="18"/>
              </w:rPr>
            </w:pPr>
          </w:p>
        </w:tc>
        <w:tc>
          <w:tcPr>
            <w:tcW w:w="711" w:type="dxa"/>
            <w:tcBorders>
              <w:top w:val="single" w:color="000000" w:sz="4" w:space="0"/>
              <w:left w:val="single" w:color="000000" w:sz="4" w:space="0"/>
              <w:bottom w:val="single" w:color="000000" w:sz="4" w:space="0"/>
              <w:right w:val="single" w:color="000000" w:sz="4" w:space="0"/>
            </w:tcBorders>
            <w:shd w:val="clear" w:color="auto" w:fill="ECECEC"/>
          </w:tcPr>
          <w:p w14:paraId="62110B84">
            <w:pPr>
              <w:pStyle w:val="29"/>
              <w:rPr>
                <w:sz w:val="18"/>
              </w:rPr>
            </w:pPr>
          </w:p>
        </w:tc>
        <w:tc>
          <w:tcPr>
            <w:tcW w:w="708" w:type="dxa"/>
            <w:tcBorders>
              <w:top w:val="single" w:color="000000" w:sz="4" w:space="0"/>
              <w:left w:val="single" w:color="000000" w:sz="4" w:space="0"/>
              <w:bottom w:val="single" w:color="000000" w:sz="4" w:space="0"/>
              <w:right w:val="single" w:color="000000" w:sz="4" w:space="0"/>
            </w:tcBorders>
            <w:shd w:val="clear" w:color="auto" w:fill="ECECEC"/>
          </w:tcPr>
          <w:p w14:paraId="01CDA0EE">
            <w:pPr>
              <w:pStyle w:val="29"/>
              <w:rPr>
                <w:sz w:val="18"/>
              </w:rPr>
            </w:pPr>
          </w:p>
        </w:tc>
        <w:tc>
          <w:tcPr>
            <w:tcW w:w="850" w:type="dxa"/>
            <w:tcBorders>
              <w:top w:val="single" w:color="000000" w:sz="4" w:space="0"/>
              <w:left w:val="single" w:color="000000" w:sz="4" w:space="0"/>
              <w:bottom w:val="single" w:color="000000" w:sz="4" w:space="0"/>
              <w:right w:val="nil"/>
            </w:tcBorders>
            <w:shd w:val="clear" w:color="auto" w:fill="ECECEC"/>
          </w:tcPr>
          <w:p w14:paraId="5F823E5C">
            <w:pPr>
              <w:pStyle w:val="29"/>
              <w:spacing w:line="202" w:lineRule="exact"/>
              <w:ind w:left="101"/>
              <w:rPr>
                <w:sz w:val="18"/>
              </w:rPr>
            </w:pPr>
            <w:r>
              <w:rPr>
                <w:spacing w:val="-2"/>
                <w:sz w:val="18"/>
              </w:rPr>
              <w:t>0.861</w:t>
            </w:r>
          </w:p>
        </w:tc>
      </w:tr>
      <w:tr w14:paraId="4209B6F5">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PrEx>
        <w:trPr>
          <w:trHeight w:val="205" w:hRule="atLeast"/>
        </w:trPr>
        <w:tc>
          <w:tcPr>
            <w:tcW w:w="866" w:type="dxa"/>
            <w:tcBorders>
              <w:top w:val="single" w:color="000000" w:sz="4" w:space="0"/>
              <w:left w:val="nil"/>
              <w:bottom w:val="single" w:color="000000" w:sz="4" w:space="0"/>
              <w:right w:val="single" w:color="000000" w:sz="4" w:space="0"/>
            </w:tcBorders>
          </w:tcPr>
          <w:p w14:paraId="31972053">
            <w:pPr>
              <w:pStyle w:val="29"/>
              <w:spacing w:line="186" w:lineRule="exact"/>
              <w:ind w:left="122"/>
              <w:rPr>
                <w:b/>
                <w:sz w:val="18"/>
              </w:rPr>
            </w:pPr>
            <w:r>
              <w:rPr>
                <w:b/>
                <w:spacing w:val="-5"/>
                <w:sz w:val="18"/>
              </w:rPr>
              <w:t>18b</w:t>
            </w:r>
          </w:p>
        </w:tc>
        <w:tc>
          <w:tcPr>
            <w:tcW w:w="4251" w:type="dxa"/>
            <w:tcBorders>
              <w:top w:val="single" w:color="000000" w:sz="4" w:space="0"/>
              <w:left w:val="single" w:color="000000" w:sz="4" w:space="0"/>
              <w:bottom w:val="single" w:color="000000" w:sz="4" w:space="0"/>
              <w:right w:val="single" w:color="000000" w:sz="4" w:space="0"/>
            </w:tcBorders>
          </w:tcPr>
          <w:p w14:paraId="6C9EE731">
            <w:pPr>
              <w:pStyle w:val="29"/>
              <w:spacing w:line="186" w:lineRule="exact"/>
              <w:ind w:left="100"/>
              <w:rPr>
                <w:sz w:val="18"/>
              </w:rPr>
            </w:pPr>
            <w:r>
              <w:rPr>
                <w:sz w:val="18"/>
              </w:rPr>
              <w:t>İş</w:t>
            </w:r>
            <w:r>
              <w:rPr>
                <w:spacing w:val="-3"/>
                <w:sz w:val="18"/>
              </w:rPr>
              <w:t xml:space="preserve"> </w:t>
            </w:r>
            <w:r>
              <w:rPr>
                <w:sz w:val="18"/>
              </w:rPr>
              <w:t>görme</w:t>
            </w:r>
            <w:r>
              <w:rPr>
                <w:spacing w:val="-3"/>
                <w:sz w:val="18"/>
              </w:rPr>
              <w:t xml:space="preserve"> </w:t>
            </w:r>
            <w:r>
              <w:rPr>
                <w:sz w:val="18"/>
              </w:rPr>
              <w:t>kapasitenizden ne</w:t>
            </w:r>
            <w:r>
              <w:rPr>
                <w:spacing w:val="-3"/>
                <w:sz w:val="18"/>
              </w:rPr>
              <w:t xml:space="preserve"> </w:t>
            </w:r>
            <w:r>
              <w:rPr>
                <w:sz w:val="18"/>
              </w:rPr>
              <w:t>kadar</w:t>
            </w:r>
            <w:r>
              <w:rPr>
                <w:spacing w:val="-1"/>
                <w:sz w:val="18"/>
              </w:rPr>
              <w:t xml:space="preserve"> </w:t>
            </w:r>
            <w:r>
              <w:rPr>
                <w:spacing w:val="-2"/>
                <w:sz w:val="18"/>
              </w:rPr>
              <w:t>hoşnutsunuz?</w:t>
            </w:r>
          </w:p>
        </w:tc>
        <w:tc>
          <w:tcPr>
            <w:tcW w:w="710" w:type="dxa"/>
            <w:tcBorders>
              <w:top w:val="single" w:color="000000" w:sz="4" w:space="0"/>
              <w:left w:val="single" w:color="000000" w:sz="4" w:space="0"/>
              <w:bottom w:val="single" w:color="000000" w:sz="4" w:space="0"/>
              <w:right w:val="single" w:color="000000" w:sz="4" w:space="0"/>
            </w:tcBorders>
          </w:tcPr>
          <w:p w14:paraId="14D83DF3">
            <w:pPr>
              <w:pStyle w:val="29"/>
              <w:spacing w:line="186" w:lineRule="exact"/>
              <w:ind w:left="103"/>
              <w:rPr>
                <w:sz w:val="18"/>
              </w:rPr>
            </w:pPr>
            <w:r>
              <w:rPr>
                <w:spacing w:val="-2"/>
                <w:sz w:val="18"/>
              </w:rPr>
              <w:t>0.638</w:t>
            </w:r>
          </w:p>
        </w:tc>
        <w:tc>
          <w:tcPr>
            <w:tcW w:w="708" w:type="dxa"/>
            <w:tcBorders>
              <w:top w:val="single" w:color="000000" w:sz="4" w:space="0"/>
              <w:left w:val="single" w:color="000000" w:sz="4" w:space="0"/>
              <w:bottom w:val="single" w:color="000000" w:sz="4" w:space="0"/>
              <w:right w:val="single" w:color="000000" w:sz="4" w:space="0"/>
            </w:tcBorders>
          </w:tcPr>
          <w:p w14:paraId="565E479D">
            <w:pPr>
              <w:pStyle w:val="29"/>
              <w:rPr>
                <w:sz w:val="14"/>
              </w:rPr>
            </w:pPr>
          </w:p>
        </w:tc>
        <w:tc>
          <w:tcPr>
            <w:tcW w:w="711" w:type="dxa"/>
            <w:tcBorders>
              <w:top w:val="single" w:color="000000" w:sz="4" w:space="0"/>
              <w:left w:val="single" w:color="000000" w:sz="4" w:space="0"/>
              <w:bottom w:val="single" w:color="000000" w:sz="4" w:space="0"/>
              <w:right w:val="single" w:color="000000" w:sz="4" w:space="0"/>
            </w:tcBorders>
          </w:tcPr>
          <w:p w14:paraId="7BAA5EF1">
            <w:pPr>
              <w:pStyle w:val="29"/>
              <w:rPr>
                <w:sz w:val="14"/>
              </w:rPr>
            </w:pPr>
          </w:p>
        </w:tc>
        <w:tc>
          <w:tcPr>
            <w:tcW w:w="708" w:type="dxa"/>
            <w:tcBorders>
              <w:top w:val="single" w:color="000000" w:sz="4" w:space="0"/>
              <w:left w:val="single" w:color="000000" w:sz="4" w:space="0"/>
              <w:bottom w:val="single" w:color="000000" w:sz="4" w:space="0"/>
              <w:right w:val="single" w:color="000000" w:sz="4" w:space="0"/>
            </w:tcBorders>
          </w:tcPr>
          <w:p w14:paraId="71CBFC53">
            <w:pPr>
              <w:pStyle w:val="29"/>
              <w:rPr>
                <w:sz w:val="14"/>
              </w:rPr>
            </w:pPr>
          </w:p>
        </w:tc>
        <w:tc>
          <w:tcPr>
            <w:tcW w:w="850" w:type="dxa"/>
            <w:tcBorders>
              <w:top w:val="single" w:color="000000" w:sz="4" w:space="0"/>
              <w:left w:val="single" w:color="000000" w:sz="4" w:space="0"/>
              <w:bottom w:val="single" w:color="000000" w:sz="4" w:space="0"/>
              <w:right w:val="nil"/>
            </w:tcBorders>
          </w:tcPr>
          <w:p w14:paraId="45775179">
            <w:pPr>
              <w:pStyle w:val="29"/>
              <w:spacing w:line="186" w:lineRule="exact"/>
              <w:ind w:left="101"/>
              <w:rPr>
                <w:sz w:val="18"/>
              </w:rPr>
            </w:pPr>
            <w:r>
              <w:rPr>
                <w:spacing w:val="-2"/>
                <w:sz w:val="18"/>
              </w:rPr>
              <w:t>0.794</w:t>
            </w:r>
          </w:p>
        </w:tc>
      </w:tr>
      <w:tr w14:paraId="6EB5F2FB">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206" w:hRule="atLeast"/>
        </w:trPr>
        <w:tc>
          <w:tcPr>
            <w:tcW w:w="866" w:type="dxa"/>
            <w:tcBorders>
              <w:top w:val="single" w:color="000000" w:sz="4" w:space="0"/>
              <w:left w:val="nil"/>
              <w:bottom w:val="single" w:color="000000" w:sz="4" w:space="0"/>
              <w:right w:val="single" w:color="000000" w:sz="4" w:space="0"/>
            </w:tcBorders>
            <w:shd w:val="clear" w:color="auto" w:fill="ECECEC"/>
          </w:tcPr>
          <w:p w14:paraId="3A9E9ADB">
            <w:pPr>
              <w:pStyle w:val="29"/>
              <w:spacing w:line="186" w:lineRule="exact"/>
              <w:ind w:left="122"/>
              <w:rPr>
                <w:b/>
                <w:sz w:val="18"/>
              </w:rPr>
            </w:pPr>
            <w:r>
              <w:rPr>
                <w:b/>
                <w:spacing w:val="-5"/>
                <w:sz w:val="18"/>
              </w:rPr>
              <w:t>5r</w:t>
            </w:r>
          </w:p>
        </w:tc>
        <w:tc>
          <w:tcPr>
            <w:tcW w:w="4251" w:type="dxa"/>
            <w:tcBorders>
              <w:top w:val="single" w:color="000000" w:sz="4" w:space="0"/>
              <w:left w:val="single" w:color="000000" w:sz="4" w:space="0"/>
              <w:bottom w:val="single" w:color="000000" w:sz="4" w:space="0"/>
              <w:right w:val="single" w:color="000000" w:sz="4" w:space="0"/>
            </w:tcBorders>
            <w:shd w:val="clear" w:color="auto" w:fill="ECECEC"/>
          </w:tcPr>
          <w:p w14:paraId="44DEF6FA">
            <w:pPr>
              <w:pStyle w:val="29"/>
              <w:spacing w:line="186" w:lineRule="exact"/>
              <w:ind w:left="100"/>
              <w:rPr>
                <w:sz w:val="18"/>
              </w:rPr>
            </w:pPr>
            <w:r>
              <w:rPr>
                <w:sz w:val="18"/>
              </w:rPr>
              <w:t>Yaşamaktan</w:t>
            </w:r>
            <w:r>
              <w:rPr>
                <w:spacing w:val="-6"/>
                <w:sz w:val="18"/>
              </w:rPr>
              <w:t xml:space="preserve"> </w:t>
            </w:r>
            <w:r>
              <w:rPr>
                <w:sz w:val="18"/>
              </w:rPr>
              <w:t>ne</w:t>
            </w:r>
            <w:r>
              <w:rPr>
                <w:spacing w:val="-8"/>
                <w:sz w:val="18"/>
              </w:rPr>
              <w:t xml:space="preserve"> </w:t>
            </w:r>
            <w:r>
              <w:rPr>
                <w:sz w:val="18"/>
              </w:rPr>
              <w:t>kadar</w:t>
            </w:r>
            <w:r>
              <w:rPr>
                <w:spacing w:val="-7"/>
                <w:sz w:val="18"/>
              </w:rPr>
              <w:t xml:space="preserve"> </w:t>
            </w:r>
            <w:r>
              <w:rPr>
                <w:sz w:val="18"/>
              </w:rPr>
              <w:t>keyif</w:t>
            </w:r>
            <w:r>
              <w:rPr>
                <w:spacing w:val="-8"/>
                <w:sz w:val="18"/>
              </w:rPr>
              <w:t xml:space="preserve"> </w:t>
            </w:r>
            <w:r>
              <w:rPr>
                <w:spacing w:val="-2"/>
                <w:sz w:val="18"/>
              </w:rPr>
              <w:t>alırsınız?</w:t>
            </w:r>
          </w:p>
        </w:tc>
        <w:tc>
          <w:tcPr>
            <w:tcW w:w="710" w:type="dxa"/>
            <w:tcBorders>
              <w:top w:val="single" w:color="000000" w:sz="4" w:space="0"/>
              <w:left w:val="single" w:color="000000" w:sz="4" w:space="0"/>
              <w:bottom w:val="single" w:color="000000" w:sz="4" w:space="0"/>
              <w:right w:val="single" w:color="000000" w:sz="4" w:space="0"/>
            </w:tcBorders>
            <w:shd w:val="clear" w:color="auto" w:fill="ECECEC"/>
          </w:tcPr>
          <w:p w14:paraId="451936E7">
            <w:pPr>
              <w:pStyle w:val="29"/>
              <w:rPr>
                <w:sz w:val="14"/>
              </w:rPr>
            </w:pPr>
          </w:p>
        </w:tc>
        <w:tc>
          <w:tcPr>
            <w:tcW w:w="708" w:type="dxa"/>
            <w:tcBorders>
              <w:top w:val="single" w:color="000000" w:sz="4" w:space="0"/>
              <w:left w:val="single" w:color="000000" w:sz="4" w:space="0"/>
              <w:bottom w:val="single" w:color="000000" w:sz="4" w:space="0"/>
              <w:right w:val="single" w:color="000000" w:sz="4" w:space="0"/>
            </w:tcBorders>
            <w:shd w:val="clear" w:color="auto" w:fill="ECECEC"/>
          </w:tcPr>
          <w:p w14:paraId="05C93275">
            <w:pPr>
              <w:pStyle w:val="29"/>
              <w:spacing w:line="186" w:lineRule="exact"/>
              <w:ind w:left="101"/>
              <w:rPr>
                <w:sz w:val="18"/>
              </w:rPr>
            </w:pPr>
            <w:r>
              <w:rPr>
                <w:spacing w:val="-2"/>
                <w:sz w:val="18"/>
              </w:rPr>
              <w:t>0.712</w:t>
            </w:r>
          </w:p>
        </w:tc>
        <w:tc>
          <w:tcPr>
            <w:tcW w:w="711" w:type="dxa"/>
            <w:tcBorders>
              <w:top w:val="single" w:color="000000" w:sz="4" w:space="0"/>
              <w:left w:val="single" w:color="000000" w:sz="4" w:space="0"/>
              <w:bottom w:val="single" w:color="000000" w:sz="4" w:space="0"/>
              <w:right w:val="single" w:color="000000" w:sz="4" w:space="0"/>
            </w:tcBorders>
            <w:shd w:val="clear" w:color="auto" w:fill="ECECEC"/>
          </w:tcPr>
          <w:p w14:paraId="377D5966">
            <w:pPr>
              <w:pStyle w:val="29"/>
              <w:rPr>
                <w:sz w:val="14"/>
              </w:rPr>
            </w:pPr>
          </w:p>
        </w:tc>
        <w:tc>
          <w:tcPr>
            <w:tcW w:w="708" w:type="dxa"/>
            <w:tcBorders>
              <w:top w:val="single" w:color="000000" w:sz="4" w:space="0"/>
              <w:left w:val="single" w:color="000000" w:sz="4" w:space="0"/>
              <w:bottom w:val="single" w:color="000000" w:sz="4" w:space="0"/>
              <w:right w:val="single" w:color="000000" w:sz="4" w:space="0"/>
            </w:tcBorders>
            <w:shd w:val="clear" w:color="auto" w:fill="ECECEC"/>
          </w:tcPr>
          <w:p w14:paraId="166C05BC">
            <w:pPr>
              <w:pStyle w:val="29"/>
              <w:rPr>
                <w:sz w:val="14"/>
              </w:rPr>
            </w:pPr>
          </w:p>
        </w:tc>
        <w:tc>
          <w:tcPr>
            <w:tcW w:w="850" w:type="dxa"/>
            <w:tcBorders>
              <w:top w:val="single" w:color="000000" w:sz="4" w:space="0"/>
              <w:left w:val="single" w:color="000000" w:sz="4" w:space="0"/>
              <w:bottom w:val="single" w:color="000000" w:sz="4" w:space="0"/>
              <w:right w:val="nil"/>
            </w:tcBorders>
            <w:shd w:val="clear" w:color="auto" w:fill="ECECEC"/>
          </w:tcPr>
          <w:p w14:paraId="3DB20927">
            <w:pPr>
              <w:pStyle w:val="29"/>
              <w:spacing w:line="186" w:lineRule="exact"/>
              <w:ind w:left="101"/>
              <w:rPr>
                <w:sz w:val="18"/>
              </w:rPr>
            </w:pPr>
            <w:r>
              <w:rPr>
                <w:spacing w:val="-2"/>
                <w:sz w:val="18"/>
              </w:rPr>
              <w:t>0.861</w:t>
            </w:r>
          </w:p>
        </w:tc>
      </w:tr>
      <w:tr w14:paraId="7602BBE9">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208" w:hRule="atLeast"/>
        </w:trPr>
        <w:tc>
          <w:tcPr>
            <w:tcW w:w="866" w:type="dxa"/>
            <w:tcBorders>
              <w:top w:val="single" w:color="000000" w:sz="4" w:space="0"/>
              <w:left w:val="nil"/>
              <w:bottom w:val="single" w:color="000000" w:sz="4" w:space="0"/>
              <w:right w:val="single" w:color="000000" w:sz="4" w:space="0"/>
            </w:tcBorders>
          </w:tcPr>
          <w:p w14:paraId="67EF2677">
            <w:pPr>
              <w:pStyle w:val="29"/>
              <w:spacing w:before="2" w:line="186" w:lineRule="exact"/>
              <w:ind w:left="122"/>
              <w:rPr>
                <w:b/>
                <w:sz w:val="18"/>
              </w:rPr>
            </w:pPr>
            <w:r>
              <w:rPr>
                <w:b/>
                <w:spacing w:val="-5"/>
                <w:sz w:val="18"/>
              </w:rPr>
              <w:t>6r</w:t>
            </w:r>
          </w:p>
        </w:tc>
        <w:tc>
          <w:tcPr>
            <w:tcW w:w="4251" w:type="dxa"/>
            <w:tcBorders>
              <w:top w:val="single" w:color="000000" w:sz="4" w:space="0"/>
              <w:left w:val="single" w:color="000000" w:sz="4" w:space="0"/>
              <w:bottom w:val="single" w:color="000000" w:sz="4" w:space="0"/>
              <w:right w:val="single" w:color="000000" w:sz="4" w:space="0"/>
            </w:tcBorders>
          </w:tcPr>
          <w:p w14:paraId="03FE7241">
            <w:pPr>
              <w:pStyle w:val="29"/>
              <w:spacing w:line="188" w:lineRule="exact"/>
              <w:ind w:left="100"/>
              <w:rPr>
                <w:sz w:val="18"/>
              </w:rPr>
            </w:pPr>
            <w:r>
              <w:rPr>
                <w:sz w:val="18"/>
              </w:rPr>
              <w:t>Yaşamınızı</w:t>
            </w:r>
            <w:r>
              <w:rPr>
                <w:spacing w:val="-6"/>
                <w:sz w:val="18"/>
              </w:rPr>
              <w:t xml:space="preserve"> </w:t>
            </w:r>
            <w:r>
              <w:rPr>
                <w:sz w:val="18"/>
              </w:rPr>
              <w:t>ne</w:t>
            </w:r>
            <w:r>
              <w:rPr>
                <w:spacing w:val="-7"/>
                <w:sz w:val="18"/>
              </w:rPr>
              <w:t xml:space="preserve"> </w:t>
            </w:r>
            <w:r>
              <w:rPr>
                <w:sz w:val="18"/>
              </w:rPr>
              <w:t>ölçüde</w:t>
            </w:r>
            <w:r>
              <w:rPr>
                <w:spacing w:val="-7"/>
                <w:sz w:val="18"/>
              </w:rPr>
              <w:t xml:space="preserve"> </w:t>
            </w:r>
            <w:r>
              <w:rPr>
                <w:sz w:val="18"/>
              </w:rPr>
              <w:t>anlamlı</w:t>
            </w:r>
            <w:r>
              <w:rPr>
                <w:spacing w:val="-5"/>
                <w:sz w:val="18"/>
              </w:rPr>
              <w:t xml:space="preserve"> </w:t>
            </w:r>
            <w:r>
              <w:rPr>
                <w:spacing w:val="-2"/>
                <w:sz w:val="18"/>
              </w:rPr>
              <w:t>buluyorsunuz?</w:t>
            </w:r>
          </w:p>
        </w:tc>
        <w:tc>
          <w:tcPr>
            <w:tcW w:w="710" w:type="dxa"/>
            <w:tcBorders>
              <w:top w:val="single" w:color="000000" w:sz="4" w:space="0"/>
              <w:left w:val="single" w:color="000000" w:sz="4" w:space="0"/>
              <w:bottom w:val="single" w:color="000000" w:sz="4" w:space="0"/>
              <w:right w:val="single" w:color="000000" w:sz="4" w:space="0"/>
            </w:tcBorders>
          </w:tcPr>
          <w:p w14:paraId="68B5927A">
            <w:pPr>
              <w:pStyle w:val="29"/>
              <w:rPr>
                <w:sz w:val="14"/>
              </w:rPr>
            </w:pPr>
          </w:p>
        </w:tc>
        <w:tc>
          <w:tcPr>
            <w:tcW w:w="708" w:type="dxa"/>
            <w:tcBorders>
              <w:top w:val="single" w:color="000000" w:sz="4" w:space="0"/>
              <w:left w:val="single" w:color="000000" w:sz="4" w:space="0"/>
              <w:bottom w:val="single" w:color="000000" w:sz="4" w:space="0"/>
              <w:right w:val="single" w:color="000000" w:sz="4" w:space="0"/>
            </w:tcBorders>
          </w:tcPr>
          <w:p w14:paraId="296CCBD9">
            <w:pPr>
              <w:pStyle w:val="29"/>
              <w:spacing w:line="188" w:lineRule="exact"/>
              <w:ind w:left="101"/>
              <w:rPr>
                <w:sz w:val="18"/>
              </w:rPr>
            </w:pPr>
            <w:r>
              <w:rPr>
                <w:spacing w:val="-2"/>
                <w:sz w:val="18"/>
              </w:rPr>
              <w:t>0.701</w:t>
            </w:r>
          </w:p>
        </w:tc>
        <w:tc>
          <w:tcPr>
            <w:tcW w:w="711" w:type="dxa"/>
            <w:tcBorders>
              <w:top w:val="single" w:color="000000" w:sz="4" w:space="0"/>
              <w:left w:val="single" w:color="000000" w:sz="4" w:space="0"/>
              <w:bottom w:val="single" w:color="000000" w:sz="4" w:space="0"/>
              <w:right w:val="single" w:color="000000" w:sz="4" w:space="0"/>
            </w:tcBorders>
          </w:tcPr>
          <w:p w14:paraId="0CC22A5A">
            <w:pPr>
              <w:pStyle w:val="29"/>
              <w:rPr>
                <w:sz w:val="14"/>
              </w:rPr>
            </w:pPr>
          </w:p>
        </w:tc>
        <w:tc>
          <w:tcPr>
            <w:tcW w:w="708" w:type="dxa"/>
            <w:tcBorders>
              <w:top w:val="single" w:color="000000" w:sz="4" w:space="0"/>
              <w:left w:val="single" w:color="000000" w:sz="4" w:space="0"/>
              <w:bottom w:val="single" w:color="000000" w:sz="4" w:space="0"/>
              <w:right w:val="single" w:color="000000" w:sz="4" w:space="0"/>
            </w:tcBorders>
          </w:tcPr>
          <w:p w14:paraId="22B4FCD7">
            <w:pPr>
              <w:pStyle w:val="29"/>
              <w:rPr>
                <w:sz w:val="14"/>
              </w:rPr>
            </w:pPr>
          </w:p>
        </w:tc>
        <w:tc>
          <w:tcPr>
            <w:tcW w:w="850" w:type="dxa"/>
            <w:tcBorders>
              <w:top w:val="single" w:color="000000" w:sz="4" w:space="0"/>
              <w:left w:val="single" w:color="000000" w:sz="4" w:space="0"/>
              <w:bottom w:val="single" w:color="000000" w:sz="4" w:space="0"/>
              <w:right w:val="nil"/>
            </w:tcBorders>
          </w:tcPr>
          <w:p w14:paraId="5D3AD31A">
            <w:pPr>
              <w:pStyle w:val="29"/>
              <w:spacing w:line="188" w:lineRule="exact"/>
              <w:ind w:left="101"/>
              <w:rPr>
                <w:sz w:val="18"/>
              </w:rPr>
            </w:pPr>
            <w:r>
              <w:rPr>
                <w:spacing w:val="-2"/>
                <w:sz w:val="18"/>
              </w:rPr>
              <w:t>0.901</w:t>
            </w:r>
          </w:p>
        </w:tc>
      </w:tr>
      <w:tr w14:paraId="3CB3CF5C">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206" w:hRule="atLeast"/>
        </w:trPr>
        <w:tc>
          <w:tcPr>
            <w:tcW w:w="866" w:type="dxa"/>
            <w:tcBorders>
              <w:top w:val="single" w:color="000000" w:sz="4" w:space="0"/>
              <w:left w:val="nil"/>
              <w:bottom w:val="single" w:color="000000" w:sz="4" w:space="0"/>
              <w:right w:val="single" w:color="000000" w:sz="4" w:space="0"/>
            </w:tcBorders>
            <w:shd w:val="clear" w:color="auto" w:fill="ECECEC"/>
          </w:tcPr>
          <w:p w14:paraId="6203FBA0">
            <w:pPr>
              <w:pStyle w:val="29"/>
              <w:spacing w:line="186" w:lineRule="exact"/>
              <w:ind w:left="122"/>
              <w:rPr>
                <w:b/>
                <w:sz w:val="18"/>
              </w:rPr>
            </w:pPr>
            <w:r>
              <w:rPr>
                <w:b/>
                <w:spacing w:val="-5"/>
                <w:sz w:val="18"/>
              </w:rPr>
              <w:t>7r</w:t>
            </w:r>
          </w:p>
        </w:tc>
        <w:tc>
          <w:tcPr>
            <w:tcW w:w="4251" w:type="dxa"/>
            <w:tcBorders>
              <w:top w:val="single" w:color="000000" w:sz="4" w:space="0"/>
              <w:left w:val="single" w:color="000000" w:sz="4" w:space="0"/>
              <w:bottom w:val="single" w:color="000000" w:sz="4" w:space="0"/>
              <w:right w:val="single" w:color="000000" w:sz="4" w:space="0"/>
            </w:tcBorders>
            <w:shd w:val="clear" w:color="auto" w:fill="ECECEC"/>
          </w:tcPr>
          <w:p w14:paraId="0B8063F0">
            <w:pPr>
              <w:pStyle w:val="29"/>
              <w:spacing w:line="186" w:lineRule="exact"/>
              <w:ind w:left="100"/>
              <w:rPr>
                <w:sz w:val="18"/>
              </w:rPr>
            </w:pPr>
            <w:r>
              <w:rPr>
                <w:sz w:val="18"/>
              </w:rPr>
              <w:t>Dikkatinizi</w:t>
            </w:r>
            <w:r>
              <w:rPr>
                <w:spacing w:val="-2"/>
                <w:sz w:val="18"/>
              </w:rPr>
              <w:t xml:space="preserve"> </w:t>
            </w:r>
            <w:r>
              <w:rPr>
                <w:sz w:val="18"/>
              </w:rPr>
              <w:t>toplamada</w:t>
            </w:r>
            <w:r>
              <w:rPr>
                <w:spacing w:val="-3"/>
                <w:sz w:val="18"/>
              </w:rPr>
              <w:t xml:space="preserve"> </w:t>
            </w:r>
            <w:r>
              <w:rPr>
                <w:sz w:val="18"/>
              </w:rPr>
              <w:t>ne</w:t>
            </w:r>
            <w:r>
              <w:rPr>
                <w:spacing w:val="-3"/>
                <w:sz w:val="18"/>
              </w:rPr>
              <w:t xml:space="preserve"> </w:t>
            </w:r>
            <w:r>
              <w:rPr>
                <w:sz w:val="18"/>
              </w:rPr>
              <w:t>kadar</w:t>
            </w:r>
            <w:r>
              <w:rPr>
                <w:spacing w:val="1"/>
                <w:sz w:val="18"/>
              </w:rPr>
              <w:t xml:space="preserve"> </w:t>
            </w:r>
            <w:r>
              <w:rPr>
                <w:spacing w:val="-2"/>
                <w:sz w:val="18"/>
              </w:rPr>
              <w:t>başarılısınız?</w:t>
            </w:r>
          </w:p>
        </w:tc>
        <w:tc>
          <w:tcPr>
            <w:tcW w:w="710" w:type="dxa"/>
            <w:tcBorders>
              <w:top w:val="single" w:color="000000" w:sz="4" w:space="0"/>
              <w:left w:val="single" w:color="000000" w:sz="4" w:space="0"/>
              <w:bottom w:val="single" w:color="000000" w:sz="4" w:space="0"/>
              <w:right w:val="single" w:color="000000" w:sz="4" w:space="0"/>
            </w:tcBorders>
            <w:shd w:val="clear" w:color="auto" w:fill="ECECEC"/>
          </w:tcPr>
          <w:p w14:paraId="17A41F1F">
            <w:pPr>
              <w:pStyle w:val="29"/>
              <w:rPr>
                <w:sz w:val="14"/>
              </w:rPr>
            </w:pPr>
          </w:p>
        </w:tc>
        <w:tc>
          <w:tcPr>
            <w:tcW w:w="708" w:type="dxa"/>
            <w:tcBorders>
              <w:top w:val="single" w:color="000000" w:sz="4" w:space="0"/>
              <w:left w:val="single" w:color="000000" w:sz="4" w:space="0"/>
              <w:bottom w:val="single" w:color="000000" w:sz="4" w:space="0"/>
              <w:right w:val="single" w:color="000000" w:sz="4" w:space="0"/>
            </w:tcBorders>
            <w:shd w:val="clear" w:color="auto" w:fill="ECECEC"/>
          </w:tcPr>
          <w:p w14:paraId="04FBA6C8">
            <w:pPr>
              <w:pStyle w:val="29"/>
              <w:spacing w:line="186" w:lineRule="exact"/>
              <w:ind w:left="101"/>
              <w:rPr>
                <w:sz w:val="18"/>
              </w:rPr>
            </w:pPr>
            <w:r>
              <w:rPr>
                <w:spacing w:val="-2"/>
                <w:sz w:val="18"/>
              </w:rPr>
              <w:t>0.693</w:t>
            </w:r>
          </w:p>
        </w:tc>
        <w:tc>
          <w:tcPr>
            <w:tcW w:w="711" w:type="dxa"/>
            <w:tcBorders>
              <w:top w:val="single" w:color="000000" w:sz="4" w:space="0"/>
              <w:left w:val="single" w:color="000000" w:sz="4" w:space="0"/>
              <w:bottom w:val="single" w:color="000000" w:sz="4" w:space="0"/>
              <w:right w:val="single" w:color="000000" w:sz="4" w:space="0"/>
            </w:tcBorders>
            <w:shd w:val="clear" w:color="auto" w:fill="ECECEC"/>
          </w:tcPr>
          <w:p w14:paraId="18E54574">
            <w:pPr>
              <w:pStyle w:val="29"/>
              <w:rPr>
                <w:sz w:val="14"/>
              </w:rPr>
            </w:pPr>
          </w:p>
        </w:tc>
        <w:tc>
          <w:tcPr>
            <w:tcW w:w="708" w:type="dxa"/>
            <w:tcBorders>
              <w:top w:val="single" w:color="000000" w:sz="4" w:space="0"/>
              <w:left w:val="single" w:color="000000" w:sz="4" w:space="0"/>
              <w:bottom w:val="single" w:color="000000" w:sz="4" w:space="0"/>
              <w:right w:val="single" w:color="000000" w:sz="4" w:space="0"/>
            </w:tcBorders>
            <w:shd w:val="clear" w:color="auto" w:fill="ECECEC"/>
          </w:tcPr>
          <w:p w14:paraId="6CEE82E1">
            <w:pPr>
              <w:pStyle w:val="29"/>
              <w:rPr>
                <w:sz w:val="14"/>
              </w:rPr>
            </w:pPr>
          </w:p>
        </w:tc>
        <w:tc>
          <w:tcPr>
            <w:tcW w:w="850" w:type="dxa"/>
            <w:tcBorders>
              <w:top w:val="single" w:color="000000" w:sz="4" w:space="0"/>
              <w:left w:val="single" w:color="000000" w:sz="4" w:space="0"/>
              <w:bottom w:val="single" w:color="000000" w:sz="4" w:space="0"/>
              <w:right w:val="nil"/>
            </w:tcBorders>
            <w:shd w:val="clear" w:color="auto" w:fill="ECECEC"/>
          </w:tcPr>
          <w:p w14:paraId="68B75A44">
            <w:pPr>
              <w:pStyle w:val="29"/>
              <w:spacing w:line="186" w:lineRule="exact"/>
              <w:ind w:left="101"/>
              <w:rPr>
                <w:sz w:val="18"/>
              </w:rPr>
            </w:pPr>
            <w:r>
              <w:rPr>
                <w:spacing w:val="-2"/>
                <w:sz w:val="18"/>
              </w:rPr>
              <w:t>0.876</w:t>
            </w:r>
          </w:p>
        </w:tc>
      </w:tr>
      <w:tr w14:paraId="11B4F081">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208" w:hRule="atLeast"/>
        </w:trPr>
        <w:tc>
          <w:tcPr>
            <w:tcW w:w="866" w:type="dxa"/>
            <w:tcBorders>
              <w:top w:val="single" w:color="000000" w:sz="4" w:space="0"/>
              <w:left w:val="nil"/>
              <w:bottom w:val="single" w:color="000000" w:sz="4" w:space="0"/>
              <w:right w:val="single" w:color="000000" w:sz="4" w:space="0"/>
            </w:tcBorders>
          </w:tcPr>
          <w:p w14:paraId="527FD61D">
            <w:pPr>
              <w:pStyle w:val="29"/>
              <w:spacing w:line="189" w:lineRule="exact"/>
              <w:ind w:left="122"/>
              <w:rPr>
                <w:b/>
                <w:sz w:val="18"/>
              </w:rPr>
            </w:pPr>
            <w:r>
              <w:rPr>
                <w:b/>
                <w:spacing w:val="-5"/>
                <w:sz w:val="18"/>
              </w:rPr>
              <w:t>11r</w:t>
            </w:r>
          </w:p>
        </w:tc>
        <w:tc>
          <w:tcPr>
            <w:tcW w:w="4251" w:type="dxa"/>
            <w:tcBorders>
              <w:top w:val="single" w:color="000000" w:sz="4" w:space="0"/>
              <w:left w:val="single" w:color="000000" w:sz="4" w:space="0"/>
              <w:bottom w:val="single" w:color="000000" w:sz="4" w:space="0"/>
              <w:right w:val="single" w:color="000000" w:sz="4" w:space="0"/>
            </w:tcBorders>
          </w:tcPr>
          <w:p w14:paraId="09D68727">
            <w:pPr>
              <w:pStyle w:val="29"/>
              <w:spacing w:line="189" w:lineRule="exact"/>
              <w:ind w:left="100"/>
              <w:rPr>
                <w:sz w:val="18"/>
              </w:rPr>
            </w:pPr>
            <w:r>
              <w:rPr>
                <w:sz w:val="18"/>
              </w:rPr>
              <w:t>Bedensel</w:t>
            </w:r>
            <w:r>
              <w:rPr>
                <w:spacing w:val="-3"/>
                <w:sz w:val="18"/>
              </w:rPr>
              <w:t xml:space="preserve"> </w:t>
            </w:r>
            <w:r>
              <w:rPr>
                <w:sz w:val="18"/>
              </w:rPr>
              <w:t>görünüşünüzü</w:t>
            </w:r>
            <w:r>
              <w:rPr>
                <w:spacing w:val="-3"/>
                <w:sz w:val="18"/>
              </w:rPr>
              <w:t xml:space="preserve"> </w:t>
            </w:r>
            <w:r>
              <w:rPr>
                <w:sz w:val="18"/>
              </w:rPr>
              <w:t>kabullenir</w:t>
            </w:r>
            <w:r>
              <w:rPr>
                <w:spacing w:val="-2"/>
                <w:sz w:val="18"/>
              </w:rPr>
              <w:t xml:space="preserve"> misiniz?</w:t>
            </w:r>
          </w:p>
        </w:tc>
        <w:tc>
          <w:tcPr>
            <w:tcW w:w="710" w:type="dxa"/>
            <w:tcBorders>
              <w:top w:val="single" w:color="000000" w:sz="4" w:space="0"/>
              <w:left w:val="single" w:color="000000" w:sz="4" w:space="0"/>
              <w:bottom w:val="single" w:color="000000" w:sz="4" w:space="0"/>
              <w:right w:val="single" w:color="000000" w:sz="4" w:space="0"/>
            </w:tcBorders>
          </w:tcPr>
          <w:p w14:paraId="6EDF5A29">
            <w:pPr>
              <w:pStyle w:val="29"/>
              <w:rPr>
                <w:sz w:val="14"/>
              </w:rPr>
            </w:pPr>
          </w:p>
        </w:tc>
        <w:tc>
          <w:tcPr>
            <w:tcW w:w="708" w:type="dxa"/>
            <w:tcBorders>
              <w:top w:val="single" w:color="000000" w:sz="4" w:space="0"/>
              <w:left w:val="single" w:color="000000" w:sz="4" w:space="0"/>
              <w:bottom w:val="single" w:color="000000" w:sz="4" w:space="0"/>
              <w:right w:val="single" w:color="000000" w:sz="4" w:space="0"/>
            </w:tcBorders>
          </w:tcPr>
          <w:p w14:paraId="157DA2FE">
            <w:pPr>
              <w:pStyle w:val="29"/>
              <w:spacing w:line="189" w:lineRule="exact"/>
              <w:ind w:left="101"/>
              <w:rPr>
                <w:sz w:val="18"/>
              </w:rPr>
            </w:pPr>
            <w:r>
              <w:rPr>
                <w:spacing w:val="-2"/>
                <w:sz w:val="18"/>
              </w:rPr>
              <w:t>0.710</w:t>
            </w:r>
          </w:p>
        </w:tc>
        <w:tc>
          <w:tcPr>
            <w:tcW w:w="711" w:type="dxa"/>
            <w:tcBorders>
              <w:top w:val="single" w:color="000000" w:sz="4" w:space="0"/>
              <w:left w:val="single" w:color="000000" w:sz="4" w:space="0"/>
              <w:bottom w:val="single" w:color="000000" w:sz="4" w:space="0"/>
              <w:right w:val="single" w:color="000000" w:sz="4" w:space="0"/>
            </w:tcBorders>
          </w:tcPr>
          <w:p w14:paraId="424A2692">
            <w:pPr>
              <w:pStyle w:val="29"/>
              <w:rPr>
                <w:sz w:val="14"/>
              </w:rPr>
            </w:pPr>
          </w:p>
        </w:tc>
        <w:tc>
          <w:tcPr>
            <w:tcW w:w="708" w:type="dxa"/>
            <w:tcBorders>
              <w:top w:val="single" w:color="000000" w:sz="4" w:space="0"/>
              <w:left w:val="single" w:color="000000" w:sz="4" w:space="0"/>
              <w:bottom w:val="single" w:color="000000" w:sz="4" w:space="0"/>
              <w:right w:val="single" w:color="000000" w:sz="4" w:space="0"/>
            </w:tcBorders>
          </w:tcPr>
          <w:p w14:paraId="01DCC6A4">
            <w:pPr>
              <w:pStyle w:val="29"/>
              <w:rPr>
                <w:sz w:val="14"/>
              </w:rPr>
            </w:pPr>
          </w:p>
        </w:tc>
        <w:tc>
          <w:tcPr>
            <w:tcW w:w="850" w:type="dxa"/>
            <w:tcBorders>
              <w:top w:val="single" w:color="000000" w:sz="4" w:space="0"/>
              <w:left w:val="single" w:color="000000" w:sz="4" w:space="0"/>
              <w:bottom w:val="single" w:color="000000" w:sz="4" w:space="0"/>
              <w:right w:val="nil"/>
            </w:tcBorders>
          </w:tcPr>
          <w:p w14:paraId="1FC75FE1">
            <w:pPr>
              <w:pStyle w:val="29"/>
              <w:spacing w:line="189" w:lineRule="exact"/>
              <w:ind w:left="101"/>
              <w:rPr>
                <w:sz w:val="18"/>
              </w:rPr>
            </w:pPr>
            <w:r>
              <w:rPr>
                <w:spacing w:val="-2"/>
                <w:sz w:val="18"/>
              </w:rPr>
              <w:t>0.841</w:t>
            </w:r>
          </w:p>
        </w:tc>
      </w:tr>
      <w:tr w14:paraId="0ED42BA5">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205" w:hRule="atLeast"/>
        </w:trPr>
        <w:tc>
          <w:tcPr>
            <w:tcW w:w="866" w:type="dxa"/>
            <w:tcBorders>
              <w:top w:val="single" w:color="000000" w:sz="4" w:space="0"/>
              <w:left w:val="nil"/>
              <w:bottom w:val="single" w:color="000000" w:sz="4" w:space="0"/>
              <w:right w:val="single" w:color="000000" w:sz="4" w:space="0"/>
            </w:tcBorders>
            <w:shd w:val="clear" w:color="auto" w:fill="ECECEC"/>
          </w:tcPr>
          <w:p w14:paraId="71062D81">
            <w:pPr>
              <w:pStyle w:val="29"/>
              <w:spacing w:line="186" w:lineRule="exact"/>
              <w:ind w:left="122"/>
              <w:rPr>
                <w:b/>
                <w:sz w:val="18"/>
              </w:rPr>
            </w:pPr>
            <w:r>
              <w:rPr>
                <w:b/>
                <w:spacing w:val="-5"/>
                <w:sz w:val="18"/>
              </w:rPr>
              <w:t>19r</w:t>
            </w:r>
          </w:p>
        </w:tc>
        <w:tc>
          <w:tcPr>
            <w:tcW w:w="4251" w:type="dxa"/>
            <w:tcBorders>
              <w:top w:val="single" w:color="000000" w:sz="4" w:space="0"/>
              <w:left w:val="single" w:color="000000" w:sz="4" w:space="0"/>
              <w:bottom w:val="single" w:color="000000" w:sz="4" w:space="0"/>
              <w:right w:val="single" w:color="000000" w:sz="4" w:space="0"/>
            </w:tcBorders>
            <w:shd w:val="clear" w:color="auto" w:fill="ECECEC"/>
          </w:tcPr>
          <w:p w14:paraId="03F25C6F">
            <w:pPr>
              <w:pStyle w:val="29"/>
              <w:spacing w:line="186" w:lineRule="exact"/>
              <w:ind w:left="100"/>
              <w:rPr>
                <w:sz w:val="18"/>
              </w:rPr>
            </w:pPr>
            <w:r>
              <w:rPr>
                <w:sz w:val="18"/>
              </w:rPr>
              <w:t>Kendinizden</w:t>
            </w:r>
            <w:r>
              <w:rPr>
                <w:spacing w:val="-3"/>
                <w:sz w:val="18"/>
              </w:rPr>
              <w:t xml:space="preserve"> </w:t>
            </w:r>
            <w:r>
              <w:rPr>
                <w:sz w:val="18"/>
              </w:rPr>
              <w:t>ne</w:t>
            </w:r>
            <w:r>
              <w:rPr>
                <w:spacing w:val="-2"/>
                <w:sz w:val="18"/>
              </w:rPr>
              <w:t xml:space="preserve"> </w:t>
            </w:r>
            <w:r>
              <w:rPr>
                <w:sz w:val="18"/>
              </w:rPr>
              <w:t>kadar</w:t>
            </w:r>
            <w:r>
              <w:rPr>
                <w:spacing w:val="-1"/>
                <w:sz w:val="18"/>
              </w:rPr>
              <w:t xml:space="preserve"> </w:t>
            </w:r>
            <w:r>
              <w:rPr>
                <w:spacing w:val="-2"/>
                <w:sz w:val="18"/>
              </w:rPr>
              <w:t>hoşnutsunuz?</w:t>
            </w:r>
          </w:p>
        </w:tc>
        <w:tc>
          <w:tcPr>
            <w:tcW w:w="710" w:type="dxa"/>
            <w:tcBorders>
              <w:top w:val="single" w:color="000000" w:sz="4" w:space="0"/>
              <w:left w:val="single" w:color="000000" w:sz="4" w:space="0"/>
              <w:bottom w:val="single" w:color="000000" w:sz="4" w:space="0"/>
              <w:right w:val="single" w:color="000000" w:sz="4" w:space="0"/>
            </w:tcBorders>
            <w:shd w:val="clear" w:color="auto" w:fill="ECECEC"/>
          </w:tcPr>
          <w:p w14:paraId="4CEB8FA6">
            <w:pPr>
              <w:pStyle w:val="29"/>
              <w:rPr>
                <w:sz w:val="14"/>
              </w:rPr>
            </w:pPr>
          </w:p>
        </w:tc>
        <w:tc>
          <w:tcPr>
            <w:tcW w:w="708" w:type="dxa"/>
            <w:tcBorders>
              <w:top w:val="single" w:color="000000" w:sz="4" w:space="0"/>
              <w:left w:val="single" w:color="000000" w:sz="4" w:space="0"/>
              <w:bottom w:val="single" w:color="000000" w:sz="4" w:space="0"/>
              <w:right w:val="single" w:color="000000" w:sz="4" w:space="0"/>
            </w:tcBorders>
            <w:shd w:val="clear" w:color="auto" w:fill="ECECEC"/>
          </w:tcPr>
          <w:p w14:paraId="374A5FEA">
            <w:pPr>
              <w:pStyle w:val="29"/>
              <w:spacing w:line="186" w:lineRule="exact"/>
              <w:ind w:left="101"/>
              <w:rPr>
                <w:sz w:val="18"/>
              </w:rPr>
            </w:pPr>
            <w:r>
              <w:rPr>
                <w:spacing w:val="-2"/>
                <w:sz w:val="18"/>
              </w:rPr>
              <w:t>0.692</w:t>
            </w:r>
          </w:p>
        </w:tc>
        <w:tc>
          <w:tcPr>
            <w:tcW w:w="711" w:type="dxa"/>
            <w:tcBorders>
              <w:top w:val="single" w:color="000000" w:sz="4" w:space="0"/>
              <w:left w:val="single" w:color="000000" w:sz="4" w:space="0"/>
              <w:bottom w:val="single" w:color="000000" w:sz="4" w:space="0"/>
              <w:right w:val="single" w:color="000000" w:sz="4" w:space="0"/>
            </w:tcBorders>
            <w:shd w:val="clear" w:color="auto" w:fill="ECECEC"/>
          </w:tcPr>
          <w:p w14:paraId="1D95B686">
            <w:pPr>
              <w:pStyle w:val="29"/>
              <w:rPr>
                <w:sz w:val="14"/>
              </w:rPr>
            </w:pPr>
          </w:p>
        </w:tc>
        <w:tc>
          <w:tcPr>
            <w:tcW w:w="708" w:type="dxa"/>
            <w:tcBorders>
              <w:top w:val="single" w:color="000000" w:sz="4" w:space="0"/>
              <w:left w:val="single" w:color="000000" w:sz="4" w:space="0"/>
              <w:bottom w:val="single" w:color="000000" w:sz="4" w:space="0"/>
              <w:right w:val="single" w:color="000000" w:sz="4" w:space="0"/>
            </w:tcBorders>
            <w:shd w:val="clear" w:color="auto" w:fill="ECECEC"/>
          </w:tcPr>
          <w:p w14:paraId="6B1B0ED4">
            <w:pPr>
              <w:pStyle w:val="29"/>
              <w:rPr>
                <w:sz w:val="14"/>
              </w:rPr>
            </w:pPr>
          </w:p>
        </w:tc>
        <w:tc>
          <w:tcPr>
            <w:tcW w:w="850" w:type="dxa"/>
            <w:tcBorders>
              <w:top w:val="single" w:color="000000" w:sz="4" w:space="0"/>
              <w:left w:val="single" w:color="000000" w:sz="4" w:space="0"/>
              <w:bottom w:val="single" w:color="000000" w:sz="4" w:space="0"/>
              <w:right w:val="nil"/>
            </w:tcBorders>
            <w:shd w:val="clear" w:color="auto" w:fill="ECECEC"/>
          </w:tcPr>
          <w:p w14:paraId="5433C812">
            <w:pPr>
              <w:pStyle w:val="29"/>
              <w:spacing w:line="186" w:lineRule="exact"/>
              <w:ind w:left="101"/>
              <w:rPr>
                <w:sz w:val="18"/>
              </w:rPr>
            </w:pPr>
            <w:r>
              <w:rPr>
                <w:spacing w:val="-2"/>
                <w:sz w:val="18"/>
              </w:rPr>
              <w:t>0.826</w:t>
            </w:r>
          </w:p>
        </w:tc>
      </w:tr>
      <w:tr w14:paraId="34262E89">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414" w:hRule="atLeast"/>
        </w:trPr>
        <w:tc>
          <w:tcPr>
            <w:tcW w:w="866" w:type="dxa"/>
            <w:tcBorders>
              <w:top w:val="single" w:color="000000" w:sz="4" w:space="0"/>
              <w:left w:val="nil"/>
              <w:bottom w:val="single" w:color="000000" w:sz="4" w:space="0"/>
              <w:right w:val="single" w:color="000000" w:sz="4" w:space="0"/>
            </w:tcBorders>
          </w:tcPr>
          <w:p w14:paraId="517C74CF">
            <w:pPr>
              <w:pStyle w:val="29"/>
              <w:spacing w:line="207" w:lineRule="exact"/>
              <w:ind w:left="122"/>
              <w:rPr>
                <w:b/>
                <w:sz w:val="18"/>
              </w:rPr>
            </w:pPr>
            <w:r>
              <w:rPr>
                <w:b/>
                <w:spacing w:val="-5"/>
                <w:sz w:val="18"/>
              </w:rPr>
              <w:t>26r</w:t>
            </w:r>
          </w:p>
        </w:tc>
        <w:tc>
          <w:tcPr>
            <w:tcW w:w="4251" w:type="dxa"/>
            <w:tcBorders>
              <w:top w:val="single" w:color="000000" w:sz="4" w:space="0"/>
              <w:left w:val="single" w:color="000000" w:sz="4" w:space="0"/>
              <w:bottom w:val="single" w:color="000000" w:sz="4" w:space="0"/>
              <w:right w:val="single" w:color="000000" w:sz="4" w:space="0"/>
            </w:tcBorders>
          </w:tcPr>
          <w:p w14:paraId="108BE579">
            <w:pPr>
              <w:pStyle w:val="29"/>
              <w:spacing w:line="202" w:lineRule="exact"/>
              <w:ind w:left="100"/>
              <w:rPr>
                <w:sz w:val="18"/>
              </w:rPr>
            </w:pPr>
            <w:r>
              <w:rPr>
                <w:sz w:val="18"/>
              </w:rPr>
              <w:t>Ne</w:t>
            </w:r>
            <w:r>
              <w:rPr>
                <w:spacing w:val="28"/>
                <w:sz w:val="18"/>
              </w:rPr>
              <w:t xml:space="preserve"> </w:t>
            </w:r>
            <w:r>
              <w:rPr>
                <w:sz w:val="18"/>
              </w:rPr>
              <w:t>sıklıkta</w:t>
            </w:r>
            <w:r>
              <w:rPr>
                <w:spacing w:val="30"/>
                <w:sz w:val="18"/>
              </w:rPr>
              <w:t xml:space="preserve"> </w:t>
            </w:r>
            <w:r>
              <w:rPr>
                <w:sz w:val="18"/>
              </w:rPr>
              <w:t>hüzün,</w:t>
            </w:r>
            <w:r>
              <w:rPr>
                <w:spacing w:val="30"/>
                <w:sz w:val="18"/>
              </w:rPr>
              <w:t xml:space="preserve"> </w:t>
            </w:r>
            <w:r>
              <w:rPr>
                <w:sz w:val="18"/>
              </w:rPr>
              <w:t>ümitsizlik,</w:t>
            </w:r>
            <w:r>
              <w:rPr>
                <w:spacing w:val="31"/>
                <w:sz w:val="18"/>
              </w:rPr>
              <w:t xml:space="preserve"> </w:t>
            </w:r>
            <w:r>
              <w:rPr>
                <w:sz w:val="18"/>
              </w:rPr>
              <w:t>bunaltı,</w:t>
            </w:r>
            <w:r>
              <w:rPr>
                <w:spacing w:val="30"/>
                <w:sz w:val="18"/>
              </w:rPr>
              <w:t xml:space="preserve"> </w:t>
            </w:r>
            <w:r>
              <w:rPr>
                <w:sz w:val="18"/>
              </w:rPr>
              <w:t>çökkünlük</w:t>
            </w:r>
            <w:r>
              <w:rPr>
                <w:spacing w:val="29"/>
                <w:sz w:val="18"/>
              </w:rPr>
              <w:t xml:space="preserve"> </w:t>
            </w:r>
            <w:r>
              <w:rPr>
                <w:spacing w:val="-4"/>
                <w:sz w:val="18"/>
              </w:rPr>
              <w:t>gibi</w:t>
            </w:r>
          </w:p>
          <w:p w14:paraId="21322D55">
            <w:pPr>
              <w:pStyle w:val="29"/>
              <w:spacing w:before="2" w:line="191" w:lineRule="exact"/>
              <w:ind w:left="100"/>
              <w:rPr>
                <w:sz w:val="18"/>
              </w:rPr>
            </w:pPr>
            <w:r>
              <w:rPr>
                <w:sz w:val="18"/>
              </w:rPr>
              <w:t>duygulara</w:t>
            </w:r>
            <w:r>
              <w:rPr>
                <w:spacing w:val="-4"/>
                <w:sz w:val="18"/>
              </w:rPr>
              <w:t xml:space="preserve"> </w:t>
            </w:r>
            <w:r>
              <w:rPr>
                <w:spacing w:val="-2"/>
                <w:sz w:val="18"/>
              </w:rPr>
              <w:t>kapılırsınız?</w:t>
            </w:r>
          </w:p>
        </w:tc>
        <w:tc>
          <w:tcPr>
            <w:tcW w:w="710" w:type="dxa"/>
            <w:tcBorders>
              <w:top w:val="single" w:color="000000" w:sz="4" w:space="0"/>
              <w:left w:val="single" w:color="000000" w:sz="4" w:space="0"/>
              <w:bottom w:val="single" w:color="000000" w:sz="4" w:space="0"/>
              <w:right w:val="single" w:color="000000" w:sz="4" w:space="0"/>
            </w:tcBorders>
          </w:tcPr>
          <w:p w14:paraId="6073C4CB">
            <w:pPr>
              <w:pStyle w:val="29"/>
              <w:rPr>
                <w:sz w:val="18"/>
              </w:rPr>
            </w:pPr>
          </w:p>
        </w:tc>
        <w:tc>
          <w:tcPr>
            <w:tcW w:w="708" w:type="dxa"/>
            <w:tcBorders>
              <w:top w:val="single" w:color="000000" w:sz="4" w:space="0"/>
              <w:left w:val="single" w:color="000000" w:sz="4" w:space="0"/>
              <w:bottom w:val="single" w:color="000000" w:sz="4" w:space="0"/>
              <w:right w:val="single" w:color="000000" w:sz="4" w:space="0"/>
            </w:tcBorders>
          </w:tcPr>
          <w:p w14:paraId="5CF654BA">
            <w:pPr>
              <w:pStyle w:val="29"/>
              <w:spacing w:line="202" w:lineRule="exact"/>
              <w:ind w:left="101"/>
              <w:rPr>
                <w:sz w:val="18"/>
              </w:rPr>
            </w:pPr>
            <w:r>
              <w:rPr>
                <w:spacing w:val="-2"/>
                <w:sz w:val="18"/>
              </w:rPr>
              <w:t>0.709</w:t>
            </w:r>
          </w:p>
        </w:tc>
        <w:tc>
          <w:tcPr>
            <w:tcW w:w="711" w:type="dxa"/>
            <w:tcBorders>
              <w:top w:val="single" w:color="000000" w:sz="4" w:space="0"/>
              <w:left w:val="single" w:color="000000" w:sz="4" w:space="0"/>
              <w:bottom w:val="single" w:color="000000" w:sz="4" w:space="0"/>
              <w:right w:val="single" w:color="000000" w:sz="4" w:space="0"/>
            </w:tcBorders>
          </w:tcPr>
          <w:p w14:paraId="2E7EB89B">
            <w:pPr>
              <w:pStyle w:val="29"/>
              <w:rPr>
                <w:sz w:val="18"/>
              </w:rPr>
            </w:pPr>
          </w:p>
        </w:tc>
        <w:tc>
          <w:tcPr>
            <w:tcW w:w="708" w:type="dxa"/>
            <w:tcBorders>
              <w:top w:val="single" w:color="000000" w:sz="4" w:space="0"/>
              <w:left w:val="single" w:color="000000" w:sz="4" w:space="0"/>
              <w:bottom w:val="single" w:color="000000" w:sz="4" w:space="0"/>
              <w:right w:val="single" w:color="000000" w:sz="4" w:space="0"/>
            </w:tcBorders>
          </w:tcPr>
          <w:p w14:paraId="10072A1E">
            <w:pPr>
              <w:pStyle w:val="29"/>
              <w:rPr>
                <w:sz w:val="18"/>
              </w:rPr>
            </w:pPr>
          </w:p>
        </w:tc>
        <w:tc>
          <w:tcPr>
            <w:tcW w:w="850" w:type="dxa"/>
            <w:tcBorders>
              <w:top w:val="single" w:color="000000" w:sz="4" w:space="0"/>
              <w:left w:val="single" w:color="000000" w:sz="4" w:space="0"/>
              <w:bottom w:val="single" w:color="000000" w:sz="4" w:space="0"/>
              <w:right w:val="nil"/>
            </w:tcBorders>
          </w:tcPr>
          <w:p w14:paraId="2AA06CFD">
            <w:pPr>
              <w:pStyle w:val="29"/>
              <w:spacing w:line="202" w:lineRule="exact"/>
              <w:ind w:left="101"/>
              <w:rPr>
                <w:sz w:val="18"/>
              </w:rPr>
            </w:pPr>
            <w:r>
              <w:rPr>
                <w:spacing w:val="-2"/>
                <w:sz w:val="18"/>
              </w:rPr>
              <w:t>0.976</w:t>
            </w:r>
          </w:p>
        </w:tc>
      </w:tr>
      <w:tr w14:paraId="319D9E34">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206" w:hRule="atLeast"/>
        </w:trPr>
        <w:tc>
          <w:tcPr>
            <w:tcW w:w="866" w:type="dxa"/>
            <w:tcBorders>
              <w:top w:val="single" w:color="000000" w:sz="4" w:space="0"/>
              <w:left w:val="nil"/>
              <w:bottom w:val="single" w:color="000000" w:sz="4" w:space="0"/>
              <w:right w:val="single" w:color="000000" w:sz="4" w:space="0"/>
            </w:tcBorders>
            <w:shd w:val="clear" w:color="auto" w:fill="ECECEC"/>
          </w:tcPr>
          <w:p w14:paraId="74310A53">
            <w:pPr>
              <w:pStyle w:val="29"/>
              <w:spacing w:line="186" w:lineRule="exact"/>
              <w:ind w:left="122"/>
              <w:rPr>
                <w:b/>
                <w:sz w:val="18"/>
              </w:rPr>
            </w:pPr>
            <w:r>
              <w:rPr>
                <w:b/>
                <w:spacing w:val="-5"/>
                <w:sz w:val="18"/>
              </w:rPr>
              <w:t>20s</w:t>
            </w:r>
          </w:p>
        </w:tc>
        <w:tc>
          <w:tcPr>
            <w:tcW w:w="4251" w:type="dxa"/>
            <w:tcBorders>
              <w:top w:val="single" w:color="000000" w:sz="4" w:space="0"/>
              <w:left w:val="single" w:color="000000" w:sz="4" w:space="0"/>
              <w:bottom w:val="single" w:color="000000" w:sz="4" w:space="0"/>
              <w:right w:val="single" w:color="000000" w:sz="4" w:space="0"/>
            </w:tcBorders>
            <w:shd w:val="clear" w:color="auto" w:fill="ECECEC"/>
          </w:tcPr>
          <w:p w14:paraId="3220AF1A">
            <w:pPr>
              <w:pStyle w:val="29"/>
              <w:spacing w:line="186" w:lineRule="exact"/>
              <w:ind w:left="100"/>
              <w:rPr>
                <w:sz w:val="18"/>
              </w:rPr>
            </w:pPr>
            <w:r>
              <w:rPr>
                <w:sz w:val="18"/>
              </w:rPr>
              <w:t>Aile</w:t>
            </w:r>
            <w:r>
              <w:rPr>
                <w:spacing w:val="-5"/>
                <w:sz w:val="18"/>
              </w:rPr>
              <w:t xml:space="preserve"> </w:t>
            </w:r>
            <w:r>
              <w:rPr>
                <w:sz w:val="18"/>
              </w:rPr>
              <w:t>dışı</w:t>
            </w:r>
            <w:r>
              <w:rPr>
                <w:spacing w:val="-4"/>
                <w:sz w:val="18"/>
              </w:rPr>
              <w:t xml:space="preserve"> </w:t>
            </w:r>
            <w:r>
              <w:rPr>
                <w:sz w:val="18"/>
              </w:rPr>
              <w:t>kişilerle</w:t>
            </w:r>
            <w:r>
              <w:rPr>
                <w:spacing w:val="-5"/>
                <w:sz w:val="18"/>
              </w:rPr>
              <w:t xml:space="preserve"> </w:t>
            </w:r>
            <w:r>
              <w:rPr>
                <w:sz w:val="18"/>
              </w:rPr>
              <w:t>ilişkilerinizden</w:t>
            </w:r>
            <w:r>
              <w:rPr>
                <w:spacing w:val="-5"/>
                <w:sz w:val="18"/>
              </w:rPr>
              <w:t xml:space="preserve"> </w:t>
            </w:r>
            <w:r>
              <w:rPr>
                <w:sz w:val="18"/>
              </w:rPr>
              <w:t>ne</w:t>
            </w:r>
            <w:r>
              <w:rPr>
                <w:spacing w:val="-5"/>
                <w:sz w:val="18"/>
              </w:rPr>
              <w:t xml:space="preserve"> </w:t>
            </w:r>
            <w:r>
              <w:rPr>
                <w:sz w:val="18"/>
              </w:rPr>
              <w:t>kadar</w:t>
            </w:r>
            <w:r>
              <w:rPr>
                <w:spacing w:val="-3"/>
                <w:sz w:val="18"/>
              </w:rPr>
              <w:t xml:space="preserve"> </w:t>
            </w:r>
            <w:r>
              <w:rPr>
                <w:spacing w:val="-2"/>
                <w:sz w:val="18"/>
              </w:rPr>
              <w:t>hoşnutsunuz?</w:t>
            </w:r>
          </w:p>
        </w:tc>
        <w:tc>
          <w:tcPr>
            <w:tcW w:w="710" w:type="dxa"/>
            <w:tcBorders>
              <w:top w:val="single" w:color="000000" w:sz="4" w:space="0"/>
              <w:left w:val="single" w:color="000000" w:sz="4" w:space="0"/>
              <w:bottom w:val="single" w:color="000000" w:sz="4" w:space="0"/>
              <w:right w:val="single" w:color="000000" w:sz="4" w:space="0"/>
            </w:tcBorders>
            <w:shd w:val="clear" w:color="auto" w:fill="ECECEC"/>
          </w:tcPr>
          <w:p w14:paraId="2F4786C2">
            <w:pPr>
              <w:pStyle w:val="29"/>
              <w:rPr>
                <w:sz w:val="14"/>
              </w:rPr>
            </w:pPr>
          </w:p>
        </w:tc>
        <w:tc>
          <w:tcPr>
            <w:tcW w:w="708" w:type="dxa"/>
            <w:tcBorders>
              <w:top w:val="single" w:color="000000" w:sz="4" w:space="0"/>
              <w:left w:val="single" w:color="000000" w:sz="4" w:space="0"/>
              <w:bottom w:val="single" w:color="000000" w:sz="4" w:space="0"/>
              <w:right w:val="single" w:color="000000" w:sz="4" w:space="0"/>
            </w:tcBorders>
            <w:shd w:val="clear" w:color="auto" w:fill="ECECEC"/>
          </w:tcPr>
          <w:p w14:paraId="01BE15DC">
            <w:pPr>
              <w:pStyle w:val="29"/>
              <w:spacing w:line="186" w:lineRule="exact"/>
              <w:ind w:left="101"/>
              <w:rPr>
                <w:sz w:val="18"/>
              </w:rPr>
            </w:pPr>
            <w:r>
              <w:rPr>
                <w:spacing w:val="-5"/>
                <w:sz w:val="18"/>
              </w:rPr>
              <w:t>0.</w:t>
            </w:r>
          </w:p>
        </w:tc>
        <w:tc>
          <w:tcPr>
            <w:tcW w:w="711" w:type="dxa"/>
            <w:tcBorders>
              <w:top w:val="single" w:color="000000" w:sz="4" w:space="0"/>
              <w:left w:val="single" w:color="000000" w:sz="4" w:space="0"/>
              <w:bottom w:val="single" w:color="000000" w:sz="4" w:space="0"/>
              <w:right w:val="single" w:color="000000" w:sz="4" w:space="0"/>
            </w:tcBorders>
            <w:shd w:val="clear" w:color="auto" w:fill="ECECEC"/>
          </w:tcPr>
          <w:p w14:paraId="3F19C16E">
            <w:pPr>
              <w:pStyle w:val="29"/>
              <w:spacing w:line="186" w:lineRule="exact"/>
              <w:ind w:left="104"/>
              <w:rPr>
                <w:sz w:val="18"/>
              </w:rPr>
            </w:pPr>
            <w:r>
              <w:rPr>
                <w:spacing w:val="-2"/>
                <w:sz w:val="18"/>
              </w:rPr>
              <w:t>0.539</w:t>
            </w:r>
          </w:p>
        </w:tc>
        <w:tc>
          <w:tcPr>
            <w:tcW w:w="708" w:type="dxa"/>
            <w:tcBorders>
              <w:top w:val="single" w:color="000000" w:sz="4" w:space="0"/>
              <w:left w:val="single" w:color="000000" w:sz="4" w:space="0"/>
              <w:bottom w:val="single" w:color="000000" w:sz="4" w:space="0"/>
              <w:right w:val="single" w:color="000000" w:sz="4" w:space="0"/>
            </w:tcBorders>
            <w:shd w:val="clear" w:color="auto" w:fill="ECECEC"/>
          </w:tcPr>
          <w:p w14:paraId="57179BC9">
            <w:pPr>
              <w:pStyle w:val="29"/>
              <w:spacing w:line="186" w:lineRule="exact"/>
              <w:ind w:left="101"/>
              <w:rPr>
                <w:sz w:val="18"/>
              </w:rPr>
            </w:pPr>
            <w:r>
              <w:rPr>
                <w:spacing w:val="-5"/>
                <w:sz w:val="18"/>
              </w:rPr>
              <w:t>0.</w:t>
            </w:r>
          </w:p>
        </w:tc>
        <w:tc>
          <w:tcPr>
            <w:tcW w:w="850" w:type="dxa"/>
            <w:tcBorders>
              <w:top w:val="single" w:color="000000" w:sz="4" w:space="0"/>
              <w:left w:val="single" w:color="000000" w:sz="4" w:space="0"/>
              <w:bottom w:val="single" w:color="000000" w:sz="4" w:space="0"/>
              <w:right w:val="nil"/>
            </w:tcBorders>
            <w:shd w:val="clear" w:color="auto" w:fill="ECECEC"/>
          </w:tcPr>
          <w:p w14:paraId="1CAB778B">
            <w:pPr>
              <w:pStyle w:val="29"/>
              <w:spacing w:line="186" w:lineRule="exact"/>
              <w:ind w:left="101"/>
              <w:rPr>
                <w:sz w:val="18"/>
              </w:rPr>
            </w:pPr>
            <w:r>
              <w:rPr>
                <w:spacing w:val="-2"/>
                <w:sz w:val="18"/>
              </w:rPr>
              <w:t>0.848</w:t>
            </w:r>
          </w:p>
        </w:tc>
      </w:tr>
      <w:tr w14:paraId="1EA366CB">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208" w:hRule="atLeast"/>
        </w:trPr>
        <w:tc>
          <w:tcPr>
            <w:tcW w:w="866" w:type="dxa"/>
            <w:tcBorders>
              <w:top w:val="single" w:color="000000" w:sz="4" w:space="0"/>
              <w:left w:val="nil"/>
              <w:bottom w:val="single" w:color="000000" w:sz="4" w:space="0"/>
              <w:right w:val="single" w:color="000000" w:sz="4" w:space="0"/>
            </w:tcBorders>
          </w:tcPr>
          <w:p w14:paraId="572EE977">
            <w:pPr>
              <w:pStyle w:val="29"/>
              <w:spacing w:line="188" w:lineRule="exact"/>
              <w:ind w:left="122"/>
              <w:rPr>
                <w:b/>
                <w:sz w:val="18"/>
              </w:rPr>
            </w:pPr>
            <w:r>
              <w:rPr>
                <w:b/>
                <w:spacing w:val="-5"/>
                <w:sz w:val="18"/>
              </w:rPr>
              <w:t>21s</w:t>
            </w:r>
          </w:p>
        </w:tc>
        <w:tc>
          <w:tcPr>
            <w:tcW w:w="4251" w:type="dxa"/>
            <w:tcBorders>
              <w:top w:val="single" w:color="000000" w:sz="4" w:space="0"/>
              <w:left w:val="single" w:color="000000" w:sz="4" w:space="0"/>
              <w:bottom w:val="single" w:color="000000" w:sz="4" w:space="0"/>
              <w:right w:val="single" w:color="000000" w:sz="4" w:space="0"/>
            </w:tcBorders>
          </w:tcPr>
          <w:p w14:paraId="0A1DBEA1">
            <w:pPr>
              <w:pStyle w:val="29"/>
              <w:spacing w:line="188" w:lineRule="exact"/>
              <w:ind w:left="100"/>
              <w:rPr>
                <w:sz w:val="18"/>
              </w:rPr>
            </w:pPr>
            <w:r>
              <w:rPr>
                <w:sz w:val="18"/>
              </w:rPr>
              <w:t>Cinsel</w:t>
            </w:r>
            <w:r>
              <w:rPr>
                <w:spacing w:val="-3"/>
                <w:sz w:val="18"/>
              </w:rPr>
              <w:t xml:space="preserve"> </w:t>
            </w:r>
            <w:r>
              <w:rPr>
                <w:sz w:val="18"/>
              </w:rPr>
              <w:t>yaşamınızdan</w:t>
            </w:r>
            <w:r>
              <w:rPr>
                <w:spacing w:val="-2"/>
                <w:sz w:val="18"/>
              </w:rPr>
              <w:t xml:space="preserve"> </w:t>
            </w:r>
            <w:r>
              <w:rPr>
                <w:sz w:val="18"/>
              </w:rPr>
              <w:t>ne</w:t>
            </w:r>
            <w:r>
              <w:rPr>
                <w:spacing w:val="-3"/>
                <w:sz w:val="18"/>
              </w:rPr>
              <w:t xml:space="preserve"> </w:t>
            </w:r>
            <w:r>
              <w:rPr>
                <w:sz w:val="18"/>
              </w:rPr>
              <w:t>kadar</w:t>
            </w:r>
            <w:r>
              <w:rPr>
                <w:spacing w:val="-2"/>
                <w:sz w:val="18"/>
              </w:rPr>
              <w:t xml:space="preserve"> hoşnutsunuz?</w:t>
            </w:r>
          </w:p>
        </w:tc>
        <w:tc>
          <w:tcPr>
            <w:tcW w:w="710" w:type="dxa"/>
            <w:tcBorders>
              <w:top w:val="single" w:color="000000" w:sz="4" w:space="0"/>
              <w:left w:val="single" w:color="000000" w:sz="4" w:space="0"/>
              <w:bottom w:val="single" w:color="000000" w:sz="4" w:space="0"/>
              <w:right w:val="single" w:color="000000" w:sz="4" w:space="0"/>
            </w:tcBorders>
          </w:tcPr>
          <w:p w14:paraId="1FB40317">
            <w:pPr>
              <w:pStyle w:val="29"/>
              <w:rPr>
                <w:sz w:val="14"/>
              </w:rPr>
            </w:pPr>
          </w:p>
        </w:tc>
        <w:tc>
          <w:tcPr>
            <w:tcW w:w="708" w:type="dxa"/>
            <w:tcBorders>
              <w:top w:val="single" w:color="000000" w:sz="4" w:space="0"/>
              <w:left w:val="single" w:color="000000" w:sz="4" w:space="0"/>
              <w:bottom w:val="single" w:color="000000" w:sz="4" w:space="0"/>
              <w:right w:val="single" w:color="000000" w:sz="4" w:space="0"/>
            </w:tcBorders>
          </w:tcPr>
          <w:p w14:paraId="08CDF051">
            <w:pPr>
              <w:pStyle w:val="29"/>
              <w:spacing w:line="188" w:lineRule="exact"/>
              <w:ind w:left="101"/>
              <w:rPr>
                <w:sz w:val="18"/>
              </w:rPr>
            </w:pPr>
            <w:r>
              <w:rPr>
                <w:spacing w:val="-5"/>
                <w:sz w:val="18"/>
              </w:rPr>
              <w:t>0.</w:t>
            </w:r>
          </w:p>
        </w:tc>
        <w:tc>
          <w:tcPr>
            <w:tcW w:w="711" w:type="dxa"/>
            <w:tcBorders>
              <w:top w:val="single" w:color="000000" w:sz="4" w:space="0"/>
              <w:left w:val="single" w:color="000000" w:sz="4" w:space="0"/>
              <w:bottom w:val="single" w:color="000000" w:sz="4" w:space="0"/>
              <w:right w:val="single" w:color="000000" w:sz="4" w:space="0"/>
            </w:tcBorders>
          </w:tcPr>
          <w:p w14:paraId="7AC271CC">
            <w:pPr>
              <w:pStyle w:val="29"/>
              <w:spacing w:line="188" w:lineRule="exact"/>
              <w:ind w:left="104"/>
              <w:rPr>
                <w:sz w:val="18"/>
              </w:rPr>
            </w:pPr>
            <w:r>
              <w:rPr>
                <w:spacing w:val="-2"/>
                <w:sz w:val="18"/>
              </w:rPr>
              <w:t>0.527</w:t>
            </w:r>
          </w:p>
        </w:tc>
        <w:tc>
          <w:tcPr>
            <w:tcW w:w="708" w:type="dxa"/>
            <w:tcBorders>
              <w:top w:val="single" w:color="000000" w:sz="4" w:space="0"/>
              <w:left w:val="single" w:color="000000" w:sz="4" w:space="0"/>
              <w:bottom w:val="single" w:color="000000" w:sz="4" w:space="0"/>
              <w:right w:val="single" w:color="000000" w:sz="4" w:space="0"/>
            </w:tcBorders>
          </w:tcPr>
          <w:p w14:paraId="66892AE0">
            <w:pPr>
              <w:pStyle w:val="29"/>
              <w:spacing w:line="188" w:lineRule="exact"/>
              <w:ind w:left="101"/>
              <w:rPr>
                <w:sz w:val="18"/>
              </w:rPr>
            </w:pPr>
            <w:r>
              <w:rPr>
                <w:spacing w:val="-5"/>
                <w:sz w:val="18"/>
              </w:rPr>
              <w:t>0.</w:t>
            </w:r>
          </w:p>
        </w:tc>
        <w:tc>
          <w:tcPr>
            <w:tcW w:w="850" w:type="dxa"/>
            <w:tcBorders>
              <w:top w:val="single" w:color="000000" w:sz="4" w:space="0"/>
              <w:left w:val="single" w:color="000000" w:sz="4" w:space="0"/>
              <w:bottom w:val="single" w:color="000000" w:sz="4" w:space="0"/>
              <w:right w:val="nil"/>
            </w:tcBorders>
          </w:tcPr>
          <w:p w14:paraId="013B4DC2">
            <w:pPr>
              <w:pStyle w:val="29"/>
              <w:spacing w:line="188" w:lineRule="exact"/>
              <w:ind w:left="101"/>
              <w:rPr>
                <w:sz w:val="18"/>
              </w:rPr>
            </w:pPr>
            <w:r>
              <w:rPr>
                <w:spacing w:val="-2"/>
                <w:sz w:val="18"/>
              </w:rPr>
              <w:t>0.912</w:t>
            </w:r>
          </w:p>
        </w:tc>
      </w:tr>
      <w:tr w14:paraId="14F98C0A">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206" w:hRule="atLeast"/>
        </w:trPr>
        <w:tc>
          <w:tcPr>
            <w:tcW w:w="866" w:type="dxa"/>
            <w:tcBorders>
              <w:top w:val="single" w:color="000000" w:sz="4" w:space="0"/>
              <w:left w:val="nil"/>
              <w:bottom w:val="single" w:color="000000" w:sz="4" w:space="0"/>
              <w:right w:val="single" w:color="000000" w:sz="4" w:space="0"/>
            </w:tcBorders>
            <w:shd w:val="clear" w:color="auto" w:fill="ECECEC"/>
          </w:tcPr>
          <w:p w14:paraId="51E05E89">
            <w:pPr>
              <w:pStyle w:val="29"/>
              <w:spacing w:line="186" w:lineRule="exact"/>
              <w:ind w:left="122"/>
              <w:rPr>
                <w:b/>
                <w:sz w:val="18"/>
              </w:rPr>
            </w:pPr>
            <w:r>
              <w:rPr>
                <w:b/>
                <w:spacing w:val="-5"/>
                <w:sz w:val="18"/>
              </w:rPr>
              <w:t>22s</w:t>
            </w:r>
          </w:p>
        </w:tc>
        <w:tc>
          <w:tcPr>
            <w:tcW w:w="4251" w:type="dxa"/>
            <w:tcBorders>
              <w:top w:val="single" w:color="000000" w:sz="4" w:space="0"/>
              <w:left w:val="single" w:color="000000" w:sz="4" w:space="0"/>
              <w:bottom w:val="single" w:color="000000" w:sz="4" w:space="0"/>
              <w:right w:val="single" w:color="000000" w:sz="4" w:space="0"/>
            </w:tcBorders>
            <w:shd w:val="clear" w:color="auto" w:fill="ECECEC"/>
          </w:tcPr>
          <w:p w14:paraId="6C554CE2">
            <w:pPr>
              <w:pStyle w:val="29"/>
              <w:spacing w:line="186" w:lineRule="exact"/>
              <w:ind w:left="100"/>
              <w:rPr>
                <w:sz w:val="18"/>
              </w:rPr>
            </w:pPr>
            <w:r>
              <w:rPr>
                <w:sz w:val="18"/>
              </w:rPr>
              <w:t>Arkadaşlarınızın</w:t>
            </w:r>
            <w:r>
              <w:rPr>
                <w:spacing w:val="-2"/>
                <w:sz w:val="18"/>
              </w:rPr>
              <w:t xml:space="preserve"> </w:t>
            </w:r>
            <w:r>
              <w:rPr>
                <w:sz w:val="18"/>
              </w:rPr>
              <w:t>desteğinden</w:t>
            </w:r>
            <w:r>
              <w:rPr>
                <w:spacing w:val="-3"/>
                <w:sz w:val="18"/>
              </w:rPr>
              <w:t xml:space="preserve"> </w:t>
            </w:r>
            <w:r>
              <w:rPr>
                <w:sz w:val="18"/>
              </w:rPr>
              <w:t>ne</w:t>
            </w:r>
            <w:r>
              <w:rPr>
                <w:spacing w:val="-2"/>
                <w:sz w:val="18"/>
              </w:rPr>
              <w:t xml:space="preserve"> </w:t>
            </w:r>
            <w:r>
              <w:rPr>
                <w:sz w:val="18"/>
              </w:rPr>
              <w:t>kadar</w:t>
            </w:r>
            <w:r>
              <w:rPr>
                <w:spacing w:val="-2"/>
                <w:sz w:val="18"/>
              </w:rPr>
              <w:t xml:space="preserve"> hoşnutsunuz?</w:t>
            </w:r>
          </w:p>
        </w:tc>
        <w:tc>
          <w:tcPr>
            <w:tcW w:w="710" w:type="dxa"/>
            <w:tcBorders>
              <w:top w:val="single" w:color="000000" w:sz="4" w:space="0"/>
              <w:left w:val="single" w:color="000000" w:sz="4" w:space="0"/>
              <w:bottom w:val="single" w:color="000000" w:sz="4" w:space="0"/>
              <w:right w:val="single" w:color="000000" w:sz="4" w:space="0"/>
            </w:tcBorders>
            <w:shd w:val="clear" w:color="auto" w:fill="ECECEC"/>
          </w:tcPr>
          <w:p w14:paraId="607CC5D7">
            <w:pPr>
              <w:pStyle w:val="29"/>
              <w:rPr>
                <w:sz w:val="14"/>
              </w:rPr>
            </w:pPr>
          </w:p>
        </w:tc>
        <w:tc>
          <w:tcPr>
            <w:tcW w:w="708" w:type="dxa"/>
            <w:tcBorders>
              <w:top w:val="single" w:color="000000" w:sz="4" w:space="0"/>
              <w:left w:val="single" w:color="000000" w:sz="4" w:space="0"/>
              <w:bottom w:val="single" w:color="000000" w:sz="4" w:space="0"/>
              <w:right w:val="single" w:color="000000" w:sz="4" w:space="0"/>
            </w:tcBorders>
            <w:shd w:val="clear" w:color="auto" w:fill="ECECEC"/>
          </w:tcPr>
          <w:p w14:paraId="79A329E8">
            <w:pPr>
              <w:pStyle w:val="29"/>
              <w:spacing w:line="186" w:lineRule="exact"/>
              <w:ind w:left="101"/>
              <w:rPr>
                <w:sz w:val="18"/>
              </w:rPr>
            </w:pPr>
            <w:r>
              <w:rPr>
                <w:spacing w:val="-5"/>
                <w:sz w:val="18"/>
              </w:rPr>
              <w:t>0.5</w:t>
            </w:r>
          </w:p>
        </w:tc>
        <w:tc>
          <w:tcPr>
            <w:tcW w:w="711" w:type="dxa"/>
            <w:tcBorders>
              <w:top w:val="single" w:color="000000" w:sz="4" w:space="0"/>
              <w:left w:val="single" w:color="000000" w:sz="4" w:space="0"/>
              <w:bottom w:val="single" w:color="000000" w:sz="4" w:space="0"/>
              <w:right w:val="single" w:color="000000" w:sz="4" w:space="0"/>
            </w:tcBorders>
            <w:shd w:val="clear" w:color="auto" w:fill="ECECEC"/>
          </w:tcPr>
          <w:p w14:paraId="35E5C8E9">
            <w:pPr>
              <w:pStyle w:val="29"/>
              <w:spacing w:line="186" w:lineRule="exact"/>
              <w:ind w:left="104"/>
              <w:rPr>
                <w:sz w:val="18"/>
              </w:rPr>
            </w:pPr>
            <w:r>
              <w:rPr>
                <w:spacing w:val="-2"/>
                <w:sz w:val="18"/>
              </w:rPr>
              <w:t>0.520</w:t>
            </w:r>
          </w:p>
        </w:tc>
        <w:tc>
          <w:tcPr>
            <w:tcW w:w="708" w:type="dxa"/>
            <w:tcBorders>
              <w:top w:val="single" w:color="000000" w:sz="4" w:space="0"/>
              <w:left w:val="single" w:color="000000" w:sz="4" w:space="0"/>
              <w:bottom w:val="single" w:color="000000" w:sz="4" w:space="0"/>
              <w:right w:val="single" w:color="000000" w:sz="4" w:space="0"/>
            </w:tcBorders>
            <w:shd w:val="clear" w:color="auto" w:fill="ECECEC"/>
          </w:tcPr>
          <w:p w14:paraId="35BA6D4F">
            <w:pPr>
              <w:pStyle w:val="29"/>
              <w:spacing w:line="186" w:lineRule="exact"/>
              <w:ind w:left="101"/>
              <w:rPr>
                <w:sz w:val="18"/>
              </w:rPr>
            </w:pPr>
            <w:r>
              <w:rPr>
                <w:spacing w:val="-5"/>
                <w:sz w:val="18"/>
              </w:rPr>
              <w:t>0.</w:t>
            </w:r>
          </w:p>
        </w:tc>
        <w:tc>
          <w:tcPr>
            <w:tcW w:w="850" w:type="dxa"/>
            <w:tcBorders>
              <w:top w:val="single" w:color="000000" w:sz="4" w:space="0"/>
              <w:left w:val="single" w:color="000000" w:sz="4" w:space="0"/>
              <w:bottom w:val="single" w:color="000000" w:sz="4" w:space="0"/>
              <w:right w:val="nil"/>
            </w:tcBorders>
            <w:shd w:val="clear" w:color="auto" w:fill="ECECEC"/>
          </w:tcPr>
          <w:p w14:paraId="48492E86">
            <w:pPr>
              <w:pStyle w:val="29"/>
              <w:spacing w:line="186" w:lineRule="exact"/>
              <w:ind w:left="101"/>
              <w:rPr>
                <w:sz w:val="18"/>
              </w:rPr>
            </w:pPr>
            <w:r>
              <w:rPr>
                <w:spacing w:val="-2"/>
                <w:sz w:val="18"/>
              </w:rPr>
              <w:t>0.794</w:t>
            </w:r>
          </w:p>
        </w:tc>
      </w:tr>
      <w:tr w14:paraId="2BE09F19">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414" w:hRule="atLeast"/>
        </w:trPr>
        <w:tc>
          <w:tcPr>
            <w:tcW w:w="866" w:type="dxa"/>
            <w:tcBorders>
              <w:top w:val="single" w:color="000000" w:sz="4" w:space="0"/>
              <w:left w:val="nil"/>
              <w:bottom w:val="single" w:color="000000" w:sz="4" w:space="0"/>
              <w:right w:val="single" w:color="000000" w:sz="4" w:space="0"/>
            </w:tcBorders>
          </w:tcPr>
          <w:p w14:paraId="08A5C304">
            <w:pPr>
              <w:pStyle w:val="29"/>
              <w:spacing w:line="207" w:lineRule="exact"/>
              <w:ind w:left="122"/>
              <w:rPr>
                <w:b/>
                <w:sz w:val="18"/>
              </w:rPr>
            </w:pPr>
            <w:r>
              <w:rPr>
                <w:b/>
                <w:spacing w:val="-5"/>
                <w:sz w:val="18"/>
              </w:rPr>
              <w:t>8ç</w:t>
            </w:r>
          </w:p>
        </w:tc>
        <w:tc>
          <w:tcPr>
            <w:tcW w:w="4251" w:type="dxa"/>
            <w:tcBorders>
              <w:top w:val="single" w:color="000000" w:sz="4" w:space="0"/>
              <w:left w:val="single" w:color="000000" w:sz="4" w:space="0"/>
              <w:bottom w:val="single" w:color="000000" w:sz="4" w:space="0"/>
              <w:right w:val="single" w:color="000000" w:sz="4" w:space="0"/>
            </w:tcBorders>
          </w:tcPr>
          <w:p w14:paraId="64055098">
            <w:pPr>
              <w:pStyle w:val="29"/>
              <w:spacing w:line="202" w:lineRule="exact"/>
              <w:ind w:left="100"/>
              <w:rPr>
                <w:sz w:val="18"/>
              </w:rPr>
            </w:pPr>
            <w:r>
              <w:rPr>
                <w:sz w:val="18"/>
              </w:rPr>
              <w:t>Günlük</w:t>
            </w:r>
            <w:r>
              <w:rPr>
                <w:spacing w:val="79"/>
                <w:w w:val="150"/>
                <w:sz w:val="18"/>
              </w:rPr>
              <w:t xml:space="preserve"> </w:t>
            </w:r>
            <w:r>
              <w:rPr>
                <w:sz w:val="18"/>
              </w:rPr>
              <w:t>yaşamınızda</w:t>
            </w:r>
            <w:r>
              <w:rPr>
                <w:spacing w:val="29"/>
                <w:sz w:val="18"/>
              </w:rPr>
              <w:t xml:space="preserve">  </w:t>
            </w:r>
            <w:r>
              <w:rPr>
                <w:sz w:val="18"/>
              </w:rPr>
              <w:t>kendinizi</w:t>
            </w:r>
            <w:r>
              <w:rPr>
                <w:spacing w:val="29"/>
                <w:sz w:val="18"/>
              </w:rPr>
              <w:t xml:space="preserve">  </w:t>
            </w:r>
            <w:r>
              <w:rPr>
                <w:sz w:val="18"/>
              </w:rPr>
              <w:t>ne</w:t>
            </w:r>
            <w:r>
              <w:rPr>
                <w:spacing w:val="79"/>
                <w:w w:val="150"/>
                <w:sz w:val="18"/>
              </w:rPr>
              <w:t xml:space="preserve"> </w:t>
            </w:r>
            <w:r>
              <w:rPr>
                <w:sz w:val="18"/>
              </w:rPr>
              <w:t>kadar</w:t>
            </w:r>
            <w:r>
              <w:rPr>
                <w:spacing w:val="31"/>
                <w:sz w:val="18"/>
              </w:rPr>
              <w:t xml:space="preserve">  </w:t>
            </w:r>
            <w:r>
              <w:rPr>
                <w:spacing w:val="-2"/>
                <w:sz w:val="18"/>
              </w:rPr>
              <w:t>güvende</w:t>
            </w:r>
          </w:p>
          <w:p w14:paraId="68364642">
            <w:pPr>
              <w:pStyle w:val="29"/>
              <w:spacing w:line="193" w:lineRule="exact"/>
              <w:ind w:left="100"/>
              <w:rPr>
                <w:sz w:val="18"/>
              </w:rPr>
            </w:pPr>
            <w:r>
              <w:rPr>
                <w:spacing w:val="-2"/>
                <w:sz w:val="18"/>
              </w:rPr>
              <w:t>hissediyorsunuz?</w:t>
            </w:r>
          </w:p>
        </w:tc>
        <w:tc>
          <w:tcPr>
            <w:tcW w:w="710" w:type="dxa"/>
            <w:tcBorders>
              <w:top w:val="single" w:color="000000" w:sz="4" w:space="0"/>
              <w:left w:val="single" w:color="000000" w:sz="4" w:space="0"/>
              <w:bottom w:val="single" w:color="000000" w:sz="4" w:space="0"/>
              <w:right w:val="single" w:color="000000" w:sz="4" w:space="0"/>
            </w:tcBorders>
          </w:tcPr>
          <w:p w14:paraId="651E7AF5">
            <w:pPr>
              <w:pStyle w:val="29"/>
              <w:rPr>
                <w:sz w:val="18"/>
              </w:rPr>
            </w:pPr>
          </w:p>
        </w:tc>
        <w:tc>
          <w:tcPr>
            <w:tcW w:w="708" w:type="dxa"/>
            <w:tcBorders>
              <w:top w:val="single" w:color="000000" w:sz="4" w:space="0"/>
              <w:left w:val="single" w:color="000000" w:sz="4" w:space="0"/>
              <w:bottom w:val="single" w:color="000000" w:sz="4" w:space="0"/>
              <w:right w:val="single" w:color="000000" w:sz="4" w:space="0"/>
            </w:tcBorders>
          </w:tcPr>
          <w:p w14:paraId="5D9F0A97">
            <w:pPr>
              <w:pStyle w:val="29"/>
              <w:spacing w:line="202" w:lineRule="exact"/>
              <w:ind w:left="101"/>
              <w:rPr>
                <w:sz w:val="18"/>
              </w:rPr>
            </w:pPr>
            <w:r>
              <w:rPr>
                <w:spacing w:val="-5"/>
                <w:sz w:val="18"/>
              </w:rPr>
              <w:t>0.</w:t>
            </w:r>
          </w:p>
        </w:tc>
        <w:tc>
          <w:tcPr>
            <w:tcW w:w="711" w:type="dxa"/>
            <w:tcBorders>
              <w:top w:val="single" w:color="000000" w:sz="4" w:space="0"/>
              <w:left w:val="single" w:color="000000" w:sz="4" w:space="0"/>
              <w:bottom w:val="single" w:color="000000" w:sz="4" w:space="0"/>
              <w:right w:val="single" w:color="000000" w:sz="4" w:space="0"/>
            </w:tcBorders>
          </w:tcPr>
          <w:p w14:paraId="35376B5A">
            <w:pPr>
              <w:pStyle w:val="29"/>
              <w:spacing w:line="202" w:lineRule="exact"/>
              <w:ind w:left="104"/>
              <w:rPr>
                <w:sz w:val="18"/>
              </w:rPr>
            </w:pPr>
            <w:r>
              <w:rPr>
                <w:spacing w:val="-5"/>
                <w:sz w:val="18"/>
              </w:rPr>
              <w:t>0.</w:t>
            </w:r>
          </w:p>
        </w:tc>
        <w:tc>
          <w:tcPr>
            <w:tcW w:w="708" w:type="dxa"/>
            <w:tcBorders>
              <w:top w:val="single" w:color="000000" w:sz="4" w:space="0"/>
              <w:left w:val="single" w:color="000000" w:sz="4" w:space="0"/>
              <w:bottom w:val="single" w:color="000000" w:sz="4" w:space="0"/>
              <w:right w:val="single" w:color="000000" w:sz="4" w:space="0"/>
            </w:tcBorders>
          </w:tcPr>
          <w:p w14:paraId="0F7549B8">
            <w:pPr>
              <w:pStyle w:val="29"/>
              <w:spacing w:line="202" w:lineRule="exact"/>
              <w:ind w:left="101"/>
              <w:rPr>
                <w:sz w:val="18"/>
              </w:rPr>
            </w:pPr>
            <w:r>
              <w:rPr>
                <w:spacing w:val="-2"/>
                <w:sz w:val="18"/>
              </w:rPr>
              <w:t>0.724</w:t>
            </w:r>
          </w:p>
        </w:tc>
        <w:tc>
          <w:tcPr>
            <w:tcW w:w="850" w:type="dxa"/>
            <w:tcBorders>
              <w:top w:val="single" w:color="000000" w:sz="4" w:space="0"/>
              <w:left w:val="single" w:color="000000" w:sz="4" w:space="0"/>
              <w:bottom w:val="single" w:color="000000" w:sz="4" w:space="0"/>
              <w:right w:val="nil"/>
            </w:tcBorders>
          </w:tcPr>
          <w:p w14:paraId="7142299F">
            <w:pPr>
              <w:pStyle w:val="29"/>
              <w:spacing w:line="202" w:lineRule="exact"/>
              <w:ind w:left="101"/>
              <w:rPr>
                <w:sz w:val="18"/>
              </w:rPr>
            </w:pPr>
            <w:r>
              <w:rPr>
                <w:spacing w:val="-2"/>
                <w:sz w:val="18"/>
              </w:rPr>
              <w:t>0.930</w:t>
            </w:r>
          </w:p>
        </w:tc>
      </w:tr>
      <w:tr w14:paraId="482C59CE">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206" w:hRule="atLeast"/>
        </w:trPr>
        <w:tc>
          <w:tcPr>
            <w:tcW w:w="866" w:type="dxa"/>
            <w:tcBorders>
              <w:top w:val="single" w:color="000000" w:sz="4" w:space="0"/>
              <w:left w:val="nil"/>
              <w:bottom w:val="single" w:color="000000" w:sz="4" w:space="0"/>
              <w:right w:val="single" w:color="000000" w:sz="4" w:space="0"/>
            </w:tcBorders>
            <w:shd w:val="clear" w:color="auto" w:fill="ECECEC"/>
          </w:tcPr>
          <w:p w14:paraId="7938BCEF">
            <w:pPr>
              <w:pStyle w:val="29"/>
              <w:spacing w:line="186" w:lineRule="exact"/>
              <w:ind w:left="122"/>
              <w:rPr>
                <w:b/>
                <w:sz w:val="18"/>
              </w:rPr>
            </w:pPr>
            <w:r>
              <w:rPr>
                <w:b/>
                <w:spacing w:val="-5"/>
                <w:sz w:val="18"/>
              </w:rPr>
              <w:t>9ç</w:t>
            </w:r>
          </w:p>
        </w:tc>
        <w:tc>
          <w:tcPr>
            <w:tcW w:w="4251" w:type="dxa"/>
            <w:tcBorders>
              <w:top w:val="single" w:color="000000" w:sz="4" w:space="0"/>
              <w:left w:val="single" w:color="000000" w:sz="4" w:space="0"/>
              <w:bottom w:val="single" w:color="000000" w:sz="4" w:space="0"/>
              <w:right w:val="single" w:color="000000" w:sz="4" w:space="0"/>
            </w:tcBorders>
            <w:shd w:val="clear" w:color="auto" w:fill="ECECEC"/>
          </w:tcPr>
          <w:p w14:paraId="47F161F9">
            <w:pPr>
              <w:pStyle w:val="29"/>
              <w:spacing w:line="186" w:lineRule="exact"/>
              <w:ind w:left="100"/>
              <w:rPr>
                <w:sz w:val="18"/>
              </w:rPr>
            </w:pPr>
            <w:r>
              <w:rPr>
                <w:sz w:val="18"/>
              </w:rPr>
              <w:t>Fiziksel</w:t>
            </w:r>
            <w:r>
              <w:rPr>
                <w:spacing w:val="-2"/>
                <w:sz w:val="18"/>
              </w:rPr>
              <w:t xml:space="preserve"> </w:t>
            </w:r>
            <w:r>
              <w:rPr>
                <w:sz w:val="18"/>
              </w:rPr>
              <w:t>çevreniz</w:t>
            </w:r>
            <w:r>
              <w:rPr>
                <w:spacing w:val="-1"/>
                <w:sz w:val="18"/>
              </w:rPr>
              <w:t xml:space="preserve"> </w:t>
            </w:r>
            <w:r>
              <w:rPr>
                <w:sz w:val="18"/>
              </w:rPr>
              <w:t>ne</w:t>
            </w:r>
            <w:r>
              <w:rPr>
                <w:spacing w:val="-2"/>
                <w:sz w:val="18"/>
              </w:rPr>
              <w:t xml:space="preserve"> </w:t>
            </w:r>
            <w:r>
              <w:rPr>
                <w:sz w:val="18"/>
              </w:rPr>
              <w:t>ölçüde</w:t>
            </w:r>
            <w:r>
              <w:rPr>
                <w:spacing w:val="-2"/>
                <w:sz w:val="18"/>
              </w:rPr>
              <w:t xml:space="preserve"> sağlıklıdır?</w:t>
            </w:r>
          </w:p>
        </w:tc>
        <w:tc>
          <w:tcPr>
            <w:tcW w:w="710" w:type="dxa"/>
            <w:tcBorders>
              <w:top w:val="single" w:color="000000" w:sz="4" w:space="0"/>
              <w:left w:val="single" w:color="000000" w:sz="4" w:space="0"/>
              <w:bottom w:val="single" w:color="000000" w:sz="4" w:space="0"/>
              <w:right w:val="single" w:color="000000" w:sz="4" w:space="0"/>
            </w:tcBorders>
            <w:shd w:val="clear" w:color="auto" w:fill="ECECEC"/>
          </w:tcPr>
          <w:p w14:paraId="566DD44A">
            <w:pPr>
              <w:pStyle w:val="29"/>
              <w:spacing w:line="186" w:lineRule="exact"/>
              <w:ind w:left="103"/>
              <w:rPr>
                <w:sz w:val="18"/>
              </w:rPr>
            </w:pPr>
            <w:r>
              <w:rPr>
                <w:spacing w:val="-5"/>
                <w:sz w:val="18"/>
              </w:rPr>
              <w:t>0.</w:t>
            </w:r>
          </w:p>
        </w:tc>
        <w:tc>
          <w:tcPr>
            <w:tcW w:w="708" w:type="dxa"/>
            <w:tcBorders>
              <w:top w:val="single" w:color="000000" w:sz="4" w:space="0"/>
              <w:left w:val="single" w:color="000000" w:sz="4" w:space="0"/>
              <w:bottom w:val="single" w:color="000000" w:sz="4" w:space="0"/>
              <w:right w:val="single" w:color="000000" w:sz="4" w:space="0"/>
            </w:tcBorders>
            <w:shd w:val="clear" w:color="auto" w:fill="ECECEC"/>
          </w:tcPr>
          <w:p w14:paraId="19CB798F">
            <w:pPr>
              <w:pStyle w:val="29"/>
              <w:spacing w:line="186" w:lineRule="exact"/>
              <w:ind w:left="101"/>
              <w:rPr>
                <w:sz w:val="18"/>
              </w:rPr>
            </w:pPr>
            <w:r>
              <w:rPr>
                <w:spacing w:val="-5"/>
                <w:sz w:val="18"/>
              </w:rPr>
              <w:t>0.</w:t>
            </w:r>
          </w:p>
        </w:tc>
        <w:tc>
          <w:tcPr>
            <w:tcW w:w="711" w:type="dxa"/>
            <w:tcBorders>
              <w:top w:val="single" w:color="000000" w:sz="4" w:space="0"/>
              <w:left w:val="single" w:color="000000" w:sz="4" w:space="0"/>
              <w:bottom w:val="single" w:color="000000" w:sz="4" w:space="0"/>
              <w:right w:val="single" w:color="000000" w:sz="4" w:space="0"/>
            </w:tcBorders>
            <w:shd w:val="clear" w:color="auto" w:fill="ECECEC"/>
          </w:tcPr>
          <w:p w14:paraId="7C4DDD7A">
            <w:pPr>
              <w:pStyle w:val="29"/>
              <w:spacing w:line="186" w:lineRule="exact"/>
              <w:ind w:left="104"/>
              <w:rPr>
                <w:sz w:val="18"/>
              </w:rPr>
            </w:pPr>
            <w:r>
              <w:rPr>
                <w:spacing w:val="-5"/>
                <w:sz w:val="18"/>
              </w:rPr>
              <w:t>0.</w:t>
            </w:r>
          </w:p>
        </w:tc>
        <w:tc>
          <w:tcPr>
            <w:tcW w:w="708" w:type="dxa"/>
            <w:tcBorders>
              <w:top w:val="single" w:color="000000" w:sz="4" w:space="0"/>
              <w:left w:val="single" w:color="000000" w:sz="4" w:space="0"/>
              <w:bottom w:val="single" w:color="000000" w:sz="4" w:space="0"/>
              <w:right w:val="single" w:color="000000" w:sz="4" w:space="0"/>
            </w:tcBorders>
            <w:shd w:val="clear" w:color="auto" w:fill="ECECEC"/>
          </w:tcPr>
          <w:p w14:paraId="721FD833">
            <w:pPr>
              <w:pStyle w:val="29"/>
              <w:spacing w:line="186" w:lineRule="exact"/>
              <w:ind w:left="101"/>
              <w:rPr>
                <w:sz w:val="18"/>
              </w:rPr>
            </w:pPr>
            <w:r>
              <w:rPr>
                <w:spacing w:val="-2"/>
                <w:sz w:val="18"/>
              </w:rPr>
              <w:t>0.729</w:t>
            </w:r>
          </w:p>
        </w:tc>
        <w:tc>
          <w:tcPr>
            <w:tcW w:w="850" w:type="dxa"/>
            <w:tcBorders>
              <w:top w:val="single" w:color="000000" w:sz="4" w:space="0"/>
              <w:left w:val="single" w:color="000000" w:sz="4" w:space="0"/>
              <w:bottom w:val="single" w:color="000000" w:sz="4" w:space="0"/>
              <w:right w:val="nil"/>
            </w:tcBorders>
            <w:shd w:val="clear" w:color="auto" w:fill="ECECEC"/>
          </w:tcPr>
          <w:p w14:paraId="26C637EA">
            <w:pPr>
              <w:pStyle w:val="29"/>
              <w:spacing w:line="186" w:lineRule="exact"/>
              <w:ind w:left="101"/>
              <w:rPr>
                <w:sz w:val="18"/>
              </w:rPr>
            </w:pPr>
            <w:r>
              <w:rPr>
                <w:spacing w:val="-2"/>
                <w:sz w:val="18"/>
              </w:rPr>
              <w:t>0.924</w:t>
            </w:r>
          </w:p>
        </w:tc>
      </w:tr>
      <w:tr w14:paraId="5D28C4DD">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205" w:hRule="atLeast"/>
        </w:trPr>
        <w:tc>
          <w:tcPr>
            <w:tcW w:w="866" w:type="dxa"/>
            <w:tcBorders>
              <w:top w:val="single" w:color="000000" w:sz="4" w:space="0"/>
              <w:left w:val="nil"/>
              <w:bottom w:val="single" w:color="000000" w:sz="4" w:space="0"/>
              <w:right w:val="single" w:color="000000" w:sz="4" w:space="0"/>
            </w:tcBorders>
          </w:tcPr>
          <w:p w14:paraId="431B97DD">
            <w:pPr>
              <w:pStyle w:val="29"/>
              <w:spacing w:line="186" w:lineRule="exact"/>
              <w:ind w:left="122"/>
              <w:rPr>
                <w:b/>
                <w:sz w:val="18"/>
              </w:rPr>
            </w:pPr>
            <w:r>
              <w:rPr>
                <w:b/>
                <w:spacing w:val="-5"/>
                <w:sz w:val="18"/>
              </w:rPr>
              <w:t>12ç</w:t>
            </w:r>
          </w:p>
        </w:tc>
        <w:tc>
          <w:tcPr>
            <w:tcW w:w="4251" w:type="dxa"/>
            <w:tcBorders>
              <w:top w:val="single" w:color="000000" w:sz="4" w:space="0"/>
              <w:left w:val="single" w:color="000000" w:sz="4" w:space="0"/>
              <w:bottom w:val="single" w:color="000000" w:sz="4" w:space="0"/>
              <w:right w:val="single" w:color="000000" w:sz="4" w:space="0"/>
            </w:tcBorders>
          </w:tcPr>
          <w:p w14:paraId="74C29AB1">
            <w:pPr>
              <w:pStyle w:val="29"/>
              <w:spacing w:line="186" w:lineRule="exact"/>
              <w:ind w:left="100"/>
              <w:rPr>
                <w:sz w:val="18"/>
              </w:rPr>
            </w:pPr>
            <w:r>
              <w:rPr>
                <w:sz w:val="18"/>
              </w:rPr>
              <w:t>İhtiyaçlarınızı</w:t>
            </w:r>
            <w:r>
              <w:rPr>
                <w:spacing w:val="-3"/>
                <w:sz w:val="18"/>
              </w:rPr>
              <w:t xml:space="preserve"> </w:t>
            </w:r>
            <w:r>
              <w:rPr>
                <w:sz w:val="18"/>
              </w:rPr>
              <w:t>karşılamaya</w:t>
            </w:r>
            <w:r>
              <w:rPr>
                <w:spacing w:val="-1"/>
                <w:sz w:val="18"/>
              </w:rPr>
              <w:t xml:space="preserve"> </w:t>
            </w:r>
            <w:r>
              <w:rPr>
                <w:sz w:val="18"/>
              </w:rPr>
              <w:t>yeterli</w:t>
            </w:r>
            <w:r>
              <w:rPr>
                <w:spacing w:val="-1"/>
                <w:sz w:val="18"/>
              </w:rPr>
              <w:t xml:space="preserve"> </w:t>
            </w:r>
            <w:r>
              <w:rPr>
                <w:sz w:val="18"/>
              </w:rPr>
              <w:t>paranız</w:t>
            </w:r>
            <w:r>
              <w:rPr>
                <w:spacing w:val="-3"/>
                <w:sz w:val="18"/>
              </w:rPr>
              <w:t xml:space="preserve"> </w:t>
            </w:r>
            <w:r>
              <w:rPr>
                <w:sz w:val="18"/>
              </w:rPr>
              <w:t>var</w:t>
            </w:r>
            <w:r>
              <w:rPr>
                <w:spacing w:val="-2"/>
                <w:sz w:val="18"/>
              </w:rPr>
              <w:t xml:space="preserve"> </w:t>
            </w:r>
            <w:r>
              <w:rPr>
                <w:spacing w:val="-5"/>
                <w:sz w:val="18"/>
              </w:rPr>
              <w:t>mı?</w:t>
            </w:r>
          </w:p>
        </w:tc>
        <w:tc>
          <w:tcPr>
            <w:tcW w:w="710" w:type="dxa"/>
            <w:tcBorders>
              <w:top w:val="single" w:color="000000" w:sz="4" w:space="0"/>
              <w:left w:val="single" w:color="000000" w:sz="4" w:space="0"/>
              <w:bottom w:val="single" w:color="000000" w:sz="4" w:space="0"/>
              <w:right w:val="single" w:color="000000" w:sz="4" w:space="0"/>
            </w:tcBorders>
          </w:tcPr>
          <w:p w14:paraId="47ED1F1F">
            <w:pPr>
              <w:pStyle w:val="29"/>
              <w:spacing w:line="186" w:lineRule="exact"/>
              <w:ind w:left="103"/>
              <w:rPr>
                <w:sz w:val="18"/>
              </w:rPr>
            </w:pPr>
            <w:r>
              <w:rPr>
                <w:spacing w:val="-5"/>
                <w:sz w:val="18"/>
              </w:rPr>
              <w:t>0.</w:t>
            </w:r>
          </w:p>
        </w:tc>
        <w:tc>
          <w:tcPr>
            <w:tcW w:w="708" w:type="dxa"/>
            <w:tcBorders>
              <w:top w:val="single" w:color="000000" w:sz="4" w:space="0"/>
              <w:left w:val="single" w:color="000000" w:sz="4" w:space="0"/>
              <w:bottom w:val="single" w:color="000000" w:sz="4" w:space="0"/>
              <w:right w:val="single" w:color="000000" w:sz="4" w:space="0"/>
            </w:tcBorders>
          </w:tcPr>
          <w:p w14:paraId="6C71DFB1">
            <w:pPr>
              <w:pStyle w:val="29"/>
              <w:spacing w:line="186" w:lineRule="exact"/>
              <w:ind w:left="101"/>
              <w:rPr>
                <w:sz w:val="18"/>
              </w:rPr>
            </w:pPr>
            <w:r>
              <w:rPr>
                <w:spacing w:val="-5"/>
                <w:sz w:val="18"/>
              </w:rPr>
              <w:t>0.</w:t>
            </w:r>
          </w:p>
        </w:tc>
        <w:tc>
          <w:tcPr>
            <w:tcW w:w="711" w:type="dxa"/>
            <w:tcBorders>
              <w:top w:val="single" w:color="000000" w:sz="4" w:space="0"/>
              <w:left w:val="single" w:color="000000" w:sz="4" w:space="0"/>
              <w:bottom w:val="single" w:color="000000" w:sz="4" w:space="0"/>
              <w:right w:val="single" w:color="000000" w:sz="4" w:space="0"/>
            </w:tcBorders>
          </w:tcPr>
          <w:p w14:paraId="76B86F91">
            <w:pPr>
              <w:pStyle w:val="29"/>
              <w:spacing w:line="186" w:lineRule="exact"/>
              <w:ind w:left="104"/>
              <w:rPr>
                <w:sz w:val="18"/>
              </w:rPr>
            </w:pPr>
            <w:r>
              <w:rPr>
                <w:spacing w:val="-5"/>
                <w:sz w:val="18"/>
              </w:rPr>
              <w:t>0.</w:t>
            </w:r>
          </w:p>
        </w:tc>
        <w:tc>
          <w:tcPr>
            <w:tcW w:w="708" w:type="dxa"/>
            <w:tcBorders>
              <w:top w:val="single" w:color="000000" w:sz="4" w:space="0"/>
              <w:left w:val="single" w:color="000000" w:sz="4" w:space="0"/>
              <w:bottom w:val="single" w:color="000000" w:sz="4" w:space="0"/>
              <w:right w:val="single" w:color="000000" w:sz="4" w:space="0"/>
            </w:tcBorders>
          </w:tcPr>
          <w:p w14:paraId="02A4127A">
            <w:pPr>
              <w:pStyle w:val="29"/>
              <w:spacing w:line="186" w:lineRule="exact"/>
              <w:ind w:left="101"/>
              <w:rPr>
                <w:sz w:val="18"/>
              </w:rPr>
            </w:pPr>
            <w:r>
              <w:rPr>
                <w:spacing w:val="-2"/>
                <w:sz w:val="18"/>
              </w:rPr>
              <w:t>0.712</w:t>
            </w:r>
          </w:p>
        </w:tc>
        <w:tc>
          <w:tcPr>
            <w:tcW w:w="850" w:type="dxa"/>
            <w:tcBorders>
              <w:top w:val="single" w:color="000000" w:sz="4" w:space="0"/>
              <w:left w:val="single" w:color="000000" w:sz="4" w:space="0"/>
              <w:bottom w:val="single" w:color="000000" w:sz="4" w:space="0"/>
              <w:right w:val="nil"/>
            </w:tcBorders>
          </w:tcPr>
          <w:p w14:paraId="2180598E">
            <w:pPr>
              <w:pStyle w:val="29"/>
              <w:spacing w:line="186" w:lineRule="exact"/>
              <w:ind w:left="101"/>
              <w:rPr>
                <w:sz w:val="18"/>
              </w:rPr>
            </w:pPr>
            <w:r>
              <w:rPr>
                <w:spacing w:val="-2"/>
                <w:sz w:val="18"/>
              </w:rPr>
              <w:t>0.955</w:t>
            </w:r>
          </w:p>
        </w:tc>
      </w:tr>
      <w:tr w14:paraId="0B0FCAE3">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414" w:hRule="atLeast"/>
        </w:trPr>
        <w:tc>
          <w:tcPr>
            <w:tcW w:w="866" w:type="dxa"/>
            <w:tcBorders>
              <w:top w:val="single" w:color="000000" w:sz="4" w:space="0"/>
              <w:left w:val="nil"/>
              <w:bottom w:val="single" w:color="000000" w:sz="4" w:space="0"/>
              <w:right w:val="single" w:color="000000" w:sz="4" w:space="0"/>
            </w:tcBorders>
            <w:shd w:val="clear" w:color="auto" w:fill="ECECEC"/>
          </w:tcPr>
          <w:p w14:paraId="4FD084BE">
            <w:pPr>
              <w:pStyle w:val="29"/>
              <w:spacing w:before="2"/>
              <w:ind w:left="122"/>
              <w:rPr>
                <w:b/>
                <w:sz w:val="18"/>
              </w:rPr>
            </w:pPr>
            <w:r>
              <w:rPr>
                <w:b/>
                <w:spacing w:val="-5"/>
                <w:sz w:val="18"/>
              </w:rPr>
              <w:t>13ç</w:t>
            </w:r>
          </w:p>
        </w:tc>
        <w:tc>
          <w:tcPr>
            <w:tcW w:w="4251" w:type="dxa"/>
            <w:tcBorders>
              <w:top w:val="single" w:color="000000" w:sz="4" w:space="0"/>
              <w:left w:val="single" w:color="000000" w:sz="4" w:space="0"/>
              <w:bottom w:val="single" w:color="000000" w:sz="4" w:space="0"/>
              <w:right w:val="single" w:color="000000" w:sz="4" w:space="0"/>
            </w:tcBorders>
            <w:shd w:val="clear" w:color="auto" w:fill="ECECEC"/>
          </w:tcPr>
          <w:p w14:paraId="2225FCB1">
            <w:pPr>
              <w:pStyle w:val="29"/>
              <w:spacing w:line="206" w:lineRule="exact"/>
              <w:ind w:left="100"/>
              <w:rPr>
                <w:sz w:val="18"/>
              </w:rPr>
            </w:pPr>
            <w:r>
              <w:rPr>
                <w:sz w:val="18"/>
              </w:rPr>
              <w:t>Günlük yaşantınızda size gerekli</w:t>
            </w:r>
            <w:r>
              <w:rPr>
                <w:spacing w:val="19"/>
                <w:sz w:val="18"/>
              </w:rPr>
              <w:t xml:space="preserve"> </w:t>
            </w:r>
            <w:r>
              <w:rPr>
                <w:sz w:val="18"/>
              </w:rPr>
              <w:t>bilgi ve haberlere ne ölçüde</w:t>
            </w:r>
            <w:r>
              <w:rPr>
                <w:spacing w:val="-2"/>
                <w:sz w:val="18"/>
              </w:rPr>
              <w:t xml:space="preserve"> </w:t>
            </w:r>
            <w:r>
              <w:rPr>
                <w:sz w:val="18"/>
              </w:rPr>
              <w:t>ulaşabiliyorsunuz?</w:t>
            </w:r>
          </w:p>
        </w:tc>
        <w:tc>
          <w:tcPr>
            <w:tcW w:w="710" w:type="dxa"/>
            <w:tcBorders>
              <w:top w:val="single" w:color="000000" w:sz="4" w:space="0"/>
              <w:left w:val="single" w:color="000000" w:sz="4" w:space="0"/>
              <w:bottom w:val="single" w:color="000000" w:sz="4" w:space="0"/>
              <w:right w:val="single" w:color="000000" w:sz="4" w:space="0"/>
            </w:tcBorders>
            <w:shd w:val="clear" w:color="auto" w:fill="ECECEC"/>
          </w:tcPr>
          <w:p w14:paraId="0244412E">
            <w:pPr>
              <w:pStyle w:val="29"/>
              <w:spacing w:line="204" w:lineRule="exact"/>
              <w:ind w:left="103"/>
              <w:rPr>
                <w:sz w:val="18"/>
              </w:rPr>
            </w:pPr>
            <w:r>
              <w:rPr>
                <w:spacing w:val="-5"/>
                <w:sz w:val="18"/>
              </w:rPr>
              <w:t>0.</w:t>
            </w:r>
          </w:p>
        </w:tc>
        <w:tc>
          <w:tcPr>
            <w:tcW w:w="708" w:type="dxa"/>
            <w:tcBorders>
              <w:top w:val="single" w:color="000000" w:sz="4" w:space="0"/>
              <w:left w:val="single" w:color="000000" w:sz="4" w:space="0"/>
              <w:bottom w:val="single" w:color="000000" w:sz="4" w:space="0"/>
              <w:right w:val="single" w:color="000000" w:sz="4" w:space="0"/>
            </w:tcBorders>
            <w:shd w:val="clear" w:color="auto" w:fill="ECECEC"/>
          </w:tcPr>
          <w:p w14:paraId="25D4FAB9">
            <w:pPr>
              <w:pStyle w:val="29"/>
              <w:spacing w:line="204" w:lineRule="exact"/>
              <w:ind w:left="101"/>
              <w:rPr>
                <w:sz w:val="18"/>
              </w:rPr>
            </w:pPr>
            <w:r>
              <w:rPr>
                <w:spacing w:val="-5"/>
                <w:sz w:val="18"/>
              </w:rPr>
              <w:t>0.</w:t>
            </w:r>
          </w:p>
        </w:tc>
        <w:tc>
          <w:tcPr>
            <w:tcW w:w="711" w:type="dxa"/>
            <w:tcBorders>
              <w:top w:val="single" w:color="000000" w:sz="4" w:space="0"/>
              <w:left w:val="single" w:color="000000" w:sz="4" w:space="0"/>
              <w:bottom w:val="single" w:color="000000" w:sz="4" w:space="0"/>
              <w:right w:val="single" w:color="000000" w:sz="4" w:space="0"/>
            </w:tcBorders>
            <w:shd w:val="clear" w:color="auto" w:fill="ECECEC"/>
          </w:tcPr>
          <w:p w14:paraId="2E388BF6">
            <w:pPr>
              <w:pStyle w:val="29"/>
              <w:spacing w:line="204" w:lineRule="exact"/>
              <w:ind w:left="104"/>
              <w:rPr>
                <w:sz w:val="18"/>
              </w:rPr>
            </w:pPr>
            <w:r>
              <w:rPr>
                <w:spacing w:val="-5"/>
                <w:sz w:val="18"/>
              </w:rPr>
              <w:t>0.</w:t>
            </w:r>
          </w:p>
        </w:tc>
        <w:tc>
          <w:tcPr>
            <w:tcW w:w="708" w:type="dxa"/>
            <w:tcBorders>
              <w:top w:val="single" w:color="000000" w:sz="4" w:space="0"/>
              <w:left w:val="single" w:color="000000" w:sz="4" w:space="0"/>
              <w:bottom w:val="single" w:color="000000" w:sz="4" w:space="0"/>
              <w:right w:val="single" w:color="000000" w:sz="4" w:space="0"/>
            </w:tcBorders>
            <w:shd w:val="clear" w:color="auto" w:fill="ECECEC"/>
          </w:tcPr>
          <w:p w14:paraId="3F9AA9E9">
            <w:pPr>
              <w:pStyle w:val="29"/>
              <w:spacing w:line="204" w:lineRule="exact"/>
              <w:ind w:left="101"/>
              <w:rPr>
                <w:sz w:val="18"/>
              </w:rPr>
            </w:pPr>
            <w:r>
              <w:rPr>
                <w:spacing w:val="-2"/>
                <w:sz w:val="18"/>
              </w:rPr>
              <w:t>0.706</w:t>
            </w:r>
          </w:p>
        </w:tc>
        <w:tc>
          <w:tcPr>
            <w:tcW w:w="850" w:type="dxa"/>
            <w:tcBorders>
              <w:top w:val="single" w:color="000000" w:sz="4" w:space="0"/>
              <w:left w:val="single" w:color="000000" w:sz="4" w:space="0"/>
              <w:bottom w:val="single" w:color="000000" w:sz="4" w:space="0"/>
              <w:right w:val="nil"/>
            </w:tcBorders>
            <w:shd w:val="clear" w:color="auto" w:fill="ECECEC"/>
          </w:tcPr>
          <w:p w14:paraId="181E3A55">
            <w:pPr>
              <w:pStyle w:val="29"/>
              <w:spacing w:line="204" w:lineRule="exact"/>
              <w:ind w:left="101"/>
              <w:rPr>
                <w:sz w:val="18"/>
              </w:rPr>
            </w:pPr>
            <w:r>
              <w:rPr>
                <w:spacing w:val="-2"/>
                <w:sz w:val="18"/>
              </w:rPr>
              <w:t>0.872</w:t>
            </w:r>
          </w:p>
        </w:tc>
      </w:tr>
      <w:tr w14:paraId="38E53556">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414" w:hRule="atLeast"/>
        </w:trPr>
        <w:tc>
          <w:tcPr>
            <w:tcW w:w="866" w:type="dxa"/>
            <w:tcBorders>
              <w:top w:val="single" w:color="000000" w:sz="4" w:space="0"/>
              <w:left w:val="nil"/>
              <w:bottom w:val="single" w:color="000000" w:sz="4" w:space="0"/>
              <w:right w:val="single" w:color="000000" w:sz="4" w:space="0"/>
            </w:tcBorders>
          </w:tcPr>
          <w:p w14:paraId="7F6B5C23">
            <w:pPr>
              <w:pStyle w:val="29"/>
              <w:spacing w:line="207" w:lineRule="exact"/>
              <w:ind w:left="122"/>
              <w:rPr>
                <w:b/>
                <w:sz w:val="18"/>
              </w:rPr>
            </w:pPr>
            <w:r>
              <w:rPr>
                <w:b/>
                <w:spacing w:val="-5"/>
                <w:sz w:val="18"/>
              </w:rPr>
              <w:t>14ç</w:t>
            </w:r>
          </w:p>
        </w:tc>
        <w:tc>
          <w:tcPr>
            <w:tcW w:w="4251" w:type="dxa"/>
            <w:tcBorders>
              <w:top w:val="single" w:color="000000" w:sz="4" w:space="0"/>
              <w:left w:val="single" w:color="000000" w:sz="4" w:space="0"/>
              <w:bottom w:val="single" w:color="000000" w:sz="4" w:space="0"/>
              <w:right w:val="single" w:color="000000" w:sz="4" w:space="0"/>
            </w:tcBorders>
          </w:tcPr>
          <w:p w14:paraId="61570604">
            <w:pPr>
              <w:pStyle w:val="29"/>
              <w:spacing w:line="202" w:lineRule="exact"/>
              <w:ind w:left="100"/>
              <w:rPr>
                <w:sz w:val="18"/>
              </w:rPr>
            </w:pPr>
            <w:r>
              <w:rPr>
                <w:sz w:val="18"/>
              </w:rPr>
              <w:t>Boş</w:t>
            </w:r>
            <w:r>
              <w:rPr>
                <w:spacing w:val="27"/>
                <w:sz w:val="18"/>
              </w:rPr>
              <w:t xml:space="preserve"> </w:t>
            </w:r>
            <w:r>
              <w:rPr>
                <w:sz w:val="18"/>
              </w:rPr>
              <w:t>zamanları</w:t>
            </w:r>
            <w:r>
              <w:rPr>
                <w:spacing w:val="30"/>
                <w:sz w:val="18"/>
              </w:rPr>
              <w:t xml:space="preserve"> </w:t>
            </w:r>
            <w:r>
              <w:rPr>
                <w:sz w:val="18"/>
              </w:rPr>
              <w:t>değerlendirme</w:t>
            </w:r>
            <w:r>
              <w:rPr>
                <w:spacing w:val="29"/>
                <w:sz w:val="18"/>
              </w:rPr>
              <w:t xml:space="preserve"> </w:t>
            </w:r>
            <w:r>
              <w:rPr>
                <w:sz w:val="18"/>
              </w:rPr>
              <w:t>uğraşları</w:t>
            </w:r>
            <w:r>
              <w:rPr>
                <w:spacing w:val="31"/>
                <w:sz w:val="18"/>
              </w:rPr>
              <w:t xml:space="preserve"> </w:t>
            </w:r>
            <w:r>
              <w:rPr>
                <w:sz w:val="18"/>
              </w:rPr>
              <w:t>için</w:t>
            </w:r>
            <w:r>
              <w:rPr>
                <w:spacing w:val="31"/>
                <w:sz w:val="18"/>
              </w:rPr>
              <w:t xml:space="preserve"> </w:t>
            </w:r>
            <w:r>
              <w:rPr>
                <w:sz w:val="18"/>
              </w:rPr>
              <w:t>ne</w:t>
            </w:r>
            <w:r>
              <w:rPr>
                <w:spacing w:val="29"/>
                <w:sz w:val="18"/>
              </w:rPr>
              <w:t xml:space="preserve"> </w:t>
            </w:r>
            <w:r>
              <w:rPr>
                <w:spacing w:val="-2"/>
                <w:sz w:val="18"/>
              </w:rPr>
              <w:t>ölçüde</w:t>
            </w:r>
          </w:p>
          <w:p w14:paraId="6396171D">
            <w:pPr>
              <w:pStyle w:val="29"/>
              <w:spacing w:before="2" w:line="191" w:lineRule="exact"/>
              <w:ind w:left="100"/>
              <w:rPr>
                <w:sz w:val="18"/>
              </w:rPr>
            </w:pPr>
            <w:r>
              <w:rPr>
                <w:sz w:val="18"/>
              </w:rPr>
              <w:t>fırsatınız</w:t>
            </w:r>
            <w:r>
              <w:rPr>
                <w:spacing w:val="-5"/>
                <w:sz w:val="18"/>
              </w:rPr>
              <w:t xml:space="preserve"> </w:t>
            </w:r>
            <w:r>
              <w:rPr>
                <w:spacing w:val="-2"/>
                <w:sz w:val="18"/>
              </w:rPr>
              <w:t>olur?</w:t>
            </w:r>
          </w:p>
        </w:tc>
        <w:tc>
          <w:tcPr>
            <w:tcW w:w="710" w:type="dxa"/>
            <w:tcBorders>
              <w:top w:val="single" w:color="000000" w:sz="4" w:space="0"/>
              <w:left w:val="single" w:color="000000" w:sz="4" w:space="0"/>
              <w:bottom w:val="single" w:color="000000" w:sz="4" w:space="0"/>
              <w:right w:val="single" w:color="000000" w:sz="4" w:space="0"/>
            </w:tcBorders>
          </w:tcPr>
          <w:p w14:paraId="6CBD1D3F">
            <w:pPr>
              <w:pStyle w:val="29"/>
              <w:spacing w:line="202" w:lineRule="exact"/>
              <w:ind w:left="103"/>
              <w:rPr>
                <w:sz w:val="18"/>
              </w:rPr>
            </w:pPr>
            <w:r>
              <w:rPr>
                <w:spacing w:val="-5"/>
                <w:sz w:val="18"/>
              </w:rPr>
              <w:t>0.</w:t>
            </w:r>
          </w:p>
        </w:tc>
        <w:tc>
          <w:tcPr>
            <w:tcW w:w="708" w:type="dxa"/>
            <w:tcBorders>
              <w:top w:val="single" w:color="000000" w:sz="4" w:space="0"/>
              <w:left w:val="single" w:color="000000" w:sz="4" w:space="0"/>
              <w:bottom w:val="single" w:color="000000" w:sz="4" w:space="0"/>
              <w:right w:val="single" w:color="000000" w:sz="4" w:space="0"/>
            </w:tcBorders>
          </w:tcPr>
          <w:p w14:paraId="582B7725">
            <w:pPr>
              <w:pStyle w:val="29"/>
              <w:spacing w:line="202" w:lineRule="exact"/>
              <w:ind w:left="101"/>
              <w:rPr>
                <w:sz w:val="18"/>
              </w:rPr>
            </w:pPr>
            <w:r>
              <w:rPr>
                <w:spacing w:val="-5"/>
                <w:sz w:val="18"/>
              </w:rPr>
              <w:t>0.</w:t>
            </w:r>
          </w:p>
        </w:tc>
        <w:tc>
          <w:tcPr>
            <w:tcW w:w="711" w:type="dxa"/>
            <w:tcBorders>
              <w:top w:val="single" w:color="000000" w:sz="4" w:space="0"/>
              <w:left w:val="single" w:color="000000" w:sz="4" w:space="0"/>
              <w:bottom w:val="single" w:color="000000" w:sz="4" w:space="0"/>
              <w:right w:val="single" w:color="000000" w:sz="4" w:space="0"/>
            </w:tcBorders>
          </w:tcPr>
          <w:p w14:paraId="38C71976">
            <w:pPr>
              <w:pStyle w:val="29"/>
              <w:spacing w:line="202" w:lineRule="exact"/>
              <w:ind w:left="104"/>
              <w:rPr>
                <w:sz w:val="18"/>
              </w:rPr>
            </w:pPr>
            <w:r>
              <w:rPr>
                <w:spacing w:val="-5"/>
                <w:sz w:val="18"/>
              </w:rPr>
              <w:t>0.</w:t>
            </w:r>
          </w:p>
        </w:tc>
        <w:tc>
          <w:tcPr>
            <w:tcW w:w="708" w:type="dxa"/>
            <w:tcBorders>
              <w:top w:val="single" w:color="000000" w:sz="4" w:space="0"/>
              <w:left w:val="single" w:color="000000" w:sz="4" w:space="0"/>
              <w:bottom w:val="single" w:color="000000" w:sz="4" w:space="0"/>
              <w:right w:val="single" w:color="000000" w:sz="4" w:space="0"/>
            </w:tcBorders>
          </w:tcPr>
          <w:p w14:paraId="42EE7381">
            <w:pPr>
              <w:pStyle w:val="29"/>
              <w:spacing w:line="202" w:lineRule="exact"/>
              <w:ind w:left="101"/>
              <w:rPr>
                <w:sz w:val="18"/>
              </w:rPr>
            </w:pPr>
            <w:r>
              <w:rPr>
                <w:spacing w:val="-2"/>
                <w:sz w:val="18"/>
              </w:rPr>
              <w:t>0.731</w:t>
            </w:r>
          </w:p>
        </w:tc>
        <w:tc>
          <w:tcPr>
            <w:tcW w:w="850" w:type="dxa"/>
            <w:tcBorders>
              <w:top w:val="single" w:color="000000" w:sz="4" w:space="0"/>
              <w:left w:val="single" w:color="000000" w:sz="4" w:space="0"/>
              <w:bottom w:val="single" w:color="000000" w:sz="4" w:space="0"/>
              <w:right w:val="nil"/>
            </w:tcBorders>
          </w:tcPr>
          <w:p w14:paraId="40CAC76F">
            <w:pPr>
              <w:pStyle w:val="29"/>
              <w:spacing w:line="202" w:lineRule="exact"/>
              <w:ind w:left="101"/>
              <w:rPr>
                <w:sz w:val="18"/>
              </w:rPr>
            </w:pPr>
            <w:r>
              <w:rPr>
                <w:spacing w:val="-2"/>
                <w:sz w:val="18"/>
              </w:rPr>
              <w:t>0.975</w:t>
            </w:r>
          </w:p>
        </w:tc>
      </w:tr>
      <w:tr w14:paraId="225020C9">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205" w:hRule="atLeast"/>
        </w:trPr>
        <w:tc>
          <w:tcPr>
            <w:tcW w:w="866" w:type="dxa"/>
            <w:tcBorders>
              <w:top w:val="single" w:color="000000" w:sz="4" w:space="0"/>
              <w:left w:val="nil"/>
              <w:bottom w:val="single" w:color="000000" w:sz="4" w:space="0"/>
              <w:right w:val="single" w:color="000000" w:sz="4" w:space="0"/>
            </w:tcBorders>
            <w:shd w:val="clear" w:color="auto" w:fill="ECECEC"/>
          </w:tcPr>
          <w:p w14:paraId="6B8A7B96">
            <w:pPr>
              <w:pStyle w:val="29"/>
              <w:spacing w:line="186" w:lineRule="exact"/>
              <w:ind w:left="122"/>
              <w:rPr>
                <w:b/>
                <w:sz w:val="18"/>
              </w:rPr>
            </w:pPr>
            <w:r>
              <w:rPr>
                <w:b/>
                <w:spacing w:val="-5"/>
                <w:sz w:val="18"/>
              </w:rPr>
              <w:t>23ç</w:t>
            </w:r>
          </w:p>
        </w:tc>
        <w:tc>
          <w:tcPr>
            <w:tcW w:w="4251" w:type="dxa"/>
            <w:tcBorders>
              <w:top w:val="single" w:color="000000" w:sz="4" w:space="0"/>
              <w:left w:val="single" w:color="000000" w:sz="4" w:space="0"/>
              <w:bottom w:val="single" w:color="000000" w:sz="4" w:space="0"/>
              <w:right w:val="single" w:color="000000" w:sz="4" w:space="0"/>
            </w:tcBorders>
            <w:shd w:val="clear" w:color="auto" w:fill="ECECEC"/>
          </w:tcPr>
          <w:p w14:paraId="082441C3">
            <w:pPr>
              <w:pStyle w:val="29"/>
              <w:spacing w:line="186" w:lineRule="exact"/>
              <w:ind w:left="100"/>
              <w:rPr>
                <w:sz w:val="18"/>
              </w:rPr>
            </w:pPr>
            <w:r>
              <w:rPr>
                <w:sz w:val="18"/>
              </w:rPr>
              <w:t>Yaşadığınız</w:t>
            </w:r>
            <w:r>
              <w:rPr>
                <w:spacing w:val="-6"/>
                <w:sz w:val="18"/>
              </w:rPr>
              <w:t xml:space="preserve"> </w:t>
            </w:r>
            <w:r>
              <w:rPr>
                <w:sz w:val="18"/>
              </w:rPr>
              <w:t>evin</w:t>
            </w:r>
            <w:r>
              <w:rPr>
                <w:spacing w:val="-5"/>
                <w:sz w:val="18"/>
              </w:rPr>
              <w:t xml:space="preserve"> </w:t>
            </w:r>
            <w:r>
              <w:rPr>
                <w:sz w:val="18"/>
              </w:rPr>
              <w:t>koşullarından</w:t>
            </w:r>
            <w:r>
              <w:rPr>
                <w:spacing w:val="-6"/>
                <w:sz w:val="18"/>
              </w:rPr>
              <w:t xml:space="preserve"> </w:t>
            </w:r>
            <w:r>
              <w:rPr>
                <w:sz w:val="18"/>
              </w:rPr>
              <w:t>ne</w:t>
            </w:r>
            <w:r>
              <w:rPr>
                <w:spacing w:val="-8"/>
                <w:sz w:val="18"/>
              </w:rPr>
              <w:t xml:space="preserve"> </w:t>
            </w:r>
            <w:r>
              <w:rPr>
                <w:sz w:val="18"/>
              </w:rPr>
              <w:t>kadar</w:t>
            </w:r>
            <w:r>
              <w:rPr>
                <w:spacing w:val="-5"/>
                <w:sz w:val="18"/>
              </w:rPr>
              <w:t xml:space="preserve"> </w:t>
            </w:r>
            <w:r>
              <w:rPr>
                <w:spacing w:val="-2"/>
                <w:sz w:val="18"/>
              </w:rPr>
              <w:t>hoşnutsunuz?</w:t>
            </w:r>
          </w:p>
        </w:tc>
        <w:tc>
          <w:tcPr>
            <w:tcW w:w="710" w:type="dxa"/>
            <w:tcBorders>
              <w:top w:val="single" w:color="000000" w:sz="4" w:space="0"/>
              <w:left w:val="single" w:color="000000" w:sz="4" w:space="0"/>
              <w:bottom w:val="single" w:color="000000" w:sz="4" w:space="0"/>
              <w:right w:val="single" w:color="000000" w:sz="4" w:space="0"/>
            </w:tcBorders>
            <w:shd w:val="clear" w:color="auto" w:fill="ECECEC"/>
          </w:tcPr>
          <w:p w14:paraId="4EAFD43B">
            <w:pPr>
              <w:pStyle w:val="29"/>
              <w:spacing w:line="186" w:lineRule="exact"/>
              <w:ind w:left="103"/>
              <w:rPr>
                <w:sz w:val="18"/>
              </w:rPr>
            </w:pPr>
            <w:r>
              <w:rPr>
                <w:spacing w:val="-5"/>
                <w:sz w:val="18"/>
              </w:rPr>
              <w:t>0.</w:t>
            </w:r>
          </w:p>
        </w:tc>
        <w:tc>
          <w:tcPr>
            <w:tcW w:w="708" w:type="dxa"/>
            <w:tcBorders>
              <w:top w:val="single" w:color="000000" w:sz="4" w:space="0"/>
              <w:left w:val="single" w:color="000000" w:sz="4" w:space="0"/>
              <w:bottom w:val="single" w:color="000000" w:sz="4" w:space="0"/>
              <w:right w:val="single" w:color="000000" w:sz="4" w:space="0"/>
            </w:tcBorders>
            <w:shd w:val="clear" w:color="auto" w:fill="ECECEC"/>
          </w:tcPr>
          <w:p w14:paraId="63BBB3A1">
            <w:pPr>
              <w:pStyle w:val="29"/>
              <w:spacing w:line="186" w:lineRule="exact"/>
              <w:ind w:left="101"/>
              <w:rPr>
                <w:sz w:val="18"/>
              </w:rPr>
            </w:pPr>
            <w:r>
              <w:rPr>
                <w:spacing w:val="-5"/>
                <w:sz w:val="18"/>
              </w:rPr>
              <w:t>0.</w:t>
            </w:r>
          </w:p>
        </w:tc>
        <w:tc>
          <w:tcPr>
            <w:tcW w:w="711" w:type="dxa"/>
            <w:tcBorders>
              <w:top w:val="single" w:color="000000" w:sz="4" w:space="0"/>
              <w:left w:val="single" w:color="000000" w:sz="4" w:space="0"/>
              <w:bottom w:val="single" w:color="000000" w:sz="4" w:space="0"/>
              <w:right w:val="single" w:color="000000" w:sz="4" w:space="0"/>
            </w:tcBorders>
            <w:shd w:val="clear" w:color="auto" w:fill="ECECEC"/>
          </w:tcPr>
          <w:p w14:paraId="2653A47C">
            <w:pPr>
              <w:pStyle w:val="29"/>
              <w:spacing w:line="186" w:lineRule="exact"/>
              <w:ind w:left="104"/>
              <w:rPr>
                <w:sz w:val="18"/>
              </w:rPr>
            </w:pPr>
            <w:r>
              <w:rPr>
                <w:spacing w:val="-5"/>
                <w:sz w:val="18"/>
              </w:rPr>
              <w:t>0.</w:t>
            </w:r>
          </w:p>
        </w:tc>
        <w:tc>
          <w:tcPr>
            <w:tcW w:w="708" w:type="dxa"/>
            <w:tcBorders>
              <w:top w:val="single" w:color="000000" w:sz="4" w:space="0"/>
              <w:left w:val="single" w:color="000000" w:sz="4" w:space="0"/>
              <w:bottom w:val="single" w:color="000000" w:sz="4" w:space="0"/>
              <w:right w:val="single" w:color="000000" w:sz="4" w:space="0"/>
            </w:tcBorders>
            <w:shd w:val="clear" w:color="auto" w:fill="ECECEC"/>
          </w:tcPr>
          <w:p w14:paraId="0E7F654C">
            <w:pPr>
              <w:pStyle w:val="29"/>
              <w:spacing w:line="186" w:lineRule="exact"/>
              <w:ind w:left="101"/>
              <w:rPr>
                <w:sz w:val="18"/>
              </w:rPr>
            </w:pPr>
            <w:r>
              <w:rPr>
                <w:spacing w:val="-2"/>
                <w:sz w:val="18"/>
              </w:rPr>
              <w:t>0.726</w:t>
            </w:r>
          </w:p>
        </w:tc>
        <w:tc>
          <w:tcPr>
            <w:tcW w:w="850" w:type="dxa"/>
            <w:tcBorders>
              <w:top w:val="single" w:color="000000" w:sz="4" w:space="0"/>
              <w:left w:val="single" w:color="000000" w:sz="4" w:space="0"/>
              <w:bottom w:val="single" w:color="000000" w:sz="4" w:space="0"/>
              <w:right w:val="nil"/>
            </w:tcBorders>
            <w:shd w:val="clear" w:color="auto" w:fill="ECECEC"/>
          </w:tcPr>
          <w:p w14:paraId="00A0B1BA">
            <w:pPr>
              <w:pStyle w:val="29"/>
              <w:spacing w:line="186" w:lineRule="exact"/>
              <w:ind w:left="101"/>
              <w:rPr>
                <w:sz w:val="18"/>
              </w:rPr>
            </w:pPr>
            <w:r>
              <w:rPr>
                <w:spacing w:val="-2"/>
                <w:sz w:val="18"/>
              </w:rPr>
              <w:t>0.836</w:t>
            </w:r>
          </w:p>
        </w:tc>
      </w:tr>
      <w:tr w14:paraId="273241F2">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415" w:hRule="atLeast"/>
        </w:trPr>
        <w:tc>
          <w:tcPr>
            <w:tcW w:w="866" w:type="dxa"/>
            <w:tcBorders>
              <w:top w:val="single" w:color="000000" w:sz="4" w:space="0"/>
              <w:left w:val="nil"/>
              <w:bottom w:val="single" w:color="000000" w:sz="4" w:space="0"/>
              <w:right w:val="single" w:color="000000" w:sz="4" w:space="0"/>
            </w:tcBorders>
          </w:tcPr>
          <w:p w14:paraId="259206AD">
            <w:pPr>
              <w:pStyle w:val="29"/>
              <w:ind w:left="122"/>
              <w:rPr>
                <w:b/>
                <w:sz w:val="18"/>
              </w:rPr>
            </w:pPr>
            <w:r>
              <w:rPr>
                <w:b/>
                <w:spacing w:val="-5"/>
                <w:sz w:val="18"/>
              </w:rPr>
              <w:t>24ç</w:t>
            </w:r>
          </w:p>
        </w:tc>
        <w:tc>
          <w:tcPr>
            <w:tcW w:w="4251" w:type="dxa"/>
            <w:tcBorders>
              <w:top w:val="single" w:color="000000" w:sz="4" w:space="0"/>
              <w:left w:val="single" w:color="000000" w:sz="4" w:space="0"/>
              <w:bottom w:val="single" w:color="000000" w:sz="4" w:space="0"/>
              <w:right w:val="single" w:color="000000" w:sz="4" w:space="0"/>
            </w:tcBorders>
          </w:tcPr>
          <w:p w14:paraId="1688DBC5">
            <w:pPr>
              <w:pStyle w:val="29"/>
              <w:spacing w:line="203" w:lineRule="exact"/>
              <w:ind w:left="100"/>
              <w:rPr>
                <w:sz w:val="18"/>
              </w:rPr>
            </w:pPr>
            <w:r>
              <w:rPr>
                <w:sz w:val="18"/>
              </w:rPr>
              <w:t>Sağlık</w:t>
            </w:r>
            <w:r>
              <w:rPr>
                <w:spacing w:val="49"/>
                <w:sz w:val="18"/>
              </w:rPr>
              <w:t xml:space="preserve"> </w:t>
            </w:r>
            <w:r>
              <w:rPr>
                <w:sz w:val="18"/>
              </w:rPr>
              <w:t>hizmetlerine</w:t>
            </w:r>
            <w:r>
              <w:rPr>
                <w:spacing w:val="50"/>
                <w:sz w:val="18"/>
              </w:rPr>
              <w:t xml:space="preserve"> </w:t>
            </w:r>
            <w:r>
              <w:rPr>
                <w:sz w:val="18"/>
              </w:rPr>
              <w:t>ulaşma</w:t>
            </w:r>
            <w:r>
              <w:rPr>
                <w:spacing w:val="51"/>
                <w:sz w:val="18"/>
              </w:rPr>
              <w:t xml:space="preserve"> </w:t>
            </w:r>
            <w:r>
              <w:rPr>
                <w:sz w:val="18"/>
              </w:rPr>
              <w:t>koşullarınızdan</w:t>
            </w:r>
            <w:r>
              <w:rPr>
                <w:spacing w:val="49"/>
                <w:sz w:val="18"/>
              </w:rPr>
              <w:t xml:space="preserve"> </w:t>
            </w:r>
            <w:r>
              <w:rPr>
                <w:sz w:val="18"/>
              </w:rPr>
              <w:t>ne</w:t>
            </w:r>
            <w:r>
              <w:rPr>
                <w:spacing w:val="50"/>
                <w:sz w:val="18"/>
              </w:rPr>
              <w:t xml:space="preserve"> </w:t>
            </w:r>
            <w:r>
              <w:rPr>
                <w:spacing w:val="-4"/>
                <w:sz w:val="18"/>
              </w:rPr>
              <w:t>kadar</w:t>
            </w:r>
          </w:p>
          <w:p w14:paraId="5514387D">
            <w:pPr>
              <w:pStyle w:val="29"/>
              <w:spacing w:before="2" w:line="191" w:lineRule="exact"/>
              <w:ind w:left="100"/>
              <w:rPr>
                <w:sz w:val="18"/>
              </w:rPr>
            </w:pPr>
            <w:r>
              <w:rPr>
                <w:spacing w:val="-2"/>
                <w:sz w:val="18"/>
              </w:rPr>
              <w:t>hoşnutsunuz?</w:t>
            </w:r>
          </w:p>
        </w:tc>
        <w:tc>
          <w:tcPr>
            <w:tcW w:w="710" w:type="dxa"/>
            <w:tcBorders>
              <w:top w:val="single" w:color="000000" w:sz="4" w:space="0"/>
              <w:left w:val="single" w:color="000000" w:sz="4" w:space="0"/>
              <w:bottom w:val="single" w:color="000000" w:sz="4" w:space="0"/>
              <w:right w:val="single" w:color="000000" w:sz="4" w:space="0"/>
            </w:tcBorders>
          </w:tcPr>
          <w:p w14:paraId="4B0A2554">
            <w:pPr>
              <w:pStyle w:val="29"/>
              <w:spacing w:line="203" w:lineRule="exact"/>
              <w:ind w:left="103"/>
              <w:rPr>
                <w:sz w:val="18"/>
              </w:rPr>
            </w:pPr>
            <w:r>
              <w:rPr>
                <w:spacing w:val="-5"/>
                <w:sz w:val="18"/>
              </w:rPr>
              <w:t>0.</w:t>
            </w:r>
          </w:p>
        </w:tc>
        <w:tc>
          <w:tcPr>
            <w:tcW w:w="708" w:type="dxa"/>
            <w:tcBorders>
              <w:top w:val="single" w:color="000000" w:sz="4" w:space="0"/>
              <w:left w:val="single" w:color="000000" w:sz="4" w:space="0"/>
              <w:bottom w:val="single" w:color="000000" w:sz="4" w:space="0"/>
              <w:right w:val="single" w:color="000000" w:sz="4" w:space="0"/>
            </w:tcBorders>
          </w:tcPr>
          <w:p w14:paraId="038A1993">
            <w:pPr>
              <w:pStyle w:val="29"/>
              <w:spacing w:line="203" w:lineRule="exact"/>
              <w:ind w:left="101"/>
              <w:rPr>
                <w:sz w:val="18"/>
              </w:rPr>
            </w:pPr>
            <w:r>
              <w:rPr>
                <w:spacing w:val="-5"/>
                <w:sz w:val="18"/>
              </w:rPr>
              <w:t>0.</w:t>
            </w:r>
          </w:p>
        </w:tc>
        <w:tc>
          <w:tcPr>
            <w:tcW w:w="711" w:type="dxa"/>
            <w:tcBorders>
              <w:top w:val="single" w:color="000000" w:sz="4" w:space="0"/>
              <w:left w:val="single" w:color="000000" w:sz="4" w:space="0"/>
              <w:bottom w:val="single" w:color="000000" w:sz="4" w:space="0"/>
              <w:right w:val="single" w:color="000000" w:sz="4" w:space="0"/>
            </w:tcBorders>
          </w:tcPr>
          <w:p w14:paraId="4283A370">
            <w:pPr>
              <w:pStyle w:val="29"/>
              <w:spacing w:line="203" w:lineRule="exact"/>
              <w:ind w:left="104"/>
              <w:rPr>
                <w:sz w:val="18"/>
              </w:rPr>
            </w:pPr>
            <w:r>
              <w:rPr>
                <w:spacing w:val="-5"/>
                <w:sz w:val="18"/>
              </w:rPr>
              <w:t>0.</w:t>
            </w:r>
          </w:p>
        </w:tc>
        <w:tc>
          <w:tcPr>
            <w:tcW w:w="708" w:type="dxa"/>
            <w:tcBorders>
              <w:top w:val="single" w:color="000000" w:sz="4" w:space="0"/>
              <w:left w:val="single" w:color="000000" w:sz="4" w:space="0"/>
              <w:bottom w:val="single" w:color="000000" w:sz="4" w:space="0"/>
              <w:right w:val="single" w:color="000000" w:sz="4" w:space="0"/>
            </w:tcBorders>
          </w:tcPr>
          <w:p w14:paraId="466CFE5A">
            <w:pPr>
              <w:pStyle w:val="29"/>
              <w:spacing w:line="203" w:lineRule="exact"/>
              <w:ind w:left="101"/>
              <w:rPr>
                <w:sz w:val="18"/>
              </w:rPr>
            </w:pPr>
            <w:r>
              <w:rPr>
                <w:spacing w:val="-2"/>
                <w:sz w:val="18"/>
              </w:rPr>
              <w:t>0.704</w:t>
            </w:r>
          </w:p>
        </w:tc>
        <w:tc>
          <w:tcPr>
            <w:tcW w:w="850" w:type="dxa"/>
            <w:tcBorders>
              <w:top w:val="single" w:color="000000" w:sz="4" w:space="0"/>
              <w:left w:val="single" w:color="000000" w:sz="4" w:space="0"/>
              <w:bottom w:val="single" w:color="000000" w:sz="4" w:space="0"/>
              <w:right w:val="nil"/>
            </w:tcBorders>
          </w:tcPr>
          <w:p w14:paraId="08D6AA26">
            <w:pPr>
              <w:pStyle w:val="29"/>
              <w:spacing w:line="203" w:lineRule="exact"/>
              <w:ind w:left="101"/>
              <w:rPr>
                <w:sz w:val="18"/>
              </w:rPr>
            </w:pPr>
            <w:r>
              <w:rPr>
                <w:spacing w:val="-2"/>
                <w:sz w:val="18"/>
              </w:rPr>
              <w:t>0.927</w:t>
            </w:r>
          </w:p>
        </w:tc>
      </w:tr>
      <w:tr w14:paraId="26807FD4">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205" w:hRule="atLeast"/>
        </w:trPr>
        <w:tc>
          <w:tcPr>
            <w:tcW w:w="866" w:type="dxa"/>
            <w:tcBorders>
              <w:top w:val="single" w:color="000000" w:sz="4" w:space="0"/>
              <w:left w:val="nil"/>
              <w:bottom w:val="single" w:color="000000" w:sz="4" w:space="0"/>
              <w:right w:val="single" w:color="000000" w:sz="4" w:space="0"/>
            </w:tcBorders>
            <w:shd w:val="clear" w:color="auto" w:fill="ECECEC"/>
          </w:tcPr>
          <w:p w14:paraId="68DC1A56">
            <w:pPr>
              <w:pStyle w:val="29"/>
              <w:spacing w:line="186" w:lineRule="exact"/>
              <w:ind w:left="122"/>
              <w:rPr>
                <w:b/>
                <w:sz w:val="18"/>
              </w:rPr>
            </w:pPr>
            <w:r>
              <w:rPr>
                <w:b/>
                <w:spacing w:val="-5"/>
                <w:sz w:val="18"/>
              </w:rPr>
              <w:t>25ç</w:t>
            </w:r>
          </w:p>
        </w:tc>
        <w:tc>
          <w:tcPr>
            <w:tcW w:w="4251" w:type="dxa"/>
            <w:tcBorders>
              <w:top w:val="single" w:color="000000" w:sz="4" w:space="0"/>
              <w:left w:val="single" w:color="000000" w:sz="4" w:space="0"/>
              <w:bottom w:val="single" w:color="000000" w:sz="4" w:space="0"/>
              <w:right w:val="single" w:color="000000" w:sz="4" w:space="0"/>
            </w:tcBorders>
            <w:shd w:val="clear" w:color="auto" w:fill="ECECEC"/>
          </w:tcPr>
          <w:p w14:paraId="2A611D48">
            <w:pPr>
              <w:pStyle w:val="29"/>
              <w:spacing w:line="186" w:lineRule="exact"/>
              <w:ind w:left="100"/>
              <w:rPr>
                <w:sz w:val="18"/>
              </w:rPr>
            </w:pPr>
            <w:r>
              <w:rPr>
                <w:sz w:val="18"/>
              </w:rPr>
              <w:t>Ulaşım</w:t>
            </w:r>
            <w:r>
              <w:rPr>
                <w:spacing w:val="-4"/>
                <w:sz w:val="18"/>
              </w:rPr>
              <w:t xml:space="preserve"> </w:t>
            </w:r>
            <w:r>
              <w:rPr>
                <w:sz w:val="18"/>
              </w:rPr>
              <w:t>olanaklarınızdan</w:t>
            </w:r>
            <w:r>
              <w:rPr>
                <w:spacing w:val="-2"/>
                <w:sz w:val="18"/>
              </w:rPr>
              <w:t xml:space="preserve"> </w:t>
            </w:r>
            <w:r>
              <w:rPr>
                <w:sz w:val="18"/>
              </w:rPr>
              <w:t>ne</w:t>
            </w:r>
            <w:r>
              <w:rPr>
                <w:spacing w:val="-2"/>
                <w:sz w:val="18"/>
              </w:rPr>
              <w:t xml:space="preserve"> </w:t>
            </w:r>
            <w:r>
              <w:rPr>
                <w:sz w:val="18"/>
              </w:rPr>
              <w:t xml:space="preserve">kadar </w:t>
            </w:r>
            <w:r>
              <w:rPr>
                <w:spacing w:val="-2"/>
                <w:sz w:val="18"/>
              </w:rPr>
              <w:t>hoşnutsunuz?</w:t>
            </w:r>
          </w:p>
        </w:tc>
        <w:tc>
          <w:tcPr>
            <w:tcW w:w="710" w:type="dxa"/>
            <w:tcBorders>
              <w:top w:val="single" w:color="000000" w:sz="4" w:space="0"/>
              <w:left w:val="single" w:color="000000" w:sz="4" w:space="0"/>
              <w:bottom w:val="single" w:color="000000" w:sz="4" w:space="0"/>
              <w:right w:val="single" w:color="000000" w:sz="4" w:space="0"/>
            </w:tcBorders>
            <w:shd w:val="clear" w:color="auto" w:fill="ECECEC"/>
          </w:tcPr>
          <w:p w14:paraId="1C112C6E">
            <w:pPr>
              <w:pStyle w:val="29"/>
              <w:spacing w:line="186" w:lineRule="exact"/>
              <w:ind w:left="103"/>
              <w:rPr>
                <w:sz w:val="18"/>
              </w:rPr>
            </w:pPr>
            <w:r>
              <w:rPr>
                <w:spacing w:val="-5"/>
                <w:sz w:val="18"/>
              </w:rPr>
              <w:t>0.</w:t>
            </w:r>
          </w:p>
        </w:tc>
        <w:tc>
          <w:tcPr>
            <w:tcW w:w="708" w:type="dxa"/>
            <w:tcBorders>
              <w:top w:val="single" w:color="000000" w:sz="4" w:space="0"/>
              <w:left w:val="single" w:color="000000" w:sz="4" w:space="0"/>
              <w:bottom w:val="single" w:color="000000" w:sz="4" w:space="0"/>
              <w:right w:val="single" w:color="000000" w:sz="4" w:space="0"/>
            </w:tcBorders>
            <w:shd w:val="clear" w:color="auto" w:fill="ECECEC"/>
          </w:tcPr>
          <w:p w14:paraId="0717702B">
            <w:pPr>
              <w:pStyle w:val="29"/>
              <w:spacing w:line="186" w:lineRule="exact"/>
              <w:ind w:left="101"/>
              <w:rPr>
                <w:sz w:val="18"/>
              </w:rPr>
            </w:pPr>
            <w:r>
              <w:rPr>
                <w:spacing w:val="-5"/>
                <w:sz w:val="18"/>
              </w:rPr>
              <w:t>0.</w:t>
            </w:r>
          </w:p>
        </w:tc>
        <w:tc>
          <w:tcPr>
            <w:tcW w:w="711" w:type="dxa"/>
            <w:tcBorders>
              <w:top w:val="single" w:color="000000" w:sz="4" w:space="0"/>
              <w:left w:val="single" w:color="000000" w:sz="4" w:space="0"/>
              <w:bottom w:val="single" w:color="000000" w:sz="4" w:space="0"/>
              <w:right w:val="single" w:color="000000" w:sz="4" w:space="0"/>
            </w:tcBorders>
            <w:shd w:val="clear" w:color="auto" w:fill="ECECEC"/>
          </w:tcPr>
          <w:p w14:paraId="3BDEA3BC">
            <w:pPr>
              <w:pStyle w:val="29"/>
              <w:spacing w:line="186" w:lineRule="exact"/>
              <w:ind w:left="104"/>
              <w:rPr>
                <w:sz w:val="18"/>
              </w:rPr>
            </w:pPr>
            <w:r>
              <w:rPr>
                <w:spacing w:val="-5"/>
                <w:sz w:val="18"/>
              </w:rPr>
              <w:t>0.</w:t>
            </w:r>
          </w:p>
        </w:tc>
        <w:tc>
          <w:tcPr>
            <w:tcW w:w="708" w:type="dxa"/>
            <w:tcBorders>
              <w:top w:val="single" w:color="000000" w:sz="4" w:space="0"/>
              <w:left w:val="single" w:color="000000" w:sz="4" w:space="0"/>
              <w:bottom w:val="single" w:color="000000" w:sz="4" w:space="0"/>
              <w:right w:val="single" w:color="000000" w:sz="4" w:space="0"/>
            </w:tcBorders>
            <w:shd w:val="clear" w:color="auto" w:fill="ECECEC"/>
          </w:tcPr>
          <w:p w14:paraId="5D606D3D">
            <w:pPr>
              <w:pStyle w:val="29"/>
              <w:spacing w:line="186" w:lineRule="exact"/>
              <w:ind w:left="101"/>
              <w:rPr>
                <w:sz w:val="18"/>
              </w:rPr>
            </w:pPr>
            <w:r>
              <w:rPr>
                <w:spacing w:val="-2"/>
                <w:sz w:val="18"/>
              </w:rPr>
              <w:t>0.697</w:t>
            </w:r>
          </w:p>
        </w:tc>
        <w:tc>
          <w:tcPr>
            <w:tcW w:w="850" w:type="dxa"/>
            <w:tcBorders>
              <w:top w:val="single" w:color="000000" w:sz="4" w:space="0"/>
              <w:left w:val="single" w:color="000000" w:sz="4" w:space="0"/>
              <w:bottom w:val="single" w:color="000000" w:sz="4" w:space="0"/>
              <w:right w:val="nil"/>
            </w:tcBorders>
            <w:shd w:val="clear" w:color="auto" w:fill="ECECEC"/>
          </w:tcPr>
          <w:p w14:paraId="361B6B3F">
            <w:pPr>
              <w:pStyle w:val="29"/>
              <w:spacing w:line="186" w:lineRule="exact"/>
              <w:ind w:left="101"/>
              <w:rPr>
                <w:sz w:val="18"/>
              </w:rPr>
            </w:pPr>
            <w:r>
              <w:rPr>
                <w:spacing w:val="-2"/>
                <w:sz w:val="18"/>
              </w:rPr>
              <w:t>0.939</w:t>
            </w:r>
          </w:p>
        </w:tc>
      </w:tr>
      <w:tr w14:paraId="44AA3871">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414" w:hRule="atLeast"/>
        </w:trPr>
        <w:tc>
          <w:tcPr>
            <w:tcW w:w="866" w:type="dxa"/>
            <w:tcBorders>
              <w:top w:val="single" w:color="000000" w:sz="4" w:space="0"/>
              <w:left w:val="nil"/>
              <w:bottom w:val="single" w:color="000000" w:sz="4" w:space="0"/>
              <w:right w:val="single" w:color="000000" w:sz="4" w:space="0"/>
            </w:tcBorders>
          </w:tcPr>
          <w:p w14:paraId="49399BA1">
            <w:pPr>
              <w:pStyle w:val="29"/>
              <w:spacing w:line="207" w:lineRule="exact"/>
              <w:ind w:left="122"/>
              <w:rPr>
                <w:b/>
                <w:sz w:val="18"/>
              </w:rPr>
            </w:pPr>
            <w:r>
              <w:rPr>
                <w:b/>
                <w:spacing w:val="-5"/>
                <w:sz w:val="18"/>
              </w:rPr>
              <w:t>27ç</w:t>
            </w:r>
          </w:p>
        </w:tc>
        <w:tc>
          <w:tcPr>
            <w:tcW w:w="4251" w:type="dxa"/>
            <w:tcBorders>
              <w:top w:val="single" w:color="000000" w:sz="4" w:space="0"/>
              <w:left w:val="single" w:color="000000" w:sz="4" w:space="0"/>
              <w:bottom w:val="single" w:color="000000" w:sz="4" w:space="0"/>
              <w:right w:val="single" w:color="000000" w:sz="4" w:space="0"/>
            </w:tcBorders>
          </w:tcPr>
          <w:p w14:paraId="3EB92E0D">
            <w:pPr>
              <w:pStyle w:val="29"/>
              <w:spacing w:line="202" w:lineRule="exact"/>
              <w:ind w:left="100"/>
              <w:rPr>
                <w:sz w:val="18"/>
              </w:rPr>
            </w:pPr>
            <w:r>
              <w:rPr>
                <w:sz w:val="18"/>
              </w:rPr>
              <w:t>Yaşamınızda size</w:t>
            </w:r>
            <w:r>
              <w:rPr>
                <w:spacing w:val="3"/>
                <w:sz w:val="18"/>
              </w:rPr>
              <w:t xml:space="preserve"> </w:t>
            </w:r>
            <w:r>
              <w:rPr>
                <w:sz w:val="18"/>
              </w:rPr>
              <w:t>yakın</w:t>
            </w:r>
            <w:r>
              <w:rPr>
                <w:spacing w:val="4"/>
                <w:sz w:val="18"/>
              </w:rPr>
              <w:t xml:space="preserve"> </w:t>
            </w:r>
            <w:r>
              <w:rPr>
                <w:sz w:val="18"/>
              </w:rPr>
              <w:t>kişilerle</w:t>
            </w:r>
            <w:r>
              <w:rPr>
                <w:spacing w:val="1"/>
                <w:sz w:val="18"/>
              </w:rPr>
              <w:t xml:space="preserve"> </w:t>
            </w:r>
            <w:r>
              <w:rPr>
                <w:sz w:val="18"/>
              </w:rPr>
              <w:t>ilişkilerinizde</w:t>
            </w:r>
            <w:r>
              <w:rPr>
                <w:spacing w:val="1"/>
                <w:sz w:val="18"/>
              </w:rPr>
              <w:t xml:space="preserve"> </w:t>
            </w:r>
            <w:r>
              <w:rPr>
                <w:sz w:val="18"/>
              </w:rPr>
              <w:t>baskı</w:t>
            </w:r>
            <w:r>
              <w:rPr>
                <w:spacing w:val="2"/>
                <w:sz w:val="18"/>
              </w:rPr>
              <w:t xml:space="preserve"> </w:t>
            </w:r>
            <w:r>
              <w:rPr>
                <w:spacing w:val="-5"/>
                <w:sz w:val="18"/>
              </w:rPr>
              <w:t>ve</w:t>
            </w:r>
          </w:p>
          <w:p w14:paraId="32B563FD">
            <w:pPr>
              <w:pStyle w:val="29"/>
              <w:spacing w:before="2" w:line="191" w:lineRule="exact"/>
              <w:ind w:left="100"/>
              <w:rPr>
                <w:sz w:val="18"/>
              </w:rPr>
            </w:pPr>
            <w:r>
              <w:rPr>
                <w:sz w:val="18"/>
              </w:rPr>
              <w:t>kontrolle</w:t>
            </w:r>
            <w:r>
              <w:rPr>
                <w:spacing w:val="-4"/>
                <w:sz w:val="18"/>
              </w:rPr>
              <w:t xml:space="preserve"> </w:t>
            </w:r>
            <w:r>
              <w:rPr>
                <w:sz w:val="18"/>
              </w:rPr>
              <w:t>ilgili zorluklarınız</w:t>
            </w:r>
            <w:r>
              <w:rPr>
                <w:spacing w:val="-4"/>
                <w:sz w:val="18"/>
              </w:rPr>
              <w:t xml:space="preserve"> </w:t>
            </w:r>
            <w:r>
              <w:rPr>
                <w:sz w:val="18"/>
              </w:rPr>
              <w:t>ne</w:t>
            </w:r>
            <w:r>
              <w:rPr>
                <w:spacing w:val="-1"/>
                <w:sz w:val="18"/>
              </w:rPr>
              <w:t xml:space="preserve"> </w:t>
            </w:r>
            <w:r>
              <w:rPr>
                <w:spacing w:val="-2"/>
                <w:sz w:val="18"/>
              </w:rPr>
              <w:t>ölçüdedir?</w:t>
            </w:r>
          </w:p>
        </w:tc>
        <w:tc>
          <w:tcPr>
            <w:tcW w:w="710" w:type="dxa"/>
            <w:tcBorders>
              <w:top w:val="single" w:color="000000" w:sz="4" w:space="0"/>
              <w:left w:val="single" w:color="000000" w:sz="4" w:space="0"/>
              <w:bottom w:val="single" w:color="000000" w:sz="4" w:space="0"/>
              <w:right w:val="single" w:color="000000" w:sz="4" w:space="0"/>
            </w:tcBorders>
          </w:tcPr>
          <w:p w14:paraId="6BF7D877">
            <w:pPr>
              <w:pStyle w:val="29"/>
              <w:spacing w:line="202" w:lineRule="exact"/>
              <w:ind w:left="103"/>
              <w:rPr>
                <w:sz w:val="18"/>
              </w:rPr>
            </w:pPr>
            <w:r>
              <w:rPr>
                <w:spacing w:val="-5"/>
                <w:sz w:val="18"/>
              </w:rPr>
              <w:t>0.</w:t>
            </w:r>
          </w:p>
        </w:tc>
        <w:tc>
          <w:tcPr>
            <w:tcW w:w="708" w:type="dxa"/>
            <w:tcBorders>
              <w:top w:val="single" w:color="000000" w:sz="4" w:space="0"/>
              <w:left w:val="single" w:color="000000" w:sz="4" w:space="0"/>
              <w:bottom w:val="single" w:color="000000" w:sz="4" w:space="0"/>
              <w:right w:val="single" w:color="000000" w:sz="4" w:space="0"/>
            </w:tcBorders>
          </w:tcPr>
          <w:p w14:paraId="166C6DAD">
            <w:pPr>
              <w:pStyle w:val="29"/>
              <w:spacing w:line="202" w:lineRule="exact"/>
              <w:ind w:left="101"/>
              <w:rPr>
                <w:sz w:val="18"/>
              </w:rPr>
            </w:pPr>
            <w:r>
              <w:rPr>
                <w:spacing w:val="-5"/>
                <w:sz w:val="18"/>
              </w:rPr>
              <w:t>0.</w:t>
            </w:r>
          </w:p>
        </w:tc>
        <w:tc>
          <w:tcPr>
            <w:tcW w:w="711" w:type="dxa"/>
            <w:tcBorders>
              <w:top w:val="single" w:color="000000" w:sz="4" w:space="0"/>
              <w:left w:val="single" w:color="000000" w:sz="4" w:space="0"/>
              <w:bottom w:val="single" w:color="000000" w:sz="4" w:space="0"/>
              <w:right w:val="single" w:color="000000" w:sz="4" w:space="0"/>
            </w:tcBorders>
          </w:tcPr>
          <w:p w14:paraId="18AC944B">
            <w:pPr>
              <w:pStyle w:val="29"/>
              <w:spacing w:line="202" w:lineRule="exact"/>
              <w:ind w:left="104"/>
              <w:rPr>
                <w:sz w:val="18"/>
              </w:rPr>
            </w:pPr>
            <w:r>
              <w:rPr>
                <w:spacing w:val="-5"/>
                <w:sz w:val="18"/>
              </w:rPr>
              <w:t>0.</w:t>
            </w:r>
          </w:p>
        </w:tc>
        <w:tc>
          <w:tcPr>
            <w:tcW w:w="708" w:type="dxa"/>
            <w:tcBorders>
              <w:top w:val="single" w:color="000000" w:sz="4" w:space="0"/>
              <w:left w:val="single" w:color="000000" w:sz="4" w:space="0"/>
              <w:bottom w:val="single" w:color="000000" w:sz="4" w:space="0"/>
              <w:right w:val="single" w:color="000000" w:sz="4" w:space="0"/>
            </w:tcBorders>
          </w:tcPr>
          <w:p w14:paraId="72196DDA">
            <w:pPr>
              <w:pStyle w:val="29"/>
              <w:spacing w:line="202" w:lineRule="exact"/>
              <w:ind w:left="101"/>
              <w:rPr>
                <w:sz w:val="18"/>
              </w:rPr>
            </w:pPr>
            <w:r>
              <w:rPr>
                <w:spacing w:val="-2"/>
                <w:sz w:val="18"/>
              </w:rPr>
              <w:t>0.708</w:t>
            </w:r>
          </w:p>
        </w:tc>
        <w:tc>
          <w:tcPr>
            <w:tcW w:w="850" w:type="dxa"/>
            <w:tcBorders>
              <w:top w:val="single" w:color="000000" w:sz="4" w:space="0"/>
              <w:left w:val="single" w:color="000000" w:sz="4" w:space="0"/>
              <w:bottom w:val="single" w:color="000000" w:sz="4" w:space="0"/>
              <w:right w:val="nil"/>
            </w:tcBorders>
          </w:tcPr>
          <w:p w14:paraId="02F613C7">
            <w:pPr>
              <w:pStyle w:val="29"/>
              <w:spacing w:line="202" w:lineRule="exact"/>
              <w:ind w:left="101"/>
              <w:rPr>
                <w:sz w:val="18"/>
              </w:rPr>
            </w:pPr>
            <w:r>
              <w:rPr>
                <w:spacing w:val="-2"/>
                <w:sz w:val="18"/>
              </w:rPr>
              <w:t>0.926</w:t>
            </w:r>
          </w:p>
        </w:tc>
      </w:tr>
      <w:tr w14:paraId="45726B2A">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205" w:hRule="atLeast"/>
        </w:trPr>
        <w:tc>
          <w:tcPr>
            <w:tcW w:w="866" w:type="dxa"/>
            <w:tcBorders>
              <w:top w:val="single" w:color="000000" w:sz="4" w:space="0"/>
              <w:left w:val="nil"/>
              <w:bottom w:val="single" w:color="000000" w:sz="4" w:space="0"/>
              <w:right w:val="single" w:color="000000" w:sz="4" w:space="0"/>
            </w:tcBorders>
            <w:shd w:val="clear" w:color="auto" w:fill="ECECEC"/>
          </w:tcPr>
          <w:p w14:paraId="5521C67B">
            <w:pPr>
              <w:pStyle w:val="29"/>
              <w:spacing w:line="186" w:lineRule="exact"/>
              <w:ind w:left="122"/>
              <w:rPr>
                <w:b/>
                <w:sz w:val="18"/>
              </w:rPr>
            </w:pPr>
            <w:r>
              <w:rPr>
                <w:b/>
                <w:spacing w:val="-5"/>
                <w:sz w:val="18"/>
              </w:rPr>
              <w:t>1G</w:t>
            </w:r>
          </w:p>
        </w:tc>
        <w:tc>
          <w:tcPr>
            <w:tcW w:w="4251" w:type="dxa"/>
            <w:tcBorders>
              <w:top w:val="single" w:color="000000" w:sz="4" w:space="0"/>
              <w:left w:val="single" w:color="000000" w:sz="4" w:space="0"/>
              <w:bottom w:val="single" w:color="000000" w:sz="4" w:space="0"/>
              <w:right w:val="single" w:color="000000" w:sz="4" w:space="0"/>
            </w:tcBorders>
            <w:shd w:val="clear" w:color="auto" w:fill="ECECEC"/>
          </w:tcPr>
          <w:p w14:paraId="7761EE3C">
            <w:pPr>
              <w:pStyle w:val="29"/>
              <w:spacing w:line="186" w:lineRule="exact"/>
              <w:ind w:left="100"/>
              <w:rPr>
                <w:sz w:val="18"/>
              </w:rPr>
            </w:pPr>
            <w:r>
              <w:rPr>
                <w:sz w:val="18"/>
              </w:rPr>
              <w:t>Yaşam</w:t>
            </w:r>
            <w:r>
              <w:rPr>
                <w:spacing w:val="-9"/>
                <w:sz w:val="18"/>
              </w:rPr>
              <w:t xml:space="preserve"> </w:t>
            </w:r>
            <w:r>
              <w:rPr>
                <w:sz w:val="18"/>
              </w:rPr>
              <w:t>kalitenizi</w:t>
            </w:r>
            <w:r>
              <w:rPr>
                <w:spacing w:val="-8"/>
                <w:sz w:val="18"/>
              </w:rPr>
              <w:t xml:space="preserve"> </w:t>
            </w:r>
            <w:r>
              <w:rPr>
                <w:sz w:val="18"/>
              </w:rPr>
              <w:t>nasıl</w:t>
            </w:r>
            <w:r>
              <w:rPr>
                <w:spacing w:val="-7"/>
                <w:sz w:val="18"/>
              </w:rPr>
              <w:t xml:space="preserve"> </w:t>
            </w:r>
            <w:r>
              <w:rPr>
                <w:spacing w:val="-2"/>
                <w:sz w:val="18"/>
              </w:rPr>
              <w:t>buluyorsunuz?</w:t>
            </w:r>
          </w:p>
        </w:tc>
        <w:tc>
          <w:tcPr>
            <w:tcW w:w="710" w:type="dxa"/>
            <w:tcBorders>
              <w:top w:val="single" w:color="000000" w:sz="4" w:space="0"/>
              <w:left w:val="single" w:color="000000" w:sz="4" w:space="0"/>
              <w:bottom w:val="single" w:color="000000" w:sz="4" w:space="0"/>
              <w:right w:val="single" w:color="000000" w:sz="4" w:space="0"/>
            </w:tcBorders>
            <w:shd w:val="clear" w:color="auto" w:fill="ECECEC"/>
          </w:tcPr>
          <w:p w14:paraId="642436C3">
            <w:pPr>
              <w:pStyle w:val="29"/>
              <w:spacing w:line="186" w:lineRule="exact"/>
              <w:ind w:left="103"/>
              <w:rPr>
                <w:sz w:val="18"/>
              </w:rPr>
            </w:pPr>
            <w:r>
              <w:rPr>
                <w:spacing w:val="-2"/>
                <w:sz w:val="18"/>
              </w:rPr>
              <w:t>0.687</w:t>
            </w:r>
          </w:p>
        </w:tc>
        <w:tc>
          <w:tcPr>
            <w:tcW w:w="708" w:type="dxa"/>
            <w:tcBorders>
              <w:top w:val="single" w:color="000000" w:sz="4" w:space="0"/>
              <w:left w:val="single" w:color="000000" w:sz="4" w:space="0"/>
              <w:bottom w:val="single" w:color="000000" w:sz="4" w:space="0"/>
              <w:right w:val="single" w:color="000000" w:sz="4" w:space="0"/>
            </w:tcBorders>
            <w:shd w:val="clear" w:color="auto" w:fill="ECECEC"/>
          </w:tcPr>
          <w:p w14:paraId="212EF200">
            <w:pPr>
              <w:pStyle w:val="29"/>
              <w:spacing w:line="186" w:lineRule="exact"/>
              <w:ind w:left="101"/>
              <w:rPr>
                <w:sz w:val="18"/>
              </w:rPr>
            </w:pPr>
            <w:r>
              <w:rPr>
                <w:spacing w:val="-5"/>
                <w:sz w:val="18"/>
              </w:rPr>
              <w:t>0.</w:t>
            </w:r>
          </w:p>
        </w:tc>
        <w:tc>
          <w:tcPr>
            <w:tcW w:w="711" w:type="dxa"/>
            <w:tcBorders>
              <w:top w:val="single" w:color="000000" w:sz="4" w:space="0"/>
              <w:left w:val="single" w:color="000000" w:sz="4" w:space="0"/>
              <w:bottom w:val="single" w:color="000000" w:sz="4" w:space="0"/>
              <w:right w:val="single" w:color="000000" w:sz="4" w:space="0"/>
            </w:tcBorders>
            <w:shd w:val="clear" w:color="auto" w:fill="ECECEC"/>
          </w:tcPr>
          <w:p w14:paraId="652A26FE">
            <w:pPr>
              <w:pStyle w:val="29"/>
              <w:spacing w:line="186" w:lineRule="exact"/>
              <w:ind w:left="104"/>
              <w:rPr>
                <w:sz w:val="18"/>
              </w:rPr>
            </w:pPr>
            <w:r>
              <w:rPr>
                <w:spacing w:val="-5"/>
                <w:sz w:val="18"/>
              </w:rPr>
              <w:t>0.</w:t>
            </w:r>
          </w:p>
        </w:tc>
        <w:tc>
          <w:tcPr>
            <w:tcW w:w="708" w:type="dxa"/>
            <w:tcBorders>
              <w:top w:val="single" w:color="000000" w:sz="4" w:space="0"/>
              <w:left w:val="single" w:color="000000" w:sz="4" w:space="0"/>
              <w:bottom w:val="single" w:color="000000" w:sz="4" w:space="0"/>
              <w:right w:val="single" w:color="000000" w:sz="4" w:space="0"/>
            </w:tcBorders>
            <w:shd w:val="clear" w:color="auto" w:fill="ECECEC"/>
          </w:tcPr>
          <w:p w14:paraId="5D6F6632">
            <w:pPr>
              <w:pStyle w:val="29"/>
              <w:spacing w:line="186" w:lineRule="exact"/>
              <w:ind w:left="101"/>
              <w:rPr>
                <w:sz w:val="18"/>
              </w:rPr>
            </w:pPr>
            <w:r>
              <w:rPr>
                <w:spacing w:val="-5"/>
                <w:sz w:val="18"/>
              </w:rPr>
              <w:t>0.</w:t>
            </w:r>
          </w:p>
        </w:tc>
        <w:tc>
          <w:tcPr>
            <w:tcW w:w="850" w:type="dxa"/>
            <w:tcBorders>
              <w:top w:val="single" w:color="000000" w:sz="4" w:space="0"/>
              <w:left w:val="single" w:color="000000" w:sz="4" w:space="0"/>
              <w:bottom w:val="single" w:color="000000" w:sz="4" w:space="0"/>
              <w:right w:val="nil"/>
            </w:tcBorders>
            <w:shd w:val="clear" w:color="auto" w:fill="ECECEC"/>
          </w:tcPr>
          <w:p w14:paraId="70528E52">
            <w:pPr>
              <w:pStyle w:val="29"/>
              <w:spacing w:line="186" w:lineRule="exact"/>
              <w:ind w:left="101"/>
              <w:rPr>
                <w:sz w:val="18"/>
              </w:rPr>
            </w:pPr>
            <w:r>
              <w:rPr>
                <w:spacing w:val="-2"/>
                <w:sz w:val="18"/>
              </w:rPr>
              <w:t>0.831</w:t>
            </w:r>
          </w:p>
        </w:tc>
      </w:tr>
      <w:tr w14:paraId="34962ECE">
        <w:tblPrEx>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CellMar>
            <w:top w:w="0" w:type="dxa"/>
            <w:left w:w="0" w:type="dxa"/>
            <w:bottom w:w="0" w:type="dxa"/>
            <w:right w:w="0" w:type="dxa"/>
          </w:tblCellMar>
        </w:tblPrEx>
        <w:trPr>
          <w:trHeight w:val="208" w:hRule="atLeast"/>
        </w:trPr>
        <w:tc>
          <w:tcPr>
            <w:tcW w:w="866" w:type="dxa"/>
            <w:tcBorders>
              <w:top w:val="single" w:color="000000" w:sz="4" w:space="0"/>
              <w:left w:val="nil"/>
              <w:right w:val="single" w:color="000000" w:sz="4" w:space="0"/>
            </w:tcBorders>
          </w:tcPr>
          <w:p w14:paraId="52D61162">
            <w:pPr>
              <w:pStyle w:val="29"/>
              <w:spacing w:line="188" w:lineRule="exact"/>
              <w:ind w:left="122"/>
              <w:rPr>
                <w:b/>
                <w:sz w:val="18"/>
              </w:rPr>
            </w:pPr>
            <w:r>
              <w:rPr>
                <w:b/>
                <w:spacing w:val="-5"/>
                <w:sz w:val="18"/>
              </w:rPr>
              <w:t>2G</w:t>
            </w:r>
          </w:p>
        </w:tc>
        <w:tc>
          <w:tcPr>
            <w:tcW w:w="4251" w:type="dxa"/>
            <w:tcBorders>
              <w:top w:val="single" w:color="000000" w:sz="4" w:space="0"/>
              <w:left w:val="single" w:color="000000" w:sz="4" w:space="0"/>
              <w:right w:val="single" w:color="000000" w:sz="4" w:space="0"/>
            </w:tcBorders>
          </w:tcPr>
          <w:p w14:paraId="715AA896">
            <w:pPr>
              <w:pStyle w:val="29"/>
              <w:spacing w:line="188" w:lineRule="exact"/>
              <w:ind w:left="100"/>
              <w:rPr>
                <w:sz w:val="18"/>
              </w:rPr>
            </w:pPr>
            <w:r>
              <w:rPr>
                <w:sz w:val="18"/>
              </w:rPr>
              <w:t>Sağlığınızdan</w:t>
            </w:r>
            <w:r>
              <w:rPr>
                <w:spacing w:val="-2"/>
                <w:sz w:val="18"/>
              </w:rPr>
              <w:t xml:space="preserve"> </w:t>
            </w:r>
            <w:r>
              <w:rPr>
                <w:sz w:val="18"/>
              </w:rPr>
              <w:t>ne</w:t>
            </w:r>
            <w:r>
              <w:rPr>
                <w:spacing w:val="-3"/>
                <w:sz w:val="18"/>
              </w:rPr>
              <w:t xml:space="preserve"> </w:t>
            </w:r>
            <w:r>
              <w:rPr>
                <w:sz w:val="18"/>
              </w:rPr>
              <w:t>kadar</w:t>
            </w:r>
            <w:r>
              <w:rPr>
                <w:spacing w:val="-2"/>
                <w:sz w:val="18"/>
              </w:rPr>
              <w:t xml:space="preserve"> hoşnutsunuz?</w:t>
            </w:r>
          </w:p>
        </w:tc>
        <w:tc>
          <w:tcPr>
            <w:tcW w:w="710" w:type="dxa"/>
            <w:tcBorders>
              <w:top w:val="single" w:color="000000" w:sz="4" w:space="0"/>
              <w:left w:val="single" w:color="000000" w:sz="4" w:space="0"/>
              <w:right w:val="single" w:color="000000" w:sz="4" w:space="0"/>
            </w:tcBorders>
          </w:tcPr>
          <w:p w14:paraId="7B6BEF5F">
            <w:pPr>
              <w:pStyle w:val="29"/>
              <w:spacing w:line="188" w:lineRule="exact"/>
              <w:ind w:left="103"/>
              <w:rPr>
                <w:sz w:val="18"/>
              </w:rPr>
            </w:pPr>
            <w:r>
              <w:rPr>
                <w:spacing w:val="-2"/>
                <w:sz w:val="18"/>
              </w:rPr>
              <w:t>0.679</w:t>
            </w:r>
          </w:p>
        </w:tc>
        <w:tc>
          <w:tcPr>
            <w:tcW w:w="708" w:type="dxa"/>
            <w:tcBorders>
              <w:top w:val="single" w:color="000000" w:sz="4" w:space="0"/>
              <w:left w:val="single" w:color="000000" w:sz="4" w:space="0"/>
              <w:right w:val="single" w:color="000000" w:sz="4" w:space="0"/>
            </w:tcBorders>
          </w:tcPr>
          <w:p w14:paraId="4319E22E">
            <w:pPr>
              <w:pStyle w:val="29"/>
              <w:spacing w:line="188" w:lineRule="exact"/>
              <w:ind w:left="101"/>
              <w:rPr>
                <w:sz w:val="18"/>
              </w:rPr>
            </w:pPr>
            <w:r>
              <w:rPr>
                <w:spacing w:val="-5"/>
                <w:sz w:val="18"/>
              </w:rPr>
              <w:t>0.</w:t>
            </w:r>
          </w:p>
        </w:tc>
        <w:tc>
          <w:tcPr>
            <w:tcW w:w="711" w:type="dxa"/>
            <w:tcBorders>
              <w:top w:val="single" w:color="000000" w:sz="4" w:space="0"/>
              <w:left w:val="single" w:color="000000" w:sz="4" w:space="0"/>
              <w:right w:val="single" w:color="000000" w:sz="4" w:space="0"/>
            </w:tcBorders>
          </w:tcPr>
          <w:p w14:paraId="372AD13F">
            <w:pPr>
              <w:pStyle w:val="29"/>
              <w:spacing w:line="188" w:lineRule="exact"/>
              <w:ind w:left="104"/>
              <w:rPr>
                <w:sz w:val="18"/>
              </w:rPr>
            </w:pPr>
            <w:r>
              <w:rPr>
                <w:spacing w:val="-5"/>
                <w:sz w:val="18"/>
              </w:rPr>
              <w:t>0.</w:t>
            </w:r>
          </w:p>
        </w:tc>
        <w:tc>
          <w:tcPr>
            <w:tcW w:w="708" w:type="dxa"/>
            <w:tcBorders>
              <w:top w:val="single" w:color="000000" w:sz="4" w:space="0"/>
              <w:left w:val="single" w:color="000000" w:sz="4" w:space="0"/>
              <w:right w:val="single" w:color="000000" w:sz="4" w:space="0"/>
            </w:tcBorders>
          </w:tcPr>
          <w:p w14:paraId="0DF28C06">
            <w:pPr>
              <w:pStyle w:val="29"/>
              <w:spacing w:line="188" w:lineRule="exact"/>
              <w:ind w:left="101"/>
              <w:rPr>
                <w:sz w:val="18"/>
              </w:rPr>
            </w:pPr>
            <w:r>
              <w:rPr>
                <w:spacing w:val="-5"/>
                <w:sz w:val="18"/>
              </w:rPr>
              <w:t>0.</w:t>
            </w:r>
          </w:p>
        </w:tc>
        <w:tc>
          <w:tcPr>
            <w:tcW w:w="850" w:type="dxa"/>
            <w:tcBorders>
              <w:top w:val="single" w:color="000000" w:sz="4" w:space="0"/>
              <w:left w:val="single" w:color="000000" w:sz="4" w:space="0"/>
              <w:right w:val="nil"/>
            </w:tcBorders>
          </w:tcPr>
          <w:p w14:paraId="1ED461B9">
            <w:pPr>
              <w:pStyle w:val="29"/>
              <w:spacing w:line="188" w:lineRule="exact"/>
              <w:ind w:left="101"/>
              <w:rPr>
                <w:sz w:val="18"/>
              </w:rPr>
            </w:pPr>
            <w:r>
              <w:rPr>
                <w:spacing w:val="-2"/>
                <w:sz w:val="18"/>
              </w:rPr>
              <w:t>0.968</w:t>
            </w:r>
          </w:p>
        </w:tc>
      </w:tr>
    </w:tbl>
    <w:p w14:paraId="4E0072EC">
      <w:pPr>
        <w:pStyle w:val="9"/>
        <w:spacing w:before="120" w:after="120" w:line="360" w:lineRule="auto"/>
        <w:ind w:left="0" w:firstLine="567"/>
      </w:pPr>
      <w:r>
        <w:t>İlk faktör altında yer alan maddeler, yük değerlerinin yüksekliğiyle dikkat çekmektedir.</w:t>
      </w:r>
      <w:r>
        <w:rPr>
          <w:spacing w:val="2"/>
        </w:rPr>
        <w:t xml:space="preserve"> </w:t>
      </w:r>
      <w:r>
        <w:t>Bu</w:t>
      </w:r>
      <w:r>
        <w:rPr>
          <w:spacing w:val="5"/>
        </w:rPr>
        <w:t xml:space="preserve"> </w:t>
      </w:r>
      <w:r>
        <w:t>faktörde</w:t>
      </w:r>
      <w:r>
        <w:rPr>
          <w:spacing w:val="7"/>
        </w:rPr>
        <w:t xml:space="preserve"> </w:t>
      </w:r>
      <w:r>
        <w:t>yoğunlaşmış</w:t>
      </w:r>
      <w:r>
        <w:rPr>
          <w:spacing w:val="3"/>
        </w:rPr>
        <w:t xml:space="preserve"> </w:t>
      </w:r>
      <w:r>
        <w:t>ve</w:t>
      </w:r>
      <w:r>
        <w:rPr>
          <w:spacing w:val="4"/>
        </w:rPr>
        <w:t xml:space="preserve"> </w:t>
      </w:r>
      <w:r>
        <w:t>h²</w:t>
      </w:r>
      <w:r>
        <w:rPr>
          <w:spacing w:val="3"/>
        </w:rPr>
        <w:t xml:space="preserve"> </w:t>
      </w:r>
      <w:r>
        <w:t>değerleri</w:t>
      </w:r>
      <w:r>
        <w:rPr>
          <w:spacing w:val="3"/>
        </w:rPr>
        <w:t xml:space="preserve"> </w:t>
      </w:r>
      <w:r>
        <w:t>0.739</w:t>
      </w:r>
      <w:r>
        <w:rPr>
          <w:spacing w:val="5"/>
        </w:rPr>
        <w:t xml:space="preserve"> </w:t>
      </w:r>
      <w:r>
        <w:t>ile</w:t>
      </w:r>
      <w:r>
        <w:rPr>
          <w:spacing w:val="2"/>
        </w:rPr>
        <w:t xml:space="preserve"> </w:t>
      </w:r>
      <w:r>
        <w:t>0.968</w:t>
      </w:r>
      <w:r>
        <w:rPr>
          <w:spacing w:val="5"/>
        </w:rPr>
        <w:t xml:space="preserve"> </w:t>
      </w:r>
      <w:r>
        <w:t>arasında</w:t>
      </w:r>
      <w:r>
        <w:rPr>
          <w:spacing w:val="3"/>
        </w:rPr>
        <w:t xml:space="preserve"> </w:t>
      </w:r>
      <w:r>
        <w:rPr>
          <w:spacing w:val="-2"/>
        </w:rPr>
        <w:t>değişmiştir.</w:t>
      </w:r>
    </w:p>
    <w:p w14:paraId="0733C971">
      <w:pPr>
        <w:pStyle w:val="9"/>
        <w:spacing w:before="120" w:after="120" w:line="360" w:lineRule="auto"/>
        <w:ind w:left="0" w:firstLine="567"/>
      </w:pPr>
      <w:r>
        <w:t xml:space="preserve">Bu durum, söz konusu maddelerin yaşam kalitesinin fiziksel ve duygusal sağlıkla ilgili boyutlarını ölçtüğünü göstermektedir. Özellikle bu faktörde yer alan maddelerin yüksek varyans açıklama oranları, ölçeğin genel geçerliliğini ve güvenilirliğini destekler </w:t>
      </w:r>
      <w:r>
        <w:rPr>
          <w:spacing w:val="-2"/>
        </w:rPr>
        <w:t>niteliktedir.</w:t>
      </w:r>
    </w:p>
    <w:p w14:paraId="39F055B5">
      <w:pPr>
        <w:pStyle w:val="9"/>
        <w:spacing w:before="120" w:after="120" w:line="360" w:lineRule="auto"/>
        <w:ind w:left="0" w:firstLine="567"/>
      </w:pPr>
      <w:r>
        <w:t>İkinci</w:t>
      </w:r>
      <w:r>
        <w:rPr>
          <w:spacing w:val="-6"/>
        </w:rPr>
        <w:t xml:space="preserve"> </w:t>
      </w:r>
      <w:r>
        <w:t>faktör</w:t>
      </w:r>
      <w:r>
        <w:rPr>
          <w:spacing w:val="-6"/>
        </w:rPr>
        <w:t xml:space="preserve"> </w:t>
      </w:r>
      <w:r>
        <w:t>ise</w:t>
      </w:r>
      <w:r>
        <w:rPr>
          <w:spacing w:val="-8"/>
        </w:rPr>
        <w:t xml:space="preserve"> </w:t>
      </w:r>
      <w:r>
        <w:t>sosyal</w:t>
      </w:r>
      <w:r>
        <w:rPr>
          <w:spacing w:val="-8"/>
        </w:rPr>
        <w:t xml:space="preserve"> </w:t>
      </w:r>
      <w:r>
        <w:t>ilişkiler</w:t>
      </w:r>
      <w:r>
        <w:rPr>
          <w:spacing w:val="-9"/>
        </w:rPr>
        <w:t xml:space="preserve"> </w:t>
      </w:r>
      <w:r>
        <w:t>ve</w:t>
      </w:r>
      <w:r>
        <w:rPr>
          <w:spacing w:val="-9"/>
        </w:rPr>
        <w:t xml:space="preserve"> </w:t>
      </w:r>
      <w:r>
        <w:t>psikolojik</w:t>
      </w:r>
      <w:r>
        <w:rPr>
          <w:spacing w:val="-8"/>
        </w:rPr>
        <w:t xml:space="preserve"> </w:t>
      </w:r>
      <w:r>
        <w:t>iyi</w:t>
      </w:r>
      <w:r>
        <w:rPr>
          <w:spacing w:val="-6"/>
        </w:rPr>
        <w:t xml:space="preserve"> </w:t>
      </w:r>
      <w:r>
        <w:t>oluş</w:t>
      </w:r>
      <w:r>
        <w:rPr>
          <w:spacing w:val="-8"/>
        </w:rPr>
        <w:t xml:space="preserve"> </w:t>
      </w:r>
      <w:r>
        <w:t>gibi</w:t>
      </w:r>
      <w:r>
        <w:rPr>
          <w:spacing w:val="-3"/>
        </w:rPr>
        <w:t xml:space="preserve"> </w:t>
      </w:r>
      <w:r>
        <w:t>yaşam</w:t>
      </w:r>
      <w:r>
        <w:rPr>
          <w:spacing w:val="-8"/>
        </w:rPr>
        <w:t xml:space="preserve"> </w:t>
      </w:r>
      <w:r>
        <w:t>kalitesinin</w:t>
      </w:r>
      <w:r>
        <w:rPr>
          <w:spacing w:val="-5"/>
        </w:rPr>
        <w:t xml:space="preserve"> </w:t>
      </w:r>
      <w:r>
        <w:t>farklı</w:t>
      </w:r>
      <w:r>
        <w:rPr>
          <w:spacing w:val="-8"/>
        </w:rPr>
        <w:t xml:space="preserve"> </w:t>
      </w:r>
      <w:r>
        <w:t>bir boyutunu yansıtıyor olabilir. Bu faktörde yük değerleri genellikle 0.692 ile 0.712 arasında değişmektedir.</w:t>
      </w:r>
      <w:r>
        <w:rPr>
          <w:spacing w:val="-15"/>
        </w:rPr>
        <w:t xml:space="preserve"> </w:t>
      </w:r>
      <w:r>
        <w:t>Ortak</w:t>
      </w:r>
      <w:r>
        <w:rPr>
          <w:spacing w:val="-15"/>
        </w:rPr>
        <w:t xml:space="preserve"> </w:t>
      </w:r>
      <w:r>
        <w:t>varyans</w:t>
      </w:r>
      <w:r>
        <w:rPr>
          <w:spacing w:val="-14"/>
        </w:rPr>
        <w:t xml:space="preserve"> </w:t>
      </w:r>
      <w:r>
        <w:t>değerlerinin</w:t>
      </w:r>
      <w:r>
        <w:rPr>
          <w:spacing w:val="-14"/>
        </w:rPr>
        <w:t xml:space="preserve"> </w:t>
      </w:r>
      <w:r>
        <w:t>de</w:t>
      </w:r>
      <w:r>
        <w:rPr>
          <w:spacing w:val="-15"/>
        </w:rPr>
        <w:t xml:space="preserve"> </w:t>
      </w:r>
      <w:r>
        <w:t>0.826</w:t>
      </w:r>
      <w:r>
        <w:rPr>
          <w:spacing w:val="-14"/>
        </w:rPr>
        <w:t xml:space="preserve"> </w:t>
      </w:r>
      <w:r>
        <w:t>ile</w:t>
      </w:r>
      <w:r>
        <w:rPr>
          <w:spacing w:val="-15"/>
        </w:rPr>
        <w:t xml:space="preserve"> </w:t>
      </w:r>
      <w:r>
        <w:t>0.976</w:t>
      </w:r>
      <w:r>
        <w:rPr>
          <w:spacing w:val="-14"/>
        </w:rPr>
        <w:t xml:space="preserve"> </w:t>
      </w:r>
      <w:r>
        <w:t>arasında</w:t>
      </w:r>
      <w:r>
        <w:rPr>
          <w:spacing w:val="-14"/>
        </w:rPr>
        <w:t xml:space="preserve"> </w:t>
      </w:r>
      <w:r>
        <w:t>olması,</w:t>
      </w:r>
      <w:r>
        <w:rPr>
          <w:spacing w:val="-13"/>
        </w:rPr>
        <w:t xml:space="preserve"> </w:t>
      </w:r>
      <w:r>
        <w:t>bu</w:t>
      </w:r>
      <w:r>
        <w:rPr>
          <w:spacing w:val="-14"/>
        </w:rPr>
        <w:t xml:space="preserve"> </w:t>
      </w:r>
      <w:r>
        <w:t>maddelerin yüksek bir ölçüm gücüne sahip olduğunu göstermektedir. Ölçekteki bu tür maddelerin, bireylerin sosyal bağlamda yaşadıkları deneyimlerin yaşam kalitesi üzerindeki etkilerini değerlendirmeye yönelik olduğu söylenebilir.</w:t>
      </w:r>
    </w:p>
    <w:p w14:paraId="5E0712DA">
      <w:pPr>
        <w:pStyle w:val="9"/>
        <w:spacing w:before="120" w:after="120" w:line="360" w:lineRule="auto"/>
        <w:ind w:left="0" w:firstLine="567"/>
      </w:pPr>
      <w:r>
        <w:t>Üçüncü</w:t>
      </w:r>
      <w:r>
        <w:rPr>
          <w:spacing w:val="-13"/>
        </w:rPr>
        <w:t xml:space="preserve"> </w:t>
      </w:r>
      <w:r>
        <w:t>faktör</w:t>
      </w:r>
      <w:r>
        <w:rPr>
          <w:spacing w:val="-13"/>
        </w:rPr>
        <w:t xml:space="preserve"> </w:t>
      </w:r>
      <w:r>
        <w:t>altında</w:t>
      </w:r>
      <w:r>
        <w:rPr>
          <w:spacing w:val="-8"/>
        </w:rPr>
        <w:t xml:space="preserve"> </w:t>
      </w:r>
      <w:r>
        <w:t>yer</w:t>
      </w:r>
      <w:r>
        <w:rPr>
          <w:spacing w:val="-11"/>
        </w:rPr>
        <w:t xml:space="preserve"> </w:t>
      </w:r>
      <w:r>
        <w:t>alan</w:t>
      </w:r>
      <w:r>
        <w:rPr>
          <w:spacing w:val="-13"/>
        </w:rPr>
        <w:t xml:space="preserve"> </w:t>
      </w:r>
      <w:r>
        <w:t>maddeler</w:t>
      </w:r>
      <w:r>
        <w:rPr>
          <w:spacing w:val="37"/>
        </w:rPr>
        <w:t xml:space="preserve"> </w:t>
      </w:r>
      <w:r>
        <w:t>yaşam</w:t>
      </w:r>
      <w:r>
        <w:rPr>
          <w:spacing w:val="-12"/>
        </w:rPr>
        <w:t xml:space="preserve"> </w:t>
      </w:r>
      <w:r>
        <w:t>kalitesinin</w:t>
      </w:r>
      <w:r>
        <w:rPr>
          <w:spacing w:val="-12"/>
        </w:rPr>
        <w:t xml:space="preserve"> </w:t>
      </w:r>
      <w:r>
        <w:t>içsel</w:t>
      </w:r>
      <w:r>
        <w:rPr>
          <w:spacing w:val="-12"/>
        </w:rPr>
        <w:t xml:space="preserve"> </w:t>
      </w:r>
      <w:r>
        <w:t>tatmin</w:t>
      </w:r>
      <w:r>
        <w:rPr>
          <w:spacing w:val="-12"/>
        </w:rPr>
        <w:t xml:space="preserve"> </w:t>
      </w:r>
      <w:r>
        <w:t>veya</w:t>
      </w:r>
      <w:r>
        <w:rPr>
          <w:spacing w:val="-11"/>
        </w:rPr>
        <w:t xml:space="preserve"> </w:t>
      </w:r>
      <w:r>
        <w:t>bireysel motivasyon</w:t>
      </w:r>
      <w:r>
        <w:rPr>
          <w:spacing w:val="-8"/>
        </w:rPr>
        <w:t xml:space="preserve"> </w:t>
      </w:r>
      <w:r>
        <w:t>gibi</w:t>
      </w:r>
      <w:r>
        <w:rPr>
          <w:spacing w:val="-7"/>
        </w:rPr>
        <w:t xml:space="preserve"> </w:t>
      </w:r>
      <w:r>
        <w:t>daha</w:t>
      </w:r>
      <w:r>
        <w:rPr>
          <w:spacing w:val="-9"/>
        </w:rPr>
        <w:t xml:space="preserve"> </w:t>
      </w:r>
      <w:r>
        <w:t>öznel</w:t>
      </w:r>
      <w:r>
        <w:rPr>
          <w:spacing w:val="-5"/>
        </w:rPr>
        <w:t xml:space="preserve"> </w:t>
      </w:r>
      <w:r>
        <w:t>yönleriyle</w:t>
      </w:r>
      <w:r>
        <w:rPr>
          <w:spacing w:val="-8"/>
        </w:rPr>
        <w:t xml:space="preserve"> </w:t>
      </w:r>
      <w:r>
        <w:t>ilişkilendirilebilir.</w:t>
      </w:r>
      <w:r>
        <w:rPr>
          <w:spacing w:val="-8"/>
        </w:rPr>
        <w:t xml:space="preserve"> </w:t>
      </w:r>
      <w:r>
        <w:t>Bu</w:t>
      </w:r>
      <w:r>
        <w:rPr>
          <w:spacing w:val="-8"/>
        </w:rPr>
        <w:t xml:space="preserve"> </w:t>
      </w:r>
      <w:r>
        <w:t>faktördeki</w:t>
      </w:r>
      <w:r>
        <w:rPr>
          <w:spacing w:val="-3"/>
        </w:rPr>
        <w:t xml:space="preserve"> </w:t>
      </w:r>
      <w:r>
        <w:t>yük</w:t>
      </w:r>
      <w:r>
        <w:rPr>
          <w:spacing w:val="-8"/>
        </w:rPr>
        <w:t xml:space="preserve"> </w:t>
      </w:r>
      <w:r>
        <w:t>değerleri,</w:t>
      </w:r>
      <w:r>
        <w:rPr>
          <w:spacing w:val="-8"/>
        </w:rPr>
        <w:t xml:space="preserve"> </w:t>
      </w:r>
      <w:r>
        <w:t>diğer faktörlere göre</w:t>
      </w:r>
      <w:r>
        <w:rPr>
          <w:spacing w:val="-2"/>
        </w:rPr>
        <w:t xml:space="preserve"> </w:t>
      </w:r>
      <w:r>
        <w:t>daha</w:t>
      </w:r>
      <w:r>
        <w:rPr>
          <w:spacing w:val="-2"/>
        </w:rPr>
        <w:t xml:space="preserve"> </w:t>
      </w:r>
      <w:r>
        <w:t>düşük</w:t>
      </w:r>
      <w:r>
        <w:rPr>
          <w:spacing w:val="-1"/>
        </w:rPr>
        <w:t xml:space="preserve"> </w:t>
      </w:r>
      <w:r>
        <w:t>olmakla</w:t>
      </w:r>
      <w:r>
        <w:rPr>
          <w:spacing w:val="-2"/>
        </w:rPr>
        <w:t xml:space="preserve"> </w:t>
      </w:r>
      <w:r>
        <w:t>birlikte, yine de</w:t>
      </w:r>
      <w:r>
        <w:rPr>
          <w:spacing w:val="-2"/>
        </w:rPr>
        <w:t xml:space="preserve"> </w:t>
      </w:r>
      <w:r>
        <w:t>anlamlı</w:t>
      </w:r>
      <w:r>
        <w:rPr>
          <w:spacing w:val="-1"/>
        </w:rPr>
        <w:t xml:space="preserve"> </w:t>
      </w:r>
      <w:r>
        <w:t>düzeyde yüksek</w:t>
      </w:r>
      <w:r>
        <w:rPr>
          <w:spacing w:val="-1"/>
        </w:rPr>
        <w:t xml:space="preserve"> </w:t>
      </w:r>
      <w:r>
        <w:t>h²</w:t>
      </w:r>
      <w:r>
        <w:rPr>
          <w:spacing w:val="-1"/>
        </w:rPr>
        <w:t xml:space="preserve"> </w:t>
      </w:r>
      <w:r>
        <w:t xml:space="preserve">değerlerine sahiptir (0.794-0.912). Ölçeğin bu alt boyutunun da geçerli bir şekilde ölçüldüğünü </w:t>
      </w:r>
      <w:r>
        <w:rPr>
          <w:spacing w:val="-2"/>
        </w:rPr>
        <w:t>göstermektedir.</w:t>
      </w:r>
    </w:p>
    <w:p w14:paraId="3E5D8282">
      <w:pPr>
        <w:pStyle w:val="9"/>
        <w:spacing w:before="120" w:after="120" w:line="360" w:lineRule="auto"/>
        <w:ind w:left="0" w:firstLine="567"/>
      </w:pPr>
      <w:r>
        <w:t xml:space="preserve">Son olarak, dördüncü faktör, çevresel faktörler veya sosyal destek gibi yaşam kalitesinin dışsal unsurlarını temsil ediyor olabilir. Bu faktörde yüksek yük değerlerine sahiptir (0.697-0.731). Ortak varyans değerlerinin genellikle 0.836 ile 0.975 arasında değişmesi, bu faktörün de ölçeğin bütünsel yapısı içerisinde önemli bir yer tuttuğunu </w:t>
      </w:r>
      <w:r>
        <w:rPr>
          <w:spacing w:val="-2"/>
        </w:rPr>
        <w:t>göstermektedir.</w:t>
      </w:r>
    </w:p>
    <w:p w14:paraId="108ABE96">
      <w:pPr>
        <w:pStyle w:val="9"/>
        <w:spacing w:before="120" w:after="120" w:line="360" w:lineRule="auto"/>
        <w:ind w:left="0" w:firstLine="567"/>
      </w:pPr>
      <w:r>
        <w:t>Genel olarak, faktör yapısının analiz edilmesi, yaşam kalitesi ölçeğinin geçerli ve güvenilir</w:t>
      </w:r>
      <w:r>
        <w:rPr>
          <w:spacing w:val="-3"/>
        </w:rPr>
        <w:t xml:space="preserve"> </w:t>
      </w:r>
      <w:r>
        <w:t>bir</w:t>
      </w:r>
      <w:r>
        <w:rPr>
          <w:spacing w:val="-3"/>
        </w:rPr>
        <w:t xml:space="preserve"> </w:t>
      </w:r>
      <w:r>
        <w:t>ölçüm</w:t>
      </w:r>
      <w:r>
        <w:rPr>
          <w:spacing w:val="-2"/>
        </w:rPr>
        <w:t xml:space="preserve"> </w:t>
      </w:r>
      <w:r>
        <w:t>aracı olduğunu</w:t>
      </w:r>
      <w:r>
        <w:rPr>
          <w:spacing w:val="-2"/>
        </w:rPr>
        <w:t xml:space="preserve"> </w:t>
      </w:r>
      <w:r>
        <w:t>ortaya</w:t>
      </w:r>
      <w:r>
        <w:rPr>
          <w:spacing w:val="-3"/>
        </w:rPr>
        <w:t xml:space="preserve"> </w:t>
      </w:r>
      <w:r>
        <w:t>koymaktadır.</w:t>
      </w:r>
      <w:r>
        <w:rPr>
          <w:spacing w:val="-3"/>
        </w:rPr>
        <w:t xml:space="preserve"> </w:t>
      </w:r>
      <w:r>
        <w:t>Elde</w:t>
      </w:r>
      <w:r>
        <w:rPr>
          <w:spacing w:val="-3"/>
        </w:rPr>
        <w:t xml:space="preserve"> </w:t>
      </w:r>
      <w:r>
        <w:t>edilen</w:t>
      </w:r>
      <w:r>
        <w:rPr>
          <w:spacing w:val="-2"/>
        </w:rPr>
        <w:t xml:space="preserve"> </w:t>
      </w:r>
      <w:r>
        <w:t>sonuçlar,</w:t>
      </w:r>
      <w:r>
        <w:rPr>
          <w:spacing w:val="-2"/>
        </w:rPr>
        <w:t xml:space="preserve"> </w:t>
      </w:r>
      <w:r>
        <w:t>ölçeğin</w:t>
      </w:r>
      <w:r>
        <w:rPr>
          <w:spacing w:val="-2"/>
        </w:rPr>
        <w:t xml:space="preserve"> </w:t>
      </w:r>
      <w:r>
        <w:t>farklı boyutlar üzerinden yaşam kalitesini kapsamlı bir şekilde değerlendirebildiğini ve bu tür çalışmalarda güvenle kullanılabileceğini desteklemektedir.</w:t>
      </w:r>
    </w:p>
    <w:p w14:paraId="10B458E4">
      <w:pPr>
        <w:pStyle w:val="9"/>
        <w:spacing w:before="120" w:after="120" w:line="360" w:lineRule="auto"/>
        <w:ind w:left="0" w:firstLine="567"/>
      </w:pPr>
      <w:r>
        <w:t>“Yaşam Kalitesidd Ölçeği” açımlayıcı faktör analizinde ortaya çıkan dört faktörlü ölçek yapısının doğruluğunu incelenmesi için Doğrulayıcı Faktör Analizi (DFA) gerçekleştirilmiştir. Gerçekleştirilen DFA analizi sonucunda “bedensel boyut”, “ruhsal boyut”,</w:t>
      </w:r>
      <w:r>
        <w:rPr>
          <w:spacing w:val="28"/>
        </w:rPr>
        <w:t xml:space="preserve"> </w:t>
      </w:r>
      <w:r>
        <w:t>“sosyal</w:t>
      </w:r>
      <w:r>
        <w:rPr>
          <w:spacing w:val="29"/>
        </w:rPr>
        <w:t xml:space="preserve"> </w:t>
      </w:r>
      <w:r>
        <w:t>ilişkiler</w:t>
      </w:r>
      <w:r>
        <w:rPr>
          <w:spacing w:val="27"/>
        </w:rPr>
        <w:t xml:space="preserve"> </w:t>
      </w:r>
      <w:r>
        <w:t>boyutu”</w:t>
      </w:r>
      <w:r>
        <w:rPr>
          <w:spacing w:val="28"/>
        </w:rPr>
        <w:t xml:space="preserve"> </w:t>
      </w:r>
      <w:r>
        <w:t>ve</w:t>
      </w:r>
      <w:r>
        <w:rPr>
          <w:spacing w:val="28"/>
        </w:rPr>
        <w:t xml:space="preserve"> </w:t>
      </w:r>
      <w:r>
        <w:t>“çevre</w:t>
      </w:r>
      <w:r>
        <w:rPr>
          <w:spacing w:val="29"/>
        </w:rPr>
        <w:t xml:space="preserve"> </w:t>
      </w:r>
      <w:r>
        <w:t>boyutu”</w:t>
      </w:r>
      <w:r>
        <w:rPr>
          <w:spacing w:val="28"/>
        </w:rPr>
        <w:t xml:space="preserve"> </w:t>
      </w:r>
      <w:r>
        <w:t>olarak</w:t>
      </w:r>
      <w:r>
        <w:rPr>
          <w:spacing w:val="28"/>
        </w:rPr>
        <w:t xml:space="preserve"> </w:t>
      </w:r>
      <w:r>
        <w:t>dört</w:t>
      </w:r>
      <w:r>
        <w:rPr>
          <w:spacing w:val="28"/>
        </w:rPr>
        <w:t xml:space="preserve"> </w:t>
      </w:r>
      <w:r>
        <w:t>boyutlu</w:t>
      </w:r>
      <w:r>
        <w:rPr>
          <w:spacing w:val="33"/>
        </w:rPr>
        <w:t xml:space="preserve"> </w:t>
      </w:r>
      <w:r>
        <w:t>yapıya</w:t>
      </w:r>
      <w:r>
        <w:rPr>
          <w:spacing w:val="30"/>
        </w:rPr>
        <w:t xml:space="preserve"> </w:t>
      </w:r>
      <w:r>
        <w:t>ait</w:t>
      </w:r>
      <w:r>
        <w:rPr>
          <w:spacing w:val="30"/>
        </w:rPr>
        <w:t xml:space="preserve"> </w:t>
      </w:r>
      <w:r>
        <w:rPr>
          <w:spacing w:val="-4"/>
        </w:rPr>
        <w:t>uyum</w:t>
      </w:r>
      <w:r>
        <w:t xml:space="preserve"> iyiliği indeksleri Tablo 3.10.’de verilmiştir. DFA analizinin gerçekleştirme amacı ölçek alt boyutlarının ve alt boyutlara karşılığı olan maddelerin geçerliliğini kanıtlamaktır.</w:t>
      </w:r>
    </w:p>
    <w:p w14:paraId="1483B417">
      <w:pPr>
        <w:spacing w:line="360" w:lineRule="auto"/>
        <w:rPr>
          <w:sz w:val="24"/>
          <w:szCs w:val="24"/>
        </w:rPr>
      </w:pPr>
      <w:r>
        <w:rPr>
          <w:b/>
          <w:sz w:val="24"/>
          <w:szCs w:val="24"/>
        </w:rPr>
        <w:t>Tablo</w:t>
      </w:r>
      <w:r>
        <w:rPr>
          <w:b/>
          <w:spacing w:val="-6"/>
          <w:sz w:val="24"/>
          <w:szCs w:val="24"/>
        </w:rPr>
        <w:t xml:space="preserve"> </w:t>
      </w:r>
      <w:r>
        <w:rPr>
          <w:b/>
          <w:sz w:val="24"/>
          <w:szCs w:val="24"/>
        </w:rPr>
        <w:t>3.10.</w:t>
      </w:r>
      <w:r>
        <w:rPr>
          <w:b/>
          <w:spacing w:val="-4"/>
          <w:sz w:val="24"/>
          <w:szCs w:val="24"/>
        </w:rPr>
        <w:t xml:space="preserve"> </w:t>
      </w:r>
      <w:r>
        <w:rPr>
          <w:sz w:val="24"/>
          <w:szCs w:val="24"/>
        </w:rPr>
        <w:t>Yaşam</w:t>
      </w:r>
      <w:r>
        <w:rPr>
          <w:spacing w:val="-10"/>
          <w:sz w:val="24"/>
          <w:szCs w:val="24"/>
        </w:rPr>
        <w:t xml:space="preserve"> </w:t>
      </w:r>
      <w:r>
        <w:rPr>
          <w:sz w:val="24"/>
          <w:szCs w:val="24"/>
        </w:rPr>
        <w:t>Kalitesi</w:t>
      </w:r>
      <w:r>
        <w:rPr>
          <w:spacing w:val="-6"/>
          <w:sz w:val="24"/>
          <w:szCs w:val="24"/>
        </w:rPr>
        <w:t xml:space="preserve"> </w:t>
      </w:r>
      <w:r>
        <w:rPr>
          <w:sz w:val="24"/>
          <w:szCs w:val="24"/>
        </w:rPr>
        <w:t>Ölçeği</w:t>
      </w:r>
      <w:r>
        <w:rPr>
          <w:spacing w:val="-7"/>
          <w:sz w:val="24"/>
          <w:szCs w:val="24"/>
        </w:rPr>
        <w:t xml:space="preserve"> </w:t>
      </w:r>
      <w:r>
        <w:rPr>
          <w:sz w:val="24"/>
          <w:szCs w:val="24"/>
        </w:rPr>
        <w:t>Uyum</w:t>
      </w:r>
      <w:r>
        <w:rPr>
          <w:spacing w:val="-8"/>
          <w:sz w:val="24"/>
          <w:szCs w:val="24"/>
        </w:rPr>
        <w:t xml:space="preserve"> </w:t>
      </w:r>
      <w:r>
        <w:rPr>
          <w:sz w:val="24"/>
          <w:szCs w:val="24"/>
        </w:rPr>
        <w:t>İndeksleri</w:t>
      </w:r>
      <w:r>
        <w:rPr>
          <w:spacing w:val="-4"/>
          <w:sz w:val="24"/>
          <w:szCs w:val="24"/>
        </w:rPr>
        <w:t xml:space="preserve"> </w:t>
      </w:r>
      <w:r>
        <w:rPr>
          <w:spacing w:val="-2"/>
          <w:sz w:val="24"/>
          <w:szCs w:val="24"/>
        </w:rPr>
        <w:t>Analizi</w:t>
      </w:r>
    </w:p>
    <w:p w14:paraId="5FE13C3C">
      <w:pPr>
        <w:pStyle w:val="9"/>
        <w:spacing w:before="8"/>
        <w:ind w:left="0"/>
        <w:jc w:val="left"/>
        <w:rPr>
          <w:sz w:val="17"/>
        </w:rPr>
      </w:pPr>
    </w:p>
    <w:tbl>
      <w:tblPr>
        <w:tblStyle w:val="7"/>
        <w:tblW w:w="0" w:type="auto"/>
        <w:tblInd w:w="160" w:type="dxa"/>
        <w:tblLayout w:type="fixed"/>
        <w:tblCellMar>
          <w:top w:w="0" w:type="dxa"/>
          <w:left w:w="0" w:type="dxa"/>
          <w:bottom w:w="0" w:type="dxa"/>
          <w:right w:w="0" w:type="dxa"/>
        </w:tblCellMar>
      </w:tblPr>
      <w:tblGrid>
        <w:gridCol w:w="2291"/>
        <w:gridCol w:w="6507"/>
      </w:tblGrid>
      <w:tr w14:paraId="418D28E0">
        <w:tblPrEx>
          <w:tblCellMar>
            <w:top w:w="0" w:type="dxa"/>
            <w:left w:w="0" w:type="dxa"/>
            <w:bottom w:w="0" w:type="dxa"/>
            <w:right w:w="0" w:type="dxa"/>
          </w:tblCellMar>
        </w:tblPrEx>
        <w:trPr>
          <w:trHeight w:val="230" w:hRule="atLeast"/>
        </w:trPr>
        <w:tc>
          <w:tcPr>
            <w:tcW w:w="2291" w:type="dxa"/>
            <w:tcBorders>
              <w:top w:val="single" w:color="000000" w:sz="4" w:space="0"/>
              <w:bottom w:val="single" w:color="000000" w:sz="4" w:space="0"/>
            </w:tcBorders>
          </w:tcPr>
          <w:p w14:paraId="7ED5BA0E">
            <w:pPr>
              <w:pStyle w:val="29"/>
              <w:spacing w:line="210" w:lineRule="exact"/>
              <w:ind w:left="115"/>
              <w:rPr>
                <w:b/>
                <w:sz w:val="20"/>
              </w:rPr>
            </w:pPr>
            <w:r>
              <w:rPr>
                <w:b/>
                <w:spacing w:val="-2"/>
                <w:sz w:val="20"/>
              </w:rPr>
              <w:t>İndeksler</w:t>
            </w:r>
          </w:p>
        </w:tc>
        <w:tc>
          <w:tcPr>
            <w:tcW w:w="6507" w:type="dxa"/>
            <w:tcBorders>
              <w:top w:val="single" w:color="000000" w:sz="4" w:space="0"/>
              <w:bottom w:val="single" w:color="000000" w:sz="4" w:space="0"/>
            </w:tcBorders>
          </w:tcPr>
          <w:p w14:paraId="2E4A4A2A">
            <w:pPr>
              <w:pStyle w:val="29"/>
              <w:spacing w:line="210" w:lineRule="exact"/>
              <w:ind w:left="1367"/>
              <w:rPr>
                <w:b/>
                <w:sz w:val="20"/>
              </w:rPr>
            </w:pPr>
            <w:r>
              <w:rPr>
                <w:b/>
                <w:sz w:val="20"/>
              </w:rPr>
              <w:t>Modele</w:t>
            </w:r>
            <w:r>
              <w:rPr>
                <w:b/>
                <w:spacing w:val="-9"/>
                <w:sz w:val="20"/>
              </w:rPr>
              <w:t xml:space="preserve"> </w:t>
            </w:r>
            <w:r>
              <w:rPr>
                <w:b/>
                <w:sz w:val="20"/>
              </w:rPr>
              <w:t>ilişkin</w:t>
            </w:r>
            <w:r>
              <w:rPr>
                <w:b/>
                <w:spacing w:val="-7"/>
                <w:sz w:val="20"/>
              </w:rPr>
              <w:t xml:space="preserve"> </w:t>
            </w:r>
            <w:r>
              <w:rPr>
                <w:b/>
                <w:spacing w:val="-2"/>
                <w:sz w:val="20"/>
              </w:rPr>
              <w:t>değerler</w:t>
            </w:r>
          </w:p>
        </w:tc>
      </w:tr>
      <w:tr w14:paraId="65B4FDBB">
        <w:tblPrEx>
          <w:tblCellMar>
            <w:top w:w="0" w:type="dxa"/>
            <w:left w:w="0" w:type="dxa"/>
            <w:bottom w:w="0" w:type="dxa"/>
            <w:right w:w="0" w:type="dxa"/>
          </w:tblCellMar>
        </w:tblPrEx>
        <w:trPr>
          <w:trHeight w:val="227" w:hRule="atLeast"/>
        </w:trPr>
        <w:tc>
          <w:tcPr>
            <w:tcW w:w="2291" w:type="dxa"/>
            <w:tcBorders>
              <w:top w:val="single" w:color="000000" w:sz="4" w:space="0"/>
            </w:tcBorders>
          </w:tcPr>
          <w:p w14:paraId="17853A11">
            <w:pPr>
              <w:pStyle w:val="29"/>
              <w:spacing w:line="208" w:lineRule="exact"/>
              <w:ind w:left="115"/>
              <w:rPr>
                <w:sz w:val="20"/>
              </w:rPr>
            </w:pPr>
            <w:r>
              <w:rPr>
                <w:spacing w:val="-5"/>
                <w:sz w:val="20"/>
              </w:rPr>
              <w:t>X²</w:t>
            </w:r>
          </w:p>
        </w:tc>
        <w:tc>
          <w:tcPr>
            <w:tcW w:w="6507" w:type="dxa"/>
            <w:tcBorders>
              <w:top w:val="single" w:color="000000" w:sz="4" w:space="0"/>
            </w:tcBorders>
          </w:tcPr>
          <w:p w14:paraId="591E9F9A">
            <w:pPr>
              <w:pStyle w:val="29"/>
              <w:spacing w:line="208" w:lineRule="exact"/>
              <w:ind w:left="1367"/>
              <w:rPr>
                <w:sz w:val="20"/>
              </w:rPr>
            </w:pPr>
            <w:r>
              <w:rPr>
                <w:spacing w:val="-5"/>
                <w:sz w:val="20"/>
              </w:rPr>
              <w:t>395</w:t>
            </w:r>
          </w:p>
        </w:tc>
      </w:tr>
      <w:tr w14:paraId="24ECD0A1">
        <w:tblPrEx>
          <w:tblCellMar>
            <w:top w:w="0" w:type="dxa"/>
            <w:left w:w="0" w:type="dxa"/>
            <w:bottom w:w="0" w:type="dxa"/>
            <w:right w:w="0" w:type="dxa"/>
          </w:tblCellMar>
        </w:tblPrEx>
        <w:trPr>
          <w:trHeight w:val="230" w:hRule="atLeast"/>
        </w:trPr>
        <w:tc>
          <w:tcPr>
            <w:tcW w:w="2291" w:type="dxa"/>
          </w:tcPr>
          <w:p w14:paraId="7BD87EB3">
            <w:pPr>
              <w:pStyle w:val="29"/>
              <w:spacing w:line="210" w:lineRule="exact"/>
              <w:ind w:left="115"/>
              <w:rPr>
                <w:sz w:val="20"/>
              </w:rPr>
            </w:pPr>
            <w:r>
              <w:rPr>
                <w:spacing w:val="-5"/>
                <w:sz w:val="20"/>
              </w:rPr>
              <w:t>Df</w:t>
            </w:r>
          </w:p>
        </w:tc>
        <w:tc>
          <w:tcPr>
            <w:tcW w:w="6507" w:type="dxa"/>
          </w:tcPr>
          <w:p w14:paraId="59608BB7">
            <w:pPr>
              <w:pStyle w:val="29"/>
              <w:spacing w:line="210" w:lineRule="exact"/>
              <w:ind w:left="1367"/>
              <w:rPr>
                <w:sz w:val="20"/>
              </w:rPr>
            </w:pPr>
            <w:r>
              <w:rPr>
                <w:spacing w:val="-5"/>
                <w:sz w:val="20"/>
              </w:rPr>
              <w:t>324</w:t>
            </w:r>
          </w:p>
        </w:tc>
      </w:tr>
      <w:tr w14:paraId="19E15377">
        <w:tblPrEx>
          <w:tblCellMar>
            <w:top w:w="0" w:type="dxa"/>
            <w:left w:w="0" w:type="dxa"/>
            <w:bottom w:w="0" w:type="dxa"/>
            <w:right w:w="0" w:type="dxa"/>
          </w:tblCellMar>
        </w:tblPrEx>
        <w:trPr>
          <w:trHeight w:val="230" w:hRule="atLeast"/>
        </w:trPr>
        <w:tc>
          <w:tcPr>
            <w:tcW w:w="2291" w:type="dxa"/>
          </w:tcPr>
          <w:p w14:paraId="4F3CD455">
            <w:pPr>
              <w:pStyle w:val="29"/>
              <w:spacing w:line="210" w:lineRule="exact"/>
              <w:ind w:left="115"/>
              <w:rPr>
                <w:sz w:val="20"/>
              </w:rPr>
            </w:pPr>
            <w:r>
              <w:rPr>
                <w:sz w:val="20"/>
              </w:rPr>
              <w:t>X²/</w:t>
            </w:r>
            <w:r>
              <w:rPr>
                <w:spacing w:val="-3"/>
                <w:sz w:val="20"/>
              </w:rPr>
              <w:t xml:space="preserve"> </w:t>
            </w:r>
            <w:r>
              <w:rPr>
                <w:spacing w:val="-5"/>
                <w:sz w:val="20"/>
              </w:rPr>
              <w:t>df</w:t>
            </w:r>
          </w:p>
        </w:tc>
        <w:tc>
          <w:tcPr>
            <w:tcW w:w="6507" w:type="dxa"/>
          </w:tcPr>
          <w:p w14:paraId="370FC61A">
            <w:pPr>
              <w:pStyle w:val="29"/>
              <w:spacing w:line="210" w:lineRule="exact"/>
              <w:ind w:left="1367"/>
              <w:rPr>
                <w:sz w:val="20"/>
              </w:rPr>
            </w:pPr>
            <w:r>
              <w:rPr>
                <w:spacing w:val="-4"/>
                <w:sz w:val="20"/>
              </w:rPr>
              <w:t>1.22</w:t>
            </w:r>
          </w:p>
        </w:tc>
      </w:tr>
      <w:tr w14:paraId="4E88877A">
        <w:tblPrEx>
          <w:tblCellMar>
            <w:top w:w="0" w:type="dxa"/>
            <w:left w:w="0" w:type="dxa"/>
            <w:bottom w:w="0" w:type="dxa"/>
            <w:right w:w="0" w:type="dxa"/>
          </w:tblCellMar>
        </w:tblPrEx>
        <w:trPr>
          <w:trHeight w:val="229" w:hRule="atLeast"/>
        </w:trPr>
        <w:tc>
          <w:tcPr>
            <w:tcW w:w="2291" w:type="dxa"/>
          </w:tcPr>
          <w:p w14:paraId="5994E7BE">
            <w:pPr>
              <w:pStyle w:val="29"/>
              <w:spacing w:line="209" w:lineRule="exact"/>
              <w:ind w:left="115"/>
              <w:rPr>
                <w:sz w:val="20"/>
              </w:rPr>
            </w:pPr>
            <w:r>
              <w:rPr>
                <w:spacing w:val="-2"/>
                <w:sz w:val="20"/>
              </w:rPr>
              <w:t>RMSEA</w:t>
            </w:r>
          </w:p>
        </w:tc>
        <w:tc>
          <w:tcPr>
            <w:tcW w:w="6507" w:type="dxa"/>
          </w:tcPr>
          <w:p w14:paraId="785E751A">
            <w:pPr>
              <w:pStyle w:val="29"/>
              <w:spacing w:line="209" w:lineRule="exact"/>
              <w:ind w:left="1367"/>
              <w:rPr>
                <w:sz w:val="20"/>
              </w:rPr>
            </w:pPr>
            <w:r>
              <w:rPr>
                <w:spacing w:val="-4"/>
                <w:sz w:val="20"/>
              </w:rPr>
              <w:t>0.07</w:t>
            </w:r>
          </w:p>
        </w:tc>
      </w:tr>
      <w:tr w14:paraId="1EEC244B">
        <w:tblPrEx>
          <w:tblCellMar>
            <w:top w:w="0" w:type="dxa"/>
            <w:left w:w="0" w:type="dxa"/>
            <w:bottom w:w="0" w:type="dxa"/>
            <w:right w:w="0" w:type="dxa"/>
          </w:tblCellMar>
        </w:tblPrEx>
        <w:trPr>
          <w:trHeight w:val="229" w:hRule="atLeast"/>
        </w:trPr>
        <w:tc>
          <w:tcPr>
            <w:tcW w:w="2291" w:type="dxa"/>
          </w:tcPr>
          <w:p w14:paraId="3D2A5656">
            <w:pPr>
              <w:pStyle w:val="29"/>
              <w:spacing w:line="209" w:lineRule="exact"/>
              <w:ind w:left="115"/>
              <w:rPr>
                <w:sz w:val="20"/>
              </w:rPr>
            </w:pPr>
            <w:r>
              <w:rPr>
                <w:spacing w:val="-4"/>
                <w:sz w:val="20"/>
              </w:rPr>
              <w:t>SRMR</w:t>
            </w:r>
          </w:p>
        </w:tc>
        <w:tc>
          <w:tcPr>
            <w:tcW w:w="6507" w:type="dxa"/>
          </w:tcPr>
          <w:p w14:paraId="3B50BD2A">
            <w:pPr>
              <w:pStyle w:val="29"/>
              <w:spacing w:line="209" w:lineRule="exact"/>
              <w:ind w:left="1367"/>
              <w:rPr>
                <w:sz w:val="20"/>
              </w:rPr>
            </w:pPr>
            <w:r>
              <w:rPr>
                <w:spacing w:val="-4"/>
                <w:sz w:val="20"/>
              </w:rPr>
              <w:t>0.07</w:t>
            </w:r>
          </w:p>
        </w:tc>
      </w:tr>
      <w:tr w14:paraId="2227FFCC">
        <w:tblPrEx>
          <w:tblCellMar>
            <w:top w:w="0" w:type="dxa"/>
            <w:left w:w="0" w:type="dxa"/>
            <w:bottom w:w="0" w:type="dxa"/>
            <w:right w:w="0" w:type="dxa"/>
          </w:tblCellMar>
        </w:tblPrEx>
        <w:trPr>
          <w:trHeight w:val="230" w:hRule="atLeast"/>
        </w:trPr>
        <w:tc>
          <w:tcPr>
            <w:tcW w:w="2291" w:type="dxa"/>
          </w:tcPr>
          <w:p w14:paraId="2C141791">
            <w:pPr>
              <w:pStyle w:val="29"/>
              <w:spacing w:line="210" w:lineRule="exact"/>
              <w:ind w:left="115"/>
              <w:rPr>
                <w:sz w:val="20"/>
              </w:rPr>
            </w:pPr>
            <w:r>
              <w:rPr>
                <w:spacing w:val="-5"/>
                <w:sz w:val="20"/>
              </w:rPr>
              <w:t>GFI</w:t>
            </w:r>
          </w:p>
        </w:tc>
        <w:tc>
          <w:tcPr>
            <w:tcW w:w="6507" w:type="dxa"/>
          </w:tcPr>
          <w:p w14:paraId="7BCD1D6B">
            <w:pPr>
              <w:pStyle w:val="29"/>
              <w:spacing w:line="210" w:lineRule="exact"/>
              <w:ind w:left="1367"/>
              <w:rPr>
                <w:sz w:val="20"/>
              </w:rPr>
            </w:pPr>
            <w:r>
              <w:rPr>
                <w:spacing w:val="-4"/>
                <w:sz w:val="20"/>
              </w:rPr>
              <w:t>0.93</w:t>
            </w:r>
          </w:p>
        </w:tc>
      </w:tr>
      <w:tr w14:paraId="03AA9DBE">
        <w:tblPrEx>
          <w:tblCellMar>
            <w:top w:w="0" w:type="dxa"/>
            <w:left w:w="0" w:type="dxa"/>
            <w:bottom w:w="0" w:type="dxa"/>
            <w:right w:w="0" w:type="dxa"/>
          </w:tblCellMar>
        </w:tblPrEx>
        <w:trPr>
          <w:trHeight w:val="230" w:hRule="atLeast"/>
        </w:trPr>
        <w:tc>
          <w:tcPr>
            <w:tcW w:w="2291" w:type="dxa"/>
          </w:tcPr>
          <w:p w14:paraId="145B5D4A">
            <w:pPr>
              <w:pStyle w:val="29"/>
              <w:spacing w:line="211" w:lineRule="exact"/>
              <w:ind w:left="115"/>
              <w:rPr>
                <w:sz w:val="20"/>
              </w:rPr>
            </w:pPr>
            <w:r>
              <w:rPr>
                <w:spacing w:val="-4"/>
                <w:sz w:val="20"/>
              </w:rPr>
              <w:t>AGFI</w:t>
            </w:r>
          </w:p>
        </w:tc>
        <w:tc>
          <w:tcPr>
            <w:tcW w:w="6507" w:type="dxa"/>
          </w:tcPr>
          <w:p w14:paraId="4C42867A">
            <w:pPr>
              <w:pStyle w:val="29"/>
              <w:spacing w:line="211" w:lineRule="exact"/>
              <w:ind w:left="1367"/>
              <w:rPr>
                <w:sz w:val="20"/>
              </w:rPr>
            </w:pPr>
            <w:r>
              <w:rPr>
                <w:spacing w:val="-4"/>
                <w:sz w:val="20"/>
              </w:rPr>
              <w:t>0.91</w:t>
            </w:r>
          </w:p>
        </w:tc>
      </w:tr>
      <w:tr w14:paraId="3B64C0EE">
        <w:tblPrEx>
          <w:tblCellMar>
            <w:top w:w="0" w:type="dxa"/>
            <w:left w:w="0" w:type="dxa"/>
            <w:bottom w:w="0" w:type="dxa"/>
            <w:right w:w="0" w:type="dxa"/>
          </w:tblCellMar>
        </w:tblPrEx>
        <w:trPr>
          <w:trHeight w:val="230" w:hRule="atLeast"/>
        </w:trPr>
        <w:tc>
          <w:tcPr>
            <w:tcW w:w="2291" w:type="dxa"/>
          </w:tcPr>
          <w:p w14:paraId="71A3DAB9">
            <w:pPr>
              <w:pStyle w:val="29"/>
              <w:spacing w:line="211" w:lineRule="exact"/>
              <w:ind w:left="115"/>
              <w:rPr>
                <w:sz w:val="20"/>
              </w:rPr>
            </w:pPr>
            <w:r>
              <w:rPr>
                <w:spacing w:val="-5"/>
                <w:sz w:val="20"/>
              </w:rPr>
              <w:t>NFI</w:t>
            </w:r>
          </w:p>
        </w:tc>
        <w:tc>
          <w:tcPr>
            <w:tcW w:w="6507" w:type="dxa"/>
          </w:tcPr>
          <w:p w14:paraId="080A3C14">
            <w:pPr>
              <w:pStyle w:val="29"/>
              <w:spacing w:line="211" w:lineRule="exact"/>
              <w:ind w:left="1367"/>
              <w:rPr>
                <w:sz w:val="20"/>
              </w:rPr>
            </w:pPr>
            <w:r>
              <w:rPr>
                <w:spacing w:val="-4"/>
                <w:sz w:val="20"/>
              </w:rPr>
              <w:t>0.92</w:t>
            </w:r>
          </w:p>
        </w:tc>
      </w:tr>
      <w:tr w14:paraId="7B79F42E">
        <w:tblPrEx>
          <w:tblCellMar>
            <w:top w:w="0" w:type="dxa"/>
            <w:left w:w="0" w:type="dxa"/>
            <w:bottom w:w="0" w:type="dxa"/>
            <w:right w:w="0" w:type="dxa"/>
          </w:tblCellMar>
        </w:tblPrEx>
        <w:trPr>
          <w:trHeight w:val="230" w:hRule="atLeast"/>
        </w:trPr>
        <w:tc>
          <w:tcPr>
            <w:tcW w:w="2291" w:type="dxa"/>
          </w:tcPr>
          <w:p w14:paraId="15012E87">
            <w:pPr>
              <w:pStyle w:val="29"/>
              <w:spacing w:line="210" w:lineRule="exact"/>
              <w:ind w:left="115"/>
              <w:rPr>
                <w:sz w:val="20"/>
              </w:rPr>
            </w:pPr>
            <w:r>
              <w:rPr>
                <w:spacing w:val="-5"/>
                <w:sz w:val="20"/>
              </w:rPr>
              <w:t>TLI</w:t>
            </w:r>
          </w:p>
        </w:tc>
        <w:tc>
          <w:tcPr>
            <w:tcW w:w="6507" w:type="dxa"/>
          </w:tcPr>
          <w:p w14:paraId="587A32C3">
            <w:pPr>
              <w:pStyle w:val="29"/>
              <w:spacing w:line="210" w:lineRule="exact"/>
              <w:ind w:left="1367"/>
              <w:rPr>
                <w:sz w:val="20"/>
              </w:rPr>
            </w:pPr>
            <w:r>
              <w:rPr>
                <w:spacing w:val="-4"/>
                <w:sz w:val="20"/>
              </w:rPr>
              <w:t>0.93</w:t>
            </w:r>
          </w:p>
        </w:tc>
      </w:tr>
      <w:tr w14:paraId="2EBB5274">
        <w:tblPrEx>
          <w:tblCellMar>
            <w:top w:w="0" w:type="dxa"/>
            <w:left w:w="0" w:type="dxa"/>
            <w:bottom w:w="0" w:type="dxa"/>
            <w:right w:w="0" w:type="dxa"/>
          </w:tblCellMar>
        </w:tblPrEx>
        <w:trPr>
          <w:trHeight w:val="232" w:hRule="atLeast"/>
        </w:trPr>
        <w:tc>
          <w:tcPr>
            <w:tcW w:w="2291" w:type="dxa"/>
            <w:tcBorders>
              <w:bottom w:val="single" w:color="000000" w:sz="4" w:space="0"/>
            </w:tcBorders>
          </w:tcPr>
          <w:p w14:paraId="74E79180">
            <w:pPr>
              <w:pStyle w:val="29"/>
              <w:spacing w:line="213" w:lineRule="exact"/>
              <w:ind w:left="115"/>
              <w:rPr>
                <w:sz w:val="20"/>
              </w:rPr>
            </w:pPr>
            <w:r>
              <w:rPr>
                <w:spacing w:val="-5"/>
                <w:sz w:val="20"/>
              </w:rPr>
              <w:t>CFI</w:t>
            </w:r>
          </w:p>
        </w:tc>
        <w:tc>
          <w:tcPr>
            <w:tcW w:w="6507" w:type="dxa"/>
            <w:tcBorders>
              <w:bottom w:val="single" w:color="000000" w:sz="4" w:space="0"/>
            </w:tcBorders>
          </w:tcPr>
          <w:p w14:paraId="5C9BB6EB">
            <w:pPr>
              <w:pStyle w:val="29"/>
              <w:spacing w:line="213" w:lineRule="exact"/>
              <w:ind w:left="1367"/>
              <w:rPr>
                <w:sz w:val="20"/>
              </w:rPr>
            </w:pPr>
            <w:r>
              <w:rPr>
                <w:spacing w:val="-4"/>
                <w:sz w:val="20"/>
              </w:rPr>
              <w:t>0.92</w:t>
            </w:r>
          </w:p>
        </w:tc>
      </w:tr>
    </w:tbl>
    <w:p w14:paraId="6138F675">
      <w:pPr>
        <w:pStyle w:val="9"/>
        <w:spacing w:before="120" w:after="120" w:line="360" w:lineRule="auto"/>
        <w:ind w:left="0" w:firstLine="567"/>
      </w:pPr>
      <w:r>
        <w:t>Tablo</w:t>
      </w:r>
      <w:r>
        <w:rPr>
          <w:spacing w:val="-15"/>
        </w:rPr>
        <w:t xml:space="preserve"> </w:t>
      </w:r>
      <w:r>
        <w:t>3.10’e</w:t>
      </w:r>
      <w:r>
        <w:rPr>
          <w:spacing w:val="-15"/>
        </w:rPr>
        <w:t xml:space="preserve"> </w:t>
      </w:r>
      <w:r>
        <w:t>göre,</w:t>
      </w:r>
      <w:r>
        <w:rPr>
          <w:spacing w:val="-15"/>
        </w:rPr>
        <w:t xml:space="preserve"> </w:t>
      </w:r>
      <w:r>
        <w:t>doğrulayıcı</w:t>
      </w:r>
      <w:r>
        <w:rPr>
          <w:spacing w:val="-15"/>
        </w:rPr>
        <w:t xml:space="preserve"> </w:t>
      </w:r>
      <w:r>
        <w:t>faktör</w:t>
      </w:r>
      <w:r>
        <w:rPr>
          <w:spacing w:val="-15"/>
        </w:rPr>
        <w:t xml:space="preserve"> </w:t>
      </w:r>
      <w:r>
        <w:t>analizi</w:t>
      </w:r>
      <w:r>
        <w:rPr>
          <w:spacing w:val="-15"/>
        </w:rPr>
        <w:t xml:space="preserve"> </w:t>
      </w:r>
      <w:r>
        <w:t>(DFA)</w:t>
      </w:r>
      <w:r>
        <w:rPr>
          <w:spacing w:val="-15"/>
        </w:rPr>
        <w:t xml:space="preserve"> </w:t>
      </w:r>
      <w:r>
        <w:t>sonuçları,</w:t>
      </w:r>
      <w:r>
        <w:rPr>
          <w:spacing w:val="-15"/>
        </w:rPr>
        <w:t xml:space="preserve"> </w:t>
      </w:r>
      <w:r>
        <w:t>yaşam</w:t>
      </w:r>
      <w:r>
        <w:rPr>
          <w:spacing w:val="-15"/>
        </w:rPr>
        <w:t xml:space="preserve"> </w:t>
      </w:r>
      <w:r>
        <w:t>kalitesi</w:t>
      </w:r>
      <w:r>
        <w:rPr>
          <w:spacing w:val="-15"/>
        </w:rPr>
        <w:t xml:space="preserve"> </w:t>
      </w:r>
      <w:r>
        <w:t>ölçeğinin ölçme modelinin uyum iyiliğini değerlendirmeye yönelik olarak analiz edilmiştir. DFA sonuçları incelendiğinde, modelin genel olarak kabul edilebilir uyum indekslerine sahip olduğu görülmektedir. İlk olarak, Ki-kare (X²) değeri 395, serbestlik derecesi (df) ise 324 olarak hesaplanmıştır. X²/df oranı, model uyumunu değerlendirmek için kullanılan önemli bir</w:t>
      </w:r>
      <w:r>
        <w:rPr>
          <w:spacing w:val="-2"/>
        </w:rPr>
        <w:t xml:space="preserve"> </w:t>
      </w:r>
      <w:r>
        <w:t>kriterdir</w:t>
      </w:r>
      <w:r>
        <w:rPr>
          <w:spacing w:val="-2"/>
        </w:rPr>
        <w:t xml:space="preserve"> </w:t>
      </w:r>
      <w:r>
        <w:t>ve</w:t>
      </w:r>
      <w:r>
        <w:rPr>
          <w:spacing w:val="-2"/>
        </w:rPr>
        <w:t xml:space="preserve"> </w:t>
      </w:r>
      <w:r>
        <w:t>bu</w:t>
      </w:r>
      <w:r>
        <w:rPr>
          <w:spacing w:val="-1"/>
        </w:rPr>
        <w:t xml:space="preserve"> </w:t>
      </w:r>
      <w:r>
        <w:t>çalışmada</w:t>
      </w:r>
      <w:r>
        <w:rPr>
          <w:spacing w:val="-2"/>
        </w:rPr>
        <w:t xml:space="preserve"> </w:t>
      </w:r>
      <w:r>
        <w:t>elde</w:t>
      </w:r>
      <w:r>
        <w:rPr>
          <w:spacing w:val="-2"/>
        </w:rPr>
        <w:t xml:space="preserve"> </w:t>
      </w:r>
      <w:r>
        <w:t>edilen</w:t>
      </w:r>
      <w:r>
        <w:rPr>
          <w:spacing w:val="-1"/>
        </w:rPr>
        <w:t xml:space="preserve"> </w:t>
      </w:r>
      <w:r>
        <w:t>oran</w:t>
      </w:r>
      <w:r>
        <w:rPr>
          <w:spacing w:val="-1"/>
        </w:rPr>
        <w:t xml:space="preserve"> </w:t>
      </w:r>
      <w:r>
        <w:t>1</w:t>
      </w:r>
      <w:r>
        <w:rPr>
          <w:spacing w:val="-1"/>
        </w:rPr>
        <w:t xml:space="preserve"> </w:t>
      </w:r>
      <w:r>
        <w:t>ile 5</w:t>
      </w:r>
      <w:r>
        <w:rPr>
          <w:spacing w:val="-1"/>
        </w:rPr>
        <w:t xml:space="preserve"> </w:t>
      </w:r>
      <w:r>
        <w:t>arasında</w:t>
      </w:r>
      <w:r>
        <w:rPr>
          <w:spacing w:val="-2"/>
        </w:rPr>
        <w:t xml:space="preserve"> </w:t>
      </w:r>
      <w:r>
        <w:t>olduğunda</w:t>
      </w:r>
      <w:r>
        <w:rPr>
          <w:spacing w:val="-2"/>
        </w:rPr>
        <w:t xml:space="preserve"> </w:t>
      </w:r>
      <w:r>
        <w:t xml:space="preserve">modelin yeterli bir uyuma sahip olduğu kabul edilmektedir. Bu nedenle, modelin iyi bir uyum sergilediği </w:t>
      </w:r>
      <w:r>
        <w:rPr>
          <w:spacing w:val="-2"/>
        </w:rPr>
        <w:t>görülmektedir.</w:t>
      </w:r>
    </w:p>
    <w:p w14:paraId="2C477A3B">
      <w:pPr>
        <w:pStyle w:val="9"/>
        <w:spacing w:before="120" w:after="120" w:line="360" w:lineRule="auto"/>
        <w:ind w:left="0" w:firstLine="567"/>
      </w:pPr>
      <w:r>
        <w:t>Modelin uyumunu değerlendiren diğer indeksler incelendiğinde, RMSEA (Root Mean Square Error of Approximation) değerinin 0.07 olduğu görülmektedir. RMSEA değerinin</w:t>
      </w:r>
      <w:r>
        <w:rPr>
          <w:spacing w:val="-15"/>
        </w:rPr>
        <w:t xml:space="preserve"> </w:t>
      </w:r>
      <w:r>
        <w:t>0.08’in</w:t>
      </w:r>
      <w:r>
        <w:rPr>
          <w:spacing w:val="-15"/>
        </w:rPr>
        <w:t xml:space="preserve"> </w:t>
      </w:r>
      <w:r>
        <w:t>altında</w:t>
      </w:r>
      <w:r>
        <w:rPr>
          <w:spacing w:val="-15"/>
        </w:rPr>
        <w:t xml:space="preserve"> </w:t>
      </w:r>
      <w:r>
        <w:t>olması,</w:t>
      </w:r>
      <w:r>
        <w:rPr>
          <w:spacing w:val="-15"/>
        </w:rPr>
        <w:t xml:space="preserve"> </w:t>
      </w:r>
      <w:r>
        <w:t>modelin</w:t>
      </w:r>
      <w:r>
        <w:rPr>
          <w:spacing w:val="-15"/>
        </w:rPr>
        <w:t xml:space="preserve"> </w:t>
      </w:r>
      <w:r>
        <w:t>yeterli</w:t>
      </w:r>
      <w:r>
        <w:rPr>
          <w:spacing w:val="-15"/>
        </w:rPr>
        <w:t xml:space="preserve"> </w:t>
      </w:r>
      <w:r>
        <w:t>uyum</w:t>
      </w:r>
      <w:r>
        <w:rPr>
          <w:spacing w:val="-15"/>
        </w:rPr>
        <w:t xml:space="preserve"> </w:t>
      </w:r>
      <w:r>
        <w:t>gösterdiğine</w:t>
      </w:r>
      <w:r>
        <w:rPr>
          <w:spacing w:val="-15"/>
        </w:rPr>
        <w:t xml:space="preserve"> </w:t>
      </w:r>
      <w:r>
        <w:t>işaret</w:t>
      </w:r>
      <w:r>
        <w:rPr>
          <w:spacing w:val="-15"/>
        </w:rPr>
        <w:t xml:space="preserve"> </w:t>
      </w:r>
      <w:r>
        <w:t>eder</w:t>
      </w:r>
      <w:r>
        <w:rPr>
          <w:spacing w:val="-15"/>
        </w:rPr>
        <w:t xml:space="preserve"> </w:t>
      </w:r>
      <w:r>
        <w:t>ve</w:t>
      </w:r>
      <w:r>
        <w:rPr>
          <w:spacing w:val="-15"/>
        </w:rPr>
        <w:t xml:space="preserve"> </w:t>
      </w:r>
      <w:r>
        <w:t>elde</w:t>
      </w:r>
      <w:r>
        <w:rPr>
          <w:spacing w:val="-15"/>
        </w:rPr>
        <w:t xml:space="preserve"> </w:t>
      </w:r>
      <w:r>
        <w:t>edilen bu sonuç, modelin kabul edilebilir düzeyde bir uyuma sahip olduğunu göstermektedir. Benzer şekilde, SRMR (Standardized Root Mean Square Residual) değerinin de 0.07 çıkması, modelin veriye iyi uyum sağladığını desteklemektedir; çünkü SRMR değerinin 0.08’in altında olması, iyi uyum göstergesi olarak kabul edilmektedir.</w:t>
      </w:r>
    </w:p>
    <w:p w14:paraId="509B6BFC">
      <w:pPr>
        <w:pStyle w:val="9"/>
        <w:spacing w:before="120" w:after="120" w:line="360" w:lineRule="auto"/>
        <w:ind w:left="0" w:firstLine="567"/>
      </w:pPr>
      <w:r>
        <w:t>Diğer uyum indekslerine bakıldığında, GFI (Goodness of Fit Index) değeri 0.93 ve AGFI (Adjusted Goodness of Fit Index) değeri 0.91 olarak hesaplanmıştır. GFI ve AGFI değerlerinin 0.90 ve üzeri olması, modelin veriyle yüksek düzeyde uyum sağladığını gösterir. Ayrıca, NFI (Normed Fit Index) ve CFI (Comparative Fit Index) değerlerinin her ikisinin</w:t>
      </w:r>
      <w:r>
        <w:rPr>
          <w:spacing w:val="48"/>
        </w:rPr>
        <w:t xml:space="preserve"> </w:t>
      </w:r>
      <w:r>
        <w:t>de</w:t>
      </w:r>
      <w:r>
        <w:rPr>
          <w:spacing w:val="50"/>
        </w:rPr>
        <w:t xml:space="preserve"> </w:t>
      </w:r>
      <w:r>
        <w:t>0.92</w:t>
      </w:r>
      <w:r>
        <w:rPr>
          <w:spacing w:val="51"/>
        </w:rPr>
        <w:t xml:space="preserve"> </w:t>
      </w:r>
      <w:r>
        <w:t>olması,</w:t>
      </w:r>
      <w:r>
        <w:rPr>
          <w:spacing w:val="49"/>
        </w:rPr>
        <w:t xml:space="preserve"> </w:t>
      </w:r>
      <w:r>
        <w:t>modelin</w:t>
      </w:r>
      <w:r>
        <w:rPr>
          <w:spacing w:val="52"/>
        </w:rPr>
        <w:t xml:space="preserve"> </w:t>
      </w:r>
      <w:r>
        <w:t>uyum</w:t>
      </w:r>
      <w:r>
        <w:rPr>
          <w:spacing w:val="54"/>
        </w:rPr>
        <w:t xml:space="preserve"> </w:t>
      </w:r>
      <w:r>
        <w:t>gücünün</w:t>
      </w:r>
      <w:r>
        <w:rPr>
          <w:spacing w:val="51"/>
        </w:rPr>
        <w:t xml:space="preserve"> </w:t>
      </w:r>
      <w:r>
        <w:t>oldukça</w:t>
      </w:r>
      <w:r>
        <w:rPr>
          <w:spacing w:val="50"/>
        </w:rPr>
        <w:t xml:space="preserve"> </w:t>
      </w:r>
      <w:r>
        <w:t>iyi</w:t>
      </w:r>
      <w:r>
        <w:rPr>
          <w:spacing w:val="52"/>
        </w:rPr>
        <w:t xml:space="preserve"> </w:t>
      </w:r>
      <w:r>
        <w:t>düzeyde</w:t>
      </w:r>
      <w:r>
        <w:rPr>
          <w:spacing w:val="53"/>
        </w:rPr>
        <w:t xml:space="preserve"> </w:t>
      </w:r>
      <w:r>
        <w:t>olduğunu</w:t>
      </w:r>
      <w:r>
        <w:rPr>
          <w:spacing w:val="51"/>
        </w:rPr>
        <w:t xml:space="preserve"> </w:t>
      </w:r>
      <w:r>
        <w:rPr>
          <w:spacing w:val="-2"/>
        </w:rPr>
        <w:t>ortaya</w:t>
      </w:r>
      <w:r>
        <w:t xml:space="preserve"> koymaktadır. TLI (Tucker-Lewis Index) değeri ise 0.93 olarak hesaplanmış olup, 0.90’ın üzerinde olması, modelin doğrulanabilirliğini destekler niteliktedir.</w:t>
      </w:r>
    </w:p>
    <w:p w14:paraId="6F2AF441">
      <w:pPr>
        <w:pStyle w:val="9"/>
        <w:spacing w:before="120" w:after="120" w:line="360" w:lineRule="auto"/>
        <w:ind w:left="0" w:firstLine="567"/>
      </w:pPr>
      <w:r>
        <w:t>Genel</w:t>
      </w:r>
      <w:r>
        <w:rPr>
          <w:spacing w:val="-3"/>
        </w:rPr>
        <w:t xml:space="preserve"> </w:t>
      </w:r>
      <w:r>
        <w:t>olarak,</w:t>
      </w:r>
      <w:r>
        <w:rPr>
          <w:spacing w:val="-3"/>
        </w:rPr>
        <w:t xml:space="preserve"> </w:t>
      </w:r>
      <w:r>
        <w:t>elde</w:t>
      </w:r>
      <w:r>
        <w:rPr>
          <w:spacing w:val="-4"/>
        </w:rPr>
        <w:t xml:space="preserve"> </w:t>
      </w:r>
      <w:r>
        <w:t>edilen</w:t>
      </w:r>
      <w:r>
        <w:rPr>
          <w:spacing w:val="-1"/>
        </w:rPr>
        <w:t xml:space="preserve"> </w:t>
      </w:r>
      <w:r>
        <w:t>DFA</w:t>
      </w:r>
      <w:r>
        <w:rPr>
          <w:spacing w:val="-4"/>
        </w:rPr>
        <w:t xml:space="preserve"> </w:t>
      </w:r>
      <w:r>
        <w:t>sonuçları,</w:t>
      </w:r>
      <w:r>
        <w:rPr>
          <w:spacing w:val="-1"/>
        </w:rPr>
        <w:t xml:space="preserve"> </w:t>
      </w:r>
      <w:r>
        <w:t>yaşam</w:t>
      </w:r>
      <w:r>
        <w:rPr>
          <w:spacing w:val="-3"/>
        </w:rPr>
        <w:t xml:space="preserve"> </w:t>
      </w:r>
      <w:r>
        <w:t>kalitesi</w:t>
      </w:r>
      <w:r>
        <w:rPr>
          <w:spacing w:val="-3"/>
        </w:rPr>
        <w:t xml:space="preserve"> </w:t>
      </w:r>
      <w:r>
        <w:t>ölçeğinin yapı geçerliliğine sahip olduğunu ve ölçeğin faktör yapısının uygun bir modelle doğrulandığını göstermektedir.</w:t>
      </w:r>
      <w:r>
        <w:rPr>
          <w:spacing w:val="-10"/>
        </w:rPr>
        <w:t xml:space="preserve"> </w:t>
      </w:r>
      <w:r>
        <w:t>Uyum</w:t>
      </w:r>
      <w:r>
        <w:rPr>
          <w:spacing w:val="-10"/>
        </w:rPr>
        <w:t xml:space="preserve"> </w:t>
      </w:r>
      <w:r>
        <w:t>indekslerinin</w:t>
      </w:r>
      <w:r>
        <w:rPr>
          <w:spacing w:val="-10"/>
        </w:rPr>
        <w:t xml:space="preserve"> </w:t>
      </w:r>
      <w:r>
        <w:t>büyük</w:t>
      </w:r>
      <w:r>
        <w:rPr>
          <w:spacing w:val="-10"/>
        </w:rPr>
        <w:t xml:space="preserve"> </w:t>
      </w:r>
      <w:r>
        <w:t>çoğunluğunun</w:t>
      </w:r>
      <w:r>
        <w:rPr>
          <w:spacing w:val="-10"/>
        </w:rPr>
        <w:t xml:space="preserve"> </w:t>
      </w:r>
      <w:r>
        <w:t>kabul</w:t>
      </w:r>
      <w:r>
        <w:rPr>
          <w:spacing w:val="-10"/>
        </w:rPr>
        <w:t xml:space="preserve"> </w:t>
      </w:r>
      <w:r>
        <w:t>edilebilir</w:t>
      </w:r>
      <w:r>
        <w:rPr>
          <w:spacing w:val="-11"/>
        </w:rPr>
        <w:t xml:space="preserve"> </w:t>
      </w:r>
      <w:r>
        <w:t>sınırlar</w:t>
      </w:r>
      <w:r>
        <w:rPr>
          <w:spacing w:val="-11"/>
        </w:rPr>
        <w:t xml:space="preserve"> </w:t>
      </w:r>
      <w:r>
        <w:t xml:space="preserve">içerisinde yer alması, bu ölçeğin geçerli ve güvenilir bir ölçüm aracı olarak kullanılabileceğini işaret </w:t>
      </w:r>
      <w:r>
        <w:rPr>
          <w:spacing w:val="-2"/>
        </w:rPr>
        <w:t>etmektedir.</w:t>
      </w:r>
    </w:p>
    <w:p w14:paraId="7B4E0D02">
      <w:pPr>
        <w:pStyle w:val="28"/>
        <w:numPr>
          <w:ilvl w:val="3"/>
          <w:numId w:val="15"/>
        </w:numPr>
        <w:spacing w:before="240" w:after="240" w:line="360" w:lineRule="auto"/>
        <w:ind w:left="567" w:firstLine="0"/>
        <w:outlineLvl w:val="3"/>
        <w:rPr>
          <w:b/>
          <w:sz w:val="24"/>
        </w:rPr>
      </w:pPr>
      <w:bookmarkStart w:id="210" w:name="_Toc195875845"/>
      <w:bookmarkStart w:id="211" w:name="_Toc197351277"/>
      <w:bookmarkStart w:id="212" w:name="_Toc195877824"/>
      <w:r>
        <w:rPr>
          <w:b/>
          <w:sz w:val="24"/>
        </w:rPr>
        <w:t>Güvenirlik Analiz Sonuçları</w:t>
      </w:r>
      <w:bookmarkEnd w:id="210"/>
      <w:bookmarkEnd w:id="211"/>
      <w:bookmarkEnd w:id="212"/>
    </w:p>
    <w:p w14:paraId="2FD0E615">
      <w:pPr>
        <w:pStyle w:val="9"/>
        <w:spacing w:line="360" w:lineRule="auto"/>
        <w:ind w:left="0" w:firstLine="567"/>
      </w:pPr>
      <w:r>
        <w:t>Sanal Rekreasyon Ölçeği'nin güvenirlik ölçütlerini ne derece sağladığını belirlemek amacıyla yapılan detaylı analizler, ölçeğin genel ve alt boyutlarına ilişkin güvenirliğini kapsamlı bir şekilde incelemektedir. Bu analizler, madde-toplam puan korelasyonunu, Cronbach’ın Alfa değerini ve iki yarı test güvenirliğini içermektedir. Madde-toplam puan korelasyonu her bir maddenin ölçeğin genel yapısıyla uyumunu, Cronbach’ın Alfa iç tutarlılığı güvenirliği ise ölçeğin farklı bölümlerinin tutarlılığını değerlendirmektedir.</w:t>
      </w:r>
    </w:p>
    <w:p w14:paraId="390F1CD6">
      <w:pPr>
        <w:pStyle w:val="9"/>
        <w:spacing w:line="360" w:lineRule="auto"/>
        <w:ind w:left="0" w:firstLine="567"/>
      </w:pPr>
      <w:r>
        <w:t>Bu analizlerin sonuçları, ölçeğin güvenilir olduğunu ve hedeflenen kavramları doğru ve tutarlı bir şekilde ölçebildiğini göstererek, ölçeğin araştırma ve uygulama alanlarında etkin bir şekilde kullanılabilirliğini desteklemektedir. Ölçeğin madde-toplam puan korelasyon değerleri, 0.537 ile 0.819 arasında değişmekte olup, bu durum maddelerin aynı yapıyı ölçtüğünü</w:t>
      </w:r>
      <w:r>
        <w:rPr>
          <w:spacing w:val="-10"/>
        </w:rPr>
        <w:t xml:space="preserve"> </w:t>
      </w:r>
      <w:r>
        <w:t>göstermektedir.Ayrıca,</w:t>
      </w:r>
      <w:r>
        <w:rPr>
          <w:spacing w:val="-11"/>
        </w:rPr>
        <w:t xml:space="preserve"> </w:t>
      </w:r>
      <w:r>
        <w:t>ölçeğin</w:t>
      </w:r>
      <w:r>
        <w:rPr>
          <w:spacing w:val="-8"/>
        </w:rPr>
        <w:t xml:space="preserve"> </w:t>
      </w:r>
      <w:r>
        <w:t>güvenirliği,</w:t>
      </w:r>
      <w:r>
        <w:rPr>
          <w:spacing w:val="-12"/>
        </w:rPr>
        <w:t xml:space="preserve"> </w:t>
      </w:r>
      <w:r>
        <w:t>Cronbach’ın</w:t>
      </w:r>
      <w:r>
        <w:rPr>
          <w:spacing w:val="-11"/>
        </w:rPr>
        <w:t xml:space="preserve"> </w:t>
      </w:r>
      <w:r>
        <w:t>Alfa</w:t>
      </w:r>
      <w:r>
        <w:rPr>
          <w:spacing w:val="-12"/>
        </w:rPr>
        <w:t xml:space="preserve"> </w:t>
      </w:r>
      <w:r>
        <w:t>katsayısı</w:t>
      </w:r>
      <w:r>
        <w:rPr>
          <w:spacing w:val="-12"/>
        </w:rPr>
        <w:t xml:space="preserve"> </w:t>
      </w:r>
      <w:r>
        <w:t>ile</w:t>
      </w:r>
      <w:r>
        <w:rPr>
          <w:spacing w:val="-11"/>
        </w:rPr>
        <w:t xml:space="preserve"> </w:t>
      </w:r>
      <w:r>
        <w:t>detaylı bir şekilde incelenmiştir. Ölçeğin genel güvenirlik katsayısı 0.977 olarak belirlenmiştir ki bu, ölçeğin yüksek güvenirlikte olduğunu işaret eden oldukça yüksek bir değerdir. Bu analizlerin genel değerlendirmesi, ölçeğin güvenilir bir ölçüm aracı olduğunu ve sanal rekreasyon faaliyetlerine yönelik görüşleri etkin bir şekilde ölçebileceğini ortaya koymaktadır. Ölçeğin güvenirliği, ölçme aracının kalitesini ve araştırmada kullanılabilirliğini doğrudan etkilemektedir, bu nedenle bu tür analizler, ölçek geliştirme sürecinin temel bir parçasını oluşturmaktadır.</w:t>
      </w:r>
    </w:p>
    <w:p w14:paraId="49756742">
      <w:pPr>
        <w:pStyle w:val="9"/>
        <w:spacing w:before="199" w:line="360" w:lineRule="auto"/>
        <w:ind w:right="113"/>
      </w:pPr>
    </w:p>
    <w:p w14:paraId="134A115B">
      <w:pPr>
        <w:widowControl/>
        <w:autoSpaceDE/>
        <w:autoSpaceDN/>
        <w:rPr>
          <w:sz w:val="24"/>
          <w:szCs w:val="24"/>
        </w:rPr>
      </w:pPr>
      <w:r>
        <w:br w:type="page"/>
      </w:r>
    </w:p>
    <w:p w14:paraId="7FB75A6D">
      <w:pPr>
        <w:pStyle w:val="9"/>
        <w:spacing w:before="199" w:line="360" w:lineRule="auto"/>
        <w:ind w:right="113"/>
      </w:pPr>
    </w:p>
    <w:p w14:paraId="70930729">
      <w:pPr>
        <w:pStyle w:val="9"/>
        <w:spacing w:before="4"/>
        <w:ind w:left="0"/>
        <w:jc w:val="left"/>
        <w:rPr>
          <w:sz w:val="17"/>
        </w:rPr>
      </w:pPr>
    </w:p>
    <w:p w14:paraId="0CC22C16">
      <w:pPr>
        <w:rPr>
          <w:sz w:val="17"/>
        </w:rPr>
        <w:sectPr>
          <w:pgSz w:w="11900" w:h="16850"/>
          <w:pgMar w:top="1985" w:right="1418" w:bottom="1418" w:left="1418" w:header="0" w:footer="652" w:gutter="0"/>
          <w:cols w:space="720" w:num="1"/>
        </w:sectPr>
      </w:pPr>
    </w:p>
    <w:p w14:paraId="6B885347">
      <w:pPr>
        <w:pStyle w:val="2"/>
        <w:numPr>
          <w:ilvl w:val="0"/>
          <w:numId w:val="15"/>
        </w:numPr>
        <w:tabs>
          <w:tab w:val="left" w:pos="400"/>
        </w:tabs>
        <w:spacing w:before="240" w:after="240" w:line="360" w:lineRule="auto"/>
        <w:ind w:left="0" w:firstLine="0"/>
      </w:pPr>
      <w:bookmarkStart w:id="213" w:name="_Toc197351278"/>
      <w:bookmarkStart w:id="214" w:name="_Toc195877825"/>
      <w:bookmarkStart w:id="215" w:name="_Toc195875846"/>
      <w:r>
        <w:t>BULGULAR,</w:t>
      </w:r>
      <w:r>
        <w:rPr>
          <w:spacing w:val="-5"/>
        </w:rPr>
        <w:t xml:space="preserve"> </w:t>
      </w:r>
      <w:r>
        <w:t>ANALİZLER</w:t>
      </w:r>
      <w:r>
        <w:rPr>
          <w:spacing w:val="-2"/>
        </w:rPr>
        <w:t xml:space="preserve"> </w:t>
      </w:r>
      <w:r>
        <w:t>VE</w:t>
      </w:r>
      <w:r>
        <w:rPr>
          <w:spacing w:val="-2"/>
        </w:rPr>
        <w:t xml:space="preserve"> YORUMLAR</w:t>
      </w:r>
      <w:bookmarkEnd w:id="213"/>
      <w:bookmarkEnd w:id="214"/>
      <w:bookmarkEnd w:id="215"/>
    </w:p>
    <w:p w14:paraId="623C3D8D">
      <w:pPr>
        <w:pStyle w:val="9"/>
        <w:spacing w:before="120" w:after="120" w:line="360" w:lineRule="auto"/>
        <w:ind w:left="0" w:firstLine="567"/>
      </w:pPr>
      <w:r>
        <w:t>Bu</w:t>
      </w:r>
      <w:r>
        <w:rPr>
          <w:spacing w:val="-12"/>
        </w:rPr>
        <w:t xml:space="preserve"> </w:t>
      </w:r>
      <w:r>
        <w:t>bölümde,</w:t>
      </w:r>
      <w:r>
        <w:rPr>
          <w:spacing w:val="-12"/>
        </w:rPr>
        <w:t xml:space="preserve"> </w:t>
      </w:r>
      <w:r>
        <w:t>araştırma</w:t>
      </w:r>
      <w:r>
        <w:rPr>
          <w:spacing w:val="-13"/>
        </w:rPr>
        <w:t xml:space="preserve"> </w:t>
      </w:r>
      <w:r>
        <w:t>kapsamında</w:t>
      </w:r>
      <w:r>
        <w:rPr>
          <w:spacing w:val="-13"/>
        </w:rPr>
        <w:t xml:space="preserve"> </w:t>
      </w:r>
      <w:r>
        <w:t>kullanılan</w:t>
      </w:r>
      <w:r>
        <w:rPr>
          <w:spacing w:val="-12"/>
        </w:rPr>
        <w:t xml:space="preserve"> </w:t>
      </w:r>
      <w:r>
        <w:t>iki</w:t>
      </w:r>
      <w:r>
        <w:rPr>
          <w:spacing w:val="-11"/>
        </w:rPr>
        <w:t xml:space="preserve"> </w:t>
      </w:r>
      <w:r>
        <w:t>temel</w:t>
      </w:r>
      <w:r>
        <w:rPr>
          <w:spacing w:val="-11"/>
        </w:rPr>
        <w:t xml:space="preserve"> </w:t>
      </w:r>
      <w:r>
        <w:t>ölçek</w:t>
      </w:r>
      <w:r>
        <w:rPr>
          <w:spacing w:val="-12"/>
        </w:rPr>
        <w:t xml:space="preserve"> </w:t>
      </w:r>
      <w:r>
        <w:t>olan</w:t>
      </w:r>
      <w:r>
        <w:rPr>
          <w:spacing w:val="-12"/>
        </w:rPr>
        <w:t xml:space="preserve"> </w:t>
      </w:r>
      <w:r>
        <w:t>Sanal</w:t>
      </w:r>
      <w:r>
        <w:rPr>
          <w:spacing w:val="-11"/>
        </w:rPr>
        <w:t xml:space="preserve"> </w:t>
      </w:r>
      <w:r>
        <w:t>Rekreasyon</w:t>
      </w:r>
      <w:r>
        <w:rPr>
          <w:spacing w:val="-9"/>
        </w:rPr>
        <w:t xml:space="preserve"> </w:t>
      </w:r>
      <w:r>
        <w:t xml:space="preserve">Ölçeği ve Yaşam Kalitesi Ölçeği'ne (WHOQOL-Bref) ilişkin analiz sonuçları sunulmakta ve elde edilen bulgular, araştırmanın amaçları ve hipotezleri doğrultusunda yorumlanmaktadır. Araştırmanın temel amacı, sanal rekreasyon faaliyetlerinin öğretmenlerin yaşam kalitesi, kişisel ve sosyal becerileri üzerindeki etkilerini değerlendirmek ve aynı zamanda genel yaşam kalitesinin öğretmenlerin iş ve sosyal hayatlarındaki rollerine nasıl yansıdığını </w:t>
      </w:r>
      <w:r>
        <w:rPr>
          <w:spacing w:val="-2"/>
        </w:rPr>
        <w:t>incelemektir.</w:t>
      </w:r>
    </w:p>
    <w:p w14:paraId="7710E36C">
      <w:pPr>
        <w:pStyle w:val="9"/>
        <w:spacing w:before="120" w:after="120" w:line="360" w:lineRule="auto"/>
        <w:ind w:left="0" w:firstLine="567"/>
      </w:pPr>
      <w:r>
        <w:t>Bu doğrultuda, her iki ölçek üzerinden gerçekleştirilen betimsel analizler ve hipotez testlerine</w:t>
      </w:r>
      <w:r>
        <w:rPr>
          <w:spacing w:val="-3"/>
        </w:rPr>
        <w:t xml:space="preserve"> </w:t>
      </w:r>
      <w:r>
        <w:t>dayalı</w:t>
      </w:r>
      <w:r>
        <w:rPr>
          <w:spacing w:val="-2"/>
        </w:rPr>
        <w:t xml:space="preserve"> </w:t>
      </w:r>
      <w:r>
        <w:t>bulgular</w:t>
      </w:r>
      <w:r>
        <w:rPr>
          <w:spacing w:val="-1"/>
        </w:rPr>
        <w:t xml:space="preserve"> </w:t>
      </w:r>
      <w:r>
        <w:t>sunulmaktadır.</w:t>
      </w:r>
      <w:r>
        <w:rPr>
          <w:spacing w:val="-3"/>
        </w:rPr>
        <w:t xml:space="preserve"> </w:t>
      </w:r>
      <w:r>
        <w:t>Betimsel</w:t>
      </w:r>
      <w:r>
        <w:rPr>
          <w:spacing w:val="-2"/>
        </w:rPr>
        <w:t xml:space="preserve"> </w:t>
      </w:r>
      <w:r>
        <w:t>analizler,</w:t>
      </w:r>
      <w:r>
        <w:rPr>
          <w:spacing w:val="-2"/>
        </w:rPr>
        <w:t xml:space="preserve"> </w:t>
      </w:r>
      <w:r>
        <w:t>katılımcıların</w:t>
      </w:r>
      <w:r>
        <w:rPr>
          <w:spacing w:val="-2"/>
        </w:rPr>
        <w:t xml:space="preserve"> </w:t>
      </w:r>
      <w:r>
        <w:t>sanal</w:t>
      </w:r>
      <w:r>
        <w:rPr>
          <w:spacing w:val="-2"/>
        </w:rPr>
        <w:t xml:space="preserve"> </w:t>
      </w:r>
      <w:r>
        <w:t>rekreasyon faaliyetlerine</w:t>
      </w:r>
      <w:r>
        <w:rPr>
          <w:spacing w:val="-15"/>
        </w:rPr>
        <w:t xml:space="preserve"> </w:t>
      </w:r>
      <w:r>
        <w:t>ve</w:t>
      </w:r>
      <w:r>
        <w:rPr>
          <w:spacing w:val="-15"/>
        </w:rPr>
        <w:t xml:space="preserve"> </w:t>
      </w:r>
      <w:r>
        <w:t>genel</w:t>
      </w:r>
      <w:r>
        <w:rPr>
          <w:spacing w:val="-15"/>
        </w:rPr>
        <w:t xml:space="preserve"> </w:t>
      </w:r>
      <w:r>
        <w:t>yaşam</w:t>
      </w:r>
      <w:r>
        <w:rPr>
          <w:spacing w:val="-15"/>
        </w:rPr>
        <w:t xml:space="preserve"> </w:t>
      </w:r>
      <w:r>
        <w:t>kalitelerine</w:t>
      </w:r>
      <w:r>
        <w:rPr>
          <w:spacing w:val="-15"/>
        </w:rPr>
        <w:t xml:space="preserve"> </w:t>
      </w:r>
      <w:r>
        <w:t>ilişkin</w:t>
      </w:r>
      <w:r>
        <w:rPr>
          <w:spacing w:val="-15"/>
        </w:rPr>
        <w:t xml:space="preserve"> </w:t>
      </w:r>
      <w:r>
        <w:t>görüşlerini</w:t>
      </w:r>
      <w:r>
        <w:rPr>
          <w:spacing w:val="-15"/>
        </w:rPr>
        <w:t xml:space="preserve"> </w:t>
      </w:r>
      <w:r>
        <w:t>ortaya</w:t>
      </w:r>
      <w:r>
        <w:rPr>
          <w:spacing w:val="-15"/>
        </w:rPr>
        <w:t xml:space="preserve"> </w:t>
      </w:r>
      <w:r>
        <w:t>koymakta;</w:t>
      </w:r>
      <w:r>
        <w:rPr>
          <w:spacing w:val="-15"/>
        </w:rPr>
        <w:t xml:space="preserve"> </w:t>
      </w:r>
      <w:r>
        <w:t>frekans,</w:t>
      </w:r>
      <w:r>
        <w:rPr>
          <w:spacing w:val="-15"/>
        </w:rPr>
        <w:t xml:space="preserve"> </w:t>
      </w:r>
      <w:r>
        <w:t>yüzde dağılımı, ortalama ve standart sapma değerleri ile desteklenmektedir. Hipotez testlerine yönelik analizler ise sanal rekreasyon ve yaşam kalitesi arasındaki ilişkileri istatistiksel olarak incelemekte ve araştırmanın hipotezlerini test etmekte kullanılmaktadır.</w:t>
      </w:r>
    </w:p>
    <w:p w14:paraId="10D25B2D">
      <w:pPr>
        <w:pStyle w:val="3"/>
        <w:spacing w:before="240" w:after="240" w:line="360" w:lineRule="auto"/>
        <w:ind w:left="567"/>
      </w:pPr>
      <w:bookmarkStart w:id="216" w:name="_Toc197351279"/>
      <w:bookmarkStart w:id="217" w:name="_Toc195877826"/>
      <w:bookmarkStart w:id="218" w:name="_Toc195875847"/>
      <w:r>
        <w:t>4.1. Betimsel Analize İlişkin Bulgular</w:t>
      </w:r>
      <w:bookmarkEnd w:id="216"/>
      <w:bookmarkEnd w:id="217"/>
      <w:bookmarkEnd w:id="218"/>
    </w:p>
    <w:p w14:paraId="23014729">
      <w:pPr>
        <w:pStyle w:val="9"/>
        <w:spacing w:before="120" w:after="120" w:line="360" w:lineRule="auto"/>
        <w:ind w:left="0" w:firstLine="567"/>
      </w:pPr>
      <w:r>
        <w:t>Bu bölümde, hem Sanal Rekreasyon Ölçeği hem de Dünya Sağlık Örgütü Yaşam Kalitesi Ölçeği'ne ilişkin elde edilen betimsel analiz bulguları sunulmaktadır. Araştırmanın hipotezleri doğrultusunda, sanal rekreasyonun bireylerin kişisel mutluluğu, iş birliği becerileri,</w:t>
      </w:r>
      <w:r>
        <w:rPr>
          <w:spacing w:val="-11"/>
        </w:rPr>
        <w:t xml:space="preserve"> </w:t>
      </w:r>
      <w:r>
        <w:t>sosyal</w:t>
      </w:r>
      <w:r>
        <w:rPr>
          <w:spacing w:val="-11"/>
        </w:rPr>
        <w:t xml:space="preserve"> </w:t>
      </w:r>
      <w:r>
        <w:t>ilişkileri</w:t>
      </w:r>
      <w:r>
        <w:rPr>
          <w:spacing w:val="-11"/>
        </w:rPr>
        <w:t xml:space="preserve"> </w:t>
      </w:r>
      <w:r>
        <w:t>ve</w:t>
      </w:r>
      <w:r>
        <w:rPr>
          <w:spacing w:val="-8"/>
        </w:rPr>
        <w:t xml:space="preserve"> </w:t>
      </w:r>
      <w:r>
        <w:t>yaşam</w:t>
      </w:r>
      <w:r>
        <w:rPr>
          <w:spacing w:val="-11"/>
        </w:rPr>
        <w:t xml:space="preserve"> </w:t>
      </w:r>
      <w:r>
        <w:t>kalitesi</w:t>
      </w:r>
      <w:r>
        <w:rPr>
          <w:spacing w:val="-11"/>
        </w:rPr>
        <w:t xml:space="preserve"> </w:t>
      </w:r>
      <w:r>
        <w:t>üzerindeki</w:t>
      </w:r>
      <w:r>
        <w:rPr>
          <w:spacing w:val="-11"/>
        </w:rPr>
        <w:t xml:space="preserve"> </w:t>
      </w:r>
      <w:r>
        <w:t>etkilerini</w:t>
      </w:r>
      <w:r>
        <w:rPr>
          <w:spacing w:val="-11"/>
        </w:rPr>
        <w:t xml:space="preserve"> </w:t>
      </w:r>
      <w:r>
        <w:t>ortaya</w:t>
      </w:r>
      <w:r>
        <w:rPr>
          <w:spacing w:val="-13"/>
        </w:rPr>
        <w:t xml:space="preserve"> </w:t>
      </w:r>
      <w:r>
        <w:t>koymayı</w:t>
      </w:r>
      <w:r>
        <w:rPr>
          <w:spacing w:val="-9"/>
        </w:rPr>
        <w:t xml:space="preserve"> </w:t>
      </w:r>
      <w:r>
        <w:t>amaçlayan analizler yapılmıştır. Aynı zamanda, yaşam kalitesi ölçeği ile öğretmenlerin sağlık durumları, sosyal ilişkileri ve çevresel faktörlere dair algıları değerlendirilmiştir.</w:t>
      </w:r>
    </w:p>
    <w:p w14:paraId="67996D20">
      <w:pPr>
        <w:pStyle w:val="9"/>
        <w:spacing w:before="120" w:after="120" w:line="360" w:lineRule="auto"/>
        <w:ind w:left="0" w:firstLine="567"/>
      </w:pPr>
      <w:r>
        <w:t>Sanal Rekreasyon Ölçeği ve Yaşam Kalitesi Ölçeği'ne ilişkin her bir maddeye yönelik frekans,</w:t>
      </w:r>
      <w:r>
        <w:rPr>
          <w:spacing w:val="-5"/>
        </w:rPr>
        <w:t xml:space="preserve"> </w:t>
      </w:r>
      <w:r>
        <w:t>yüzde</w:t>
      </w:r>
      <w:r>
        <w:rPr>
          <w:spacing w:val="-10"/>
        </w:rPr>
        <w:t xml:space="preserve"> </w:t>
      </w:r>
      <w:r>
        <w:t>dağılımı,</w:t>
      </w:r>
      <w:r>
        <w:rPr>
          <w:spacing w:val="-11"/>
        </w:rPr>
        <w:t xml:space="preserve"> </w:t>
      </w:r>
      <w:r>
        <w:t>ortalama</w:t>
      </w:r>
      <w:r>
        <w:rPr>
          <w:spacing w:val="-10"/>
        </w:rPr>
        <w:t xml:space="preserve"> </w:t>
      </w:r>
      <w:r>
        <w:t>ve</w:t>
      </w:r>
      <w:r>
        <w:rPr>
          <w:spacing w:val="-10"/>
        </w:rPr>
        <w:t xml:space="preserve"> </w:t>
      </w:r>
      <w:r>
        <w:t>standart</w:t>
      </w:r>
      <w:r>
        <w:rPr>
          <w:spacing w:val="-9"/>
        </w:rPr>
        <w:t xml:space="preserve"> </w:t>
      </w:r>
      <w:r>
        <w:t>sapma</w:t>
      </w:r>
      <w:r>
        <w:rPr>
          <w:spacing w:val="-10"/>
        </w:rPr>
        <w:t xml:space="preserve"> </w:t>
      </w:r>
      <w:r>
        <w:t>değerleri</w:t>
      </w:r>
      <w:r>
        <w:rPr>
          <w:spacing w:val="-9"/>
        </w:rPr>
        <w:t xml:space="preserve"> </w:t>
      </w:r>
      <w:r>
        <w:t>analiz</w:t>
      </w:r>
      <w:r>
        <w:rPr>
          <w:spacing w:val="-8"/>
        </w:rPr>
        <w:t xml:space="preserve"> </w:t>
      </w:r>
      <w:r>
        <w:t>edilmiştir.</w:t>
      </w:r>
      <w:r>
        <w:rPr>
          <w:spacing w:val="-10"/>
        </w:rPr>
        <w:t xml:space="preserve"> </w:t>
      </w:r>
      <w:r>
        <w:t>Bu</w:t>
      </w:r>
      <w:r>
        <w:rPr>
          <w:spacing w:val="-9"/>
        </w:rPr>
        <w:t xml:space="preserve"> </w:t>
      </w:r>
      <w:r>
        <w:t>bulgular, araştırmanın</w:t>
      </w:r>
      <w:r>
        <w:rPr>
          <w:spacing w:val="-6"/>
        </w:rPr>
        <w:t xml:space="preserve"> </w:t>
      </w:r>
      <w:r>
        <w:t>hipotezlerini</w:t>
      </w:r>
      <w:r>
        <w:rPr>
          <w:spacing w:val="-6"/>
        </w:rPr>
        <w:t xml:space="preserve"> </w:t>
      </w:r>
      <w:r>
        <w:t>test</w:t>
      </w:r>
      <w:r>
        <w:rPr>
          <w:spacing w:val="-7"/>
        </w:rPr>
        <w:t xml:space="preserve"> </w:t>
      </w:r>
      <w:r>
        <w:t>etmek</w:t>
      </w:r>
      <w:r>
        <w:rPr>
          <w:spacing w:val="-7"/>
        </w:rPr>
        <w:t xml:space="preserve"> </w:t>
      </w:r>
      <w:r>
        <w:t>için</w:t>
      </w:r>
      <w:r>
        <w:rPr>
          <w:spacing w:val="-7"/>
        </w:rPr>
        <w:t xml:space="preserve"> </w:t>
      </w:r>
      <w:r>
        <w:t>sağlam</w:t>
      </w:r>
      <w:r>
        <w:rPr>
          <w:spacing w:val="-7"/>
        </w:rPr>
        <w:t xml:space="preserve"> </w:t>
      </w:r>
      <w:r>
        <w:t>bir</w:t>
      </w:r>
      <w:r>
        <w:rPr>
          <w:spacing w:val="-7"/>
        </w:rPr>
        <w:t xml:space="preserve"> </w:t>
      </w:r>
      <w:r>
        <w:t>temel</w:t>
      </w:r>
      <w:r>
        <w:rPr>
          <w:spacing w:val="-6"/>
        </w:rPr>
        <w:t xml:space="preserve"> </w:t>
      </w:r>
      <w:r>
        <w:t>oluşturmaktadır</w:t>
      </w:r>
      <w:r>
        <w:rPr>
          <w:spacing w:val="-8"/>
        </w:rPr>
        <w:t xml:space="preserve"> </w:t>
      </w:r>
      <w:r>
        <w:t>ve</w:t>
      </w:r>
      <w:r>
        <w:rPr>
          <w:spacing w:val="-8"/>
        </w:rPr>
        <w:t xml:space="preserve"> </w:t>
      </w:r>
      <w:r>
        <w:t xml:space="preserve">katılımcıların sanal rekreasyon faaliyetlerine ve yaşam kalitelerine yönelik genel tutumlarını </w:t>
      </w:r>
      <w:r>
        <w:rPr>
          <w:spacing w:val="-2"/>
        </w:rPr>
        <w:t>yansıtmaktadır.</w:t>
      </w:r>
    </w:p>
    <w:p w14:paraId="6587B7FB">
      <w:pPr>
        <w:pStyle w:val="4"/>
        <w:spacing w:before="240" w:after="240" w:line="360" w:lineRule="auto"/>
        <w:ind w:left="567" w:firstLine="0"/>
        <w:rPr>
          <w:i w:val="0"/>
        </w:rPr>
      </w:pPr>
      <w:bookmarkStart w:id="219" w:name="_Toc195877827"/>
      <w:bookmarkStart w:id="220" w:name="_Toc197351280"/>
      <w:bookmarkStart w:id="221" w:name="_Toc195875848"/>
      <w:r>
        <w:rPr>
          <w:i w:val="0"/>
        </w:rPr>
        <w:t>4.1.1. Sanal Rekreasyon Ölçeği'ne İlişkin Bulgular</w:t>
      </w:r>
      <w:bookmarkEnd w:id="219"/>
      <w:bookmarkEnd w:id="220"/>
      <w:bookmarkEnd w:id="221"/>
    </w:p>
    <w:p w14:paraId="08FDDEBA">
      <w:pPr>
        <w:pStyle w:val="9"/>
        <w:spacing w:before="120" w:after="120" w:line="360" w:lineRule="auto"/>
        <w:ind w:left="0" w:firstLine="567"/>
      </w:pPr>
      <w:r>
        <w:t>Sanal Rekreasyon Ölçeği’ne ilişkin bulgular, katılımcıların sanal rekreasyon faaliyetleri hakkındaki algılarını ve bu faaliyetlerin çeşitli beceri ve duygusal durumları üzerindeki etkilerini değerlendirmek amacıyla analiz edilmiştir. Elde edilen sonuçlar, katılımcıların sanal</w:t>
      </w:r>
      <w:r>
        <w:rPr>
          <w:spacing w:val="-7"/>
        </w:rPr>
        <w:t xml:space="preserve"> </w:t>
      </w:r>
      <w:r>
        <w:t>rekreasyon</w:t>
      </w:r>
      <w:r>
        <w:rPr>
          <w:spacing w:val="-8"/>
        </w:rPr>
        <w:t xml:space="preserve"> </w:t>
      </w:r>
      <w:r>
        <w:t>faaliyetlerinin</w:t>
      </w:r>
      <w:r>
        <w:rPr>
          <w:spacing w:val="-8"/>
        </w:rPr>
        <w:t xml:space="preserve"> </w:t>
      </w:r>
      <w:r>
        <w:t>sosyal,</w:t>
      </w:r>
      <w:r>
        <w:rPr>
          <w:spacing w:val="-7"/>
        </w:rPr>
        <w:t xml:space="preserve"> </w:t>
      </w:r>
      <w:r>
        <w:t>duygusal</w:t>
      </w:r>
      <w:r>
        <w:rPr>
          <w:spacing w:val="-7"/>
        </w:rPr>
        <w:t xml:space="preserve"> </w:t>
      </w:r>
      <w:r>
        <w:t>ve</w:t>
      </w:r>
      <w:r>
        <w:rPr>
          <w:spacing w:val="-9"/>
        </w:rPr>
        <w:t xml:space="preserve"> </w:t>
      </w:r>
      <w:r>
        <w:t>bilişsel</w:t>
      </w:r>
      <w:r>
        <w:rPr>
          <w:spacing w:val="-7"/>
        </w:rPr>
        <w:t xml:space="preserve"> </w:t>
      </w:r>
      <w:r>
        <w:t>gelişimleri</w:t>
      </w:r>
      <w:r>
        <w:rPr>
          <w:spacing w:val="-7"/>
        </w:rPr>
        <w:t xml:space="preserve"> </w:t>
      </w:r>
      <w:r>
        <w:t>üzerindeki</w:t>
      </w:r>
      <w:r>
        <w:rPr>
          <w:spacing w:val="-7"/>
        </w:rPr>
        <w:t xml:space="preserve"> </w:t>
      </w:r>
      <w:r>
        <w:t>etkilerine ilişkin farklı görüşler</w:t>
      </w:r>
      <w:r>
        <w:rPr>
          <w:spacing w:val="-1"/>
        </w:rPr>
        <w:t xml:space="preserve"> </w:t>
      </w:r>
      <w:r>
        <w:t>sunduklarını göstermektedir. Bulguların daha</w:t>
      </w:r>
      <w:r>
        <w:rPr>
          <w:spacing w:val="-1"/>
        </w:rPr>
        <w:t xml:space="preserve"> </w:t>
      </w:r>
      <w:r>
        <w:t>iyi anlaşılabilmesi için, her bir maddeye ilişkin frekans, ortalama ve standart sapma değerleri ayrıntılı olarak bu bölümde</w:t>
      </w:r>
      <w:r>
        <w:rPr>
          <w:spacing w:val="-1"/>
        </w:rPr>
        <w:t xml:space="preserve"> </w:t>
      </w:r>
      <w:r>
        <w:t>açıklanmıştır. Bu analizlere</w:t>
      </w:r>
      <w:r>
        <w:rPr>
          <w:spacing w:val="-1"/>
        </w:rPr>
        <w:t xml:space="preserve"> </w:t>
      </w:r>
      <w:r>
        <w:t>ilişkin sayısal değerler Tablo 4.1’de gösterilmektedir.</w:t>
      </w:r>
    </w:p>
    <w:p w14:paraId="728B7BEE">
      <w:pPr>
        <w:pStyle w:val="9"/>
        <w:spacing w:line="360" w:lineRule="auto"/>
        <w:ind w:left="0"/>
        <w:rPr>
          <w:b/>
        </w:rPr>
      </w:pPr>
      <w:r>
        <w:rPr>
          <w:b/>
        </w:rPr>
        <w:t>Tablo</w:t>
      </w:r>
      <w:r>
        <w:rPr>
          <w:b/>
          <w:spacing w:val="-3"/>
        </w:rPr>
        <w:t xml:space="preserve"> </w:t>
      </w:r>
      <w:r>
        <w:rPr>
          <w:b/>
        </w:rPr>
        <w:t xml:space="preserve">4.1. </w:t>
      </w:r>
      <w:r>
        <w:t>Sanal</w:t>
      </w:r>
      <w:r>
        <w:rPr>
          <w:spacing w:val="-2"/>
        </w:rPr>
        <w:t xml:space="preserve"> </w:t>
      </w:r>
      <w:r>
        <w:t>Rekreasyon</w:t>
      </w:r>
      <w:r>
        <w:rPr>
          <w:spacing w:val="-3"/>
        </w:rPr>
        <w:t xml:space="preserve"> </w:t>
      </w:r>
      <w:r>
        <w:t>Ölçeği Maddelerine</w:t>
      </w:r>
      <w:r>
        <w:rPr>
          <w:spacing w:val="-1"/>
        </w:rPr>
        <w:t xml:space="preserve"> </w:t>
      </w:r>
      <w:r>
        <w:t>İlişkin</w:t>
      </w:r>
      <w:r>
        <w:rPr>
          <w:spacing w:val="-2"/>
        </w:rPr>
        <w:t xml:space="preserve"> </w:t>
      </w:r>
      <w:r>
        <w:t>Betimsel</w:t>
      </w:r>
      <w:r>
        <w:rPr>
          <w:spacing w:val="-2"/>
        </w:rPr>
        <w:t xml:space="preserve"> </w:t>
      </w:r>
      <w:r>
        <w:t>Analiz</w:t>
      </w:r>
      <w:r>
        <w:rPr>
          <w:spacing w:val="1"/>
        </w:rPr>
        <w:t xml:space="preserve"> </w:t>
      </w:r>
      <w:r>
        <w:rPr>
          <w:spacing w:val="-2"/>
        </w:rPr>
        <w:t>Değerleri</w:t>
      </w:r>
    </w:p>
    <w:p w14:paraId="05027D26">
      <w:pPr>
        <w:pStyle w:val="9"/>
        <w:spacing w:before="10"/>
        <w:ind w:left="0"/>
        <w:jc w:val="left"/>
        <w:rPr>
          <w:sz w:val="29"/>
        </w:rPr>
      </w:pPr>
    </w:p>
    <w:tbl>
      <w:tblPr>
        <w:tblStyle w:val="7"/>
        <w:tblW w:w="0" w:type="auto"/>
        <w:tblInd w:w="160" w:type="dxa"/>
        <w:tblLayout w:type="fixed"/>
        <w:tblCellMar>
          <w:top w:w="0" w:type="dxa"/>
          <w:left w:w="0" w:type="dxa"/>
          <w:bottom w:w="0" w:type="dxa"/>
          <w:right w:w="0" w:type="dxa"/>
        </w:tblCellMar>
      </w:tblPr>
      <w:tblGrid>
        <w:gridCol w:w="704"/>
        <w:gridCol w:w="4614"/>
        <w:gridCol w:w="541"/>
        <w:gridCol w:w="449"/>
        <w:gridCol w:w="541"/>
        <w:gridCol w:w="450"/>
        <w:gridCol w:w="539"/>
        <w:gridCol w:w="450"/>
        <w:gridCol w:w="495"/>
      </w:tblGrid>
      <w:tr w14:paraId="125C6FAB">
        <w:tblPrEx>
          <w:tblCellMar>
            <w:top w:w="0" w:type="dxa"/>
            <w:left w:w="0" w:type="dxa"/>
            <w:bottom w:w="0" w:type="dxa"/>
            <w:right w:w="0" w:type="dxa"/>
          </w:tblCellMar>
        </w:tblPrEx>
        <w:trPr>
          <w:trHeight w:val="1293" w:hRule="atLeast"/>
        </w:trPr>
        <w:tc>
          <w:tcPr>
            <w:tcW w:w="704" w:type="dxa"/>
            <w:tcBorders>
              <w:top w:val="single" w:color="000000" w:sz="4" w:space="0"/>
              <w:bottom w:val="single" w:color="000000" w:sz="4" w:space="0"/>
            </w:tcBorders>
          </w:tcPr>
          <w:p w14:paraId="701CEE19">
            <w:pPr>
              <w:pStyle w:val="29"/>
              <w:ind w:left="256" w:right="105" w:hanging="142"/>
              <w:rPr>
                <w:b/>
                <w:sz w:val="16"/>
              </w:rPr>
            </w:pPr>
            <w:r>
              <w:rPr>
                <w:b/>
                <w:spacing w:val="-2"/>
                <w:sz w:val="16"/>
              </w:rPr>
              <w:t>Madde</w:t>
            </w:r>
            <w:r>
              <w:rPr>
                <w:b/>
                <w:spacing w:val="40"/>
                <w:sz w:val="16"/>
              </w:rPr>
              <w:t xml:space="preserve"> </w:t>
            </w:r>
            <w:r>
              <w:rPr>
                <w:b/>
                <w:spacing w:val="-6"/>
                <w:sz w:val="16"/>
              </w:rPr>
              <w:t>No</w:t>
            </w:r>
          </w:p>
        </w:tc>
        <w:tc>
          <w:tcPr>
            <w:tcW w:w="4614" w:type="dxa"/>
            <w:tcBorders>
              <w:top w:val="single" w:color="000000" w:sz="4" w:space="0"/>
              <w:bottom w:val="single" w:color="000000" w:sz="4" w:space="0"/>
            </w:tcBorders>
          </w:tcPr>
          <w:p w14:paraId="5E67068C">
            <w:pPr>
              <w:pStyle w:val="29"/>
              <w:spacing w:line="181" w:lineRule="exact"/>
              <w:ind w:left="1961" w:right="1961"/>
              <w:jc w:val="center"/>
              <w:rPr>
                <w:b/>
                <w:sz w:val="16"/>
              </w:rPr>
            </w:pPr>
            <w:r>
              <w:rPr>
                <w:b/>
                <w:spacing w:val="-2"/>
                <w:sz w:val="16"/>
              </w:rPr>
              <w:t>Maddeler</w:t>
            </w:r>
          </w:p>
        </w:tc>
        <w:tc>
          <w:tcPr>
            <w:tcW w:w="541" w:type="dxa"/>
            <w:tcBorders>
              <w:top w:val="single" w:color="000000" w:sz="4" w:space="0"/>
              <w:bottom w:val="single" w:color="000000" w:sz="4" w:space="0"/>
            </w:tcBorders>
            <w:textDirection w:val="btLr"/>
          </w:tcPr>
          <w:p w14:paraId="32560C41">
            <w:pPr>
              <w:pStyle w:val="29"/>
              <w:spacing w:before="106" w:line="247" w:lineRule="auto"/>
              <w:ind w:left="158" w:firstLine="139"/>
              <w:rPr>
                <w:b/>
                <w:sz w:val="16"/>
              </w:rPr>
            </w:pPr>
            <w:r>
              <w:rPr>
                <w:b/>
                <w:spacing w:val="-2"/>
                <w:sz w:val="16"/>
              </w:rPr>
              <w:t>Tamamen</w:t>
            </w:r>
            <w:r>
              <w:rPr>
                <w:b/>
                <w:spacing w:val="40"/>
                <w:sz w:val="16"/>
              </w:rPr>
              <w:t xml:space="preserve"> </w:t>
            </w:r>
            <w:r>
              <w:rPr>
                <w:b/>
                <w:spacing w:val="-2"/>
                <w:sz w:val="16"/>
              </w:rPr>
              <w:t>Katılmıyorum</w:t>
            </w:r>
          </w:p>
        </w:tc>
        <w:tc>
          <w:tcPr>
            <w:tcW w:w="449" w:type="dxa"/>
            <w:tcBorders>
              <w:top w:val="single" w:color="000000" w:sz="4" w:space="0"/>
              <w:bottom w:val="single" w:color="000000" w:sz="4" w:space="0"/>
            </w:tcBorders>
            <w:textDirection w:val="btLr"/>
          </w:tcPr>
          <w:p w14:paraId="64D8A7DE">
            <w:pPr>
              <w:pStyle w:val="29"/>
              <w:spacing w:before="107"/>
              <w:ind w:left="158"/>
              <w:rPr>
                <w:b/>
                <w:sz w:val="16"/>
              </w:rPr>
            </w:pPr>
            <w:r>
              <w:rPr>
                <w:b/>
                <w:spacing w:val="-2"/>
                <w:sz w:val="16"/>
              </w:rPr>
              <w:t>Katılmıyorum</w:t>
            </w:r>
          </w:p>
        </w:tc>
        <w:tc>
          <w:tcPr>
            <w:tcW w:w="541" w:type="dxa"/>
            <w:tcBorders>
              <w:top w:val="single" w:color="000000" w:sz="4" w:space="0"/>
              <w:bottom w:val="single" w:color="000000" w:sz="4" w:space="0"/>
            </w:tcBorders>
            <w:textDirection w:val="btLr"/>
          </w:tcPr>
          <w:p w14:paraId="2D74D776">
            <w:pPr>
              <w:pStyle w:val="29"/>
              <w:spacing w:before="107" w:line="247" w:lineRule="auto"/>
              <w:ind w:left="223" w:firstLine="328"/>
              <w:rPr>
                <w:b/>
                <w:sz w:val="16"/>
              </w:rPr>
            </w:pPr>
            <w:r>
              <w:rPr>
                <w:b/>
                <w:spacing w:val="-6"/>
                <w:sz w:val="16"/>
              </w:rPr>
              <w:t>Ne</w:t>
            </w:r>
            <w:r>
              <w:rPr>
                <w:b/>
                <w:spacing w:val="40"/>
                <w:sz w:val="16"/>
              </w:rPr>
              <w:t xml:space="preserve"> </w:t>
            </w:r>
            <w:r>
              <w:rPr>
                <w:b/>
                <w:spacing w:val="-2"/>
                <w:sz w:val="16"/>
              </w:rPr>
              <w:t>Katılıyorum</w:t>
            </w:r>
          </w:p>
        </w:tc>
        <w:tc>
          <w:tcPr>
            <w:tcW w:w="450" w:type="dxa"/>
            <w:tcBorders>
              <w:top w:val="single" w:color="000000" w:sz="4" w:space="0"/>
              <w:bottom w:val="single" w:color="000000" w:sz="4" w:space="0"/>
            </w:tcBorders>
            <w:textDirection w:val="btLr"/>
          </w:tcPr>
          <w:p w14:paraId="27C2CEEF">
            <w:pPr>
              <w:pStyle w:val="29"/>
              <w:spacing w:before="109"/>
              <w:ind w:left="223"/>
              <w:rPr>
                <w:b/>
                <w:sz w:val="16"/>
              </w:rPr>
            </w:pPr>
            <w:r>
              <w:rPr>
                <w:b/>
                <w:spacing w:val="-2"/>
                <w:sz w:val="16"/>
              </w:rPr>
              <w:t>Katılıyorum</w:t>
            </w:r>
          </w:p>
        </w:tc>
        <w:tc>
          <w:tcPr>
            <w:tcW w:w="539" w:type="dxa"/>
            <w:tcBorders>
              <w:top w:val="single" w:color="000000" w:sz="4" w:space="0"/>
              <w:bottom w:val="single" w:color="000000" w:sz="4" w:space="0"/>
            </w:tcBorders>
            <w:textDirection w:val="btLr"/>
          </w:tcPr>
          <w:p w14:paraId="14DD462D">
            <w:pPr>
              <w:pStyle w:val="29"/>
              <w:spacing w:before="110" w:line="244" w:lineRule="auto"/>
              <w:ind w:left="223" w:firstLine="74"/>
              <w:rPr>
                <w:b/>
                <w:sz w:val="16"/>
              </w:rPr>
            </w:pPr>
            <w:r>
              <w:rPr>
                <w:b/>
                <w:spacing w:val="-2"/>
                <w:sz w:val="16"/>
              </w:rPr>
              <w:t>Tamamen</w:t>
            </w:r>
            <w:r>
              <w:rPr>
                <w:b/>
                <w:spacing w:val="40"/>
                <w:sz w:val="16"/>
              </w:rPr>
              <w:t xml:space="preserve"> </w:t>
            </w:r>
            <w:r>
              <w:rPr>
                <w:b/>
                <w:spacing w:val="-2"/>
                <w:sz w:val="16"/>
              </w:rPr>
              <w:t>Katılıyorum</w:t>
            </w:r>
          </w:p>
        </w:tc>
        <w:tc>
          <w:tcPr>
            <w:tcW w:w="450" w:type="dxa"/>
            <w:tcBorders>
              <w:top w:val="single" w:color="000000" w:sz="4" w:space="0"/>
              <w:bottom w:val="single" w:color="000000" w:sz="4" w:space="0"/>
            </w:tcBorders>
            <w:textDirection w:val="btLr"/>
          </w:tcPr>
          <w:p w14:paraId="156274DB">
            <w:pPr>
              <w:pStyle w:val="29"/>
              <w:spacing w:before="111"/>
              <w:ind w:left="311"/>
              <w:rPr>
                <w:b/>
                <w:sz w:val="16"/>
              </w:rPr>
            </w:pPr>
            <w:r>
              <w:rPr>
                <w:b/>
                <w:spacing w:val="-2"/>
                <w:sz w:val="16"/>
              </w:rPr>
              <w:t>Ortalama</w:t>
            </w:r>
          </w:p>
        </w:tc>
        <w:tc>
          <w:tcPr>
            <w:tcW w:w="495" w:type="dxa"/>
            <w:tcBorders>
              <w:top w:val="single" w:color="000000" w:sz="4" w:space="0"/>
              <w:bottom w:val="single" w:color="000000" w:sz="4" w:space="0"/>
            </w:tcBorders>
            <w:textDirection w:val="btLr"/>
          </w:tcPr>
          <w:p w14:paraId="4312C698">
            <w:pPr>
              <w:pStyle w:val="29"/>
              <w:spacing w:before="95" w:line="190" w:lineRule="atLeast"/>
              <w:ind w:left="410" w:hanging="68"/>
              <w:rPr>
                <w:b/>
                <w:sz w:val="16"/>
              </w:rPr>
            </w:pPr>
            <w:r>
              <w:rPr>
                <w:b/>
                <w:spacing w:val="-2"/>
                <w:sz w:val="16"/>
              </w:rPr>
              <w:t>Standart</w:t>
            </w:r>
            <w:r>
              <w:rPr>
                <w:b/>
                <w:spacing w:val="40"/>
                <w:sz w:val="16"/>
              </w:rPr>
              <w:t xml:space="preserve"> </w:t>
            </w:r>
            <w:r>
              <w:rPr>
                <w:b/>
                <w:spacing w:val="-2"/>
                <w:sz w:val="16"/>
              </w:rPr>
              <w:t>Sapma</w:t>
            </w:r>
          </w:p>
        </w:tc>
      </w:tr>
      <w:tr w14:paraId="426EA084">
        <w:tblPrEx>
          <w:tblCellMar>
            <w:top w:w="0" w:type="dxa"/>
            <w:left w:w="0" w:type="dxa"/>
            <w:bottom w:w="0" w:type="dxa"/>
            <w:right w:w="0" w:type="dxa"/>
          </w:tblCellMar>
        </w:tblPrEx>
        <w:trPr>
          <w:trHeight w:val="181" w:hRule="atLeast"/>
        </w:trPr>
        <w:tc>
          <w:tcPr>
            <w:tcW w:w="704" w:type="dxa"/>
            <w:tcBorders>
              <w:top w:val="single" w:color="000000" w:sz="4" w:space="0"/>
            </w:tcBorders>
          </w:tcPr>
          <w:p w14:paraId="58AAE48D">
            <w:pPr>
              <w:pStyle w:val="29"/>
              <w:spacing w:line="162" w:lineRule="exact"/>
              <w:ind w:left="115"/>
              <w:rPr>
                <w:sz w:val="16"/>
              </w:rPr>
            </w:pPr>
            <w:r>
              <w:rPr>
                <w:sz w:val="16"/>
              </w:rPr>
              <w:t>1</w:t>
            </w:r>
          </w:p>
        </w:tc>
        <w:tc>
          <w:tcPr>
            <w:tcW w:w="4614" w:type="dxa"/>
            <w:tcBorders>
              <w:top w:val="single" w:color="000000" w:sz="4" w:space="0"/>
            </w:tcBorders>
          </w:tcPr>
          <w:p w14:paraId="3D2CAA01">
            <w:pPr>
              <w:pStyle w:val="29"/>
              <w:spacing w:line="162" w:lineRule="exact"/>
              <w:ind w:left="107"/>
              <w:rPr>
                <w:sz w:val="16"/>
              </w:rPr>
            </w:pPr>
            <w:r>
              <w:rPr>
                <w:sz w:val="16"/>
              </w:rPr>
              <w:t>Sanal</w:t>
            </w:r>
            <w:r>
              <w:rPr>
                <w:spacing w:val="-8"/>
                <w:sz w:val="16"/>
              </w:rPr>
              <w:t xml:space="preserve"> </w:t>
            </w:r>
            <w:r>
              <w:rPr>
                <w:sz w:val="16"/>
              </w:rPr>
              <w:t>rekreasyon</w:t>
            </w:r>
            <w:r>
              <w:rPr>
                <w:spacing w:val="-7"/>
                <w:sz w:val="16"/>
              </w:rPr>
              <w:t xml:space="preserve"> </w:t>
            </w:r>
            <w:r>
              <w:rPr>
                <w:sz w:val="16"/>
              </w:rPr>
              <w:t>faaliyetleri,</w:t>
            </w:r>
            <w:r>
              <w:rPr>
                <w:spacing w:val="-6"/>
                <w:sz w:val="16"/>
              </w:rPr>
              <w:t xml:space="preserve"> </w:t>
            </w:r>
            <w:r>
              <w:rPr>
                <w:sz w:val="16"/>
              </w:rPr>
              <w:t>kendimi</w:t>
            </w:r>
            <w:r>
              <w:rPr>
                <w:spacing w:val="-8"/>
                <w:sz w:val="16"/>
              </w:rPr>
              <w:t xml:space="preserve"> </w:t>
            </w:r>
            <w:r>
              <w:rPr>
                <w:sz w:val="16"/>
              </w:rPr>
              <w:t>mutlu</w:t>
            </w:r>
            <w:r>
              <w:rPr>
                <w:spacing w:val="-8"/>
                <w:sz w:val="16"/>
              </w:rPr>
              <w:t xml:space="preserve"> </w:t>
            </w:r>
            <w:r>
              <w:rPr>
                <w:sz w:val="16"/>
              </w:rPr>
              <w:t>hissetmemi</w:t>
            </w:r>
            <w:r>
              <w:rPr>
                <w:spacing w:val="-8"/>
                <w:sz w:val="16"/>
              </w:rPr>
              <w:t xml:space="preserve"> </w:t>
            </w:r>
            <w:r>
              <w:rPr>
                <w:spacing w:val="-2"/>
                <w:sz w:val="16"/>
              </w:rPr>
              <w:t>sağlar.</w:t>
            </w:r>
          </w:p>
        </w:tc>
        <w:tc>
          <w:tcPr>
            <w:tcW w:w="541" w:type="dxa"/>
            <w:tcBorders>
              <w:top w:val="single" w:color="000000" w:sz="4" w:space="0"/>
            </w:tcBorders>
          </w:tcPr>
          <w:p w14:paraId="792DEBC9">
            <w:pPr>
              <w:pStyle w:val="29"/>
              <w:spacing w:line="162" w:lineRule="exact"/>
              <w:ind w:left="94" w:right="255"/>
              <w:jc w:val="center"/>
              <w:rPr>
                <w:sz w:val="16"/>
              </w:rPr>
            </w:pPr>
            <w:r>
              <w:rPr>
                <w:spacing w:val="-5"/>
                <w:sz w:val="16"/>
              </w:rPr>
              <w:t>14</w:t>
            </w:r>
          </w:p>
        </w:tc>
        <w:tc>
          <w:tcPr>
            <w:tcW w:w="449" w:type="dxa"/>
            <w:tcBorders>
              <w:top w:val="single" w:color="000000" w:sz="4" w:space="0"/>
            </w:tcBorders>
          </w:tcPr>
          <w:p w14:paraId="45CB8C29">
            <w:pPr>
              <w:pStyle w:val="29"/>
              <w:spacing w:line="162" w:lineRule="exact"/>
              <w:ind w:left="62"/>
              <w:rPr>
                <w:sz w:val="16"/>
              </w:rPr>
            </w:pPr>
            <w:r>
              <w:rPr>
                <w:spacing w:val="-4"/>
                <w:sz w:val="16"/>
              </w:rPr>
              <w:t>15.8</w:t>
            </w:r>
          </w:p>
        </w:tc>
        <w:tc>
          <w:tcPr>
            <w:tcW w:w="541" w:type="dxa"/>
            <w:tcBorders>
              <w:top w:val="single" w:color="000000" w:sz="4" w:space="0"/>
            </w:tcBorders>
          </w:tcPr>
          <w:p w14:paraId="0807286E">
            <w:pPr>
              <w:pStyle w:val="29"/>
              <w:spacing w:line="162" w:lineRule="exact"/>
              <w:ind w:left="95" w:right="136"/>
              <w:jc w:val="center"/>
              <w:rPr>
                <w:sz w:val="16"/>
              </w:rPr>
            </w:pPr>
            <w:r>
              <w:rPr>
                <w:spacing w:val="-4"/>
                <w:sz w:val="16"/>
              </w:rPr>
              <w:t>22.5</w:t>
            </w:r>
          </w:p>
        </w:tc>
        <w:tc>
          <w:tcPr>
            <w:tcW w:w="450" w:type="dxa"/>
            <w:tcBorders>
              <w:top w:val="single" w:color="000000" w:sz="4" w:space="0"/>
            </w:tcBorders>
          </w:tcPr>
          <w:p w14:paraId="121958D0">
            <w:pPr>
              <w:pStyle w:val="29"/>
              <w:spacing w:line="162" w:lineRule="exact"/>
              <w:ind w:left="64"/>
              <w:rPr>
                <w:sz w:val="16"/>
              </w:rPr>
            </w:pPr>
            <w:r>
              <w:rPr>
                <w:spacing w:val="-4"/>
                <w:sz w:val="16"/>
              </w:rPr>
              <w:t>28.7</w:t>
            </w:r>
          </w:p>
        </w:tc>
        <w:tc>
          <w:tcPr>
            <w:tcW w:w="539" w:type="dxa"/>
            <w:tcBorders>
              <w:top w:val="single" w:color="000000" w:sz="4" w:space="0"/>
            </w:tcBorders>
          </w:tcPr>
          <w:p w14:paraId="659D5285">
            <w:pPr>
              <w:pStyle w:val="29"/>
              <w:spacing w:line="162" w:lineRule="exact"/>
              <w:ind w:left="99" w:right="250"/>
              <w:jc w:val="center"/>
              <w:rPr>
                <w:sz w:val="16"/>
              </w:rPr>
            </w:pPr>
            <w:r>
              <w:rPr>
                <w:spacing w:val="-5"/>
                <w:sz w:val="16"/>
              </w:rPr>
              <w:t>19</w:t>
            </w:r>
          </w:p>
        </w:tc>
        <w:tc>
          <w:tcPr>
            <w:tcW w:w="450" w:type="dxa"/>
            <w:tcBorders>
              <w:top w:val="single" w:color="000000" w:sz="4" w:space="0"/>
            </w:tcBorders>
          </w:tcPr>
          <w:p w14:paraId="6D6D491F">
            <w:pPr>
              <w:pStyle w:val="29"/>
              <w:spacing w:line="162" w:lineRule="exact"/>
              <w:ind w:left="56" w:right="90"/>
              <w:jc w:val="center"/>
              <w:rPr>
                <w:sz w:val="16"/>
              </w:rPr>
            </w:pPr>
            <w:r>
              <w:rPr>
                <w:spacing w:val="-4"/>
                <w:sz w:val="16"/>
              </w:rPr>
              <w:t>3.22</w:t>
            </w:r>
          </w:p>
        </w:tc>
        <w:tc>
          <w:tcPr>
            <w:tcW w:w="495" w:type="dxa"/>
            <w:tcBorders>
              <w:top w:val="single" w:color="000000" w:sz="4" w:space="0"/>
            </w:tcBorders>
          </w:tcPr>
          <w:p w14:paraId="02DD190E">
            <w:pPr>
              <w:pStyle w:val="29"/>
              <w:spacing w:line="162" w:lineRule="exact"/>
              <w:ind w:left="102" w:right="89"/>
              <w:jc w:val="center"/>
              <w:rPr>
                <w:sz w:val="16"/>
              </w:rPr>
            </w:pPr>
            <w:r>
              <w:rPr>
                <w:spacing w:val="-4"/>
                <w:sz w:val="16"/>
              </w:rPr>
              <w:t>1.31</w:t>
            </w:r>
          </w:p>
        </w:tc>
      </w:tr>
      <w:tr w14:paraId="072A35FC">
        <w:tblPrEx>
          <w:tblCellMar>
            <w:top w:w="0" w:type="dxa"/>
            <w:left w:w="0" w:type="dxa"/>
            <w:bottom w:w="0" w:type="dxa"/>
            <w:right w:w="0" w:type="dxa"/>
          </w:tblCellMar>
        </w:tblPrEx>
        <w:trPr>
          <w:trHeight w:val="184" w:hRule="atLeast"/>
        </w:trPr>
        <w:tc>
          <w:tcPr>
            <w:tcW w:w="704" w:type="dxa"/>
          </w:tcPr>
          <w:p w14:paraId="6135912D">
            <w:pPr>
              <w:pStyle w:val="29"/>
              <w:spacing w:line="165" w:lineRule="exact"/>
              <w:ind w:left="115"/>
              <w:rPr>
                <w:sz w:val="16"/>
              </w:rPr>
            </w:pPr>
            <w:r>
              <w:rPr>
                <w:sz w:val="16"/>
              </w:rPr>
              <w:t>2</w:t>
            </w:r>
          </w:p>
        </w:tc>
        <w:tc>
          <w:tcPr>
            <w:tcW w:w="4614" w:type="dxa"/>
          </w:tcPr>
          <w:p w14:paraId="4A425673">
            <w:pPr>
              <w:pStyle w:val="29"/>
              <w:spacing w:line="165" w:lineRule="exact"/>
              <w:ind w:left="107"/>
              <w:rPr>
                <w:sz w:val="16"/>
              </w:rPr>
            </w:pPr>
            <w:r>
              <w:rPr>
                <w:sz w:val="16"/>
              </w:rPr>
              <w:t>Sanal</w:t>
            </w:r>
            <w:r>
              <w:rPr>
                <w:spacing w:val="-7"/>
                <w:sz w:val="16"/>
              </w:rPr>
              <w:t xml:space="preserve"> </w:t>
            </w:r>
            <w:r>
              <w:rPr>
                <w:sz w:val="16"/>
              </w:rPr>
              <w:t>rekreasyon</w:t>
            </w:r>
            <w:r>
              <w:rPr>
                <w:spacing w:val="-5"/>
                <w:sz w:val="16"/>
              </w:rPr>
              <w:t xml:space="preserve"> </w:t>
            </w:r>
            <w:r>
              <w:rPr>
                <w:sz w:val="16"/>
              </w:rPr>
              <w:t>faaliyetleri,</w:t>
            </w:r>
            <w:r>
              <w:rPr>
                <w:spacing w:val="-5"/>
                <w:sz w:val="16"/>
              </w:rPr>
              <w:t xml:space="preserve"> </w:t>
            </w:r>
            <w:r>
              <w:rPr>
                <w:sz w:val="16"/>
              </w:rPr>
              <w:t>iş</w:t>
            </w:r>
            <w:r>
              <w:rPr>
                <w:spacing w:val="-7"/>
                <w:sz w:val="16"/>
              </w:rPr>
              <w:t xml:space="preserve"> </w:t>
            </w:r>
            <w:r>
              <w:rPr>
                <w:sz w:val="16"/>
              </w:rPr>
              <w:t>birliği</w:t>
            </w:r>
            <w:r>
              <w:rPr>
                <w:spacing w:val="-7"/>
                <w:sz w:val="16"/>
              </w:rPr>
              <w:t xml:space="preserve"> </w:t>
            </w:r>
            <w:r>
              <w:rPr>
                <w:sz w:val="16"/>
              </w:rPr>
              <w:t>becerimi</w:t>
            </w:r>
            <w:r>
              <w:rPr>
                <w:spacing w:val="-2"/>
                <w:sz w:val="16"/>
              </w:rPr>
              <w:t xml:space="preserve"> geliştirir.</w:t>
            </w:r>
          </w:p>
        </w:tc>
        <w:tc>
          <w:tcPr>
            <w:tcW w:w="541" w:type="dxa"/>
          </w:tcPr>
          <w:p w14:paraId="6E15B536">
            <w:pPr>
              <w:pStyle w:val="29"/>
              <w:spacing w:line="165" w:lineRule="exact"/>
              <w:ind w:left="95" w:right="138"/>
              <w:jc w:val="center"/>
              <w:rPr>
                <w:sz w:val="16"/>
              </w:rPr>
            </w:pPr>
            <w:r>
              <w:rPr>
                <w:spacing w:val="-4"/>
                <w:sz w:val="16"/>
              </w:rPr>
              <w:t>16.5</w:t>
            </w:r>
          </w:p>
        </w:tc>
        <w:tc>
          <w:tcPr>
            <w:tcW w:w="449" w:type="dxa"/>
          </w:tcPr>
          <w:p w14:paraId="09B4608E">
            <w:pPr>
              <w:pStyle w:val="29"/>
              <w:spacing w:line="165" w:lineRule="exact"/>
              <w:ind w:left="62"/>
              <w:rPr>
                <w:sz w:val="16"/>
              </w:rPr>
            </w:pPr>
            <w:r>
              <w:rPr>
                <w:spacing w:val="-4"/>
                <w:sz w:val="16"/>
              </w:rPr>
              <w:t>18.6</w:t>
            </w:r>
          </w:p>
        </w:tc>
        <w:tc>
          <w:tcPr>
            <w:tcW w:w="541" w:type="dxa"/>
          </w:tcPr>
          <w:p w14:paraId="42C33A0B">
            <w:pPr>
              <w:pStyle w:val="29"/>
              <w:spacing w:line="165" w:lineRule="exact"/>
              <w:ind w:left="95" w:right="136"/>
              <w:jc w:val="center"/>
              <w:rPr>
                <w:sz w:val="16"/>
              </w:rPr>
            </w:pPr>
            <w:r>
              <w:rPr>
                <w:spacing w:val="-4"/>
                <w:sz w:val="16"/>
              </w:rPr>
              <w:t>20.9</w:t>
            </w:r>
          </w:p>
        </w:tc>
        <w:tc>
          <w:tcPr>
            <w:tcW w:w="450" w:type="dxa"/>
          </w:tcPr>
          <w:p w14:paraId="562B1D8E">
            <w:pPr>
              <w:pStyle w:val="29"/>
              <w:spacing w:line="165" w:lineRule="exact"/>
              <w:ind w:left="64"/>
              <w:rPr>
                <w:sz w:val="16"/>
              </w:rPr>
            </w:pPr>
            <w:r>
              <w:rPr>
                <w:spacing w:val="-5"/>
                <w:sz w:val="16"/>
              </w:rPr>
              <w:t>29</w:t>
            </w:r>
          </w:p>
        </w:tc>
        <w:tc>
          <w:tcPr>
            <w:tcW w:w="539" w:type="dxa"/>
          </w:tcPr>
          <w:p w14:paraId="0541345E">
            <w:pPr>
              <w:pStyle w:val="29"/>
              <w:spacing w:line="165" w:lineRule="exact"/>
              <w:ind w:left="99" w:right="250"/>
              <w:jc w:val="center"/>
              <w:rPr>
                <w:sz w:val="16"/>
              </w:rPr>
            </w:pPr>
            <w:r>
              <w:rPr>
                <w:spacing w:val="-5"/>
                <w:sz w:val="16"/>
              </w:rPr>
              <w:t>15</w:t>
            </w:r>
          </w:p>
        </w:tc>
        <w:tc>
          <w:tcPr>
            <w:tcW w:w="450" w:type="dxa"/>
          </w:tcPr>
          <w:p w14:paraId="244975B1">
            <w:pPr>
              <w:pStyle w:val="29"/>
              <w:spacing w:line="165" w:lineRule="exact"/>
              <w:ind w:left="56" w:right="90"/>
              <w:jc w:val="center"/>
              <w:rPr>
                <w:sz w:val="16"/>
              </w:rPr>
            </w:pPr>
            <w:r>
              <w:rPr>
                <w:spacing w:val="-4"/>
                <w:sz w:val="16"/>
              </w:rPr>
              <w:t>3.07</w:t>
            </w:r>
          </w:p>
        </w:tc>
        <w:tc>
          <w:tcPr>
            <w:tcW w:w="495" w:type="dxa"/>
          </w:tcPr>
          <w:p w14:paraId="4276E4A2">
            <w:pPr>
              <w:pStyle w:val="29"/>
              <w:spacing w:line="165" w:lineRule="exact"/>
              <w:ind w:left="102" w:right="89"/>
              <w:jc w:val="center"/>
              <w:rPr>
                <w:sz w:val="16"/>
              </w:rPr>
            </w:pPr>
            <w:r>
              <w:rPr>
                <w:spacing w:val="-4"/>
                <w:sz w:val="16"/>
              </w:rPr>
              <w:t>1.31</w:t>
            </w:r>
          </w:p>
        </w:tc>
      </w:tr>
      <w:tr w14:paraId="2E7F53CC">
        <w:tblPrEx>
          <w:tblCellMar>
            <w:top w:w="0" w:type="dxa"/>
            <w:left w:w="0" w:type="dxa"/>
            <w:bottom w:w="0" w:type="dxa"/>
            <w:right w:w="0" w:type="dxa"/>
          </w:tblCellMar>
        </w:tblPrEx>
        <w:trPr>
          <w:trHeight w:val="367" w:hRule="atLeast"/>
        </w:trPr>
        <w:tc>
          <w:tcPr>
            <w:tcW w:w="704" w:type="dxa"/>
          </w:tcPr>
          <w:p w14:paraId="4C7E689F">
            <w:pPr>
              <w:pStyle w:val="29"/>
              <w:spacing w:line="181" w:lineRule="exact"/>
              <w:ind w:left="115"/>
              <w:rPr>
                <w:sz w:val="16"/>
              </w:rPr>
            </w:pPr>
            <w:r>
              <w:rPr>
                <w:sz w:val="16"/>
              </w:rPr>
              <w:t>3</w:t>
            </w:r>
          </w:p>
        </w:tc>
        <w:tc>
          <w:tcPr>
            <w:tcW w:w="4614" w:type="dxa"/>
          </w:tcPr>
          <w:p w14:paraId="37BD7D42">
            <w:pPr>
              <w:pStyle w:val="29"/>
              <w:spacing w:line="182" w:lineRule="exact"/>
              <w:ind w:left="107"/>
              <w:rPr>
                <w:sz w:val="16"/>
              </w:rPr>
            </w:pPr>
            <w:r>
              <w:rPr>
                <w:sz w:val="16"/>
              </w:rPr>
              <w:t>Sanal</w:t>
            </w:r>
            <w:r>
              <w:rPr>
                <w:spacing w:val="40"/>
                <w:sz w:val="16"/>
              </w:rPr>
              <w:t xml:space="preserve"> </w:t>
            </w:r>
            <w:r>
              <w:rPr>
                <w:sz w:val="16"/>
              </w:rPr>
              <w:t>rekreasyon</w:t>
            </w:r>
            <w:r>
              <w:rPr>
                <w:spacing w:val="40"/>
                <w:sz w:val="16"/>
              </w:rPr>
              <w:t xml:space="preserve"> </w:t>
            </w:r>
            <w:r>
              <w:rPr>
                <w:sz w:val="16"/>
              </w:rPr>
              <w:t>faaliyetleri,</w:t>
            </w:r>
            <w:r>
              <w:rPr>
                <w:spacing w:val="40"/>
                <w:sz w:val="16"/>
              </w:rPr>
              <w:t xml:space="preserve"> </w:t>
            </w:r>
            <w:r>
              <w:rPr>
                <w:sz w:val="16"/>
              </w:rPr>
              <w:t>başkalarının</w:t>
            </w:r>
            <w:r>
              <w:rPr>
                <w:spacing w:val="40"/>
                <w:sz w:val="16"/>
              </w:rPr>
              <w:t xml:space="preserve"> </w:t>
            </w:r>
            <w:r>
              <w:rPr>
                <w:sz w:val="16"/>
              </w:rPr>
              <w:t>güvenini</w:t>
            </w:r>
            <w:r>
              <w:rPr>
                <w:spacing w:val="40"/>
                <w:sz w:val="16"/>
              </w:rPr>
              <w:t xml:space="preserve"> </w:t>
            </w:r>
            <w:r>
              <w:rPr>
                <w:sz w:val="16"/>
              </w:rPr>
              <w:t>kazanmama</w:t>
            </w:r>
            <w:r>
              <w:rPr>
                <w:spacing w:val="40"/>
                <w:sz w:val="16"/>
              </w:rPr>
              <w:t xml:space="preserve"> </w:t>
            </w:r>
            <w:r>
              <w:rPr>
                <w:sz w:val="16"/>
              </w:rPr>
              <w:t>yardımcı olur.</w:t>
            </w:r>
          </w:p>
        </w:tc>
        <w:tc>
          <w:tcPr>
            <w:tcW w:w="541" w:type="dxa"/>
          </w:tcPr>
          <w:p w14:paraId="34FEC710">
            <w:pPr>
              <w:pStyle w:val="29"/>
              <w:spacing w:line="181" w:lineRule="exact"/>
              <w:ind w:left="95" w:right="138"/>
              <w:jc w:val="center"/>
              <w:rPr>
                <w:sz w:val="16"/>
              </w:rPr>
            </w:pPr>
            <w:r>
              <w:rPr>
                <w:spacing w:val="-4"/>
                <w:sz w:val="16"/>
              </w:rPr>
              <w:t>13.7</w:t>
            </w:r>
          </w:p>
        </w:tc>
        <w:tc>
          <w:tcPr>
            <w:tcW w:w="449" w:type="dxa"/>
          </w:tcPr>
          <w:p w14:paraId="294CF03B">
            <w:pPr>
              <w:pStyle w:val="29"/>
              <w:spacing w:line="181" w:lineRule="exact"/>
              <w:ind w:left="62"/>
              <w:rPr>
                <w:sz w:val="16"/>
              </w:rPr>
            </w:pPr>
            <w:r>
              <w:rPr>
                <w:spacing w:val="-4"/>
                <w:sz w:val="16"/>
              </w:rPr>
              <w:t>23.7</w:t>
            </w:r>
          </w:p>
        </w:tc>
        <w:tc>
          <w:tcPr>
            <w:tcW w:w="541" w:type="dxa"/>
          </w:tcPr>
          <w:p w14:paraId="7AF1F2C3">
            <w:pPr>
              <w:pStyle w:val="29"/>
              <w:spacing w:line="181" w:lineRule="exact"/>
              <w:ind w:left="95" w:right="136"/>
              <w:jc w:val="center"/>
              <w:rPr>
                <w:sz w:val="16"/>
              </w:rPr>
            </w:pPr>
            <w:r>
              <w:rPr>
                <w:spacing w:val="-4"/>
                <w:sz w:val="16"/>
              </w:rPr>
              <w:t>22.6</w:t>
            </w:r>
          </w:p>
        </w:tc>
        <w:tc>
          <w:tcPr>
            <w:tcW w:w="450" w:type="dxa"/>
          </w:tcPr>
          <w:p w14:paraId="38E19A71">
            <w:pPr>
              <w:pStyle w:val="29"/>
              <w:spacing w:line="181" w:lineRule="exact"/>
              <w:ind w:left="64"/>
              <w:rPr>
                <w:sz w:val="16"/>
              </w:rPr>
            </w:pPr>
            <w:r>
              <w:rPr>
                <w:spacing w:val="-4"/>
                <w:sz w:val="16"/>
              </w:rPr>
              <w:t>24.2</w:t>
            </w:r>
          </w:p>
        </w:tc>
        <w:tc>
          <w:tcPr>
            <w:tcW w:w="539" w:type="dxa"/>
          </w:tcPr>
          <w:p w14:paraId="61421D18">
            <w:pPr>
              <w:pStyle w:val="29"/>
              <w:spacing w:line="181" w:lineRule="exact"/>
              <w:ind w:left="99" w:right="131"/>
              <w:jc w:val="center"/>
              <w:rPr>
                <w:sz w:val="16"/>
              </w:rPr>
            </w:pPr>
            <w:r>
              <w:rPr>
                <w:spacing w:val="-4"/>
                <w:sz w:val="16"/>
              </w:rPr>
              <w:t>15.8</w:t>
            </w:r>
          </w:p>
        </w:tc>
        <w:tc>
          <w:tcPr>
            <w:tcW w:w="450" w:type="dxa"/>
          </w:tcPr>
          <w:p w14:paraId="63A85B74">
            <w:pPr>
              <w:pStyle w:val="29"/>
              <w:spacing w:line="181" w:lineRule="exact"/>
              <w:ind w:left="56" w:right="90"/>
              <w:jc w:val="center"/>
              <w:rPr>
                <w:sz w:val="16"/>
              </w:rPr>
            </w:pPr>
            <w:r>
              <w:rPr>
                <w:spacing w:val="-4"/>
                <w:sz w:val="16"/>
              </w:rPr>
              <w:t>3.04</w:t>
            </w:r>
          </w:p>
        </w:tc>
        <w:tc>
          <w:tcPr>
            <w:tcW w:w="495" w:type="dxa"/>
          </w:tcPr>
          <w:p w14:paraId="791C19D3">
            <w:pPr>
              <w:pStyle w:val="29"/>
              <w:spacing w:line="181" w:lineRule="exact"/>
              <w:ind w:left="102" w:right="89"/>
              <w:jc w:val="center"/>
              <w:rPr>
                <w:sz w:val="16"/>
              </w:rPr>
            </w:pPr>
            <w:r>
              <w:rPr>
                <w:spacing w:val="-4"/>
                <w:sz w:val="16"/>
              </w:rPr>
              <w:t>1.28</w:t>
            </w:r>
          </w:p>
        </w:tc>
      </w:tr>
      <w:tr w14:paraId="331769C2">
        <w:tblPrEx>
          <w:tblCellMar>
            <w:top w:w="0" w:type="dxa"/>
            <w:left w:w="0" w:type="dxa"/>
            <w:bottom w:w="0" w:type="dxa"/>
            <w:right w:w="0" w:type="dxa"/>
          </w:tblCellMar>
        </w:tblPrEx>
        <w:trPr>
          <w:trHeight w:val="184" w:hRule="atLeast"/>
        </w:trPr>
        <w:tc>
          <w:tcPr>
            <w:tcW w:w="704" w:type="dxa"/>
          </w:tcPr>
          <w:p w14:paraId="0FCEBB7F">
            <w:pPr>
              <w:pStyle w:val="29"/>
              <w:spacing w:line="165" w:lineRule="exact"/>
              <w:ind w:left="115"/>
              <w:rPr>
                <w:sz w:val="16"/>
              </w:rPr>
            </w:pPr>
            <w:r>
              <w:rPr>
                <w:sz w:val="16"/>
              </w:rPr>
              <w:t>4</w:t>
            </w:r>
          </w:p>
        </w:tc>
        <w:tc>
          <w:tcPr>
            <w:tcW w:w="4614" w:type="dxa"/>
          </w:tcPr>
          <w:p w14:paraId="7B1C8742">
            <w:pPr>
              <w:pStyle w:val="29"/>
              <w:spacing w:line="165" w:lineRule="exact"/>
              <w:ind w:left="107"/>
              <w:rPr>
                <w:sz w:val="16"/>
              </w:rPr>
            </w:pPr>
            <w:r>
              <w:rPr>
                <w:spacing w:val="-2"/>
                <w:sz w:val="16"/>
              </w:rPr>
              <w:t>Sanal</w:t>
            </w:r>
            <w:r>
              <w:rPr>
                <w:spacing w:val="1"/>
                <w:sz w:val="16"/>
              </w:rPr>
              <w:t xml:space="preserve"> </w:t>
            </w:r>
            <w:r>
              <w:rPr>
                <w:spacing w:val="-2"/>
                <w:sz w:val="16"/>
              </w:rPr>
              <w:t>rekreasyon</w:t>
            </w:r>
            <w:r>
              <w:rPr>
                <w:spacing w:val="3"/>
                <w:sz w:val="16"/>
              </w:rPr>
              <w:t xml:space="preserve"> </w:t>
            </w:r>
            <w:r>
              <w:rPr>
                <w:spacing w:val="-2"/>
                <w:sz w:val="16"/>
              </w:rPr>
              <w:t>faaliyetleri,</w:t>
            </w:r>
            <w:r>
              <w:rPr>
                <w:spacing w:val="4"/>
                <w:sz w:val="16"/>
              </w:rPr>
              <w:t xml:space="preserve"> </w:t>
            </w:r>
            <w:r>
              <w:rPr>
                <w:spacing w:val="-2"/>
                <w:sz w:val="16"/>
              </w:rPr>
              <w:t>diğer</w:t>
            </w:r>
            <w:r>
              <w:rPr>
                <w:spacing w:val="1"/>
                <w:sz w:val="16"/>
              </w:rPr>
              <w:t xml:space="preserve"> </w:t>
            </w:r>
            <w:r>
              <w:rPr>
                <w:spacing w:val="-2"/>
                <w:sz w:val="16"/>
              </w:rPr>
              <w:t>insanlardan</w:t>
            </w:r>
            <w:r>
              <w:rPr>
                <w:spacing w:val="2"/>
                <w:sz w:val="16"/>
              </w:rPr>
              <w:t xml:space="preserve"> </w:t>
            </w:r>
            <w:r>
              <w:rPr>
                <w:spacing w:val="-2"/>
                <w:sz w:val="16"/>
              </w:rPr>
              <w:t>destek</w:t>
            </w:r>
            <w:r>
              <w:rPr>
                <w:spacing w:val="1"/>
                <w:sz w:val="16"/>
              </w:rPr>
              <w:t xml:space="preserve"> </w:t>
            </w:r>
            <w:r>
              <w:rPr>
                <w:spacing w:val="-2"/>
                <w:sz w:val="16"/>
              </w:rPr>
              <w:t>almamı</w:t>
            </w:r>
            <w:r>
              <w:rPr>
                <w:spacing w:val="4"/>
                <w:sz w:val="16"/>
              </w:rPr>
              <w:t xml:space="preserve"> </w:t>
            </w:r>
            <w:r>
              <w:rPr>
                <w:spacing w:val="-2"/>
                <w:sz w:val="16"/>
              </w:rPr>
              <w:t>sağlar.</w:t>
            </w:r>
          </w:p>
        </w:tc>
        <w:tc>
          <w:tcPr>
            <w:tcW w:w="541" w:type="dxa"/>
          </w:tcPr>
          <w:p w14:paraId="2F26E873">
            <w:pPr>
              <w:pStyle w:val="29"/>
              <w:spacing w:line="165" w:lineRule="exact"/>
              <w:ind w:left="95" w:right="138"/>
              <w:jc w:val="center"/>
              <w:rPr>
                <w:sz w:val="16"/>
              </w:rPr>
            </w:pPr>
            <w:r>
              <w:rPr>
                <w:spacing w:val="-4"/>
                <w:sz w:val="16"/>
              </w:rPr>
              <w:t>15.1</w:t>
            </w:r>
          </w:p>
        </w:tc>
        <w:tc>
          <w:tcPr>
            <w:tcW w:w="449" w:type="dxa"/>
          </w:tcPr>
          <w:p w14:paraId="0888023B">
            <w:pPr>
              <w:pStyle w:val="29"/>
              <w:spacing w:line="165" w:lineRule="exact"/>
              <w:ind w:left="62"/>
              <w:rPr>
                <w:sz w:val="16"/>
              </w:rPr>
            </w:pPr>
            <w:r>
              <w:rPr>
                <w:spacing w:val="-5"/>
                <w:sz w:val="16"/>
              </w:rPr>
              <w:t>19</w:t>
            </w:r>
          </w:p>
        </w:tc>
        <w:tc>
          <w:tcPr>
            <w:tcW w:w="541" w:type="dxa"/>
          </w:tcPr>
          <w:p w14:paraId="2F7872A7">
            <w:pPr>
              <w:pStyle w:val="29"/>
              <w:spacing w:line="165" w:lineRule="exact"/>
              <w:ind w:left="95" w:right="254"/>
              <w:jc w:val="center"/>
              <w:rPr>
                <w:sz w:val="16"/>
              </w:rPr>
            </w:pPr>
            <w:r>
              <w:rPr>
                <w:spacing w:val="-5"/>
                <w:sz w:val="16"/>
              </w:rPr>
              <w:t>20</w:t>
            </w:r>
          </w:p>
        </w:tc>
        <w:tc>
          <w:tcPr>
            <w:tcW w:w="450" w:type="dxa"/>
          </w:tcPr>
          <w:p w14:paraId="3C6BA14C">
            <w:pPr>
              <w:pStyle w:val="29"/>
              <w:spacing w:line="165" w:lineRule="exact"/>
              <w:ind w:left="64"/>
              <w:rPr>
                <w:sz w:val="16"/>
              </w:rPr>
            </w:pPr>
            <w:r>
              <w:rPr>
                <w:spacing w:val="-4"/>
                <w:sz w:val="16"/>
              </w:rPr>
              <w:t>30.1</w:t>
            </w:r>
          </w:p>
        </w:tc>
        <w:tc>
          <w:tcPr>
            <w:tcW w:w="539" w:type="dxa"/>
          </w:tcPr>
          <w:p w14:paraId="7935B3C0">
            <w:pPr>
              <w:pStyle w:val="29"/>
              <w:spacing w:line="165" w:lineRule="exact"/>
              <w:ind w:left="99" w:right="131"/>
              <w:jc w:val="center"/>
              <w:rPr>
                <w:sz w:val="16"/>
              </w:rPr>
            </w:pPr>
            <w:r>
              <w:rPr>
                <w:spacing w:val="-4"/>
                <w:sz w:val="16"/>
              </w:rPr>
              <w:t>15.8</w:t>
            </w:r>
          </w:p>
        </w:tc>
        <w:tc>
          <w:tcPr>
            <w:tcW w:w="450" w:type="dxa"/>
          </w:tcPr>
          <w:p w14:paraId="07A2D429">
            <w:pPr>
              <w:pStyle w:val="29"/>
              <w:spacing w:line="165" w:lineRule="exact"/>
              <w:ind w:left="56" w:right="90"/>
              <w:jc w:val="center"/>
              <w:rPr>
                <w:sz w:val="16"/>
              </w:rPr>
            </w:pPr>
            <w:r>
              <w:rPr>
                <w:spacing w:val="-4"/>
                <w:sz w:val="16"/>
              </w:rPr>
              <w:t>3.12</w:t>
            </w:r>
          </w:p>
        </w:tc>
        <w:tc>
          <w:tcPr>
            <w:tcW w:w="495" w:type="dxa"/>
          </w:tcPr>
          <w:p w14:paraId="3EE4B2FC">
            <w:pPr>
              <w:pStyle w:val="29"/>
              <w:spacing w:line="165" w:lineRule="exact"/>
              <w:ind w:left="102" w:right="89"/>
              <w:jc w:val="center"/>
              <w:rPr>
                <w:sz w:val="16"/>
              </w:rPr>
            </w:pPr>
            <w:r>
              <w:rPr>
                <w:spacing w:val="-4"/>
                <w:sz w:val="16"/>
              </w:rPr>
              <w:t>1.30</w:t>
            </w:r>
          </w:p>
        </w:tc>
      </w:tr>
      <w:tr w14:paraId="42671126">
        <w:tblPrEx>
          <w:tblCellMar>
            <w:top w:w="0" w:type="dxa"/>
            <w:left w:w="0" w:type="dxa"/>
            <w:bottom w:w="0" w:type="dxa"/>
            <w:right w:w="0" w:type="dxa"/>
          </w:tblCellMar>
        </w:tblPrEx>
        <w:trPr>
          <w:trHeight w:val="367" w:hRule="atLeast"/>
        </w:trPr>
        <w:tc>
          <w:tcPr>
            <w:tcW w:w="704" w:type="dxa"/>
          </w:tcPr>
          <w:p w14:paraId="716DBF6F">
            <w:pPr>
              <w:pStyle w:val="29"/>
              <w:spacing w:line="181" w:lineRule="exact"/>
              <w:ind w:left="115"/>
              <w:rPr>
                <w:sz w:val="16"/>
              </w:rPr>
            </w:pPr>
            <w:r>
              <w:rPr>
                <w:sz w:val="16"/>
              </w:rPr>
              <w:t>5</w:t>
            </w:r>
          </w:p>
        </w:tc>
        <w:tc>
          <w:tcPr>
            <w:tcW w:w="4614" w:type="dxa"/>
          </w:tcPr>
          <w:p w14:paraId="54EFBBA5">
            <w:pPr>
              <w:pStyle w:val="29"/>
              <w:spacing w:line="182" w:lineRule="exact"/>
              <w:ind w:left="107"/>
              <w:rPr>
                <w:sz w:val="16"/>
              </w:rPr>
            </w:pPr>
            <w:r>
              <w:rPr>
                <w:sz w:val="16"/>
              </w:rPr>
              <w:t>Sanal</w:t>
            </w:r>
            <w:r>
              <w:rPr>
                <w:spacing w:val="80"/>
                <w:sz w:val="16"/>
              </w:rPr>
              <w:t xml:space="preserve"> </w:t>
            </w:r>
            <w:r>
              <w:rPr>
                <w:sz w:val="16"/>
              </w:rPr>
              <w:t>rekreasyon</w:t>
            </w:r>
            <w:r>
              <w:rPr>
                <w:spacing w:val="80"/>
                <w:sz w:val="16"/>
              </w:rPr>
              <w:t xml:space="preserve"> </w:t>
            </w:r>
            <w:r>
              <w:rPr>
                <w:sz w:val="16"/>
              </w:rPr>
              <w:t>faaliyetleri,</w:t>
            </w:r>
            <w:r>
              <w:rPr>
                <w:spacing w:val="80"/>
                <w:sz w:val="16"/>
              </w:rPr>
              <w:t xml:space="preserve"> </w:t>
            </w:r>
            <w:r>
              <w:rPr>
                <w:sz w:val="16"/>
              </w:rPr>
              <w:t>günlük</w:t>
            </w:r>
            <w:r>
              <w:rPr>
                <w:spacing w:val="80"/>
                <w:sz w:val="16"/>
              </w:rPr>
              <w:t xml:space="preserve"> </w:t>
            </w:r>
            <w:r>
              <w:rPr>
                <w:sz w:val="16"/>
              </w:rPr>
              <w:t>yaşamın</w:t>
            </w:r>
            <w:r>
              <w:rPr>
                <w:spacing w:val="80"/>
                <w:sz w:val="16"/>
              </w:rPr>
              <w:t xml:space="preserve"> </w:t>
            </w:r>
            <w:r>
              <w:rPr>
                <w:sz w:val="16"/>
              </w:rPr>
              <w:t>sıkıcılığından</w:t>
            </w:r>
            <w:r>
              <w:rPr>
                <w:spacing w:val="40"/>
                <w:sz w:val="16"/>
              </w:rPr>
              <w:t xml:space="preserve"> </w:t>
            </w:r>
            <w:r>
              <w:rPr>
                <w:sz w:val="16"/>
              </w:rPr>
              <w:t>kurtulmamı sağlar.</w:t>
            </w:r>
          </w:p>
        </w:tc>
        <w:tc>
          <w:tcPr>
            <w:tcW w:w="541" w:type="dxa"/>
          </w:tcPr>
          <w:p w14:paraId="62984F75">
            <w:pPr>
              <w:pStyle w:val="29"/>
              <w:spacing w:line="181" w:lineRule="exact"/>
              <w:ind w:left="95" w:right="138"/>
              <w:jc w:val="center"/>
              <w:rPr>
                <w:sz w:val="16"/>
              </w:rPr>
            </w:pPr>
            <w:r>
              <w:rPr>
                <w:spacing w:val="-4"/>
                <w:sz w:val="16"/>
              </w:rPr>
              <w:t>15.1</w:t>
            </w:r>
          </w:p>
        </w:tc>
        <w:tc>
          <w:tcPr>
            <w:tcW w:w="449" w:type="dxa"/>
          </w:tcPr>
          <w:p w14:paraId="7CFB33FF">
            <w:pPr>
              <w:pStyle w:val="29"/>
              <w:spacing w:line="181" w:lineRule="exact"/>
              <w:ind w:left="62"/>
              <w:rPr>
                <w:sz w:val="16"/>
              </w:rPr>
            </w:pPr>
            <w:r>
              <w:rPr>
                <w:spacing w:val="-4"/>
                <w:sz w:val="16"/>
              </w:rPr>
              <w:t>16.1</w:t>
            </w:r>
          </w:p>
        </w:tc>
        <w:tc>
          <w:tcPr>
            <w:tcW w:w="541" w:type="dxa"/>
          </w:tcPr>
          <w:p w14:paraId="065B3273">
            <w:pPr>
              <w:pStyle w:val="29"/>
              <w:spacing w:line="181" w:lineRule="exact"/>
              <w:ind w:left="95" w:right="136"/>
              <w:jc w:val="center"/>
              <w:rPr>
                <w:sz w:val="16"/>
              </w:rPr>
            </w:pPr>
            <w:r>
              <w:rPr>
                <w:spacing w:val="-4"/>
                <w:sz w:val="16"/>
              </w:rPr>
              <w:t>18.4</w:t>
            </w:r>
          </w:p>
        </w:tc>
        <w:tc>
          <w:tcPr>
            <w:tcW w:w="450" w:type="dxa"/>
          </w:tcPr>
          <w:p w14:paraId="0D688770">
            <w:pPr>
              <w:pStyle w:val="29"/>
              <w:spacing w:line="181" w:lineRule="exact"/>
              <w:ind w:left="64"/>
              <w:rPr>
                <w:sz w:val="16"/>
              </w:rPr>
            </w:pPr>
            <w:r>
              <w:rPr>
                <w:spacing w:val="-4"/>
                <w:sz w:val="16"/>
              </w:rPr>
              <w:t>32.3</w:t>
            </w:r>
          </w:p>
        </w:tc>
        <w:tc>
          <w:tcPr>
            <w:tcW w:w="539" w:type="dxa"/>
          </w:tcPr>
          <w:p w14:paraId="44DA9466">
            <w:pPr>
              <w:pStyle w:val="29"/>
              <w:spacing w:line="181" w:lineRule="exact"/>
              <w:ind w:left="99" w:right="131"/>
              <w:jc w:val="center"/>
              <w:rPr>
                <w:sz w:val="16"/>
              </w:rPr>
            </w:pPr>
            <w:r>
              <w:rPr>
                <w:spacing w:val="-4"/>
                <w:sz w:val="16"/>
              </w:rPr>
              <w:t>18.1</w:t>
            </w:r>
          </w:p>
        </w:tc>
        <w:tc>
          <w:tcPr>
            <w:tcW w:w="450" w:type="dxa"/>
          </w:tcPr>
          <w:p w14:paraId="52A25037">
            <w:pPr>
              <w:pStyle w:val="29"/>
              <w:spacing w:line="181" w:lineRule="exact"/>
              <w:ind w:left="56" w:right="90"/>
              <w:jc w:val="center"/>
              <w:rPr>
                <w:sz w:val="16"/>
              </w:rPr>
            </w:pPr>
            <w:r>
              <w:rPr>
                <w:spacing w:val="-4"/>
                <w:sz w:val="16"/>
              </w:rPr>
              <w:t>3.22</w:t>
            </w:r>
          </w:p>
        </w:tc>
        <w:tc>
          <w:tcPr>
            <w:tcW w:w="495" w:type="dxa"/>
          </w:tcPr>
          <w:p w14:paraId="4A1FD5BE">
            <w:pPr>
              <w:pStyle w:val="29"/>
              <w:spacing w:line="181" w:lineRule="exact"/>
              <w:ind w:left="102" w:right="89"/>
              <w:jc w:val="center"/>
              <w:rPr>
                <w:sz w:val="16"/>
              </w:rPr>
            </w:pPr>
            <w:r>
              <w:rPr>
                <w:spacing w:val="-4"/>
                <w:sz w:val="16"/>
              </w:rPr>
              <w:t>1.32</w:t>
            </w:r>
          </w:p>
        </w:tc>
      </w:tr>
      <w:tr w14:paraId="33E7DBE8">
        <w:tblPrEx>
          <w:tblCellMar>
            <w:top w:w="0" w:type="dxa"/>
            <w:left w:w="0" w:type="dxa"/>
            <w:bottom w:w="0" w:type="dxa"/>
            <w:right w:w="0" w:type="dxa"/>
          </w:tblCellMar>
        </w:tblPrEx>
        <w:trPr>
          <w:trHeight w:val="185" w:hRule="atLeast"/>
        </w:trPr>
        <w:tc>
          <w:tcPr>
            <w:tcW w:w="704" w:type="dxa"/>
          </w:tcPr>
          <w:p w14:paraId="07A3637A">
            <w:pPr>
              <w:pStyle w:val="29"/>
              <w:spacing w:line="165" w:lineRule="exact"/>
              <w:ind w:left="115"/>
              <w:rPr>
                <w:sz w:val="16"/>
              </w:rPr>
            </w:pPr>
            <w:r>
              <w:rPr>
                <w:sz w:val="16"/>
              </w:rPr>
              <w:t>6</w:t>
            </w:r>
          </w:p>
        </w:tc>
        <w:tc>
          <w:tcPr>
            <w:tcW w:w="4614" w:type="dxa"/>
          </w:tcPr>
          <w:p w14:paraId="60B96B5C">
            <w:pPr>
              <w:pStyle w:val="29"/>
              <w:spacing w:line="165" w:lineRule="exact"/>
              <w:ind w:left="107"/>
              <w:rPr>
                <w:sz w:val="16"/>
              </w:rPr>
            </w:pPr>
            <w:r>
              <w:rPr>
                <w:sz w:val="16"/>
              </w:rPr>
              <w:t>Sanal</w:t>
            </w:r>
            <w:r>
              <w:rPr>
                <w:spacing w:val="-9"/>
                <w:sz w:val="16"/>
              </w:rPr>
              <w:t xml:space="preserve"> </w:t>
            </w:r>
            <w:r>
              <w:rPr>
                <w:sz w:val="16"/>
              </w:rPr>
              <w:t>rekreasyon</w:t>
            </w:r>
            <w:r>
              <w:rPr>
                <w:spacing w:val="-7"/>
                <w:sz w:val="16"/>
              </w:rPr>
              <w:t xml:space="preserve"> </w:t>
            </w:r>
            <w:r>
              <w:rPr>
                <w:sz w:val="16"/>
              </w:rPr>
              <w:t>faaliyetleri,</w:t>
            </w:r>
            <w:r>
              <w:rPr>
                <w:spacing w:val="-6"/>
                <w:sz w:val="16"/>
              </w:rPr>
              <w:t xml:space="preserve"> </w:t>
            </w:r>
            <w:r>
              <w:rPr>
                <w:sz w:val="16"/>
              </w:rPr>
              <w:t>sosyal</w:t>
            </w:r>
            <w:r>
              <w:rPr>
                <w:spacing w:val="-9"/>
                <w:sz w:val="16"/>
              </w:rPr>
              <w:t xml:space="preserve"> </w:t>
            </w:r>
            <w:r>
              <w:rPr>
                <w:sz w:val="16"/>
              </w:rPr>
              <w:t>ilişkilerimi</w:t>
            </w:r>
            <w:r>
              <w:rPr>
                <w:spacing w:val="-6"/>
                <w:sz w:val="16"/>
              </w:rPr>
              <w:t xml:space="preserve"> </w:t>
            </w:r>
            <w:r>
              <w:rPr>
                <w:spacing w:val="-2"/>
                <w:sz w:val="16"/>
              </w:rPr>
              <w:t>geliştirir.</w:t>
            </w:r>
          </w:p>
        </w:tc>
        <w:tc>
          <w:tcPr>
            <w:tcW w:w="541" w:type="dxa"/>
          </w:tcPr>
          <w:p w14:paraId="219DFB3C">
            <w:pPr>
              <w:pStyle w:val="29"/>
              <w:spacing w:line="165" w:lineRule="exact"/>
              <w:ind w:left="95" w:right="138"/>
              <w:jc w:val="center"/>
              <w:rPr>
                <w:sz w:val="16"/>
              </w:rPr>
            </w:pPr>
            <w:r>
              <w:rPr>
                <w:spacing w:val="-4"/>
                <w:sz w:val="16"/>
              </w:rPr>
              <w:t>16.4</w:t>
            </w:r>
          </w:p>
        </w:tc>
        <w:tc>
          <w:tcPr>
            <w:tcW w:w="449" w:type="dxa"/>
          </w:tcPr>
          <w:p w14:paraId="5498F8D5">
            <w:pPr>
              <w:pStyle w:val="29"/>
              <w:spacing w:line="165" w:lineRule="exact"/>
              <w:ind w:left="62"/>
              <w:rPr>
                <w:sz w:val="16"/>
              </w:rPr>
            </w:pPr>
            <w:r>
              <w:rPr>
                <w:spacing w:val="-4"/>
                <w:sz w:val="16"/>
              </w:rPr>
              <w:t>23.1</w:t>
            </w:r>
          </w:p>
        </w:tc>
        <w:tc>
          <w:tcPr>
            <w:tcW w:w="541" w:type="dxa"/>
          </w:tcPr>
          <w:p w14:paraId="3B7EF163">
            <w:pPr>
              <w:pStyle w:val="29"/>
              <w:spacing w:line="165" w:lineRule="exact"/>
              <w:ind w:left="95" w:right="136"/>
              <w:jc w:val="center"/>
              <w:rPr>
                <w:sz w:val="16"/>
              </w:rPr>
            </w:pPr>
            <w:r>
              <w:rPr>
                <w:spacing w:val="-4"/>
                <w:sz w:val="16"/>
              </w:rPr>
              <w:t>20.9</w:t>
            </w:r>
          </w:p>
        </w:tc>
        <w:tc>
          <w:tcPr>
            <w:tcW w:w="450" w:type="dxa"/>
          </w:tcPr>
          <w:p w14:paraId="5C14CAFB">
            <w:pPr>
              <w:pStyle w:val="29"/>
              <w:spacing w:line="165" w:lineRule="exact"/>
              <w:ind w:left="64"/>
              <w:rPr>
                <w:sz w:val="16"/>
              </w:rPr>
            </w:pPr>
            <w:r>
              <w:rPr>
                <w:spacing w:val="-4"/>
                <w:sz w:val="16"/>
              </w:rPr>
              <w:t>22.3</w:t>
            </w:r>
          </w:p>
        </w:tc>
        <w:tc>
          <w:tcPr>
            <w:tcW w:w="539" w:type="dxa"/>
          </w:tcPr>
          <w:p w14:paraId="1DC342C7">
            <w:pPr>
              <w:pStyle w:val="29"/>
              <w:spacing w:line="165" w:lineRule="exact"/>
              <w:ind w:left="99" w:right="131"/>
              <w:jc w:val="center"/>
              <w:rPr>
                <w:sz w:val="16"/>
              </w:rPr>
            </w:pPr>
            <w:r>
              <w:rPr>
                <w:spacing w:val="-4"/>
                <w:sz w:val="16"/>
              </w:rPr>
              <w:t>17.3</w:t>
            </w:r>
          </w:p>
        </w:tc>
        <w:tc>
          <w:tcPr>
            <w:tcW w:w="450" w:type="dxa"/>
          </w:tcPr>
          <w:p w14:paraId="1C1D5C27">
            <w:pPr>
              <w:pStyle w:val="29"/>
              <w:spacing w:line="165" w:lineRule="exact"/>
              <w:ind w:left="56" w:right="90"/>
              <w:jc w:val="center"/>
              <w:rPr>
                <w:sz w:val="16"/>
              </w:rPr>
            </w:pPr>
            <w:r>
              <w:rPr>
                <w:spacing w:val="-4"/>
                <w:sz w:val="16"/>
              </w:rPr>
              <w:t>3.01</w:t>
            </w:r>
          </w:p>
        </w:tc>
        <w:tc>
          <w:tcPr>
            <w:tcW w:w="495" w:type="dxa"/>
          </w:tcPr>
          <w:p w14:paraId="341D4987">
            <w:pPr>
              <w:pStyle w:val="29"/>
              <w:spacing w:line="165" w:lineRule="exact"/>
              <w:ind w:left="102" w:right="89"/>
              <w:jc w:val="center"/>
              <w:rPr>
                <w:sz w:val="16"/>
              </w:rPr>
            </w:pPr>
            <w:r>
              <w:rPr>
                <w:spacing w:val="-4"/>
                <w:sz w:val="16"/>
              </w:rPr>
              <w:t>1.34</w:t>
            </w:r>
          </w:p>
        </w:tc>
      </w:tr>
      <w:tr w14:paraId="5B4D7EF8">
        <w:tblPrEx>
          <w:tblCellMar>
            <w:top w:w="0" w:type="dxa"/>
            <w:left w:w="0" w:type="dxa"/>
            <w:bottom w:w="0" w:type="dxa"/>
            <w:right w:w="0" w:type="dxa"/>
          </w:tblCellMar>
        </w:tblPrEx>
        <w:trPr>
          <w:trHeight w:val="183" w:hRule="atLeast"/>
        </w:trPr>
        <w:tc>
          <w:tcPr>
            <w:tcW w:w="704" w:type="dxa"/>
          </w:tcPr>
          <w:p w14:paraId="60E3B138">
            <w:pPr>
              <w:pStyle w:val="29"/>
              <w:spacing w:line="164" w:lineRule="exact"/>
              <w:ind w:left="115"/>
              <w:rPr>
                <w:sz w:val="16"/>
              </w:rPr>
            </w:pPr>
            <w:r>
              <w:rPr>
                <w:sz w:val="16"/>
              </w:rPr>
              <w:t>7</w:t>
            </w:r>
          </w:p>
        </w:tc>
        <w:tc>
          <w:tcPr>
            <w:tcW w:w="4614" w:type="dxa"/>
          </w:tcPr>
          <w:p w14:paraId="18F5F956">
            <w:pPr>
              <w:pStyle w:val="29"/>
              <w:spacing w:line="164" w:lineRule="exact"/>
              <w:ind w:left="107"/>
              <w:rPr>
                <w:sz w:val="16"/>
              </w:rPr>
            </w:pPr>
            <w:r>
              <w:rPr>
                <w:sz w:val="16"/>
              </w:rPr>
              <w:t>Sanal</w:t>
            </w:r>
            <w:r>
              <w:rPr>
                <w:spacing w:val="-8"/>
                <w:sz w:val="16"/>
              </w:rPr>
              <w:t xml:space="preserve"> </w:t>
            </w:r>
            <w:r>
              <w:rPr>
                <w:sz w:val="16"/>
              </w:rPr>
              <w:t>rekreasyon</w:t>
            </w:r>
            <w:r>
              <w:rPr>
                <w:spacing w:val="-6"/>
                <w:sz w:val="16"/>
              </w:rPr>
              <w:t xml:space="preserve"> </w:t>
            </w:r>
            <w:r>
              <w:rPr>
                <w:sz w:val="16"/>
              </w:rPr>
              <w:t>faaliyetleri,</w:t>
            </w:r>
            <w:r>
              <w:rPr>
                <w:spacing w:val="-6"/>
                <w:sz w:val="16"/>
              </w:rPr>
              <w:t xml:space="preserve"> </w:t>
            </w:r>
            <w:r>
              <w:rPr>
                <w:sz w:val="16"/>
              </w:rPr>
              <w:t>toplumsal</w:t>
            </w:r>
            <w:r>
              <w:rPr>
                <w:spacing w:val="-8"/>
                <w:sz w:val="16"/>
              </w:rPr>
              <w:t xml:space="preserve"> </w:t>
            </w:r>
            <w:r>
              <w:rPr>
                <w:sz w:val="16"/>
              </w:rPr>
              <w:t>iletişim</w:t>
            </w:r>
            <w:r>
              <w:rPr>
                <w:spacing w:val="-10"/>
                <w:sz w:val="16"/>
              </w:rPr>
              <w:t xml:space="preserve"> </w:t>
            </w:r>
            <w:r>
              <w:rPr>
                <w:sz w:val="16"/>
              </w:rPr>
              <w:t>becerimi</w:t>
            </w:r>
            <w:r>
              <w:rPr>
                <w:spacing w:val="-8"/>
                <w:sz w:val="16"/>
              </w:rPr>
              <w:t xml:space="preserve"> </w:t>
            </w:r>
            <w:r>
              <w:rPr>
                <w:spacing w:val="-2"/>
                <w:sz w:val="16"/>
              </w:rPr>
              <w:t>geliştirir.</w:t>
            </w:r>
          </w:p>
        </w:tc>
        <w:tc>
          <w:tcPr>
            <w:tcW w:w="541" w:type="dxa"/>
          </w:tcPr>
          <w:p w14:paraId="11005472">
            <w:pPr>
              <w:pStyle w:val="29"/>
              <w:spacing w:line="164" w:lineRule="exact"/>
              <w:ind w:left="95" w:right="138"/>
              <w:jc w:val="center"/>
              <w:rPr>
                <w:sz w:val="16"/>
              </w:rPr>
            </w:pPr>
            <w:r>
              <w:rPr>
                <w:spacing w:val="-4"/>
                <w:sz w:val="16"/>
              </w:rPr>
              <w:t>14.2</w:t>
            </w:r>
          </w:p>
        </w:tc>
        <w:tc>
          <w:tcPr>
            <w:tcW w:w="449" w:type="dxa"/>
          </w:tcPr>
          <w:p w14:paraId="1945541E">
            <w:pPr>
              <w:pStyle w:val="29"/>
              <w:spacing w:line="164" w:lineRule="exact"/>
              <w:ind w:left="62"/>
              <w:rPr>
                <w:sz w:val="16"/>
              </w:rPr>
            </w:pPr>
            <w:r>
              <w:rPr>
                <w:spacing w:val="-4"/>
                <w:sz w:val="16"/>
              </w:rPr>
              <w:t>22.3</w:t>
            </w:r>
          </w:p>
        </w:tc>
        <w:tc>
          <w:tcPr>
            <w:tcW w:w="541" w:type="dxa"/>
          </w:tcPr>
          <w:p w14:paraId="750D4642">
            <w:pPr>
              <w:pStyle w:val="29"/>
              <w:spacing w:line="164" w:lineRule="exact"/>
              <w:ind w:left="95" w:right="136"/>
              <w:jc w:val="center"/>
              <w:rPr>
                <w:sz w:val="16"/>
              </w:rPr>
            </w:pPr>
            <w:r>
              <w:rPr>
                <w:spacing w:val="-4"/>
                <w:sz w:val="16"/>
              </w:rPr>
              <w:t>20.3</w:t>
            </w:r>
          </w:p>
        </w:tc>
        <w:tc>
          <w:tcPr>
            <w:tcW w:w="450" w:type="dxa"/>
          </w:tcPr>
          <w:p w14:paraId="540F34F5">
            <w:pPr>
              <w:pStyle w:val="29"/>
              <w:spacing w:line="164" w:lineRule="exact"/>
              <w:ind w:left="64"/>
              <w:rPr>
                <w:sz w:val="16"/>
              </w:rPr>
            </w:pPr>
            <w:r>
              <w:rPr>
                <w:spacing w:val="-4"/>
                <w:sz w:val="16"/>
              </w:rPr>
              <w:t>26.4</w:t>
            </w:r>
          </w:p>
        </w:tc>
        <w:tc>
          <w:tcPr>
            <w:tcW w:w="539" w:type="dxa"/>
          </w:tcPr>
          <w:p w14:paraId="45E6AC34">
            <w:pPr>
              <w:pStyle w:val="29"/>
              <w:spacing w:line="164" w:lineRule="exact"/>
              <w:ind w:left="99" w:right="131"/>
              <w:jc w:val="center"/>
              <w:rPr>
                <w:sz w:val="16"/>
              </w:rPr>
            </w:pPr>
            <w:r>
              <w:rPr>
                <w:spacing w:val="-4"/>
                <w:sz w:val="16"/>
              </w:rPr>
              <w:t>16.8</w:t>
            </w:r>
          </w:p>
        </w:tc>
        <w:tc>
          <w:tcPr>
            <w:tcW w:w="450" w:type="dxa"/>
          </w:tcPr>
          <w:p w14:paraId="5FC126B2">
            <w:pPr>
              <w:pStyle w:val="29"/>
              <w:spacing w:line="164" w:lineRule="exact"/>
              <w:ind w:left="56" w:right="90"/>
              <w:jc w:val="center"/>
              <w:rPr>
                <w:sz w:val="16"/>
              </w:rPr>
            </w:pPr>
            <w:r>
              <w:rPr>
                <w:spacing w:val="-4"/>
                <w:sz w:val="16"/>
              </w:rPr>
              <w:t>3.09</w:t>
            </w:r>
          </w:p>
        </w:tc>
        <w:tc>
          <w:tcPr>
            <w:tcW w:w="495" w:type="dxa"/>
          </w:tcPr>
          <w:p w14:paraId="012E9BD5">
            <w:pPr>
              <w:pStyle w:val="29"/>
              <w:spacing w:line="164" w:lineRule="exact"/>
              <w:ind w:left="102" w:right="89"/>
              <w:jc w:val="center"/>
              <w:rPr>
                <w:sz w:val="16"/>
              </w:rPr>
            </w:pPr>
            <w:r>
              <w:rPr>
                <w:spacing w:val="-4"/>
                <w:sz w:val="16"/>
              </w:rPr>
              <w:t>1.31</w:t>
            </w:r>
          </w:p>
        </w:tc>
      </w:tr>
      <w:tr w14:paraId="527FBBD1">
        <w:tblPrEx>
          <w:tblCellMar>
            <w:top w:w="0" w:type="dxa"/>
            <w:left w:w="0" w:type="dxa"/>
            <w:bottom w:w="0" w:type="dxa"/>
            <w:right w:w="0" w:type="dxa"/>
          </w:tblCellMar>
        </w:tblPrEx>
        <w:trPr>
          <w:trHeight w:val="369" w:hRule="atLeast"/>
        </w:trPr>
        <w:tc>
          <w:tcPr>
            <w:tcW w:w="704" w:type="dxa"/>
          </w:tcPr>
          <w:p w14:paraId="21545447">
            <w:pPr>
              <w:pStyle w:val="29"/>
              <w:spacing w:line="180" w:lineRule="exact"/>
              <w:ind w:left="115"/>
              <w:rPr>
                <w:sz w:val="16"/>
              </w:rPr>
            </w:pPr>
            <w:r>
              <w:rPr>
                <w:sz w:val="16"/>
              </w:rPr>
              <w:t>8</w:t>
            </w:r>
          </w:p>
        </w:tc>
        <w:tc>
          <w:tcPr>
            <w:tcW w:w="4614" w:type="dxa"/>
          </w:tcPr>
          <w:p w14:paraId="70148B94">
            <w:pPr>
              <w:pStyle w:val="29"/>
              <w:spacing w:line="184" w:lineRule="exact"/>
              <w:ind w:left="107"/>
              <w:rPr>
                <w:b/>
                <w:sz w:val="16"/>
              </w:rPr>
            </w:pPr>
            <w:r>
              <w:rPr>
                <w:b/>
                <w:sz w:val="16"/>
              </w:rPr>
              <w:t>Sanal</w:t>
            </w:r>
            <w:r>
              <w:rPr>
                <w:b/>
                <w:spacing w:val="23"/>
                <w:sz w:val="16"/>
              </w:rPr>
              <w:t xml:space="preserve"> </w:t>
            </w:r>
            <w:r>
              <w:rPr>
                <w:b/>
                <w:sz w:val="16"/>
              </w:rPr>
              <w:t>rekreasyon</w:t>
            </w:r>
            <w:r>
              <w:rPr>
                <w:b/>
                <w:spacing w:val="19"/>
                <w:sz w:val="16"/>
              </w:rPr>
              <w:t xml:space="preserve"> </w:t>
            </w:r>
            <w:r>
              <w:rPr>
                <w:b/>
                <w:sz w:val="16"/>
              </w:rPr>
              <w:t>faaliyetleri,</w:t>
            </w:r>
            <w:r>
              <w:rPr>
                <w:b/>
                <w:spacing w:val="20"/>
                <w:sz w:val="16"/>
              </w:rPr>
              <w:t xml:space="preserve"> </w:t>
            </w:r>
            <w:r>
              <w:rPr>
                <w:b/>
                <w:sz w:val="16"/>
              </w:rPr>
              <w:t>diğer</w:t>
            </w:r>
            <w:r>
              <w:rPr>
                <w:b/>
                <w:spacing w:val="22"/>
                <w:sz w:val="16"/>
              </w:rPr>
              <w:t xml:space="preserve"> </w:t>
            </w:r>
            <w:r>
              <w:rPr>
                <w:b/>
                <w:sz w:val="16"/>
              </w:rPr>
              <w:t>insanlarla</w:t>
            </w:r>
            <w:r>
              <w:rPr>
                <w:b/>
                <w:spacing w:val="21"/>
                <w:sz w:val="16"/>
              </w:rPr>
              <w:t xml:space="preserve"> </w:t>
            </w:r>
            <w:r>
              <w:rPr>
                <w:b/>
                <w:sz w:val="16"/>
              </w:rPr>
              <w:t>yakınlık</w:t>
            </w:r>
            <w:r>
              <w:rPr>
                <w:b/>
                <w:spacing w:val="19"/>
                <w:sz w:val="16"/>
              </w:rPr>
              <w:t xml:space="preserve"> </w:t>
            </w:r>
            <w:r>
              <w:rPr>
                <w:b/>
                <w:sz w:val="16"/>
              </w:rPr>
              <w:t>kurma</w:t>
            </w:r>
            <w:r>
              <w:rPr>
                <w:b/>
                <w:spacing w:val="40"/>
                <w:sz w:val="16"/>
              </w:rPr>
              <w:t xml:space="preserve"> </w:t>
            </w:r>
            <w:r>
              <w:rPr>
                <w:b/>
                <w:sz w:val="16"/>
              </w:rPr>
              <w:t>becerimi geliştirir.</w:t>
            </w:r>
          </w:p>
        </w:tc>
        <w:tc>
          <w:tcPr>
            <w:tcW w:w="541" w:type="dxa"/>
          </w:tcPr>
          <w:p w14:paraId="640991EF">
            <w:pPr>
              <w:pStyle w:val="29"/>
              <w:spacing w:line="180" w:lineRule="exact"/>
              <w:ind w:left="95" w:right="138"/>
              <w:jc w:val="center"/>
              <w:rPr>
                <w:sz w:val="16"/>
              </w:rPr>
            </w:pPr>
            <w:r>
              <w:rPr>
                <w:spacing w:val="-4"/>
                <w:sz w:val="16"/>
              </w:rPr>
              <w:t>16.2</w:t>
            </w:r>
          </w:p>
        </w:tc>
        <w:tc>
          <w:tcPr>
            <w:tcW w:w="449" w:type="dxa"/>
          </w:tcPr>
          <w:p w14:paraId="4C7321BA">
            <w:pPr>
              <w:pStyle w:val="29"/>
              <w:spacing w:line="180" w:lineRule="exact"/>
              <w:ind w:left="62"/>
              <w:rPr>
                <w:sz w:val="16"/>
              </w:rPr>
            </w:pPr>
            <w:r>
              <w:rPr>
                <w:spacing w:val="-4"/>
                <w:sz w:val="16"/>
              </w:rPr>
              <w:t>23.6</w:t>
            </w:r>
          </w:p>
        </w:tc>
        <w:tc>
          <w:tcPr>
            <w:tcW w:w="541" w:type="dxa"/>
          </w:tcPr>
          <w:p w14:paraId="661CAF13">
            <w:pPr>
              <w:pStyle w:val="29"/>
              <w:spacing w:line="180" w:lineRule="exact"/>
              <w:ind w:left="95" w:right="254"/>
              <w:jc w:val="center"/>
              <w:rPr>
                <w:sz w:val="16"/>
              </w:rPr>
            </w:pPr>
            <w:r>
              <w:rPr>
                <w:spacing w:val="-5"/>
                <w:sz w:val="16"/>
              </w:rPr>
              <w:t>22</w:t>
            </w:r>
          </w:p>
        </w:tc>
        <w:tc>
          <w:tcPr>
            <w:tcW w:w="450" w:type="dxa"/>
          </w:tcPr>
          <w:p w14:paraId="736900D8">
            <w:pPr>
              <w:pStyle w:val="29"/>
              <w:spacing w:line="180" w:lineRule="exact"/>
              <w:ind w:left="64"/>
              <w:rPr>
                <w:sz w:val="16"/>
              </w:rPr>
            </w:pPr>
            <w:r>
              <w:rPr>
                <w:spacing w:val="-4"/>
                <w:sz w:val="16"/>
              </w:rPr>
              <w:t>23.2</w:t>
            </w:r>
          </w:p>
        </w:tc>
        <w:tc>
          <w:tcPr>
            <w:tcW w:w="539" w:type="dxa"/>
          </w:tcPr>
          <w:p w14:paraId="44D5133F">
            <w:pPr>
              <w:pStyle w:val="29"/>
              <w:spacing w:line="180" w:lineRule="exact"/>
              <w:ind w:left="99" w:right="250"/>
              <w:jc w:val="center"/>
              <w:rPr>
                <w:sz w:val="16"/>
              </w:rPr>
            </w:pPr>
            <w:r>
              <w:rPr>
                <w:spacing w:val="-5"/>
                <w:sz w:val="16"/>
              </w:rPr>
              <w:t>15</w:t>
            </w:r>
          </w:p>
        </w:tc>
        <w:tc>
          <w:tcPr>
            <w:tcW w:w="450" w:type="dxa"/>
          </w:tcPr>
          <w:p w14:paraId="0C07C9B4">
            <w:pPr>
              <w:pStyle w:val="29"/>
              <w:spacing w:line="182" w:lineRule="exact"/>
              <w:ind w:left="56" w:right="90"/>
              <w:jc w:val="center"/>
              <w:rPr>
                <w:b/>
                <w:sz w:val="16"/>
              </w:rPr>
            </w:pPr>
            <w:r>
              <w:rPr>
                <w:b/>
                <w:spacing w:val="-4"/>
                <w:sz w:val="16"/>
              </w:rPr>
              <w:t>2.97</w:t>
            </w:r>
          </w:p>
        </w:tc>
        <w:tc>
          <w:tcPr>
            <w:tcW w:w="495" w:type="dxa"/>
          </w:tcPr>
          <w:p w14:paraId="3A9B7617">
            <w:pPr>
              <w:pStyle w:val="29"/>
              <w:spacing w:line="180" w:lineRule="exact"/>
              <w:ind w:left="102" w:right="89"/>
              <w:jc w:val="center"/>
              <w:rPr>
                <w:sz w:val="16"/>
              </w:rPr>
            </w:pPr>
            <w:r>
              <w:rPr>
                <w:spacing w:val="-4"/>
                <w:sz w:val="16"/>
              </w:rPr>
              <w:t>1.31</w:t>
            </w:r>
          </w:p>
        </w:tc>
      </w:tr>
      <w:tr w14:paraId="0A25D89B">
        <w:tblPrEx>
          <w:tblCellMar>
            <w:top w:w="0" w:type="dxa"/>
            <w:left w:w="0" w:type="dxa"/>
            <w:bottom w:w="0" w:type="dxa"/>
            <w:right w:w="0" w:type="dxa"/>
          </w:tblCellMar>
        </w:tblPrEx>
        <w:trPr>
          <w:trHeight w:val="366" w:hRule="atLeast"/>
        </w:trPr>
        <w:tc>
          <w:tcPr>
            <w:tcW w:w="704" w:type="dxa"/>
          </w:tcPr>
          <w:p w14:paraId="2B2949CB">
            <w:pPr>
              <w:pStyle w:val="29"/>
              <w:spacing w:line="180" w:lineRule="exact"/>
              <w:ind w:left="115"/>
              <w:rPr>
                <w:sz w:val="16"/>
              </w:rPr>
            </w:pPr>
            <w:r>
              <w:rPr>
                <w:sz w:val="16"/>
              </w:rPr>
              <w:t>9</w:t>
            </w:r>
          </w:p>
        </w:tc>
        <w:tc>
          <w:tcPr>
            <w:tcW w:w="4614" w:type="dxa"/>
          </w:tcPr>
          <w:p w14:paraId="39A731EC">
            <w:pPr>
              <w:pStyle w:val="29"/>
              <w:spacing w:line="179" w:lineRule="exact"/>
              <w:ind w:left="107"/>
              <w:rPr>
                <w:sz w:val="16"/>
              </w:rPr>
            </w:pPr>
            <w:r>
              <w:rPr>
                <w:sz w:val="16"/>
              </w:rPr>
              <w:t>Sanal</w:t>
            </w:r>
            <w:r>
              <w:rPr>
                <w:spacing w:val="4"/>
                <w:sz w:val="16"/>
              </w:rPr>
              <w:t xml:space="preserve"> </w:t>
            </w:r>
            <w:r>
              <w:rPr>
                <w:sz w:val="16"/>
              </w:rPr>
              <w:t>rekreasyon</w:t>
            </w:r>
            <w:r>
              <w:rPr>
                <w:spacing w:val="6"/>
                <w:sz w:val="16"/>
              </w:rPr>
              <w:t xml:space="preserve"> </w:t>
            </w:r>
            <w:r>
              <w:rPr>
                <w:sz w:val="16"/>
              </w:rPr>
              <w:t>faaliyetleri,</w:t>
            </w:r>
            <w:r>
              <w:rPr>
                <w:spacing w:val="6"/>
                <w:sz w:val="16"/>
              </w:rPr>
              <w:t xml:space="preserve"> </w:t>
            </w:r>
            <w:r>
              <w:rPr>
                <w:sz w:val="16"/>
              </w:rPr>
              <w:t>farklı</w:t>
            </w:r>
            <w:r>
              <w:rPr>
                <w:spacing w:val="5"/>
                <w:sz w:val="16"/>
              </w:rPr>
              <w:t xml:space="preserve"> </w:t>
            </w:r>
            <w:r>
              <w:rPr>
                <w:sz w:val="16"/>
              </w:rPr>
              <w:t>kültürlere</w:t>
            </w:r>
            <w:r>
              <w:rPr>
                <w:spacing w:val="4"/>
                <w:sz w:val="16"/>
              </w:rPr>
              <w:t xml:space="preserve"> </w:t>
            </w:r>
            <w:r>
              <w:rPr>
                <w:sz w:val="16"/>
              </w:rPr>
              <w:t>sahip</w:t>
            </w:r>
            <w:r>
              <w:rPr>
                <w:spacing w:val="4"/>
                <w:sz w:val="16"/>
              </w:rPr>
              <w:t xml:space="preserve"> </w:t>
            </w:r>
            <w:r>
              <w:rPr>
                <w:sz w:val="16"/>
              </w:rPr>
              <w:t>insanlara</w:t>
            </w:r>
            <w:r>
              <w:rPr>
                <w:spacing w:val="4"/>
                <w:sz w:val="16"/>
              </w:rPr>
              <w:t xml:space="preserve"> </w:t>
            </w:r>
            <w:r>
              <w:rPr>
                <w:spacing w:val="-4"/>
                <w:sz w:val="16"/>
              </w:rPr>
              <w:t>uyum</w:t>
            </w:r>
          </w:p>
          <w:p w14:paraId="16BD967D">
            <w:pPr>
              <w:pStyle w:val="29"/>
              <w:spacing w:line="167" w:lineRule="exact"/>
              <w:ind w:left="107"/>
              <w:rPr>
                <w:sz w:val="16"/>
              </w:rPr>
            </w:pPr>
            <w:r>
              <w:rPr>
                <w:sz w:val="16"/>
              </w:rPr>
              <w:t>sağlama</w:t>
            </w:r>
            <w:r>
              <w:rPr>
                <w:spacing w:val="-6"/>
                <w:sz w:val="16"/>
              </w:rPr>
              <w:t xml:space="preserve"> </w:t>
            </w:r>
            <w:r>
              <w:rPr>
                <w:sz w:val="16"/>
              </w:rPr>
              <w:t>becerimi</w:t>
            </w:r>
            <w:r>
              <w:rPr>
                <w:spacing w:val="-3"/>
                <w:sz w:val="16"/>
              </w:rPr>
              <w:t xml:space="preserve"> </w:t>
            </w:r>
            <w:r>
              <w:rPr>
                <w:spacing w:val="-2"/>
                <w:sz w:val="16"/>
              </w:rPr>
              <w:t>artırır.</w:t>
            </w:r>
          </w:p>
        </w:tc>
        <w:tc>
          <w:tcPr>
            <w:tcW w:w="541" w:type="dxa"/>
          </w:tcPr>
          <w:p w14:paraId="435B1BC9">
            <w:pPr>
              <w:pStyle w:val="29"/>
              <w:spacing w:line="180" w:lineRule="exact"/>
              <w:ind w:left="95" w:right="138"/>
              <w:jc w:val="center"/>
              <w:rPr>
                <w:sz w:val="16"/>
              </w:rPr>
            </w:pPr>
            <w:r>
              <w:rPr>
                <w:spacing w:val="-4"/>
                <w:sz w:val="16"/>
              </w:rPr>
              <w:t>14.4</w:t>
            </w:r>
          </w:p>
        </w:tc>
        <w:tc>
          <w:tcPr>
            <w:tcW w:w="449" w:type="dxa"/>
          </w:tcPr>
          <w:p w14:paraId="6863C168">
            <w:pPr>
              <w:pStyle w:val="29"/>
              <w:spacing w:line="180" w:lineRule="exact"/>
              <w:ind w:left="62"/>
              <w:rPr>
                <w:sz w:val="16"/>
              </w:rPr>
            </w:pPr>
            <w:r>
              <w:rPr>
                <w:spacing w:val="-5"/>
                <w:sz w:val="16"/>
              </w:rPr>
              <w:t>17</w:t>
            </w:r>
          </w:p>
        </w:tc>
        <w:tc>
          <w:tcPr>
            <w:tcW w:w="541" w:type="dxa"/>
          </w:tcPr>
          <w:p w14:paraId="02FB0C5F">
            <w:pPr>
              <w:pStyle w:val="29"/>
              <w:spacing w:line="180" w:lineRule="exact"/>
              <w:ind w:left="95" w:right="136"/>
              <w:jc w:val="center"/>
              <w:rPr>
                <w:sz w:val="16"/>
              </w:rPr>
            </w:pPr>
            <w:r>
              <w:rPr>
                <w:spacing w:val="-4"/>
                <w:sz w:val="16"/>
              </w:rPr>
              <w:t>22.2</w:t>
            </w:r>
          </w:p>
        </w:tc>
        <w:tc>
          <w:tcPr>
            <w:tcW w:w="450" w:type="dxa"/>
          </w:tcPr>
          <w:p w14:paraId="7F4A4D51">
            <w:pPr>
              <w:pStyle w:val="29"/>
              <w:spacing w:line="180" w:lineRule="exact"/>
              <w:ind w:left="64"/>
              <w:rPr>
                <w:sz w:val="16"/>
              </w:rPr>
            </w:pPr>
            <w:r>
              <w:rPr>
                <w:spacing w:val="-4"/>
                <w:sz w:val="16"/>
              </w:rPr>
              <w:t>28.7</w:t>
            </w:r>
          </w:p>
        </w:tc>
        <w:tc>
          <w:tcPr>
            <w:tcW w:w="539" w:type="dxa"/>
          </w:tcPr>
          <w:p w14:paraId="6AD087C1">
            <w:pPr>
              <w:pStyle w:val="29"/>
              <w:spacing w:line="180" w:lineRule="exact"/>
              <w:ind w:left="99" w:right="131"/>
              <w:jc w:val="center"/>
              <w:rPr>
                <w:sz w:val="16"/>
              </w:rPr>
            </w:pPr>
            <w:r>
              <w:rPr>
                <w:spacing w:val="-4"/>
                <w:sz w:val="16"/>
              </w:rPr>
              <w:t>17.8</w:t>
            </w:r>
          </w:p>
        </w:tc>
        <w:tc>
          <w:tcPr>
            <w:tcW w:w="450" w:type="dxa"/>
          </w:tcPr>
          <w:p w14:paraId="40F2910C">
            <w:pPr>
              <w:pStyle w:val="29"/>
              <w:spacing w:line="180" w:lineRule="exact"/>
              <w:ind w:left="56" w:right="90"/>
              <w:jc w:val="center"/>
              <w:rPr>
                <w:sz w:val="16"/>
              </w:rPr>
            </w:pPr>
            <w:r>
              <w:rPr>
                <w:spacing w:val="-4"/>
                <w:sz w:val="16"/>
              </w:rPr>
              <w:t>3.18</w:t>
            </w:r>
          </w:p>
        </w:tc>
        <w:tc>
          <w:tcPr>
            <w:tcW w:w="495" w:type="dxa"/>
          </w:tcPr>
          <w:p w14:paraId="04983914">
            <w:pPr>
              <w:pStyle w:val="29"/>
              <w:spacing w:line="180" w:lineRule="exact"/>
              <w:ind w:left="102" w:right="89"/>
              <w:jc w:val="center"/>
              <w:rPr>
                <w:sz w:val="16"/>
              </w:rPr>
            </w:pPr>
            <w:r>
              <w:rPr>
                <w:spacing w:val="-4"/>
                <w:sz w:val="16"/>
              </w:rPr>
              <w:t>1.30</w:t>
            </w:r>
          </w:p>
        </w:tc>
      </w:tr>
      <w:tr w14:paraId="410EF3D1">
        <w:tblPrEx>
          <w:tblCellMar>
            <w:top w:w="0" w:type="dxa"/>
            <w:left w:w="0" w:type="dxa"/>
            <w:bottom w:w="0" w:type="dxa"/>
            <w:right w:w="0" w:type="dxa"/>
          </w:tblCellMar>
        </w:tblPrEx>
        <w:trPr>
          <w:trHeight w:val="184" w:hRule="atLeast"/>
        </w:trPr>
        <w:tc>
          <w:tcPr>
            <w:tcW w:w="704" w:type="dxa"/>
          </w:tcPr>
          <w:p w14:paraId="433CA477">
            <w:pPr>
              <w:pStyle w:val="29"/>
              <w:spacing w:line="165" w:lineRule="exact"/>
              <w:ind w:left="115"/>
              <w:rPr>
                <w:sz w:val="16"/>
              </w:rPr>
            </w:pPr>
            <w:r>
              <w:rPr>
                <w:spacing w:val="-5"/>
                <w:sz w:val="16"/>
              </w:rPr>
              <w:t>10</w:t>
            </w:r>
          </w:p>
        </w:tc>
        <w:tc>
          <w:tcPr>
            <w:tcW w:w="4614" w:type="dxa"/>
          </w:tcPr>
          <w:p w14:paraId="4F702E1F">
            <w:pPr>
              <w:pStyle w:val="29"/>
              <w:spacing w:line="165" w:lineRule="exact"/>
              <w:ind w:left="107"/>
              <w:rPr>
                <w:sz w:val="16"/>
              </w:rPr>
            </w:pPr>
            <w:r>
              <w:rPr>
                <w:sz w:val="16"/>
              </w:rPr>
              <w:t>Sanal</w:t>
            </w:r>
            <w:r>
              <w:rPr>
                <w:spacing w:val="-9"/>
                <w:sz w:val="16"/>
              </w:rPr>
              <w:t xml:space="preserve"> </w:t>
            </w:r>
            <w:r>
              <w:rPr>
                <w:sz w:val="16"/>
              </w:rPr>
              <w:t>rekreasyon</w:t>
            </w:r>
            <w:r>
              <w:rPr>
                <w:spacing w:val="-6"/>
                <w:sz w:val="16"/>
              </w:rPr>
              <w:t xml:space="preserve"> </w:t>
            </w:r>
            <w:r>
              <w:rPr>
                <w:sz w:val="16"/>
              </w:rPr>
              <w:t>faaliyetleri,</w:t>
            </w:r>
            <w:r>
              <w:rPr>
                <w:spacing w:val="-6"/>
                <w:sz w:val="16"/>
              </w:rPr>
              <w:t xml:space="preserve"> </w:t>
            </w:r>
            <w:r>
              <w:rPr>
                <w:sz w:val="16"/>
              </w:rPr>
              <w:t>insanları</w:t>
            </w:r>
            <w:r>
              <w:rPr>
                <w:spacing w:val="-7"/>
                <w:sz w:val="16"/>
              </w:rPr>
              <w:t xml:space="preserve"> </w:t>
            </w:r>
            <w:r>
              <w:rPr>
                <w:sz w:val="16"/>
              </w:rPr>
              <w:t>tanıma</w:t>
            </w:r>
            <w:r>
              <w:rPr>
                <w:spacing w:val="-9"/>
                <w:sz w:val="16"/>
              </w:rPr>
              <w:t xml:space="preserve"> </w:t>
            </w:r>
            <w:r>
              <w:rPr>
                <w:sz w:val="16"/>
              </w:rPr>
              <w:t>becerimi</w:t>
            </w:r>
            <w:r>
              <w:rPr>
                <w:spacing w:val="-8"/>
                <w:sz w:val="16"/>
              </w:rPr>
              <w:t xml:space="preserve"> </w:t>
            </w:r>
            <w:r>
              <w:rPr>
                <w:spacing w:val="-2"/>
                <w:sz w:val="16"/>
              </w:rPr>
              <w:t>geliştirir.</w:t>
            </w:r>
          </w:p>
        </w:tc>
        <w:tc>
          <w:tcPr>
            <w:tcW w:w="541" w:type="dxa"/>
          </w:tcPr>
          <w:p w14:paraId="489118FF">
            <w:pPr>
              <w:pStyle w:val="29"/>
              <w:spacing w:line="165" w:lineRule="exact"/>
              <w:ind w:left="95" w:right="138"/>
              <w:jc w:val="center"/>
              <w:rPr>
                <w:sz w:val="16"/>
              </w:rPr>
            </w:pPr>
            <w:r>
              <w:rPr>
                <w:spacing w:val="-4"/>
                <w:sz w:val="16"/>
              </w:rPr>
              <w:t>15.1</w:t>
            </w:r>
          </w:p>
        </w:tc>
        <w:tc>
          <w:tcPr>
            <w:tcW w:w="449" w:type="dxa"/>
          </w:tcPr>
          <w:p w14:paraId="2E8894EE">
            <w:pPr>
              <w:pStyle w:val="29"/>
              <w:spacing w:line="165" w:lineRule="exact"/>
              <w:ind w:left="62"/>
              <w:rPr>
                <w:sz w:val="16"/>
              </w:rPr>
            </w:pPr>
            <w:r>
              <w:rPr>
                <w:spacing w:val="-4"/>
                <w:sz w:val="16"/>
              </w:rPr>
              <w:t>20.6</w:t>
            </w:r>
          </w:p>
        </w:tc>
        <w:tc>
          <w:tcPr>
            <w:tcW w:w="541" w:type="dxa"/>
          </w:tcPr>
          <w:p w14:paraId="4DE5029E">
            <w:pPr>
              <w:pStyle w:val="29"/>
              <w:spacing w:line="165" w:lineRule="exact"/>
              <w:ind w:left="95" w:right="136"/>
              <w:jc w:val="center"/>
              <w:rPr>
                <w:sz w:val="16"/>
              </w:rPr>
            </w:pPr>
            <w:r>
              <w:rPr>
                <w:spacing w:val="-4"/>
                <w:sz w:val="16"/>
              </w:rPr>
              <w:t>18.3</w:t>
            </w:r>
          </w:p>
        </w:tc>
        <w:tc>
          <w:tcPr>
            <w:tcW w:w="450" w:type="dxa"/>
          </w:tcPr>
          <w:p w14:paraId="417572F3">
            <w:pPr>
              <w:pStyle w:val="29"/>
              <w:spacing w:line="165" w:lineRule="exact"/>
              <w:ind w:left="64"/>
              <w:rPr>
                <w:sz w:val="16"/>
              </w:rPr>
            </w:pPr>
            <w:r>
              <w:rPr>
                <w:spacing w:val="-4"/>
                <w:sz w:val="16"/>
              </w:rPr>
              <w:t>30.3</w:t>
            </w:r>
          </w:p>
        </w:tc>
        <w:tc>
          <w:tcPr>
            <w:tcW w:w="539" w:type="dxa"/>
          </w:tcPr>
          <w:p w14:paraId="3CB51A2F">
            <w:pPr>
              <w:pStyle w:val="29"/>
              <w:spacing w:line="165" w:lineRule="exact"/>
              <w:ind w:left="99" w:right="131"/>
              <w:jc w:val="center"/>
              <w:rPr>
                <w:sz w:val="16"/>
              </w:rPr>
            </w:pPr>
            <w:r>
              <w:rPr>
                <w:spacing w:val="-4"/>
                <w:sz w:val="16"/>
              </w:rPr>
              <w:t>15.1</w:t>
            </w:r>
          </w:p>
        </w:tc>
        <w:tc>
          <w:tcPr>
            <w:tcW w:w="450" w:type="dxa"/>
          </w:tcPr>
          <w:p w14:paraId="3F8C0999">
            <w:pPr>
              <w:pStyle w:val="29"/>
              <w:spacing w:line="165" w:lineRule="exact"/>
              <w:ind w:left="56" w:right="90"/>
              <w:jc w:val="center"/>
              <w:rPr>
                <w:sz w:val="16"/>
              </w:rPr>
            </w:pPr>
            <w:r>
              <w:rPr>
                <w:spacing w:val="-4"/>
                <w:sz w:val="16"/>
              </w:rPr>
              <w:t>3.08</w:t>
            </w:r>
          </w:p>
        </w:tc>
        <w:tc>
          <w:tcPr>
            <w:tcW w:w="495" w:type="dxa"/>
          </w:tcPr>
          <w:p w14:paraId="556499F1">
            <w:pPr>
              <w:pStyle w:val="29"/>
              <w:spacing w:line="165" w:lineRule="exact"/>
              <w:ind w:left="102" w:right="89"/>
              <w:jc w:val="center"/>
              <w:rPr>
                <w:sz w:val="16"/>
              </w:rPr>
            </w:pPr>
            <w:r>
              <w:rPr>
                <w:spacing w:val="-4"/>
                <w:sz w:val="16"/>
              </w:rPr>
              <w:t>1.31</w:t>
            </w:r>
          </w:p>
        </w:tc>
      </w:tr>
      <w:tr w14:paraId="21CCF4DF">
        <w:tblPrEx>
          <w:tblCellMar>
            <w:top w:w="0" w:type="dxa"/>
            <w:left w:w="0" w:type="dxa"/>
            <w:bottom w:w="0" w:type="dxa"/>
            <w:right w:w="0" w:type="dxa"/>
          </w:tblCellMar>
        </w:tblPrEx>
        <w:trPr>
          <w:trHeight w:val="183" w:hRule="atLeast"/>
        </w:trPr>
        <w:tc>
          <w:tcPr>
            <w:tcW w:w="704" w:type="dxa"/>
          </w:tcPr>
          <w:p w14:paraId="0A019AB2">
            <w:pPr>
              <w:pStyle w:val="29"/>
              <w:spacing w:line="164" w:lineRule="exact"/>
              <w:ind w:left="115"/>
              <w:rPr>
                <w:sz w:val="16"/>
              </w:rPr>
            </w:pPr>
            <w:r>
              <w:rPr>
                <w:spacing w:val="-5"/>
                <w:sz w:val="16"/>
              </w:rPr>
              <w:t>11</w:t>
            </w:r>
          </w:p>
        </w:tc>
        <w:tc>
          <w:tcPr>
            <w:tcW w:w="4614" w:type="dxa"/>
          </w:tcPr>
          <w:p w14:paraId="723141C5">
            <w:pPr>
              <w:pStyle w:val="29"/>
              <w:spacing w:line="164" w:lineRule="exact"/>
              <w:ind w:left="107"/>
              <w:rPr>
                <w:sz w:val="16"/>
              </w:rPr>
            </w:pPr>
            <w:r>
              <w:rPr>
                <w:sz w:val="16"/>
              </w:rPr>
              <w:t>Sanal</w:t>
            </w:r>
            <w:r>
              <w:rPr>
                <w:spacing w:val="-7"/>
                <w:sz w:val="16"/>
              </w:rPr>
              <w:t xml:space="preserve"> </w:t>
            </w:r>
            <w:r>
              <w:rPr>
                <w:sz w:val="16"/>
              </w:rPr>
              <w:t>rekreasyon</w:t>
            </w:r>
            <w:r>
              <w:rPr>
                <w:spacing w:val="-5"/>
                <w:sz w:val="16"/>
              </w:rPr>
              <w:t xml:space="preserve"> </w:t>
            </w:r>
            <w:r>
              <w:rPr>
                <w:sz w:val="16"/>
              </w:rPr>
              <w:t>faaliyetleri,</w:t>
            </w:r>
            <w:r>
              <w:rPr>
                <w:spacing w:val="-6"/>
                <w:sz w:val="16"/>
              </w:rPr>
              <w:t xml:space="preserve"> </w:t>
            </w:r>
            <w:r>
              <w:rPr>
                <w:sz w:val="16"/>
              </w:rPr>
              <w:t>kendimi</w:t>
            </w:r>
            <w:r>
              <w:rPr>
                <w:spacing w:val="-6"/>
                <w:sz w:val="16"/>
              </w:rPr>
              <w:t xml:space="preserve"> </w:t>
            </w:r>
            <w:r>
              <w:rPr>
                <w:sz w:val="16"/>
              </w:rPr>
              <w:t>ifade</w:t>
            </w:r>
            <w:r>
              <w:rPr>
                <w:spacing w:val="-8"/>
                <w:sz w:val="16"/>
              </w:rPr>
              <w:t xml:space="preserve"> </w:t>
            </w:r>
            <w:r>
              <w:rPr>
                <w:sz w:val="16"/>
              </w:rPr>
              <w:t>etme</w:t>
            </w:r>
            <w:r>
              <w:rPr>
                <w:spacing w:val="-3"/>
                <w:sz w:val="16"/>
              </w:rPr>
              <w:t xml:space="preserve"> </w:t>
            </w:r>
            <w:r>
              <w:rPr>
                <w:sz w:val="16"/>
              </w:rPr>
              <w:t>becerimi</w:t>
            </w:r>
            <w:r>
              <w:rPr>
                <w:spacing w:val="-5"/>
                <w:sz w:val="16"/>
              </w:rPr>
              <w:t xml:space="preserve"> </w:t>
            </w:r>
            <w:r>
              <w:rPr>
                <w:spacing w:val="-2"/>
                <w:sz w:val="16"/>
              </w:rPr>
              <w:t>geliştirir.</w:t>
            </w:r>
          </w:p>
        </w:tc>
        <w:tc>
          <w:tcPr>
            <w:tcW w:w="541" w:type="dxa"/>
          </w:tcPr>
          <w:p w14:paraId="7E79E252">
            <w:pPr>
              <w:pStyle w:val="29"/>
              <w:spacing w:line="164" w:lineRule="exact"/>
              <w:ind w:left="95" w:right="138"/>
              <w:jc w:val="center"/>
              <w:rPr>
                <w:sz w:val="16"/>
              </w:rPr>
            </w:pPr>
            <w:r>
              <w:rPr>
                <w:spacing w:val="-4"/>
                <w:sz w:val="16"/>
              </w:rPr>
              <w:t>14.7</w:t>
            </w:r>
          </w:p>
        </w:tc>
        <w:tc>
          <w:tcPr>
            <w:tcW w:w="449" w:type="dxa"/>
          </w:tcPr>
          <w:p w14:paraId="689C41B6">
            <w:pPr>
              <w:pStyle w:val="29"/>
              <w:spacing w:line="164" w:lineRule="exact"/>
              <w:ind w:left="62"/>
              <w:rPr>
                <w:sz w:val="16"/>
              </w:rPr>
            </w:pPr>
            <w:r>
              <w:rPr>
                <w:spacing w:val="-4"/>
                <w:sz w:val="16"/>
              </w:rPr>
              <w:t>22.5</w:t>
            </w:r>
          </w:p>
        </w:tc>
        <w:tc>
          <w:tcPr>
            <w:tcW w:w="541" w:type="dxa"/>
          </w:tcPr>
          <w:p w14:paraId="2C154228">
            <w:pPr>
              <w:pStyle w:val="29"/>
              <w:spacing w:line="164" w:lineRule="exact"/>
              <w:ind w:left="95" w:right="136"/>
              <w:jc w:val="center"/>
              <w:rPr>
                <w:sz w:val="16"/>
              </w:rPr>
            </w:pPr>
            <w:r>
              <w:rPr>
                <w:spacing w:val="-4"/>
                <w:sz w:val="16"/>
              </w:rPr>
              <w:t>18.7</w:t>
            </w:r>
          </w:p>
        </w:tc>
        <w:tc>
          <w:tcPr>
            <w:tcW w:w="450" w:type="dxa"/>
          </w:tcPr>
          <w:p w14:paraId="0A7DB457">
            <w:pPr>
              <w:pStyle w:val="29"/>
              <w:spacing w:line="164" w:lineRule="exact"/>
              <w:ind w:left="64"/>
              <w:rPr>
                <w:sz w:val="16"/>
              </w:rPr>
            </w:pPr>
            <w:r>
              <w:rPr>
                <w:spacing w:val="-5"/>
                <w:sz w:val="16"/>
              </w:rPr>
              <w:t>30</w:t>
            </w:r>
          </w:p>
        </w:tc>
        <w:tc>
          <w:tcPr>
            <w:tcW w:w="539" w:type="dxa"/>
          </w:tcPr>
          <w:p w14:paraId="1ABA582F">
            <w:pPr>
              <w:pStyle w:val="29"/>
              <w:spacing w:line="164" w:lineRule="exact"/>
              <w:ind w:left="99" w:right="131"/>
              <w:jc w:val="center"/>
              <w:rPr>
                <w:sz w:val="16"/>
              </w:rPr>
            </w:pPr>
            <w:r>
              <w:rPr>
                <w:spacing w:val="-4"/>
                <w:sz w:val="16"/>
              </w:rPr>
              <w:t>14.7</w:t>
            </w:r>
          </w:p>
        </w:tc>
        <w:tc>
          <w:tcPr>
            <w:tcW w:w="450" w:type="dxa"/>
          </w:tcPr>
          <w:p w14:paraId="4765177A">
            <w:pPr>
              <w:pStyle w:val="29"/>
              <w:spacing w:line="164" w:lineRule="exact"/>
              <w:ind w:left="56" w:right="90"/>
              <w:jc w:val="center"/>
              <w:rPr>
                <w:sz w:val="16"/>
              </w:rPr>
            </w:pPr>
            <w:r>
              <w:rPr>
                <w:spacing w:val="-4"/>
                <w:sz w:val="16"/>
              </w:rPr>
              <w:t>3.08</w:t>
            </w:r>
          </w:p>
        </w:tc>
        <w:tc>
          <w:tcPr>
            <w:tcW w:w="495" w:type="dxa"/>
          </w:tcPr>
          <w:p w14:paraId="74552689">
            <w:pPr>
              <w:pStyle w:val="29"/>
              <w:spacing w:line="164" w:lineRule="exact"/>
              <w:ind w:left="102" w:right="89"/>
              <w:jc w:val="center"/>
              <w:rPr>
                <w:sz w:val="16"/>
              </w:rPr>
            </w:pPr>
            <w:r>
              <w:rPr>
                <w:spacing w:val="-4"/>
                <w:sz w:val="16"/>
              </w:rPr>
              <w:t>1.29</w:t>
            </w:r>
          </w:p>
        </w:tc>
      </w:tr>
      <w:tr w14:paraId="29AF05CB">
        <w:tblPrEx>
          <w:tblCellMar>
            <w:top w:w="0" w:type="dxa"/>
            <w:left w:w="0" w:type="dxa"/>
            <w:bottom w:w="0" w:type="dxa"/>
            <w:right w:w="0" w:type="dxa"/>
          </w:tblCellMar>
        </w:tblPrEx>
        <w:trPr>
          <w:trHeight w:val="183" w:hRule="atLeast"/>
        </w:trPr>
        <w:tc>
          <w:tcPr>
            <w:tcW w:w="704" w:type="dxa"/>
          </w:tcPr>
          <w:p w14:paraId="70071AB6">
            <w:pPr>
              <w:pStyle w:val="29"/>
              <w:spacing w:line="164" w:lineRule="exact"/>
              <w:ind w:left="115"/>
              <w:rPr>
                <w:sz w:val="16"/>
              </w:rPr>
            </w:pPr>
            <w:r>
              <w:rPr>
                <w:spacing w:val="-5"/>
                <w:sz w:val="16"/>
              </w:rPr>
              <w:t>12</w:t>
            </w:r>
          </w:p>
        </w:tc>
        <w:tc>
          <w:tcPr>
            <w:tcW w:w="4614" w:type="dxa"/>
          </w:tcPr>
          <w:p w14:paraId="4FB1C1F6">
            <w:pPr>
              <w:pStyle w:val="29"/>
              <w:spacing w:line="164" w:lineRule="exact"/>
              <w:ind w:left="107"/>
              <w:rPr>
                <w:sz w:val="16"/>
              </w:rPr>
            </w:pPr>
            <w:r>
              <w:rPr>
                <w:sz w:val="16"/>
              </w:rPr>
              <w:t>Sanal</w:t>
            </w:r>
            <w:r>
              <w:rPr>
                <w:spacing w:val="-9"/>
                <w:sz w:val="16"/>
              </w:rPr>
              <w:t xml:space="preserve"> </w:t>
            </w:r>
            <w:r>
              <w:rPr>
                <w:sz w:val="16"/>
              </w:rPr>
              <w:t>rekreasyon</w:t>
            </w:r>
            <w:r>
              <w:rPr>
                <w:spacing w:val="-8"/>
                <w:sz w:val="16"/>
              </w:rPr>
              <w:t xml:space="preserve"> </w:t>
            </w:r>
            <w:r>
              <w:rPr>
                <w:sz w:val="16"/>
              </w:rPr>
              <w:t>faaliyetleri,</w:t>
            </w:r>
            <w:r>
              <w:rPr>
                <w:spacing w:val="-7"/>
                <w:sz w:val="16"/>
              </w:rPr>
              <w:t xml:space="preserve"> </w:t>
            </w:r>
            <w:r>
              <w:rPr>
                <w:sz w:val="16"/>
              </w:rPr>
              <w:t>duygusal</w:t>
            </w:r>
            <w:r>
              <w:rPr>
                <w:spacing w:val="-8"/>
                <w:sz w:val="16"/>
              </w:rPr>
              <w:t xml:space="preserve"> </w:t>
            </w:r>
            <w:r>
              <w:rPr>
                <w:sz w:val="16"/>
              </w:rPr>
              <w:t>yönden</w:t>
            </w:r>
            <w:r>
              <w:rPr>
                <w:spacing w:val="-7"/>
                <w:sz w:val="16"/>
              </w:rPr>
              <w:t xml:space="preserve"> </w:t>
            </w:r>
            <w:r>
              <w:rPr>
                <w:sz w:val="16"/>
              </w:rPr>
              <w:t>gelişmemi</w:t>
            </w:r>
            <w:r>
              <w:rPr>
                <w:spacing w:val="-7"/>
                <w:sz w:val="16"/>
              </w:rPr>
              <w:t xml:space="preserve"> </w:t>
            </w:r>
            <w:r>
              <w:rPr>
                <w:spacing w:val="-2"/>
                <w:sz w:val="16"/>
              </w:rPr>
              <w:t>sağlar.</w:t>
            </w:r>
          </w:p>
        </w:tc>
        <w:tc>
          <w:tcPr>
            <w:tcW w:w="541" w:type="dxa"/>
          </w:tcPr>
          <w:p w14:paraId="06BC1B49">
            <w:pPr>
              <w:pStyle w:val="29"/>
              <w:spacing w:line="164" w:lineRule="exact"/>
              <w:ind w:left="95" w:right="138"/>
              <w:jc w:val="center"/>
              <w:rPr>
                <w:sz w:val="16"/>
              </w:rPr>
            </w:pPr>
            <w:r>
              <w:rPr>
                <w:spacing w:val="-4"/>
                <w:sz w:val="16"/>
              </w:rPr>
              <w:t>15.8</w:t>
            </w:r>
          </w:p>
        </w:tc>
        <w:tc>
          <w:tcPr>
            <w:tcW w:w="449" w:type="dxa"/>
          </w:tcPr>
          <w:p w14:paraId="489ED152">
            <w:pPr>
              <w:pStyle w:val="29"/>
              <w:spacing w:line="164" w:lineRule="exact"/>
              <w:ind w:left="62"/>
              <w:rPr>
                <w:sz w:val="16"/>
              </w:rPr>
            </w:pPr>
            <w:r>
              <w:rPr>
                <w:spacing w:val="-4"/>
                <w:sz w:val="16"/>
              </w:rPr>
              <w:t>21.5</w:t>
            </w:r>
          </w:p>
        </w:tc>
        <w:tc>
          <w:tcPr>
            <w:tcW w:w="541" w:type="dxa"/>
          </w:tcPr>
          <w:p w14:paraId="64FC983E">
            <w:pPr>
              <w:pStyle w:val="29"/>
              <w:spacing w:line="164" w:lineRule="exact"/>
              <w:ind w:left="95" w:right="136"/>
              <w:jc w:val="center"/>
              <w:rPr>
                <w:sz w:val="16"/>
              </w:rPr>
            </w:pPr>
            <w:r>
              <w:rPr>
                <w:spacing w:val="-4"/>
                <w:sz w:val="16"/>
              </w:rPr>
              <w:t>17.8</w:t>
            </w:r>
          </w:p>
        </w:tc>
        <w:tc>
          <w:tcPr>
            <w:tcW w:w="450" w:type="dxa"/>
          </w:tcPr>
          <w:p w14:paraId="7BCE4C5A">
            <w:pPr>
              <w:pStyle w:val="29"/>
              <w:spacing w:line="164" w:lineRule="exact"/>
              <w:ind w:left="64"/>
              <w:rPr>
                <w:sz w:val="16"/>
              </w:rPr>
            </w:pPr>
            <w:r>
              <w:rPr>
                <w:spacing w:val="-5"/>
                <w:sz w:val="16"/>
              </w:rPr>
              <w:t>29</w:t>
            </w:r>
          </w:p>
        </w:tc>
        <w:tc>
          <w:tcPr>
            <w:tcW w:w="539" w:type="dxa"/>
          </w:tcPr>
          <w:p w14:paraId="36E81C58">
            <w:pPr>
              <w:pStyle w:val="29"/>
              <w:spacing w:line="164" w:lineRule="exact"/>
              <w:ind w:left="99" w:right="131"/>
              <w:jc w:val="center"/>
              <w:rPr>
                <w:sz w:val="16"/>
              </w:rPr>
            </w:pPr>
            <w:r>
              <w:rPr>
                <w:spacing w:val="-4"/>
                <w:sz w:val="16"/>
              </w:rPr>
              <w:t>15.8</w:t>
            </w:r>
          </w:p>
        </w:tc>
        <w:tc>
          <w:tcPr>
            <w:tcW w:w="450" w:type="dxa"/>
          </w:tcPr>
          <w:p w14:paraId="25F6CDC9">
            <w:pPr>
              <w:pStyle w:val="29"/>
              <w:spacing w:line="164" w:lineRule="exact"/>
              <w:ind w:left="56" w:right="90"/>
              <w:jc w:val="center"/>
              <w:rPr>
                <w:sz w:val="16"/>
              </w:rPr>
            </w:pPr>
            <w:r>
              <w:rPr>
                <w:spacing w:val="-4"/>
                <w:sz w:val="16"/>
              </w:rPr>
              <w:t>3.07</w:t>
            </w:r>
          </w:p>
        </w:tc>
        <w:tc>
          <w:tcPr>
            <w:tcW w:w="495" w:type="dxa"/>
          </w:tcPr>
          <w:p w14:paraId="0AE2198D">
            <w:pPr>
              <w:pStyle w:val="29"/>
              <w:spacing w:line="164" w:lineRule="exact"/>
              <w:ind w:left="102" w:right="89"/>
              <w:jc w:val="center"/>
              <w:rPr>
                <w:sz w:val="16"/>
              </w:rPr>
            </w:pPr>
            <w:r>
              <w:rPr>
                <w:spacing w:val="-4"/>
                <w:sz w:val="16"/>
              </w:rPr>
              <w:t>1.33</w:t>
            </w:r>
          </w:p>
        </w:tc>
      </w:tr>
      <w:tr w14:paraId="77293775">
        <w:tblPrEx>
          <w:tblCellMar>
            <w:top w:w="0" w:type="dxa"/>
            <w:left w:w="0" w:type="dxa"/>
            <w:bottom w:w="0" w:type="dxa"/>
            <w:right w:w="0" w:type="dxa"/>
          </w:tblCellMar>
        </w:tblPrEx>
        <w:trPr>
          <w:trHeight w:val="368" w:hRule="atLeast"/>
        </w:trPr>
        <w:tc>
          <w:tcPr>
            <w:tcW w:w="704" w:type="dxa"/>
          </w:tcPr>
          <w:p w14:paraId="44B0EA7E">
            <w:pPr>
              <w:pStyle w:val="29"/>
              <w:spacing w:line="181" w:lineRule="exact"/>
              <w:ind w:left="115"/>
              <w:rPr>
                <w:sz w:val="16"/>
              </w:rPr>
            </w:pPr>
            <w:r>
              <w:rPr>
                <w:spacing w:val="-5"/>
                <w:sz w:val="16"/>
              </w:rPr>
              <w:t>13</w:t>
            </w:r>
          </w:p>
        </w:tc>
        <w:tc>
          <w:tcPr>
            <w:tcW w:w="4614" w:type="dxa"/>
          </w:tcPr>
          <w:p w14:paraId="74831D96">
            <w:pPr>
              <w:pStyle w:val="29"/>
              <w:spacing w:line="181" w:lineRule="exact"/>
              <w:ind w:left="107"/>
              <w:rPr>
                <w:sz w:val="16"/>
              </w:rPr>
            </w:pPr>
            <w:r>
              <w:rPr>
                <w:sz w:val="16"/>
              </w:rPr>
              <w:t>Sanal</w:t>
            </w:r>
            <w:r>
              <w:rPr>
                <w:spacing w:val="72"/>
                <w:w w:val="150"/>
                <w:sz w:val="16"/>
              </w:rPr>
              <w:t xml:space="preserve"> </w:t>
            </w:r>
            <w:r>
              <w:rPr>
                <w:sz w:val="16"/>
              </w:rPr>
              <w:t>rekreasyon</w:t>
            </w:r>
            <w:r>
              <w:rPr>
                <w:spacing w:val="75"/>
                <w:w w:val="150"/>
                <w:sz w:val="16"/>
              </w:rPr>
              <w:t xml:space="preserve"> </w:t>
            </w:r>
            <w:r>
              <w:rPr>
                <w:sz w:val="16"/>
              </w:rPr>
              <w:t>faaliyetleri,</w:t>
            </w:r>
            <w:r>
              <w:rPr>
                <w:spacing w:val="73"/>
                <w:w w:val="150"/>
                <w:sz w:val="16"/>
              </w:rPr>
              <w:t xml:space="preserve"> </w:t>
            </w:r>
            <w:r>
              <w:rPr>
                <w:sz w:val="16"/>
              </w:rPr>
              <w:t>toplum</w:t>
            </w:r>
            <w:r>
              <w:rPr>
                <w:spacing w:val="74"/>
                <w:w w:val="150"/>
                <w:sz w:val="16"/>
              </w:rPr>
              <w:t xml:space="preserve"> </w:t>
            </w:r>
            <w:r>
              <w:rPr>
                <w:sz w:val="16"/>
              </w:rPr>
              <w:t>içerisinde</w:t>
            </w:r>
            <w:r>
              <w:rPr>
                <w:spacing w:val="72"/>
                <w:w w:val="150"/>
                <w:sz w:val="16"/>
              </w:rPr>
              <w:t xml:space="preserve"> </w:t>
            </w:r>
            <w:r>
              <w:rPr>
                <w:spacing w:val="-2"/>
                <w:sz w:val="16"/>
              </w:rPr>
              <w:t>karşılaştığım</w:t>
            </w:r>
          </w:p>
          <w:p w14:paraId="357C71D3">
            <w:pPr>
              <w:pStyle w:val="29"/>
              <w:spacing w:before="1" w:line="166" w:lineRule="exact"/>
              <w:ind w:left="107"/>
              <w:rPr>
                <w:sz w:val="16"/>
              </w:rPr>
            </w:pPr>
            <w:r>
              <w:rPr>
                <w:sz w:val="16"/>
              </w:rPr>
              <w:t>sorunları</w:t>
            </w:r>
            <w:r>
              <w:rPr>
                <w:spacing w:val="-9"/>
                <w:sz w:val="16"/>
              </w:rPr>
              <w:t xml:space="preserve"> </w:t>
            </w:r>
            <w:r>
              <w:rPr>
                <w:sz w:val="16"/>
              </w:rPr>
              <w:t>çözmemde</w:t>
            </w:r>
            <w:r>
              <w:rPr>
                <w:spacing w:val="-8"/>
                <w:sz w:val="16"/>
              </w:rPr>
              <w:t xml:space="preserve"> </w:t>
            </w:r>
            <w:r>
              <w:rPr>
                <w:sz w:val="16"/>
              </w:rPr>
              <w:t>yardımcı</w:t>
            </w:r>
            <w:r>
              <w:rPr>
                <w:spacing w:val="-5"/>
                <w:sz w:val="16"/>
              </w:rPr>
              <w:t xml:space="preserve"> </w:t>
            </w:r>
            <w:r>
              <w:rPr>
                <w:spacing w:val="-4"/>
                <w:sz w:val="16"/>
              </w:rPr>
              <w:t>olur.</w:t>
            </w:r>
          </w:p>
        </w:tc>
        <w:tc>
          <w:tcPr>
            <w:tcW w:w="541" w:type="dxa"/>
          </w:tcPr>
          <w:p w14:paraId="35E6178F">
            <w:pPr>
              <w:pStyle w:val="29"/>
              <w:spacing w:line="181" w:lineRule="exact"/>
              <w:ind w:left="95" w:right="138"/>
              <w:jc w:val="center"/>
              <w:rPr>
                <w:sz w:val="16"/>
              </w:rPr>
            </w:pPr>
            <w:r>
              <w:rPr>
                <w:spacing w:val="-4"/>
                <w:sz w:val="16"/>
              </w:rPr>
              <w:t>14.5</w:t>
            </w:r>
          </w:p>
        </w:tc>
        <w:tc>
          <w:tcPr>
            <w:tcW w:w="449" w:type="dxa"/>
          </w:tcPr>
          <w:p w14:paraId="78D2A1C9">
            <w:pPr>
              <w:pStyle w:val="29"/>
              <w:spacing w:line="181" w:lineRule="exact"/>
              <w:ind w:left="62"/>
              <w:rPr>
                <w:sz w:val="16"/>
              </w:rPr>
            </w:pPr>
            <w:r>
              <w:rPr>
                <w:spacing w:val="-4"/>
                <w:sz w:val="16"/>
              </w:rPr>
              <w:t>22.5</w:t>
            </w:r>
          </w:p>
        </w:tc>
        <w:tc>
          <w:tcPr>
            <w:tcW w:w="541" w:type="dxa"/>
          </w:tcPr>
          <w:p w14:paraId="0B55CA50">
            <w:pPr>
              <w:pStyle w:val="29"/>
              <w:spacing w:line="181" w:lineRule="exact"/>
              <w:ind w:left="95" w:right="136"/>
              <w:jc w:val="center"/>
              <w:rPr>
                <w:sz w:val="16"/>
              </w:rPr>
            </w:pPr>
            <w:r>
              <w:rPr>
                <w:spacing w:val="-4"/>
                <w:sz w:val="16"/>
              </w:rPr>
              <w:t>21.7</w:t>
            </w:r>
          </w:p>
        </w:tc>
        <w:tc>
          <w:tcPr>
            <w:tcW w:w="450" w:type="dxa"/>
          </w:tcPr>
          <w:p w14:paraId="3B046F92">
            <w:pPr>
              <w:pStyle w:val="29"/>
              <w:spacing w:line="181" w:lineRule="exact"/>
              <w:ind w:left="64"/>
              <w:rPr>
                <w:sz w:val="16"/>
              </w:rPr>
            </w:pPr>
            <w:r>
              <w:rPr>
                <w:spacing w:val="-4"/>
                <w:sz w:val="16"/>
              </w:rPr>
              <w:t>27.3</w:t>
            </w:r>
          </w:p>
        </w:tc>
        <w:tc>
          <w:tcPr>
            <w:tcW w:w="539" w:type="dxa"/>
          </w:tcPr>
          <w:p w14:paraId="12067D49">
            <w:pPr>
              <w:pStyle w:val="29"/>
              <w:spacing w:line="181" w:lineRule="exact"/>
              <w:ind w:left="99" w:right="250"/>
              <w:jc w:val="center"/>
              <w:rPr>
                <w:sz w:val="16"/>
              </w:rPr>
            </w:pPr>
            <w:r>
              <w:rPr>
                <w:spacing w:val="-5"/>
                <w:sz w:val="16"/>
              </w:rPr>
              <w:t>14</w:t>
            </w:r>
          </w:p>
        </w:tc>
        <w:tc>
          <w:tcPr>
            <w:tcW w:w="450" w:type="dxa"/>
          </w:tcPr>
          <w:p w14:paraId="549B9962">
            <w:pPr>
              <w:pStyle w:val="29"/>
              <w:spacing w:line="181" w:lineRule="exact"/>
              <w:ind w:left="56" w:right="90"/>
              <w:jc w:val="center"/>
              <w:rPr>
                <w:sz w:val="16"/>
              </w:rPr>
            </w:pPr>
            <w:r>
              <w:rPr>
                <w:spacing w:val="-4"/>
                <w:sz w:val="16"/>
              </w:rPr>
              <w:t>3.03</w:t>
            </w:r>
          </w:p>
        </w:tc>
        <w:tc>
          <w:tcPr>
            <w:tcW w:w="495" w:type="dxa"/>
          </w:tcPr>
          <w:p w14:paraId="1B59EEA5">
            <w:pPr>
              <w:pStyle w:val="29"/>
              <w:spacing w:line="181" w:lineRule="exact"/>
              <w:ind w:left="102" w:right="89"/>
              <w:jc w:val="center"/>
              <w:rPr>
                <w:sz w:val="16"/>
              </w:rPr>
            </w:pPr>
            <w:r>
              <w:rPr>
                <w:spacing w:val="-4"/>
                <w:sz w:val="16"/>
              </w:rPr>
              <w:t>1.28</w:t>
            </w:r>
          </w:p>
        </w:tc>
      </w:tr>
      <w:tr w14:paraId="490A98EB">
        <w:tblPrEx>
          <w:tblCellMar>
            <w:top w:w="0" w:type="dxa"/>
            <w:left w:w="0" w:type="dxa"/>
            <w:bottom w:w="0" w:type="dxa"/>
            <w:right w:w="0" w:type="dxa"/>
          </w:tblCellMar>
        </w:tblPrEx>
        <w:trPr>
          <w:trHeight w:val="183" w:hRule="atLeast"/>
        </w:trPr>
        <w:tc>
          <w:tcPr>
            <w:tcW w:w="704" w:type="dxa"/>
          </w:tcPr>
          <w:p w14:paraId="0C2F4C00">
            <w:pPr>
              <w:pStyle w:val="29"/>
              <w:spacing w:line="164" w:lineRule="exact"/>
              <w:ind w:left="115"/>
              <w:rPr>
                <w:sz w:val="16"/>
              </w:rPr>
            </w:pPr>
            <w:r>
              <w:rPr>
                <w:spacing w:val="-5"/>
                <w:sz w:val="16"/>
              </w:rPr>
              <w:t>14</w:t>
            </w:r>
          </w:p>
        </w:tc>
        <w:tc>
          <w:tcPr>
            <w:tcW w:w="4614" w:type="dxa"/>
          </w:tcPr>
          <w:p w14:paraId="248AED9F">
            <w:pPr>
              <w:pStyle w:val="29"/>
              <w:spacing w:line="164" w:lineRule="exact"/>
              <w:ind w:left="107"/>
              <w:rPr>
                <w:sz w:val="16"/>
              </w:rPr>
            </w:pPr>
            <w:r>
              <w:rPr>
                <w:sz w:val="16"/>
              </w:rPr>
              <w:t>Sanal</w:t>
            </w:r>
            <w:r>
              <w:rPr>
                <w:spacing w:val="-8"/>
                <w:sz w:val="16"/>
              </w:rPr>
              <w:t xml:space="preserve"> </w:t>
            </w:r>
            <w:r>
              <w:rPr>
                <w:sz w:val="16"/>
              </w:rPr>
              <w:t>rekreasyon</w:t>
            </w:r>
            <w:r>
              <w:rPr>
                <w:spacing w:val="-7"/>
                <w:sz w:val="16"/>
              </w:rPr>
              <w:t xml:space="preserve"> </w:t>
            </w:r>
            <w:r>
              <w:rPr>
                <w:sz w:val="16"/>
              </w:rPr>
              <w:t>faaliyetleri,</w:t>
            </w:r>
            <w:r>
              <w:rPr>
                <w:spacing w:val="-6"/>
                <w:sz w:val="16"/>
              </w:rPr>
              <w:t xml:space="preserve"> </w:t>
            </w:r>
            <w:r>
              <w:rPr>
                <w:sz w:val="16"/>
              </w:rPr>
              <w:t>yeni</w:t>
            </w:r>
            <w:r>
              <w:rPr>
                <w:spacing w:val="-6"/>
                <w:sz w:val="16"/>
              </w:rPr>
              <w:t xml:space="preserve"> </w:t>
            </w:r>
            <w:r>
              <w:rPr>
                <w:sz w:val="16"/>
              </w:rPr>
              <w:t>arkadaşlar</w:t>
            </w:r>
            <w:r>
              <w:rPr>
                <w:spacing w:val="-8"/>
                <w:sz w:val="16"/>
              </w:rPr>
              <w:t xml:space="preserve"> </w:t>
            </w:r>
            <w:r>
              <w:rPr>
                <w:sz w:val="16"/>
              </w:rPr>
              <w:t>edinmemi</w:t>
            </w:r>
            <w:r>
              <w:rPr>
                <w:spacing w:val="-6"/>
                <w:sz w:val="16"/>
              </w:rPr>
              <w:t xml:space="preserve"> </w:t>
            </w:r>
            <w:r>
              <w:rPr>
                <w:spacing w:val="-2"/>
                <w:sz w:val="16"/>
              </w:rPr>
              <w:t>sağlar.</w:t>
            </w:r>
          </w:p>
        </w:tc>
        <w:tc>
          <w:tcPr>
            <w:tcW w:w="541" w:type="dxa"/>
          </w:tcPr>
          <w:p w14:paraId="5C90B91F">
            <w:pPr>
              <w:pStyle w:val="29"/>
              <w:spacing w:line="164" w:lineRule="exact"/>
              <w:ind w:left="95" w:right="138"/>
              <w:jc w:val="center"/>
              <w:rPr>
                <w:sz w:val="16"/>
              </w:rPr>
            </w:pPr>
            <w:r>
              <w:rPr>
                <w:spacing w:val="-4"/>
                <w:sz w:val="16"/>
              </w:rPr>
              <w:t>15.9</w:t>
            </w:r>
          </w:p>
        </w:tc>
        <w:tc>
          <w:tcPr>
            <w:tcW w:w="449" w:type="dxa"/>
          </w:tcPr>
          <w:p w14:paraId="70161330">
            <w:pPr>
              <w:pStyle w:val="29"/>
              <w:spacing w:line="164" w:lineRule="exact"/>
              <w:ind w:left="62"/>
              <w:rPr>
                <w:sz w:val="16"/>
              </w:rPr>
            </w:pPr>
            <w:r>
              <w:rPr>
                <w:spacing w:val="-4"/>
                <w:sz w:val="16"/>
              </w:rPr>
              <w:t>20.9</w:t>
            </w:r>
          </w:p>
        </w:tc>
        <w:tc>
          <w:tcPr>
            <w:tcW w:w="541" w:type="dxa"/>
          </w:tcPr>
          <w:p w14:paraId="53905648">
            <w:pPr>
              <w:pStyle w:val="29"/>
              <w:spacing w:line="164" w:lineRule="exact"/>
              <w:ind w:left="95" w:right="254"/>
              <w:jc w:val="center"/>
              <w:rPr>
                <w:sz w:val="16"/>
              </w:rPr>
            </w:pPr>
            <w:r>
              <w:rPr>
                <w:spacing w:val="-5"/>
                <w:sz w:val="16"/>
              </w:rPr>
              <w:t>22</w:t>
            </w:r>
          </w:p>
        </w:tc>
        <w:tc>
          <w:tcPr>
            <w:tcW w:w="450" w:type="dxa"/>
          </w:tcPr>
          <w:p w14:paraId="6F761B9B">
            <w:pPr>
              <w:pStyle w:val="29"/>
              <w:spacing w:line="164" w:lineRule="exact"/>
              <w:ind w:left="64"/>
              <w:rPr>
                <w:sz w:val="16"/>
              </w:rPr>
            </w:pPr>
            <w:r>
              <w:rPr>
                <w:spacing w:val="-4"/>
                <w:sz w:val="16"/>
              </w:rPr>
              <w:t>24.2</w:t>
            </w:r>
          </w:p>
        </w:tc>
        <w:tc>
          <w:tcPr>
            <w:tcW w:w="539" w:type="dxa"/>
          </w:tcPr>
          <w:p w14:paraId="101067A8">
            <w:pPr>
              <w:pStyle w:val="29"/>
              <w:spacing w:line="164" w:lineRule="exact"/>
              <w:ind w:left="99" w:right="250"/>
              <w:jc w:val="center"/>
              <w:rPr>
                <w:sz w:val="16"/>
              </w:rPr>
            </w:pPr>
            <w:r>
              <w:rPr>
                <w:spacing w:val="-5"/>
                <w:sz w:val="16"/>
              </w:rPr>
              <w:t>17</w:t>
            </w:r>
          </w:p>
        </w:tc>
        <w:tc>
          <w:tcPr>
            <w:tcW w:w="450" w:type="dxa"/>
          </w:tcPr>
          <w:p w14:paraId="2F7C5E99">
            <w:pPr>
              <w:pStyle w:val="29"/>
              <w:spacing w:line="164" w:lineRule="exact"/>
              <w:ind w:left="56" w:right="90"/>
              <w:jc w:val="center"/>
              <w:rPr>
                <w:sz w:val="16"/>
              </w:rPr>
            </w:pPr>
            <w:r>
              <w:rPr>
                <w:spacing w:val="-4"/>
                <w:sz w:val="16"/>
              </w:rPr>
              <w:t>3.05</w:t>
            </w:r>
          </w:p>
        </w:tc>
        <w:tc>
          <w:tcPr>
            <w:tcW w:w="495" w:type="dxa"/>
          </w:tcPr>
          <w:p w14:paraId="5DDBA97A">
            <w:pPr>
              <w:pStyle w:val="29"/>
              <w:spacing w:line="164" w:lineRule="exact"/>
              <w:ind w:left="102" w:right="89"/>
              <w:jc w:val="center"/>
              <w:rPr>
                <w:sz w:val="16"/>
              </w:rPr>
            </w:pPr>
            <w:r>
              <w:rPr>
                <w:spacing w:val="-4"/>
                <w:sz w:val="16"/>
              </w:rPr>
              <w:t>1.32</w:t>
            </w:r>
          </w:p>
        </w:tc>
      </w:tr>
      <w:tr w14:paraId="09DA2A19">
        <w:tblPrEx>
          <w:tblCellMar>
            <w:top w:w="0" w:type="dxa"/>
            <w:left w:w="0" w:type="dxa"/>
            <w:bottom w:w="0" w:type="dxa"/>
            <w:right w:w="0" w:type="dxa"/>
          </w:tblCellMar>
        </w:tblPrEx>
        <w:trPr>
          <w:trHeight w:val="368" w:hRule="atLeast"/>
        </w:trPr>
        <w:tc>
          <w:tcPr>
            <w:tcW w:w="704" w:type="dxa"/>
          </w:tcPr>
          <w:p w14:paraId="5458602F">
            <w:pPr>
              <w:pStyle w:val="29"/>
              <w:spacing w:line="181" w:lineRule="exact"/>
              <w:ind w:left="115"/>
              <w:rPr>
                <w:sz w:val="16"/>
              </w:rPr>
            </w:pPr>
            <w:r>
              <w:rPr>
                <w:spacing w:val="-5"/>
                <w:sz w:val="16"/>
              </w:rPr>
              <w:t>15</w:t>
            </w:r>
          </w:p>
        </w:tc>
        <w:tc>
          <w:tcPr>
            <w:tcW w:w="4614" w:type="dxa"/>
          </w:tcPr>
          <w:p w14:paraId="6F3D7A83">
            <w:pPr>
              <w:pStyle w:val="29"/>
              <w:tabs>
                <w:tab w:val="left" w:pos="1565"/>
                <w:tab w:val="left" w:pos="2495"/>
              </w:tabs>
              <w:spacing w:line="181" w:lineRule="exact"/>
              <w:ind w:left="107"/>
              <w:rPr>
                <w:sz w:val="16"/>
              </w:rPr>
            </w:pPr>
            <w:r>
              <w:rPr>
                <w:sz w:val="16"/>
              </w:rPr>
              <w:t>Sanal</w:t>
            </w:r>
            <w:r>
              <w:rPr>
                <w:spacing w:val="56"/>
                <w:sz w:val="16"/>
              </w:rPr>
              <w:t xml:space="preserve">  </w:t>
            </w:r>
            <w:r>
              <w:rPr>
                <w:spacing w:val="-2"/>
                <w:sz w:val="16"/>
              </w:rPr>
              <w:t>rekreasyon</w:t>
            </w:r>
            <w:r>
              <w:rPr>
                <w:sz w:val="16"/>
              </w:rPr>
              <w:tab/>
            </w:r>
            <w:r>
              <w:rPr>
                <w:spacing w:val="-2"/>
                <w:sz w:val="16"/>
              </w:rPr>
              <w:t>faaliyetleri,</w:t>
            </w:r>
            <w:r>
              <w:rPr>
                <w:sz w:val="16"/>
              </w:rPr>
              <w:tab/>
            </w:r>
            <w:r>
              <w:rPr>
                <w:sz w:val="16"/>
              </w:rPr>
              <w:t>takım</w:t>
            </w:r>
            <w:r>
              <w:rPr>
                <w:spacing w:val="56"/>
                <w:sz w:val="16"/>
              </w:rPr>
              <w:t xml:space="preserve">  </w:t>
            </w:r>
            <w:r>
              <w:rPr>
                <w:sz w:val="16"/>
              </w:rPr>
              <w:t>çalışması</w:t>
            </w:r>
            <w:r>
              <w:rPr>
                <w:spacing w:val="57"/>
                <w:sz w:val="16"/>
              </w:rPr>
              <w:t xml:space="preserve">  </w:t>
            </w:r>
            <w:r>
              <w:rPr>
                <w:spacing w:val="-2"/>
                <w:sz w:val="16"/>
              </w:rPr>
              <w:t>kavramını</w:t>
            </w:r>
          </w:p>
          <w:p w14:paraId="729E1080">
            <w:pPr>
              <w:pStyle w:val="29"/>
              <w:spacing w:before="1" w:line="166" w:lineRule="exact"/>
              <w:ind w:left="107"/>
              <w:rPr>
                <w:sz w:val="16"/>
              </w:rPr>
            </w:pPr>
            <w:r>
              <w:rPr>
                <w:sz w:val="16"/>
              </w:rPr>
              <w:t>oluşturmama</w:t>
            </w:r>
            <w:r>
              <w:rPr>
                <w:spacing w:val="-8"/>
                <w:sz w:val="16"/>
              </w:rPr>
              <w:t xml:space="preserve"> </w:t>
            </w:r>
            <w:r>
              <w:rPr>
                <w:sz w:val="16"/>
              </w:rPr>
              <w:t>yardımcı</w:t>
            </w:r>
            <w:r>
              <w:rPr>
                <w:spacing w:val="-8"/>
                <w:sz w:val="16"/>
              </w:rPr>
              <w:t xml:space="preserve"> </w:t>
            </w:r>
            <w:r>
              <w:rPr>
                <w:spacing w:val="-4"/>
                <w:sz w:val="16"/>
              </w:rPr>
              <w:t>olur.</w:t>
            </w:r>
          </w:p>
        </w:tc>
        <w:tc>
          <w:tcPr>
            <w:tcW w:w="541" w:type="dxa"/>
          </w:tcPr>
          <w:p w14:paraId="721F373F">
            <w:pPr>
              <w:pStyle w:val="29"/>
              <w:spacing w:line="181" w:lineRule="exact"/>
              <w:ind w:left="94" w:right="255"/>
              <w:jc w:val="center"/>
              <w:rPr>
                <w:sz w:val="16"/>
              </w:rPr>
            </w:pPr>
            <w:r>
              <w:rPr>
                <w:spacing w:val="-5"/>
                <w:sz w:val="16"/>
              </w:rPr>
              <w:t>15</w:t>
            </w:r>
          </w:p>
        </w:tc>
        <w:tc>
          <w:tcPr>
            <w:tcW w:w="449" w:type="dxa"/>
          </w:tcPr>
          <w:p w14:paraId="626A0503">
            <w:pPr>
              <w:pStyle w:val="29"/>
              <w:spacing w:line="181" w:lineRule="exact"/>
              <w:ind w:left="62"/>
              <w:rPr>
                <w:sz w:val="16"/>
              </w:rPr>
            </w:pPr>
            <w:r>
              <w:rPr>
                <w:spacing w:val="-4"/>
                <w:sz w:val="16"/>
              </w:rPr>
              <w:t>22.3</w:t>
            </w:r>
          </w:p>
        </w:tc>
        <w:tc>
          <w:tcPr>
            <w:tcW w:w="541" w:type="dxa"/>
          </w:tcPr>
          <w:p w14:paraId="3714043D">
            <w:pPr>
              <w:pStyle w:val="29"/>
              <w:spacing w:line="181" w:lineRule="exact"/>
              <w:ind w:left="95" w:right="136"/>
              <w:jc w:val="center"/>
              <w:rPr>
                <w:sz w:val="16"/>
              </w:rPr>
            </w:pPr>
            <w:r>
              <w:rPr>
                <w:spacing w:val="-4"/>
                <w:sz w:val="16"/>
              </w:rPr>
              <w:t>23.1</w:t>
            </w:r>
          </w:p>
        </w:tc>
        <w:tc>
          <w:tcPr>
            <w:tcW w:w="450" w:type="dxa"/>
          </w:tcPr>
          <w:p w14:paraId="10EE4D7D">
            <w:pPr>
              <w:pStyle w:val="29"/>
              <w:spacing w:line="181" w:lineRule="exact"/>
              <w:ind w:left="64"/>
              <w:rPr>
                <w:sz w:val="16"/>
              </w:rPr>
            </w:pPr>
            <w:r>
              <w:rPr>
                <w:spacing w:val="-5"/>
                <w:sz w:val="16"/>
              </w:rPr>
              <w:t>25</w:t>
            </w:r>
          </w:p>
        </w:tc>
        <w:tc>
          <w:tcPr>
            <w:tcW w:w="539" w:type="dxa"/>
          </w:tcPr>
          <w:p w14:paraId="3FB67B75">
            <w:pPr>
              <w:pStyle w:val="29"/>
              <w:spacing w:line="181" w:lineRule="exact"/>
              <w:ind w:left="99" w:right="131"/>
              <w:jc w:val="center"/>
              <w:rPr>
                <w:sz w:val="16"/>
              </w:rPr>
            </w:pPr>
            <w:r>
              <w:rPr>
                <w:spacing w:val="-4"/>
                <w:sz w:val="16"/>
              </w:rPr>
              <w:t>14.7</w:t>
            </w:r>
          </w:p>
        </w:tc>
        <w:tc>
          <w:tcPr>
            <w:tcW w:w="450" w:type="dxa"/>
          </w:tcPr>
          <w:p w14:paraId="4A8F0480">
            <w:pPr>
              <w:pStyle w:val="29"/>
              <w:spacing w:line="181" w:lineRule="exact"/>
              <w:ind w:left="56" w:right="90"/>
              <w:jc w:val="center"/>
              <w:rPr>
                <w:sz w:val="16"/>
              </w:rPr>
            </w:pPr>
            <w:r>
              <w:rPr>
                <w:spacing w:val="-4"/>
                <w:sz w:val="16"/>
              </w:rPr>
              <w:t>3.02</w:t>
            </w:r>
          </w:p>
        </w:tc>
        <w:tc>
          <w:tcPr>
            <w:tcW w:w="495" w:type="dxa"/>
          </w:tcPr>
          <w:p w14:paraId="4572D99B">
            <w:pPr>
              <w:pStyle w:val="29"/>
              <w:spacing w:line="181" w:lineRule="exact"/>
              <w:ind w:left="102" w:right="89"/>
              <w:jc w:val="center"/>
              <w:rPr>
                <w:sz w:val="16"/>
              </w:rPr>
            </w:pPr>
            <w:r>
              <w:rPr>
                <w:spacing w:val="-4"/>
                <w:sz w:val="16"/>
              </w:rPr>
              <w:t>1.28</w:t>
            </w:r>
          </w:p>
        </w:tc>
      </w:tr>
      <w:tr w14:paraId="53837751">
        <w:tblPrEx>
          <w:tblCellMar>
            <w:top w:w="0" w:type="dxa"/>
            <w:left w:w="0" w:type="dxa"/>
            <w:bottom w:w="0" w:type="dxa"/>
            <w:right w:w="0" w:type="dxa"/>
          </w:tblCellMar>
        </w:tblPrEx>
        <w:trPr>
          <w:trHeight w:val="184" w:hRule="atLeast"/>
        </w:trPr>
        <w:tc>
          <w:tcPr>
            <w:tcW w:w="704" w:type="dxa"/>
          </w:tcPr>
          <w:p w14:paraId="5D7AE7FC">
            <w:pPr>
              <w:pStyle w:val="29"/>
              <w:spacing w:line="165" w:lineRule="exact"/>
              <w:ind w:left="115"/>
              <w:rPr>
                <w:sz w:val="16"/>
              </w:rPr>
            </w:pPr>
            <w:r>
              <w:rPr>
                <w:spacing w:val="-5"/>
                <w:sz w:val="16"/>
              </w:rPr>
              <w:t>16</w:t>
            </w:r>
          </w:p>
        </w:tc>
        <w:tc>
          <w:tcPr>
            <w:tcW w:w="4614" w:type="dxa"/>
          </w:tcPr>
          <w:p w14:paraId="0A7F9D6F">
            <w:pPr>
              <w:pStyle w:val="29"/>
              <w:spacing w:line="165" w:lineRule="exact"/>
              <w:ind w:left="107"/>
              <w:rPr>
                <w:b/>
                <w:sz w:val="16"/>
              </w:rPr>
            </w:pPr>
            <w:r>
              <w:rPr>
                <w:b/>
                <w:sz w:val="16"/>
              </w:rPr>
              <w:t>Sanal</w:t>
            </w:r>
            <w:r>
              <w:rPr>
                <w:b/>
                <w:spacing w:val="-9"/>
                <w:sz w:val="16"/>
              </w:rPr>
              <w:t xml:space="preserve"> </w:t>
            </w:r>
            <w:r>
              <w:rPr>
                <w:b/>
                <w:sz w:val="16"/>
              </w:rPr>
              <w:t>rekreasyon</w:t>
            </w:r>
            <w:r>
              <w:rPr>
                <w:b/>
                <w:spacing w:val="-10"/>
                <w:sz w:val="16"/>
              </w:rPr>
              <w:t xml:space="preserve"> </w:t>
            </w:r>
            <w:r>
              <w:rPr>
                <w:b/>
                <w:sz w:val="16"/>
              </w:rPr>
              <w:t>faaliyetleri,</w:t>
            </w:r>
            <w:r>
              <w:rPr>
                <w:b/>
                <w:spacing w:val="-10"/>
                <w:sz w:val="16"/>
              </w:rPr>
              <w:t xml:space="preserve"> </w:t>
            </w:r>
            <w:r>
              <w:rPr>
                <w:b/>
                <w:sz w:val="16"/>
              </w:rPr>
              <w:t>aile</w:t>
            </w:r>
            <w:r>
              <w:rPr>
                <w:b/>
                <w:spacing w:val="-10"/>
                <w:sz w:val="16"/>
              </w:rPr>
              <w:t xml:space="preserve"> </w:t>
            </w:r>
            <w:r>
              <w:rPr>
                <w:b/>
                <w:sz w:val="16"/>
              </w:rPr>
              <w:t>ilişkilerimi</w:t>
            </w:r>
            <w:r>
              <w:rPr>
                <w:b/>
                <w:spacing w:val="-7"/>
                <w:sz w:val="16"/>
              </w:rPr>
              <w:t xml:space="preserve"> </w:t>
            </w:r>
            <w:r>
              <w:rPr>
                <w:b/>
                <w:spacing w:val="-2"/>
                <w:sz w:val="16"/>
              </w:rPr>
              <w:t>geliştirir.</w:t>
            </w:r>
          </w:p>
        </w:tc>
        <w:tc>
          <w:tcPr>
            <w:tcW w:w="541" w:type="dxa"/>
          </w:tcPr>
          <w:p w14:paraId="78EA0552">
            <w:pPr>
              <w:pStyle w:val="29"/>
              <w:spacing w:line="165" w:lineRule="exact"/>
              <w:ind w:left="95" w:right="138"/>
              <w:jc w:val="center"/>
              <w:rPr>
                <w:sz w:val="16"/>
              </w:rPr>
            </w:pPr>
            <w:r>
              <w:rPr>
                <w:spacing w:val="-4"/>
                <w:sz w:val="16"/>
              </w:rPr>
              <w:t>16.7</w:t>
            </w:r>
          </w:p>
        </w:tc>
        <w:tc>
          <w:tcPr>
            <w:tcW w:w="449" w:type="dxa"/>
          </w:tcPr>
          <w:p w14:paraId="36F25685">
            <w:pPr>
              <w:pStyle w:val="29"/>
              <w:spacing w:line="165" w:lineRule="exact"/>
              <w:ind w:left="62"/>
              <w:rPr>
                <w:sz w:val="16"/>
              </w:rPr>
            </w:pPr>
            <w:r>
              <w:rPr>
                <w:spacing w:val="-4"/>
                <w:sz w:val="16"/>
              </w:rPr>
              <w:t>23.7</w:t>
            </w:r>
          </w:p>
        </w:tc>
        <w:tc>
          <w:tcPr>
            <w:tcW w:w="541" w:type="dxa"/>
          </w:tcPr>
          <w:p w14:paraId="2A7D1AB4">
            <w:pPr>
              <w:pStyle w:val="29"/>
              <w:spacing w:line="165" w:lineRule="exact"/>
              <w:ind w:left="95" w:right="136"/>
              <w:jc w:val="center"/>
              <w:rPr>
                <w:sz w:val="16"/>
              </w:rPr>
            </w:pPr>
            <w:r>
              <w:rPr>
                <w:spacing w:val="-4"/>
                <w:sz w:val="16"/>
              </w:rPr>
              <w:t>21.7</w:t>
            </w:r>
          </w:p>
        </w:tc>
        <w:tc>
          <w:tcPr>
            <w:tcW w:w="450" w:type="dxa"/>
          </w:tcPr>
          <w:p w14:paraId="0965AD11">
            <w:pPr>
              <w:pStyle w:val="29"/>
              <w:spacing w:line="165" w:lineRule="exact"/>
              <w:ind w:left="64"/>
              <w:rPr>
                <w:sz w:val="16"/>
              </w:rPr>
            </w:pPr>
            <w:r>
              <w:rPr>
                <w:spacing w:val="-4"/>
                <w:sz w:val="16"/>
              </w:rPr>
              <w:t>21.8</w:t>
            </w:r>
          </w:p>
        </w:tc>
        <w:tc>
          <w:tcPr>
            <w:tcW w:w="539" w:type="dxa"/>
          </w:tcPr>
          <w:p w14:paraId="08C1B33B">
            <w:pPr>
              <w:pStyle w:val="29"/>
              <w:spacing w:line="165" w:lineRule="exact"/>
              <w:ind w:left="99" w:right="131"/>
              <w:jc w:val="center"/>
              <w:rPr>
                <w:sz w:val="16"/>
              </w:rPr>
            </w:pPr>
            <w:r>
              <w:rPr>
                <w:spacing w:val="-4"/>
                <w:sz w:val="16"/>
              </w:rPr>
              <w:t>16.1</w:t>
            </w:r>
          </w:p>
        </w:tc>
        <w:tc>
          <w:tcPr>
            <w:tcW w:w="450" w:type="dxa"/>
          </w:tcPr>
          <w:p w14:paraId="53084538">
            <w:pPr>
              <w:pStyle w:val="29"/>
              <w:spacing w:line="165" w:lineRule="exact"/>
              <w:ind w:left="56" w:right="90"/>
              <w:jc w:val="center"/>
              <w:rPr>
                <w:b/>
                <w:sz w:val="16"/>
              </w:rPr>
            </w:pPr>
            <w:r>
              <w:rPr>
                <w:b/>
                <w:spacing w:val="-4"/>
                <w:sz w:val="16"/>
              </w:rPr>
              <w:t>2.96</w:t>
            </w:r>
          </w:p>
        </w:tc>
        <w:tc>
          <w:tcPr>
            <w:tcW w:w="495" w:type="dxa"/>
          </w:tcPr>
          <w:p w14:paraId="0EE5B0B1">
            <w:pPr>
              <w:pStyle w:val="29"/>
              <w:spacing w:line="165" w:lineRule="exact"/>
              <w:ind w:left="102" w:right="89"/>
              <w:jc w:val="center"/>
              <w:rPr>
                <w:sz w:val="16"/>
              </w:rPr>
            </w:pPr>
            <w:r>
              <w:rPr>
                <w:spacing w:val="-4"/>
                <w:sz w:val="16"/>
              </w:rPr>
              <w:t>1.32</w:t>
            </w:r>
          </w:p>
        </w:tc>
      </w:tr>
      <w:tr w14:paraId="4AA3B33C">
        <w:tblPrEx>
          <w:tblCellMar>
            <w:top w:w="0" w:type="dxa"/>
            <w:left w:w="0" w:type="dxa"/>
            <w:bottom w:w="0" w:type="dxa"/>
            <w:right w:w="0" w:type="dxa"/>
          </w:tblCellMar>
        </w:tblPrEx>
        <w:trPr>
          <w:trHeight w:val="367" w:hRule="atLeast"/>
        </w:trPr>
        <w:tc>
          <w:tcPr>
            <w:tcW w:w="704" w:type="dxa"/>
          </w:tcPr>
          <w:p w14:paraId="5FDC6FCC">
            <w:pPr>
              <w:pStyle w:val="29"/>
              <w:spacing w:line="180" w:lineRule="exact"/>
              <w:ind w:left="115"/>
              <w:rPr>
                <w:sz w:val="16"/>
              </w:rPr>
            </w:pPr>
            <w:r>
              <w:rPr>
                <w:spacing w:val="-5"/>
                <w:sz w:val="16"/>
              </w:rPr>
              <w:t>17</w:t>
            </w:r>
          </w:p>
        </w:tc>
        <w:tc>
          <w:tcPr>
            <w:tcW w:w="4614" w:type="dxa"/>
          </w:tcPr>
          <w:p w14:paraId="1AC38511">
            <w:pPr>
              <w:pStyle w:val="29"/>
              <w:spacing w:line="180" w:lineRule="exact"/>
              <w:ind w:left="107"/>
              <w:rPr>
                <w:sz w:val="16"/>
              </w:rPr>
            </w:pPr>
            <w:r>
              <w:rPr>
                <w:sz w:val="16"/>
              </w:rPr>
              <w:t>Sanal</w:t>
            </w:r>
            <w:r>
              <w:rPr>
                <w:spacing w:val="66"/>
                <w:w w:val="150"/>
                <w:sz w:val="16"/>
              </w:rPr>
              <w:t xml:space="preserve"> </w:t>
            </w:r>
            <w:r>
              <w:rPr>
                <w:sz w:val="16"/>
              </w:rPr>
              <w:t>rekreasyon</w:t>
            </w:r>
            <w:r>
              <w:rPr>
                <w:spacing w:val="72"/>
                <w:w w:val="150"/>
                <w:sz w:val="16"/>
              </w:rPr>
              <w:t xml:space="preserve"> </w:t>
            </w:r>
            <w:r>
              <w:rPr>
                <w:sz w:val="16"/>
              </w:rPr>
              <w:t>faaliyetleri,</w:t>
            </w:r>
            <w:r>
              <w:rPr>
                <w:spacing w:val="70"/>
                <w:w w:val="150"/>
                <w:sz w:val="16"/>
              </w:rPr>
              <w:t xml:space="preserve"> </w:t>
            </w:r>
            <w:r>
              <w:rPr>
                <w:sz w:val="16"/>
              </w:rPr>
              <w:t>arkadaşlarımla</w:t>
            </w:r>
            <w:r>
              <w:rPr>
                <w:spacing w:val="71"/>
                <w:w w:val="150"/>
                <w:sz w:val="16"/>
              </w:rPr>
              <w:t xml:space="preserve"> </w:t>
            </w:r>
            <w:r>
              <w:rPr>
                <w:sz w:val="16"/>
              </w:rPr>
              <w:t>olan</w:t>
            </w:r>
            <w:r>
              <w:rPr>
                <w:spacing w:val="69"/>
                <w:w w:val="150"/>
                <w:sz w:val="16"/>
              </w:rPr>
              <w:t xml:space="preserve"> </w:t>
            </w:r>
            <w:r>
              <w:rPr>
                <w:spacing w:val="-2"/>
                <w:sz w:val="16"/>
              </w:rPr>
              <w:t>ilişkilerimi</w:t>
            </w:r>
          </w:p>
          <w:p w14:paraId="496F38ED">
            <w:pPr>
              <w:pStyle w:val="29"/>
              <w:spacing w:before="1" w:line="166" w:lineRule="exact"/>
              <w:ind w:left="107"/>
              <w:rPr>
                <w:sz w:val="16"/>
              </w:rPr>
            </w:pPr>
            <w:r>
              <w:rPr>
                <w:spacing w:val="-2"/>
                <w:sz w:val="16"/>
              </w:rPr>
              <w:t>geliştirir.</w:t>
            </w:r>
          </w:p>
        </w:tc>
        <w:tc>
          <w:tcPr>
            <w:tcW w:w="541" w:type="dxa"/>
          </w:tcPr>
          <w:p w14:paraId="7EF55168">
            <w:pPr>
              <w:pStyle w:val="29"/>
              <w:spacing w:line="180" w:lineRule="exact"/>
              <w:ind w:left="95" w:right="138"/>
              <w:jc w:val="center"/>
              <w:rPr>
                <w:sz w:val="16"/>
              </w:rPr>
            </w:pPr>
            <w:r>
              <w:rPr>
                <w:spacing w:val="-4"/>
                <w:sz w:val="16"/>
              </w:rPr>
              <w:t>14.4</w:t>
            </w:r>
          </w:p>
        </w:tc>
        <w:tc>
          <w:tcPr>
            <w:tcW w:w="449" w:type="dxa"/>
          </w:tcPr>
          <w:p w14:paraId="48A099D8">
            <w:pPr>
              <w:pStyle w:val="29"/>
              <w:spacing w:line="180" w:lineRule="exact"/>
              <w:ind w:left="62"/>
              <w:rPr>
                <w:sz w:val="16"/>
              </w:rPr>
            </w:pPr>
            <w:r>
              <w:rPr>
                <w:spacing w:val="-4"/>
                <w:sz w:val="16"/>
              </w:rPr>
              <w:t>22.2</w:t>
            </w:r>
          </w:p>
        </w:tc>
        <w:tc>
          <w:tcPr>
            <w:tcW w:w="541" w:type="dxa"/>
          </w:tcPr>
          <w:p w14:paraId="248E434F">
            <w:pPr>
              <w:pStyle w:val="29"/>
              <w:spacing w:line="180" w:lineRule="exact"/>
              <w:ind w:left="95" w:right="136"/>
              <w:jc w:val="center"/>
              <w:rPr>
                <w:sz w:val="16"/>
              </w:rPr>
            </w:pPr>
            <w:r>
              <w:rPr>
                <w:spacing w:val="-4"/>
                <w:sz w:val="16"/>
              </w:rPr>
              <w:t>20.4</w:t>
            </w:r>
          </w:p>
        </w:tc>
        <w:tc>
          <w:tcPr>
            <w:tcW w:w="450" w:type="dxa"/>
          </w:tcPr>
          <w:p w14:paraId="7B8930E8">
            <w:pPr>
              <w:pStyle w:val="29"/>
              <w:spacing w:line="180" w:lineRule="exact"/>
              <w:ind w:left="64"/>
              <w:rPr>
                <w:sz w:val="16"/>
              </w:rPr>
            </w:pPr>
            <w:r>
              <w:rPr>
                <w:spacing w:val="-4"/>
                <w:sz w:val="16"/>
              </w:rPr>
              <w:t>25.6</w:t>
            </w:r>
          </w:p>
        </w:tc>
        <w:tc>
          <w:tcPr>
            <w:tcW w:w="539" w:type="dxa"/>
          </w:tcPr>
          <w:p w14:paraId="4FB3AF83">
            <w:pPr>
              <w:pStyle w:val="29"/>
              <w:spacing w:line="180" w:lineRule="exact"/>
              <w:ind w:left="99" w:right="131"/>
              <w:jc w:val="center"/>
              <w:rPr>
                <w:sz w:val="16"/>
              </w:rPr>
            </w:pPr>
            <w:r>
              <w:rPr>
                <w:spacing w:val="-4"/>
                <w:sz w:val="16"/>
              </w:rPr>
              <w:t>17.5</w:t>
            </w:r>
          </w:p>
        </w:tc>
        <w:tc>
          <w:tcPr>
            <w:tcW w:w="450" w:type="dxa"/>
          </w:tcPr>
          <w:p w14:paraId="214DE6BF">
            <w:pPr>
              <w:pStyle w:val="29"/>
              <w:spacing w:line="180" w:lineRule="exact"/>
              <w:ind w:left="56" w:right="90"/>
              <w:jc w:val="center"/>
              <w:rPr>
                <w:sz w:val="16"/>
              </w:rPr>
            </w:pPr>
            <w:r>
              <w:rPr>
                <w:spacing w:val="-4"/>
                <w:sz w:val="16"/>
              </w:rPr>
              <w:t>3.09</w:t>
            </w:r>
          </w:p>
        </w:tc>
        <w:tc>
          <w:tcPr>
            <w:tcW w:w="495" w:type="dxa"/>
          </w:tcPr>
          <w:p w14:paraId="5D6875CF">
            <w:pPr>
              <w:pStyle w:val="29"/>
              <w:spacing w:line="180" w:lineRule="exact"/>
              <w:ind w:left="102" w:right="89"/>
              <w:jc w:val="center"/>
              <w:rPr>
                <w:sz w:val="16"/>
              </w:rPr>
            </w:pPr>
            <w:r>
              <w:rPr>
                <w:spacing w:val="-4"/>
                <w:sz w:val="16"/>
              </w:rPr>
              <w:t>1.32</w:t>
            </w:r>
          </w:p>
        </w:tc>
      </w:tr>
      <w:tr w14:paraId="696F9699">
        <w:tblPrEx>
          <w:tblCellMar>
            <w:top w:w="0" w:type="dxa"/>
            <w:left w:w="0" w:type="dxa"/>
            <w:bottom w:w="0" w:type="dxa"/>
            <w:right w:w="0" w:type="dxa"/>
          </w:tblCellMar>
        </w:tblPrEx>
        <w:trPr>
          <w:trHeight w:val="185" w:hRule="atLeast"/>
        </w:trPr>
        <w:tc>
          <w:tcPr>
            <w:tcW w:w="704" w:type="dxa"/>
          </w:tcPr>
          <w:p w14:paraId="762A65AB">
            <w:pPr>
              <w:pStyle w:val="29"/>
              <w:spacing w:line="165" w:lineRule="exact"/>
              <w:ind w:left="115"/>
              <w:rPr>
                <w:sz w:val="16"/>
              </w:rPr>
            </w:pPr>
            <w:r>
              <w:rPr>
                <w:spacing w:val="-5"/>
                <w:sz w:val="16"/>
              </w:rPr>
              <w:t>18</w:t>
            </w:r>
          </w:p>
        </w:tc>
        <w:tc>
          <w:tcPr>
            <w:tcW w:w="4614" w:type="dxa"/>
          </w:tcPr>
          <w:p w14:paraId="52A5A95A">
            <w:pPr>
              <w:pStyle w:val="29"/>
              <w:spacing w:line="165" w:lineRule="exact"/>
              <w:ind w:left="107"/>
              <w:rPr>
                <w:b/>
                <w:sz w:val="16"/>
              </w:rPr>
            </w:pPr>
            <w:r>
              <w:rPr>
                <w:b/>
                <w:sz w:val="16"/>
              </w:rPr>
              <w:t>Sanal</w:t>
            </w:r>
            <w:r>
              <w:rPr>
                <w:b/>
                <w:spacing w:val="-8"/>
                <w:sz w:val="16"/>
              </w:rPr>
              <w:t xml:space="preserve"> </w:t>
            </w:r>
            <w:r>
              <w:rPr>
                <w:b/>
                <w:sz w:val="16"/>
              </w:rPr>
              <w:t>rekreasyon</w:t>
            </w:r>
            <w:r>
              <w:rPr>
                <w:b/>
                <w:spacing w:val="-10"/>
                <w:sz w:val="16"/>
              </w:rPr>
              <w:t xml:space="preserve"> </w:t>
            </w:r>
            <w:r>
              <w:rPr>
                <w:b/>
                <w:sz w:val="16"/>
              </w:rPr>
              <w:t>faaliyetleri,</w:t>
            </w:r>
            <w:r>
              <w:rPr>
                <w:b/>
                <w:spacing w:val="-9"/>
                <w:sz w:val="16"/>
              </w:rPr>
              <w:t xml:space="preserve"> </w:t>
            </w:r>
            <w:r>
              <w:rPr>
                <w:b/>
                <w:sz w:val="16"/>
              </w:rPr>
              <w:t>yeni</w:t>
            </w:r>
            <w:r>
              <w:rPr>
                <w:b/>
                <w:spacing w:val="-6"/>
                <w:sz w:val="16"/>
              </w:rPr>
              <w:t xml:space="preserve"> </w:t>
            </w:r>
            <w:r>
              <w:rPr>
                <w:b/>
                <w:sz w:val="16"/>
              </w:rPr>
              <w:t>bilgiler</w:t>
            </w:r>
            <w:r>
              <w:rPr>
                <w:b/>
                <w:spacing w:val="-10"/>
                <w:sz w:val="16"/>
              </w:rPr>
              <w:t xml:space="preserve"> </w:t>
            </w:r>
            <w:r>
              <w:rPr>
                <w:b/>
                <w:sz w:val="16"/>
              </w:rPr>
              <w:t>öğrenmemi</w:t>
            </w:r>
            <w:r>
              <w:rPr>
                <w:b/>
                <w:spacing w:val="-6"/>
                <w:sz w:val="16"/>
              </w:rPr>
              <w:t xml:space="preserve"> </w:t>
            </w:r>
            <w:r>
              <w:rPr>
                <w:b/>
                <w:spacing w:val="-2"/>
                <w:sz w:val="16"/>
              </w:rPr>
              <w:t>sağlar.</w:t>
            </w:r>
          </w:p>
        </w:tc>
        <w:tc>
          <w:tcPr>
            <w:tcW w:w="541" w:type="dxa"/>
          </w:tcPr>
          <w:p w14:paraId="60904504">
            <w:pPr>
              <w:pStyle w:val="29"/>
              <w:spacing w:line="165" w:lineRule="exact"/>
              <w:ind w:left="95" w:right="138"/>
              <w:jc w:val="center"/>
              <w:rPr>
                <w:sz w:val="16"/>
              </w:rPr>
            </w:pPr>
            <w:r>
              <w:rPr>
                <w:spacing w:val="-4"/>
                <w:sz w:val="16"/>
              </w:rPr>
              <w:t>13.3</w:t>
            </w:r>
          </w:p>
        </w:tc>
        <w:tc>
          <w:tcPr>
            <w:tcW w:w="449" w:type="dxa"/>
          </w:tcPr>
          <w:p w14:paraId="500803C4">
            <w:pPr>
              <w:pStyle w:val="29"/>
              <w:spacing w:line="165" w:lineRule="exact"/>
              <w:ind w:left="62"/>
              <w:rPr>
                <w:sz w:val="16"/>
              </w:rPr>
            </w:pPr>
            <w:r>
              <w:rPr>
                <w:spacing w:val="-5"/>
                <w:sz w:val="16"/>
              </w:rPr>
              <w:t>14</w:t>
            </w:r>
          </w:p>
        </w:tc>
        <w:tc>
          <w:tcPr>
            <w:tcW w:w="541" w:type="dxa"/>
          </w:tcPr>
          <w:p w14:paraId="22AF10EB">
            <w:pPr>
              <w:pStyle w:val="29"/>
              <w:spacing w:line="165" w:lineRule="exact"/>
              <w:ind w:left="95" w:right="136"/>
              <w:jc w:val="center"/>
              <w:rPr>
                <w:sz w:val="16"/>
              </w:rPr>
            </w:pPr>
            <w:r>
              <w:rPr>
                <w:spacing w:val="-4"/>
                <w:sz w:val="16"/>
              </w:rPr>
              <w:t>15.4</w:t>
            </w:r>
          </w:p>
        </w:tc>
        <w:tc>
          <w:tcPr>
            <w:tcW w:w="450" w:type="dxa"/>
          </w:tcPr>
          <w:p w14:paraId="7D884EB7">
            <w:pPr>
              <w:pStyle w:val="29"/>
              <w:spacing w:line="165" w:lineRule="exact"/>
              <w:ind w:left="64"/>
              <w:rPr>
                <w:sz w:val="16"/>
              </w:rPr>
            </w:pPr>
            <w:r>
              <w:rPr>
                <w:spacing w:val="-4"/>
                <w:sz w:val="16"/>
              </w:rPr>
              <w:t>34.2</w:t>
            </w:r>
          </w:p>
        </w:tc>
        <w:tc>
          <w:tcPr>
            <w:tcW w:w="539" w:type="dxa"/>
          </w:tcPr>
          <w:p w14:paraId="48B61664">
            <w:pPr>
              <w:pStyle w:val="29"/>
              <w:spacing w:line="165" w:lineRule="exact"/>
              <w:ind w:left="99" w:right="131"/>
              <w:jc w:val="center"/>
              <w:rPr>
                <w:sz w:val="16"/>
              </w:rPr>
            </w:pPr>
            <w:r>
              <w:rPr>
                <w:spacing w:val="-4"/>
                <w:sz w:val="16"/>
              </w:rPr>
              <w:t>23.1</w:t>
            </w:r>
          </w:p>
        </w:tc>
        <w:tc>
          <w:tcPr>
            <w:tcW w:w="450" w:type="dxa"/>
          </w:tcPr>
          <w:p w14:paraId="39189B6B">
            <w:pPr>
              <w:pStyle w:val="29"/>
              <w:spacing w:line="165" w:lineRule="exact"/>
              <w:ind w:left="56" w:right="90"/>
              <w:jc w:val="center"/>
              <w:rPr>
                <w:b/>
                <w:sz w:val="16"/>
              </w:rPr>
            </w:pPr>
            <w:r>
              <w:rPr>
                <w:b/>
                <w:spacing w:val="-4"/>
                <w:sz w:val="16"/>
              </w:rPr>
              <w:t>3.39</w:t>
            </w:r>
          </w:p>
        </w:tc>
        <w:tc>
          <w:tcPr>
            <w:tcW w:w="495" w:type="dxa"/>
          </w:tcPr>
          <w:p w14:paraId="090A8992">
            <w:pPr>
              <w:pStyle w:val="29"/>
              <w:spacing w:line="165" w:lineRule="exact"/>
              <w:ind w:left="102" w:right="89"/>
              <w:jc w:val="center"/>
              <w:rPr>
                <w:sz w:val="16"/>
              </w:rPr>
            </w:pPr>
            <w:r>
              <w:rPr>
                <w:spacing w:val="-4"/>
                <w:sz w:val="16"/>
              </w:rPr>
              <w:t>1.33</w:t>
            </w:r>
          </w:p>
        </w:tc>
      </w:tr>
      <w:tr w14:paraId="2C074A96">
        <w:tblPrEx>
          <w:tblCellMar>
            <w:top w:w="0" w:type="dxa"/>
            <w:left w:w="0" w:type="dxa"/>
            <w:bottom w:w="0" w:type="dxa"/>
            <w:right w:w="0" w:type="dxa"/>
          </w:tblCellMar>
        </w:tblPrEx>
        <w:trPr>
          <w:trHeight w:val="368" w:hRule="atLeast"/>
        </w:trPr>
        <w:tc>
          <w:tcPr>
            <w:tcW w:w="704" w:type="dxa"/>
          </w:tcPr>
          <w:p w14:paraId="4203B208">
            <w:pPr>
              <w:pStyle w:val="29"/>
              <w:spacing w:line="180" w:lineRule="exact"/>
              <w:ind w:left="115"/>
              <w:rPr>
                <w:sz w:val="16"/>
              </w:rPr>
            </w:pPr>
            <w:r>
              <w:rPr>
                <w:spacing w:val="-5"/>
                <w:sz w:val="16"/>
              </w:rPr>
              <w:t>19</w:t>
            </w:r>
          </w:p>
        </w:tc>
        <w:tc>
          <w:tcPr>
            <w:tcW w:w="4614" w:type="dxa"/>
          </w:tcPr>
          <w:p w14:paraId="30533191">
            <w:pPr>
              <w:pStyle w:val="29"/>
              <w:spacing w:line="184" w:lineRule="exact"/>
              <w:ind w:left="107"/>
              <w:rPr>
                <w:b/>
                <w:sz w:val="16"/>
              </w:rPr>
            </w:pPr>
            <w:r>
              <w:rPr>
                <w:b/>
                <w:sz w:val="16"/>
              </w:rPr>
              <w:t>Sanal rekreasyon faaliyetleri, yeni deneyimlerden zevk almamı</w:t>
            </w:r>
            <w:r>
              <w:rPr>
                <w:b/>
                <w:spacing w:val="40"/>
                <w:sz w:val="16"/>
              </w:rPr>
              <w:t xml:space="preserve"> </w:t>
            </w:r>
            <w:r>
              <w:rPr>
                <w:b/>
                <w:spacing w:val="-2"/>
                <w:sz w:val="16"/>
              </w:rPr>
              <w:t>sağlar.</w:t>
            </w:r>
          </w:p>
        </w:tc>
        <w:tc>
          <w:tcPr>
            <w:tcW w:w="541" w:type="dxa"/>
          </w:tcPr>
          <w:p w14:paraId="272F11CD">
            <w:pPr>
              <w:pStyle w:val="29"/>
              <w:spacing w:line="180" w:lineRule="exact"/>
              <w:ind w:left="95" w:right="138"/>
              <w:jc w:val="center"/>
              <w:rPr>
                <w:sz w:val="16"/>
              </w:rPr>
            </w:pPr>
            <w:r>
              <w:rPr>
                <w:spacing w:val="-4"/>
                <w:sz w:val="16"/>
              </w:rPr>
              <w:t>13.9</w:t>
            </w:r>
          </w:p>
        </w:tc>
        <w:tc>
          <w:tcPr>
            <w:tcW w:w="449" w:type="dxa"/>
          </w:tcPr>
          <w:p w14:paraId="0724C69A">
            <w:pPr>
              <w:pStyle w:val="29"/>
              <w:spacing w:line="180" w:lineRule="exact"/>
              <w:ind w:left="62"/>
              <w:rPr>
                <w:sz w:val="16"/>
              </w:rPr>
            </w:pPr>
            <w:r>
              <w:rPr>
                <w:spacing w:val="-4"/>
                <w:sz w:val="16"/>
              </w:rPr>
              <w:t>13.6</w:t>
            </w:r>
          </w:p>
        </w:tc>
        <w:tc>
          <w:tcPr>
            <w:tcW w:w="541" w:type="dxa"/>
          </w:tcPr>
          <w:p w14:paraId="0ACA5A91">
            <w:pPr>
              <w:pStyle w:val="29"/>
              <w:spacing w:line="180" w:lineRule="exact"/>
              <w:ind w:left="95" w:right="136"/>
              <w:jc w:val="center"/>
              <w:rPr>
                <w:sz w:val="16"/>
              </w:rPr>
            </w:pPr>
            <w:r>
              <w:rPr>
                <w:spacing w:val="-4"/>
                <w:sz w:val="16"/>
              </w:rPr>
              <w:t>18.4</w:t>
            </w:r>
          </w:p>
        </w:tc>
        <w:tc>
          <w:tcPr>
            <w:tcW w:w="450" w:type="dxa"/>
          </w:tcPr>
          <w:p w14:paraId="1783BFDF">
            <w:pPr>
              <w:pStyle w:val="29"/>
              <w:spacing w:line="180" w:lineRule="exact"/>
              <w:ind w:left="64"/>
              <w:rPr>
                <w:sz w:val="16"/>
              </w:rPr>
            </w:pPr>
            <w:r>
              <w:rPr>
                <w:spacing w:val="-4"/>
                <w:sz w:val="16"/>
              </w:rPr>
              <w:t>30.3</w:t>
            </w:r>
          </w:p>
        </w:tc>
        <w:tc>
          <w:tcPr>
            <w:tcW w:w="539" w:type="dxa"/>
          </w:tcPr>
          <w:p w14:paraId="55B17BE3">
            <w:pPr>
              <w:pStyle w:val="29"/>
              <w:spacing w:line="180" w:lineRule="exact"/>
              <w:ind w:left="99" w:right="131"/>
              <w:jc w:val="center"/>
              <w:rPr>
                <w:sz w:val="16"/>
              </w:rPr>
            </w:pPr>
            <w:r>
              <w:rPr>
                <w:spacing w:val="-4"/>
                <w:sz w:val="16"/>
              </w:rPr>
              <w:t>23.9</w:t>
            </w:r>
          </w:p>
        </w:tc>
        <w:tc>
          <w:tcPr>
            <w:tcW w:w="450" w:type="dxa"/>
          </w:tcPr>
          <w:p w14:paraId="3EF2A7DD">
            <w:pPr>
              <w:pStyle w:val="29"/>
              <w:spacing w:line="183" w:lineRule="exact"/>
              <w:ind w:left="56" w:right="90"/>
              <w:jc w:val="center"/>
              <w:rPr>
                <w:b/>
                <w:sz w:val="16"/>
              </w:rPr>
            </w:pPr>
            <w:r>
              <w:rPr>
                <w:b/>
                <w:spacing w:val="-4"/>
                <w:sz w:val="16"/>
              </w:rPr>
              <w:t>3.36</w:t>
            </w:r>
          </w:p>
        </w:tc>
        <w:tc>
          <w:tcPr>
            <w:tcW w:w="495" w:type="dxa"/>
          </w:tcPr>
          <w:p w14:paraId="78A3D09E">
            <w:pPr>
              <w:pStyle w:val="29"/>
              <w:spacing w:line="180" w:lineRule="exact"/>
              <w:ind w:left="102" w:right="89"/>
              <w:jc w:val="center"/>
              <w:rPr>
                <w:sz w:val="16"/>
              </w:rPr>
            </w:pPr>
            <w:r>
              <w:rPr>
                <w:spacing w:val="-4"/>
                <w:sz w:val="16"/>
              </w:rPr>
              <w:t>1.34</w:t>
            </w:r>
          </w:p>
        </w:tc>
      </w:tr>
      <w:tr w14:paraId="7A56277B">
        <w:tblPrEx>
          <w:tblCellMar>
            <w:top w:w="0" w:type="dxa"/>
            <w:left w:w="0" w:type="dxa"/>
            <w:bottom w:w="0" w:type="dxa"/>
            <w:right w:w="0" w:type="dxa"/>
          </w:tblCellMar>
        </w:tblPrEx>
        <w:trPr>
          <w:trHeight w:val="367" w:hRule="atLeast"/>
        </w:trPr>
        <w:tc>
          <w:tcPr>
            <w:tcW w:w="704" w:type="dxa"/>
          </w:tcPr>
          <w:p w14:paraId="544806C1">
            <w:pPr>
              <w:pStyle w:val="29"/>
              <w:spacing w:line="179" w:lineRule="exact"/>
              <w:ind w:left="115"/>
              <w:rPr>
                <w:sz w:val="16"/>
              </w:rPr>
            </w:pPr>
            <w:r>
              <w:rPr>
                <w:spacing w:val="-5"/>
                <w:sz w:val="16"/>
              </w:rPr>
              <w:t>20</w:t>
            </w:r>
          </w:p>
        </w:tc>
        <w:tc>
          <w:tcPr>
            <w:tcW w:w="4614" w:type="dxa"/>
          </w:tcPr>
          <w:p w14:paraId="779FFA7D">
            <w:pPr>
              <w:pStyle w:val="29"/>
              <w:spacing w:line="179" w:lineRule="exact"/>
              <w:ind w:left="107"/>
              <w:rPr>
                <w:sz w:val="16"/>
              </w:rPr>
            </w:pPr>
            <w:r>
              <w:rPr>
                <w:sz w:val="16"/>
              </w:rPr>
              <w:t>Sanal</w:t>
            </w:r>
            <w:r>
              <w:rPr>
                <w:spacing w:val="55"/>
                <w:sz w:val="16"/>
              </w:rPr>
              <w:t xml:space="preserve"> </w:t>
            </w:r>
            <w:r>
              <w:rPr>
                <w:sz w:val="16"/>
              </w:rPr>
              <w:t>rekreasyon</w:t>
            </w:r>
            <w:r>
              <w:rPr>
                <w:spacing w:val="58"/>
                <w:sz w:val="16"/>
              </w:rPr>
              <w:t xml:space="preserve"> </w:t>
            </w:r>
            <w:r>
              <w:rPr>
                <w:sz w:val="16"/>
              </w:rPr>
              <w:t>faaliyetleri,</w:t>
            </w:r>
            <w:r>
              <w:rPr>
                <w:spacing w:val="57"/>
                <w:sz w:val="16"/>
              </w:rPr>
              <w:t xml:space="preserve"> </w:t>
            </w:r>
            <w:r>
              <w:rPr>
                <w:sz w:val="16"/>
              </w:rPr>
              <w:t>bağımsız</w:t>
            </w:r>
            <w:r>
              <w:rPr>
                <w:spacing w:val="55"/>
                <w:sz w:val="16"/>
              </w:rPr>
              <w:t xml:space="preserve"> </w:t>
            </w:r>
            <w:r>
              <w:rPr>
                <w:sz w:val="16"/>
              </w:rPr>
              <w:t>bir</w:t>
            </w:r>
            <w:r>
              <w:rPr>
                <w:spacing w:val="53"/>
                <w:sz w:val="16"/>
              </w:rPr>
              <w:t xml:space="preserve"> </w:t>
            </w:r>
            <w:r>
              <w:rPr>
                <w:sz w:val="16"/>
              </w:rPr>
              <w:t>kişilik</w:t>
            </w:r>
            <w:r>
              <w:rPr>
                <w:spacing w:val="59"/>
                <w:sz w:val="16"/>
              </w:rPr>
              <w:t xml:space="preserve"> </w:t>
            </w:r>
            <w:r>
              <w:rPr>
                <w:spacing w:val="-2"/>
                <w:sz w:val="16"/>
              </w:rPr>
              <w:t>geliştirmeme</w:t>
            </w:r>
          </w:p>
          <w:p w14:paraId="330699D5">
            <w:pPr>
              <w:pStyle w:val="29"/>
              <w:spacing w:before="1" w:line="168" w:lineRule="exact"/>
              <w:ind w:left="107"/>
              <w:rPr>
                <w:sz w:val="16"/>
              </w:rPr>
            </w:pPr>
            <w:r>
              <w:rPr>
                <w:sz w:val="16"/>
              </w:rPr>
              <w:t>yardımcı</w:t>
            </w:r>
            <w:r>
              <w:rPr>
                <w:spacing w:val="-4"/>
                <w:sz w:val="16"/>
              </w:rPr>
              <w:t xml:space="preserve"> </w:t>
            </w:r>
            <w:r>
              <w:rPr>
                <w:spacing w:val="-2"/>
                <w:sz w:val="16"/>
              </w:rPr>
              <w:t>olur.</w:t>
            </w:r>
          </w:p>
        </w:tc>
        <w:tc>
          <w:tcPr>
            <w:tcW w:w="541" w:type="dxa"/>
          </w:tcPr>
          <w:p w14:paraId="74844D04">
            <w:pPr>
              <w:pStyle w:val="29"/>
              <w:spacing w:line="179" w:lineRule="exact"/>
              <w:ind w:left="95" w:right="138"/>
              <w:jc w:val="center"/>
              <w:rPr>
                <w:sz w:val="16"/>
              </w:rPr>
            </w:pPr>
            <w:r>
              <w:rPr>
                <w:spacing w:val="-4"/>
                <w:sz w:val="16"/>
              </w:rPr>
              <w:t>14.2</w:t>
            </w:r>
          </w:p>
        </w:tc>
        <w:tc>
          <w:tcPr>
            <w:tcW w:w="449" w:type="dxa"/>
          </w:tcPr>
          <w:p w14:paraId="409A095D">
            <w:pPr>
              <w:pStyle w:val="29"/>
              <w:spacing w:line="179" w:lineRule="exact"/>
              <w:ind w:left="62"/>
              <w:rPr>
                <w:sz w:val="16"/>
              </w:rPr>
            </w:pPr>
            <w:r>
              <w:rPr>
                <w:spacing w:val="-4"/>
                <w:sz w:val="16"/>
              </w:rPr>
              <w:t>19.3</w:t>
            </w:r>
          </w:p>
        </w:tc>
        <w:tc>
          <w:tcPr>
            <w:tcW w:w="541" w:type="dxa"/>
          </w:tcPr>
          <w:p w14:paraId="591EC024">
            <w:pPr>
              <w:pStyle w:val="29"/>
              <w:spacing w:line="179" w:lineRule="exact"/>
              <w:ind w:left="95" w:right="254"/>
              <w:jc w:val="center"/>
              <w:rPr>
                <w:sz w:val="16"/>
              </w:rPr>
            </w:pPr>
            <w:r>
              <w:rPr>
                <w:spacing w:val="-5"/>
                <w:sz w:val="16"/>
              </w:rPr>
              <w:t>22</w:t>
            </w:r>
          </w:p>
        </w:tc>
        <w:tc>
          <w:tcPr>
            <w:tcW w:w="450" w:type="dxa"/>
          </w:tcPr>
          <w:p w14:paraId="61B4F062">
            <w:pPr>
              <w:pStyle w:val="29"/>
              <w:spacing w:line="179" w:lineRule="exact"/>
              <w:ind w:left="64"/>
              <w:rPr>
                <w:sz w:val="16"/>
              </w:rPr>
            </w:pPr>
            <w:r>
              <w:rPr>
                <w:spacing w:val="-4"/>
                <w:sz w:val="16"/>
              </w:rPr>
              <w:t>28.7</w:t>
            </w:r>
          </w:p>
        </w:tc>
        <w:tc>
          <w:tcPr>
            <w:tcW w:w="539" w:type="dxa"/>
          </w:tcPr>
          <w:p w14:paraId="31148493">
            <w:pPr>
              <w:pStyle w:val="29"/>
              <w:spacing w:line="179" w:lineRule="exact"/>
              <w:ind w:left="99" w:right="131"/>
              <w:jc w:val="center"/>
              <w:rPr>
                <w:sz w:val="16"/>
              </w:rPr>
            </w:pPr>
            <w:r>
              <w:rPr>
                <w:spacing w:val="-4"/>
                <w:sz w:val="16"/>
              </w:rPr>
              <w:t>15.8</w:t>
            </w:r>
          </w:p>
        </w:tc>
        <w:tc>
          <w:tcPr>
            <w:tcW w:w="450" w:type="dxa"/>
          </w:tcPr>
          <w:p w14:paraId="6B8D8E42">
            <w:pPr>
              <w:pStyle w:val="29"/>
              <w:spacing w:line="179" w:lineRule="exact"/>
              <w:ind w:left="56" w:right="90"/>
              <w:jc w:val="center"/>
              <w:rPr>
                <w:sz w:val="16"/>
              </w:rPr>
            </w:pPr>
            <w:r>
              <w:rPr>
                <w:spacing w:val="-4"/>
                <w:sz w:val="16"/>
              </w:rPr>
              <w:t>3.12</w:t>
            </w:r>
          </w:p>
        </w:tc>
        <w:tc>
          <w:tcPr>
            <w:tcW w:w="495" w:type="dxa"/>
          </w:tcPr>
          <w:p w14:paraId="60578CF8">
            <w:pPr>
              <w:pStyle w:val="29"/>
              <w:spacing w:line="179" w:lineRule="exact"/>
              <w:ind w:left="102" w:right="89"/>
              <w:jc w:val="center"/>
              <w:rPr>
                <w:sz w:val="16"/>
              </w:rPr>
            </w:pPr>
            <w:r>
              <w:rPr>
                <w:spacing w:val="-4"/>
                <w:sz w:val="16"/>
              </w:rPr>
              <w:t>1.29</w:t>
            </w:r>
          </w:p>
        </w:tc>
      </w:tr>
      <w:tr w14:paraId="7E297EEC">
        <w:tblPrEx>
          <w:tblCellMar>
            <w:top w:w="0" w:type="dxa"/>
            <w:left w:w="0" w:type="dxa"/>
            <w:bottom w:w="0" w:type="dxa"/>
            <w:right w:w="0" w:type="dxa"/>
          </w:tblCellMar>
        </w:tblPrEx>
        <w:trPr>
          <w:trHeight w:val="367" w:hRule="atLeast"/>
        </w:trPr>
        <w:tc>
          <w:tcPr>
            <w:tcW w:w="704" w:type="dxa"/>
          </w:tcPr>
          <w:p w14:paraId="3B7FDC10">
            <w:pPr>
              <w:pStyle w:val="29"/>
              <w:spacing w:line="181" w:lineRule="exact"/>
              <w:ind w:left="115"/>
              <w:rPr>
                <w:sz w:val="16"/>
              </w:rPr>
            </w:pPr>
            <w:r>
              <w:rPr>
                <w:spacing w:val="-5"/>
                <w:sz w:val="16"/>
              </w:rPr>
              <w:t>21</w:t>
            </w:r>
          </w:p>
        </w:tc>
        <w:tc>
          <w:tcPr>
            <w:tcW w:w="4614" w:type="dxa"/>
          </w:tcPr>
          <w:p w14:paraId="1B1C7A27">
            <w:pPr>
              <w:pStyle w:val="29"/>
              <w:spacing w:line="182" w:lineRule="exact"/>
              <w:ind w:left="107"/>
              <w:rPr>
                <w:sz w:val="16"/>
              </w:rPr>
            </w:pPr>
            <w:r>
              <w:rPr>
                <w:sz w:val="16"/>
              </w:rPr>
              <w:t>Sanal</w:t>
            </w:r>
            <w:r>
              <w:rPr>
                <w:spacing w:val="32"/>
                <w:sz w:val="16"/>
              </w:rPr>
              <w:t xml:space="preserve"> </w:t>
            </w:r>
            <w:r>
              <w:rPr>
                <w:sz w:val="16"/>
              </w:rPr>
              <w:t>rekreasyon</w:t>
            </w:r>
            <w:r>
              <w:rPr>
                <w:spacing w:val="35"/>
                <w:sz w:val="16"/>
              </w:rPr>
              <w:t xml:space="preserve"> </w:t>
            </w:r>
            <w:r>
              <w:rPr>
                <w:sz w:val="16"/>
              </w:rPr>
              <w:t>faaliyetleri,</w:t>
            </w:r>
            <w:r>
              <w:rPr>
                <w:spacing w:val="34"/>
                <w:sz w:val="16"/>
              </w:rPr>
              <w:t xml:space="preserve"> </w:t>
            </w:r>
            <w:r>
              <w:rPr>
                <w:sz w:val="16"/>
              </w:rPr>
              <w:t>zorluklarla</w:t>
            </w:r>
            <w:r>
              <w:rPr>
                <w:spacing w:val="34"/>
                <w:sz w:val="16"/>
              </w:rPr>
              <w:t xml:space="preserve"> </w:t>
            </w:r>
            <w:r>
              <w:rPr>
                <w:sz w:val="16"/>
              </w:rPr>
              <w:t>daha</w:t>
            </w:r>
            <w:r>
              <w:rPr>
                <w:spacing w:val="32"/>
                <w:sz w:val="16"/>
              </w:rPr>
              <w:t xml:space="preserve"> </w:t>
            </w:r>
            <w:r>
              <w:rPr>
                <w:sz w:val="16"/>
              </w:rPr>
              <w:t>kolay</w:t>
            </w:r>
            <w:r>
              <w:rPr>
                <w:spacing w:val="33"/>
                <w:sz w:val="16"/>
              </w:rPr>
              <w:t xml:space="preserve"> </w:t>
            </w:r>
            <w:r>
              <w:rPr>
                <w:sz w:val="16"/>
              </w:rPr>
              <w:t>yüzleşmemi</w:t>
            </w:r>
            <w:r>
              <w:rPr>
                <w:spacing w:val="40"/>
                <w:sz w:val="16"/>
              </w:rPr>
              <w:t xml:space="preserve"> </w:t>
            </w:r>
            <w:r>
              <w:rPr>
                <w:spacing w:val="-2"/>
                <w:sz w:val="16"/>
              </w:rPr>
              <w:t>sağlar.</w:t>
            </w:r>
          </w:p>
        </w:tc>
        <w:tc>
          <w:tcPr>
            <w:tcW w:w="541" w:type="dxa"/>
          </w:tcPr>
          <w:p w14:paraId="3C5FE0D3">
            <w:pPr>
              <w:pStyle w:val="29"/>
              <w:spacing w:line="181" w:lineRule="exact"/>
              <w:ind w:left="95" w:right="138"/>
              <w:jc w:val="center"/>
              <w:rPr>
                <w:sz w:val="16"/>
              </w:rPr>
            </w:pPr>
            <w:r>
              <w:rPr>
                <w:spacing w:val="-4"/>
                <w:sz w:val="16"/>
              </w:rPr>
              <w:t>13.9</w:t>
            </w:r>
          </w:p>
        </w:tc>
        <w:tc>
          <w:tcPr>
            <w:tcW w:w="449" w:type="dxa"/>
          </w:tcPr>
          <w:p w14:paraId="17282CAC">
            <w:pPr>
              <w:pStyle w:val="29"/>
              <w:spacing w:line="181" w:lineRule="exact"/>
              <w:ind w:left="62"/>
              <w:rPr>
                <w:sz w:val="16"/>
              </w:rPr>
            </w:pPr>
            <w:r>
              <w:rPr>
                <w:spacing w:val="-4"/>
                <w:sz w:val="16"/>
              </w:rPr>
              <w:t>19.3</w:t>
            </w:r>
          </w:p>
        </w:tc>
        <w:tc>
          <w:tcPr>
            <w:tcW w:w="541" w:type="dxa"/>
          </w:tcPr>
          <w:p w14:paraId="265DA2C0">
            <w:pPr>
              <w:pStyle w:val="29"/>
              <w:spacing w:line="181" w:lineRule="exact"/>
              <w:ind w:left="95" w:right="254"/>
              <w:jc w:val="center"/>
              <w:rPr>
                <w:sz w:val="16"/>
              </w:rPr>
            </w:pPr>
            <w:r>
              <w:rPr>
                <w:spacing w:val="-5"/>
                <w:sz w:val="16"/>
              </w:rPr>
              <w:t>22</w:t>
            </w:r>
          </w:p>
        </w:tc>
        <w:tc>
          <w:tcPr>
            <w:tcW w:w="450" w:type="dxa"/>
          </w:tcPr>
          <w:p w14:paraId="617254EC">
            <w:pPr>
              <w:pStyle w:val="29"/>
              <w:spacing w:line="181" w:lineRule="exact"/>
              <w:ind w:left="64"/>
              <w:rPr>
                <w:sz w:val="16"/>
              </w:rPr>
            </w:pPr>
            <w:r>
              <w:rPr>
                <w:spacing w:val="-4"/>
                <w:sz w:val="16"/>
              </w:rPr>
              <w:t>28.7</w:t>
            </w:r>
          </w:p>
        </w:tc>
        <w:tc>
          <w:tcPr>
            <w:tcW w:w="539" w:type="dxa"/>
          </w:tcPr>
          <w:p w14:paraId="01E7012D">
            <w:pPr>
              <w:pStyle w:val="29"/>
              <w:spacing w:line="181" w:lineRule="exact"/>
              <w:ind w:left="99" w:right="131"/>
              <w:jc w:val="center"/>
              <w:rPr>
                <w:sz w:val="16"/>
              </w:rPr>
            </w:pPr>
            <w:r>
              <w:rPr>
                <w:spacing w:val="-4"/>
                <w:sz w:val="16"/>
              </w:rPr>
              <w:t>15.8</w:t>
            </w:r>
          </w:p>
        </w:tc>
        <w:tc>
          <w:tcPr>
            <w:tcW w:w="450" w:type="dxa"/>
          </w:tcPr>
          <w:p w14:paraId="20886D9E">
            <w:pPr>
              <w:pStyle w:val="29"/>
              <w:spacing w:line="181" w:lineRule="exact"/>
              <w:ind w:left="56" w:right="90"/>
              <w:jc w:val="center"/>
              <w:rPr>
                <w:sz w:val="16"/>
              </w:rPr>
            </w:pPr>
            <w:r>
              <w:rPr>
                <w:spacing w:val="-4"/>
                <w:sz w:val="16"/>
              </w:rPr>
              <w:t>3.09</w:t>
            </w:r>
          </w:p>
        </w:tc>
        <w:tc>
          <w:tcPr>
            <w:tcW w:w="495" w:type="dxa"/>
          </w:tcPr>
          <w:p w14:paraId="123A00E6">
            <w:pPr>
              <w:pStyle w:val="29"/>
              <w:spacing w:line="181" w:lineRule="exact"/>
              <w:ind w:left="102" w:right="89"/>
              <w:jc w:val="center"/>
              <w:rPr>
                <w:sz w:val="16"/>
              </w:rPr>
            </w:pPr>
            <w:r>
              <w:rPr>
                <w:spacing w:val="-4"/>
                <w:sz w:val="16"/>
              </w:rPr>
              <w:t>1.29</w:t>
            </w:r>
          </w:p>
        </w:tc>
      </w:tr>
      <w:tr w14:paraId="54E794C4">
        <w:tblPrEx>
          <w:tblCellMar>
            <w:top w:w="0" w:type="dxa"/>
            <w:left w:w="0" w:type="dxa"/>
            <w:bottom w:w="0" w:type="dxa"/>
            <w:right w:w="0" w:type="dxa"/>
          </w:tblCellMar>
        </w:tblPrEx>
        <w:trPr>
          <w:trHeight w:val="368" w:hRule="atLeast"/>
        </w:trPr>
        <w:tc>
          <w:tcPr>
            <w:tcW w:w="704" w:type="dxa"/>
          </w:tcPr>
          <w:p w14:paraId="0F5325BE">
            <w:pPr>
              <w:pStyle w:val="29"/>
              <w:spacing w:line="181" w:lineRule="exact"/>
              <w:ind w:left="115"/>
              <w:rPr>
                <w:sz w:val="16"/>
              </w:rPr>
            </w:pPr>
            <w:r>
              <w:rPr>
                <w:spacing w:val="-5"/>
                <w:sz w:val="16"/>
              </w:rPr>
              <w:t>22</w:t>
            </w:r>
          </w:p>
        </w:tc>
        <w:tc>
          <w:tcPr>
            <w:tcW w:w="4614" w:type="dxa"/>
          </w:tcPr>
          <w:p w14:paraId="59BC0DC1">
            <w:pPr>
              <w:pStyle w:val="29"/>
              <w:spacing w:line="181" w:lineRule="exact"/>
              <w:ind w:left="107"/>
              <w:rPr>
                <w:sz w:val="16"/>
              </w:rPr>
            </w:pPr>
            <w:r>
              <w:rPr>
                <w:sz w:val="16"/>
              </w:rPr>
              <w:t>Sanal</w:t>
            </w:r>
            <w:r>
              <w:rPr>
                <w:spacing w:val="16"/>
                <w:sz w:val="16"/>
              </w:rPr>
              <w:t xml:space="preserve"> </w:t>
            </w:r>
            <w:r>
              <w:rPr>
                <w:sz w:val="16"/>
              </w:rPr>
              <w:t>rekreasyon</w:t>
            </w:r>
            <w:r>
              <w:rPr>
                <w:spacing w:val="18"/>
                <w:sz w:val="16"/>
              </w:rPr>
              <w:t xml:space="preserve"> </w:t>
            </w:r>
            <w:r>
              <w:rPr>
                <w:sz w:val="16"/>
              </w:rPr>
              <w:t>faaliyetleri,</w:t>
            </w:r>
            <w:r>
              <w:rPr>
                <w:spacing w:val="18"/>
                <w:sz w:val="16"/>
              </w:rPr>
              <w:t xml:space="preserve"> </w:t>
            </w:r>
            <w:r>
              <w:rPr>
                <w:sz w:val="16"/>
              </w:rPr>
              <w:t>potansiyelimi</w:t>
            </w:r>
            <w:r>
              <w:rPr>
                <w:spacing w:val="18"/>
                <w:sz w:val="16"/>
              </w:rPr>
              <w:t xml:space="preserve"> </w:t>
            </w:r>
            <w:r>
              <w:rPr>
                <w:sz w:val="16"/>
              </w:rPr>
              <w:t>geliştirmeme</w:t>
            </w:r>
            <w:r>
              <w:rPr>
                <w:spacing w:val="16"/>
                <w:sz w:val="16"/>
              </w:rPr>
              <w:t xml:space="preserve"> </w:t>
            </w:r>
            <w:r>
              <w:rPr>
                <w:spacing w:val="-2"/>
                <w:sz w:val="16"/>
              </w:rPr>
              <w:t>yardımcı</w:t>
            </w:r>
          </w:p>
          <w:p w14:paraId="653E89FB">
            <w:pPr>
              <w:pStyle w:val="29"/>
              <w:spacing w:before="1" w:line="166" w:lineRule="exact"/>
              <w:ind w:left="107"/>
              <w:rPr>
                <w:sz w:val="16"/>
              </w:rPr>
            </w:pPr>
            <w:r>
              <w:rPr>
                <w:spacing w:val="-2"/>
                <w:sz w:val="16"/>
              </w:rPr>
              <w:t>olur.</w:t>
            </w:r>
          </w:p>
        </w:tc>
        <w:tc>
          <w:tcPr>
            <w:tcW w:w="541" w:type="dxa"/>
          </w:tcPr>
          <w:p w14:paraId="384E74AB">
            <w:pPr>
              <w:pStyle w:val="29"/>
              <w:spacing w:line="181" w:lineRule="exact"/>
              <w:ind w:left="95" w:right="138"/>
              <w:jc w:val="center"/>
              <w:rPr>
                <w:sz w:val="16"/>
              </w:rPr>
            </w:pPr>
            <w:r>
              <w:rPr>
                <w:spacing w:val="-4"/>
                <w:sz w:val="16"/>
              </w:rPr>
              <w:t>12.9</w:t>
            </w:r>
          </w:p>
        </w:tc>
        <w:tc>
          <w:tcPr>
            <w:tcW w:w="449" w:type="dxa"/>
          </w:tcPr>
          <w:p w14:paraId="3F590AF6">
            <w:pPr>
              <w:pStyle w:val="29"/>
              <w:spacing w:line="181" w:lineRule="exact"/>
              <w:ind w:left="62"/>
              <w:rPr>
                <w:sz w:val="16"/>
              </w:rPr>
            </w:pPr>
            <w:r>
              <w:rPr>
                <w:spacing w:val="-4"/>
                <w:sz w:val="16"/>
              </w:rPr>
              <w:t>15.8</w:t>
            </w:r>
          </w:p>
        </w:tc>
        <w:tc>
          <w:tcPr>
            <w:tcW w:w="541" w:type="dxa"/>
          </w:tcPr>
          <w:p w14:paraId="1688B0D7">
            <w:pPr>
              <w:pStyle w:val="29"/>
              <w:spacing w:line="181" w:lineRule="exact"/>
              <w:ind w:left="95" w:right="136"/>
              <w:jc w:val="center"/>
              <w:rPr>
                <w:sz w:val="16"/>
              </w:rPr>
            </w:pPr>
            <w:r>
              <w:rPr>
                <w:spacing w:val="-4"/>
                <w:sz w:val="16"/>
              </w:rPr>
              <w:t>18.6</w:t>
            </w:r>
          </w:p>
        </w:tc>
        <w:tc>
          <w:tcPr>
            <w:tcW w:w="450" w:type="dxa"/>
          </w:tcPr>
          <w:p w14:paraId="1B46B5EE">
            <w:pPr>
              <w:pStyle w:val="29"/>
              <w:spacing w:line="181" w:lineRule="exact"/>
              <w:ind w:left="64"/>
              <w:rPr>
                <w:sz w:val="16"/>
              </w:rPr>
            </w:pPr>
            <w:r>
              <w:rPr>
                <w:spacing w:val="-4"/>
                <w:sz w:val="16"/>
              </w:rPr>
              <w:t>34.2</w:t>
            </w:r>
          </w:p>
        </w:tc>
        <w:tc>
          <w:tcPr>
            <w:tcW w:w="539" w:type="dxa"/>
          </w:tcPr>
          <w:p w14:paraId="473BAF59">
            <w:pPr>
              <w:pStyle w:val="29"/>
              <w:spacing w:line="181" w:lineRule="exact"/>
              <w:ind w:left="99" w:right="131"/>
              <w:jc w:val="center"/>
              <w:rPr>
                <w:sz w:val="16"/>
              </w:rPr>
            </w:pPr>
            <w:r>
              <w:rPr>
                <w:spacing w:val="-4"/>
                <w:sz w:val="16"/>
              </w:rPr>
              <w:t>18.6</w:t>
            </w:r>
          </w:p>
        </w:tc>
        <w:tc>
          <w:tcPr>
            <w:tcW w:w="450" w:type="dxa"/>
          </w:tcPr>
          <w:p w14:paraId="0C1C417C">
            <w:pPr>
              <w:pStyle w:val="29"/>
              <w:spacing w:line="181" w:lineRule="exact"/>
              <w:ind w:left="56" w:right="90"/>
              <w:jc w:val="center"/>
              <w:rPr>
                <w:sz w:val="16"/>
              </w:rPr>
            </w:pPr>
            <w:r>
              <w:rPr>
                <w:spacing w:val="-4"/>
                <w:sz w:val="16"/>
              </w:rPr>
              <w:t>3.29</w:t>
            </w:r>
          </w:p>
        </w:tc>
        <w:tc>
          <w:tcPr>
            <w:tcW w:w="495" w:type="dxa"/>
          </w:tcPr>
          <w:p w14:paraId="205691CA">
            <w:pPr>
              <w:pStyle w:val="29"/>
              <w:spacing w:line="181" w:lineRule="exact"/>
              <w:ind w:left="102" w:right="89"/>
              <w:jc w:val="center"/>
              <w:rPr>
                <w:sz w:val="16"/>
              </w:rPr>
            </w:pPr>
            <w:r>
              <w:rPr>
                <w:spacing w:val="-4"/>
                <w:sz w:val="16"/>
              </w:rPr>
              <w:t>1.29</w:t>
            </w:r>
          </w:p>
        </w:tc>
      </w:tr>
      <w:tr w14:paraId="20C8D513">
        <w:tblPrEx>
          <w:tblCellMar>
            <w:top w:w="0" w:type="dxa"/>
            <w:left w:w="0" w:type="dxa"/>
            <w:bottom w:w="0" w:type="dxa"/>
            <w:right w:w="0" w:type="dxa"/>
          </w:tblCellMar>
        </w:tblPrEx>
        <w:trPr>
          <w:trHeight w:val="183" w:hRule="atLeast"/>
        </w:trPr>
        <w:tc>
          <w:tcPr>
            <w:tcW w:w="704" w:type="dxa"/>
          </w:tcPr>
          <w:p w14:paraId="19243EB1">
            <w:pPr>
              <w:pStyle w:val="29"/>
              <w:spacing w:line="164" w:lineRule="exact"/>
              <w:ind w:left="115"/>
              <w:rPr>
                <w:sz w:val="16"/>
              </w:rPr>
            </w:pPr>
            <w:r>
              <w:rPr>
                <w:spacing w:val="-5"/>
                <w:sz w:val="16"/>
              </w:rPr>
              <w:t>23</w:t>
            </w:r>
          </w:p>
        </w:tc>
        <w:tc>
          <w:tcPr>
            <w:tcW w:w="4614" w:type="dxa"/>
          </w:tcPr>
          <w:p w14:paraId="0AF2ECD7">
            <w:pPr>
              <w:pStyle w:val="29"/>
              <w:spacing w:line="164" w:lineRule="exact"/>
              <w:ind w:left="107"/>
              <w:rPr>
                <w:sz w:val="16"/>
              </w:rPr>
            </w:pPr>
            <w:r>
              <w:rPr>
                <w:spacing w:val="-2"/>
                <w:sz w:val="16"/>
              </w:rPr>
              <w:t>Sanal</w:t>
            </w:r>
            <w:r>
              <w:rPr>
                <w:spacing w:val="2"/>
                <w:sz w:val="16"/>
              </w:rPr>
              <w:t xml:space="preserve"> </w:t>
            </w:r>
            <w:r>
              <w:rPr>
                <w:spacing w:val="-2"/>
                <w:sz w:val="16"/>
              </w:rPr>
              <w:t>rekreasyon</w:t>
            </w:r>
            <w:r>
              <w:rPr>
                <w:spacing w:val="6"/>
                <w:sz w:val="16"/>
              </w:rPr>
              <w:t xml:space="preserve"> </w:t>
            </w:r>
            <w:r>
              <w:rPr>
                <w:spacing w:val="-2"/>
                <w:sz w:val="16"/>
              </w:rPr>
              <w:t>faaliyetleri,</w:t>
            </w:r>
            <w:r>
              <w:rPr>
                <w:spacing w:val="6"/>
                <w:sz w:val="16"/>
              </w:rPr>
              <w:t xml:space="preserve"> </w:t>
            </w:r>
            <w:r>
              <w:rPr>
                <w:spacing w:val="-2"/>
                <w:sz w:val="16"/>
              </w:rPr>
              <w:t>kişisel</w:t>
            </w:r>
            <w:r>
              <w:rPr>
                <w:spacing w:val="2"/>
                <w:sz w:val="16"/>
              </w:rPr>
              <w:t xml:space="preserve"> </w:t>
            </w:r>
            <w:r>
              <w:rPr>
                <w:spacing w:val="-2"/>
                <w:sz w:val="16"/>
              </w:rPr>
              <w:t>becerilerimin</w:t>
            </w:r>
            <w:r>
              <w:rPr>
                <w:spacing w:val="6"/>
                <w:sz w:val="16"/>
              </w:rPr>
              <w:t xml:space="preserve"> </w:t>
            </w:r>
            <w:r>
              <w:rPr>
                <w:spacing w:val="-2"/>
                <w:sz w:val="16"/>
              </w:rPr>
              <w:t>gelişmesini</w:t>
            </w:r>
            <w:r>
              <w:rPr>
                <w:spacing w:val="6"/>
                <w:sz w:val="16"/>
              </w:rPr>
              <w:t xml:space="preserve"> </w:t>
            </w:r>
            <w:r>
              <w:rPr>
                <w:spacing w:val="-2"/>
                <w:sz w:val="16"/>
              </w:rPr>
              <w:t>sağlar.</w:t>
            </w:r>
          </w:p>
        </w:tc>
        <w:tc>
          <w:tcPr>
            <w:tcW w:w="541" w:type="dxa"/>
          </w:tcPr>
          <w:p w14:paraId="69513F06">
            <w:pPr>
              <w:pStyle w:val="29"/>
              <w:spacing w:line="164" w:lineRule="exact"/>
              <w:ind w:left="94" w:right="255"/>
              <w:jc w:val="center"/>
              <w:rPr>
                <w:sz w:val="16"/>
              </w:rPr>
            </w:pPr>
            <w:r>
              <w:rPr>
                <w:spacing w:val="-5"/>
                <w:sz w:val="16"/>
              </w:rPr>
              <w:t>12</w:t>
            </w:r>
          </w:p>
        </w:tc>
        <w:tc>
          <w:tcPr>
            <w:tcW w:w="449" w:type="dxa"/>
          </w:tcPr>
          <w:p w14:paraId="090079FB">
            <w:pPr>
              <w:pStyle w:val="29"/>
              <w:spacing w:line="164" w:lineRule="exact"/>
              <w:ind w:left="62"/>
              <w:rPr>
                <w:sz w:val="16"/>
              </w:rPr>
            </w:pPr>
            <w:r>
              <w:rPr>
                <w:spacing w:val="-4"/>
                <w:sz w:val="16"/>
              </w:rPr>
              <w:t>15.1</w:t>
            </w:r>
          </w:p>
        </w:tc>
        <w:tc>
          <w:tcPr>
            <w:tcW w:w="541" w:type="dxa"/>
          </w:tcPr>
          <w:p w14:paraId="6EECFC05">
            <w:pPr>
              <w:pStyle w:val="29"/>
              <w:spacing w:line="164" w:lineRule="exact"/>
              <w:ind w:left="95" w:right="136"/>
              <w:jc w:val="center"/>
              <w:rPr>
                <w:sz w:val="16"/>
              </w:rPr>
            </w:pPr>
            <w:r>
              <w:rPr>
                <w:spacing w:val="-4"/>
                <w:sz w:val="16"/>
              </w:rPr>
              <w:t>18.6</w:t>
            </w:r>
          </w:p>
        </w:tc>
        <w:tc>
          <w:tcPr>
            <w:tcW w:w="450" w:type="dxa"/>
          </w:tcPr>
          <w:p w14:paraId="0C3F64F4">
            <w:pPr>
              <w:pStyle w:val="29"/>
              <w:spacing w:line="164" w:lineRule="exact"/>
              <w:ind w:left="64"/>
              <w:rPr>
                <w:sz w:val="16"/>
              </w:rPr>
            </w:pPr>
            <w:r>
              <w:rPr>
                <w:spacing w:val="-4"/>
                <w:sz w:val="16"/>
              </w:rPr>
              <w:t>36.7</w:t>
            </w:r>
          </w:p>
        </w:tc>
        <w:tc>
          <w:tcPr>
            <w:tcW w:w="539" w:type="dxa"/>
          </w:tcPr>
          <w:p w14:paraId="30BEE031">
            <w:pPr>
              <w:pStyle w:val="29"/>
              <w:spacing w:line="164" w:lineRule="exact"/>
              <w:ind w:left="99" w:right="131"/>
              <w:jc w:val="center"/>
              <w:rPr>
                <w:sz w:val="16"/>
              </w:rPr>
            </w:pPr>
            <w:r>
              <w:rPr>
                <w:spacing w:val="-4"/>
                <w:sz w:val="16"/>
              </w:rPr>
              <w:t>17.6</w:t>
            </w:r>
          </w:p>
        </w:tc>
        <w:tc>
          <w:tcPr>
            <w:tcW w:w="450" w:type="dxa"/>
          </w:tcPr>
          <w:p w14:paraId="3ABD4E1A">
            <w:pPr>
              <w:pStyle w:val="29"/>
              <w:spacing w:line="164" w:lineRule="exact"/>
              <w:ind w:left="56" w:right="90"/>
              <w:jc w:val="center"/>
              <w:rPr>
                <w:sz w:val="16"/>
              </w:rPr>
            </w:pPr>
            <w:r>
              <w:rPr>
                <w:spacing w:val="-4"/>
                <w:sz w:val="16"/>
              </w:rPr>
              <w:t>3.32</w:t>
            </w:r>
          </w:p>
        </w:tc>
        <w:tc>
          <w:tcPr>
            <w:tcW w:w="495" w:type="dxa"/>
          </w:tcPr>
          <w:p w14:paraId="79A08B80">
            <w:pPr>
              <w:pStyle w:val="29"/>
              <w:spacing w:line="164" w:lineRule="exact"/>
              <w:ind w:left="102" w:right="89"/>
              <w:jc w:val="center"/>
              <w:rPr>
                <w:sz w:val="16"/>
              </w:rPr>
            </w:pPr>
            <w:r>
              <w:rPr>
                <w:spacing w:val="-4"/>
                <w:sz w:val="16"/>
              </w:rPr>
              <w:t>1.26</w:t>
            </w:r>
          </w:p>
        </w:tc>
      </w:tr>
      <w:tr w14:paraId="615FFE01">
        <w:tblPrEx>
          <w:tblCellMar>
            <w:top w:w="0" w:type="dxa"/>
            <w:left w:w="0" w:type="dxa"/>
            <w:bottom w:w="0" w:type="dxa"/>
            <w:right w:w="0" w:type="dxa"/>
          </w:tblCellMar>
        </w:tblPrEx>
        <w:trPr>
          <w:trHeight w:val="184" w:hRule="atLeast"/>
        </w:trPr>
        <w:tc>
          <w:tcPr>
            <w:tcW w:w="704" w:type="dxa"/>
          </w:tcPr>
          <w:p w14:paraId="20040C7B">
            <w:pPr>
              <w:pStyle w:val="29"/>
              <w:spacing w:line="165" w:lineRule="exact"/>
              <w:ind w:left="115"/>
              <w:rPr>
                <w:sz w:val="16"/>
              </w:rPr>
            </w:pPr>
            <w:r>
              <w:rPr>
                <w:spacing w:val="-5"/>
                <w:sz w:val="16"/>
              </w:rPr>
              <w:t>24</w:t>
            </w:r>
          </w:p>
        </w:tc>
        <w:tc>
          <w:tcPr>
            <w:tcW w:w="4614" w:type="dxa"/>
          </w:tcPr>
          <w:p w14:paraId="057891C9">
            <w:pPr>
              <w:pStyle w:val="29"/>
              <w:spacing w:line="165" w:lineRule="exact"/>
              <w:ind w:left="107"/>
              <w:rPr>
                <w:sz w:val="16"/>
              </w:rPr>
            </w:pPr>
            <w:r>
              <w:rPr>
                <w:sz w:val="16"/>
              </w:rPr>
              <w:t>Sanal</w:t>
            </w:r>
            <w:r>
              <w:rPr>
                <w:spacing w:val="-8"/>
                <w:sz w:val="16"/>
              </w:rPr>
              <w:t xml:space="preserve"> </w:t>
            </w:r>
            <w:r>
              <w:rPr>
                <w:sz w:val="16"/>
              </w:rPr>
              <w:t>rekreasyon</w:t>
            </w:r>
            <w:r>
              <w:rPr>
                <w:spacing w:val="-7"/>
                <w:sz w:val="16"/>
              </w:rPr>
              <w:t xml:space="preserve"> </w:t>
            </w:r>
            <w:r>
              <w:rPr>
                <w:sz w:val="16"/>
              </w:rPr>
              <w:t>faaliyetleri,</w:t>
            </w:r>
            <w:r>
              <w:rPr>
                <w:spacing w:val="-6"/>
                <w:sz w:val="16"/>
              </w:rPr>
              <w:t xml:space="preserve"> </w:t>
            </w:r>
            <w:r>
              <w:rPr>
                <w:sz w:val="16"/>
              </w:rPr>
              <w:t>stresimi</w:t>
            </w:r>
            <w:r>
              <w:rPr>
                <w:spacing w:val="-8"/>
                <w:sz w:val="16"/>
              </w:rPr>
              <w:t xml:space="preserve"> </w:t>
            </w:r>
            <w:r>
              <w:rPr>
                <w:spacing w:val="-2"/>
                <w:sz w:val="16"/>
              </w:rPr>
              <w:t>azaltır.</w:t>
            </w:r>
          </w:p>
        </w:tc>
        <w:tc>
          <w:tcPr>
            <w:tcW w:w="541" w:type="dxa"/>
          </w:tcPr>
          <w:p w14:paraId="524CD498">
            <w:pPr>
              <w:pStyle w:val="29"/>
              <w:spacing w:line="165" w:lineRule="exact"/>
              <w:ind w:left="94" w:right="255"/>
              <w:jc w:val="center"/>
              <w:rPr>
                <w:sz w:val="16"/>
              </w:rPr>
            </w:pPr>
            <w:r>
              <w:rPr>
                <w:spacing w:val="-5"/>
                <w:sz w:val="16"/>
              </w:rPr>
              <w:t>15</w:t>
            </w:r>
          </w:p>
        </w:tc>
        <w:tc>
          <w:tcPr>
            <w:tcW w:w="449" w:type="dxa"/>
          </w:tcPr>
          <w:p w14:paraId="11224726">
            <w:pPr>
              <w:pStyle w:val="29"/>
              <w:spacing w:line="165" w:lineRule="exact"/>
              <w:ind w:left="62"/>
              <w:rPr>
                <w:sz w:val="16"/>
              </w:rPr>
            </w:pPr>
            <w:r>
              <w:rPr>
                <w:spacing w:val="-5"/>
                <w:sz w:val="16"/>
              </w:rPr>
              <w:t>15</w:t>
            </w:r>
          </w:p>
        </w:tc>
        <w:tc>
          <w:tcPr>
            <w:tcW w:w="541" w:type="dxa"/>
          </w:tcPr>
          <w:p w14:paraId="64264CE8">
            <w:pPr>
              <w:pStyle w:val="29"/>
              <w:spacing w:line="165" w:lineRule="exact"/>
              <w:ind w:left="95" w:right="254"/>
              <w:jc w:val="center"/>
              <w:rPr>
                <w:sz w:val="16"/>
              </w:rPr>
            </w:pPr>
            <w:r>
              <w:rPr>
                <w:spacing w:val="-5"/>
                <w:sz w:val="16"/>
              </w:rPr>
              <w:t>19</w:t>
            </w:r>
          </w:p>
        </w:tc>
        <w:tc>
          <w:tcPr>
            <w:tcW w:w="450" w:type="dxa"/>
          </w:tcPr>
          <w:p w14:paraId="4ECFD7F5">
            <w:pPr>
              <w:pStyle w:val="29"/>
              <w:spacing w:line="165" w:lineRule="exact"/>
              <w:ind w:left="64"/>
              <w:rPr>
                <w:sz w:val="16"/>
              </w:rPr>
            </w:pPr>
            <w:r>
              <w:rPr>
                <w:spacing w:val="-4"/>
                <w:sz w:val="16"/>
              </w:rPr>
              <w:t>31.5</w:t>
            </w:r>
          </w:p>
        </w:tc>
        <w:tc>
          <w:tcPr>
            <w:tcW w:w="539" w:type="dxa"/>
          </w:tcPr>
          <w:p w14:paraId="64238505">
            <w:pPr>
              <w:pStyle w:val="29"/>
              <w:spacing w:line="165" w:lineRule="exact"/>
              <w:ind w:left="99" w:right="131"/>
              <w:jc w:val="center"/>
              <w:rPr>
                <w:sz w:val="16"/>
              </w:rPr>
            </w:pPr>
            <w:r>
              <w:rPr>
                <w:spacing w:val="-4"/>
                <w:sz w:val="16"/>
              </w:rPr>
              <w:t>19.5</w:t>
            </w:r>
          </w:p>
        </w:tc>
        <w:tc>
          <w:tcPr>
            <w:tcW w:w="450" w:type="dxa"/>
          </w:tcPr>
          <w:p w14:paraId="113D43B6">
            <w:pPr>
              <w:pStyle w:val="29"/>
              <w:spacing w:line="165" w:lineRule="exact"/>
              <w:ind w:left="56" w:right="90"/>
              <w:jc w:val="center"/>
              <w:rPr>
                <w:sz w:val="16"/>
              </w:rPr>
            </w:pPr>
            <w:r>
              <w:rPr>
                <w:spacing w:val="-4"/>
                <w:sz w:val="16"/>
              </w:rPr>
              <w:t>3.25</w:t>
            </w:r>
          </w:p>
        </w:tc>
        <w:tc>
          <w:tcPr>
            <w:tcW w:w="495" w:type="dxa"/>
          </w:tcPr>
          <w:p w14:paraId="42A5D9F9">
            <w:pPr>
              <w:pStyle w:val="29"/>
              <w:spacing w:line="165" w:lineRule="exact"/>
              <w:ind w:left="102" w:right="89"/>
              <w:jc w:val="center"/>
              <w:rPr>
                <w:sz w:val="16"/>
              </w:rPr>
            </w:pPr>
            <w:r>
              <w:rPr>
                <w:spacing w:val="-4"/>
                <w:sz w:val="16"/>
              </w:rPr>
              <w:t>1.33</w:t>
            </w:r>
          </w:p>
        </w:tc>
      </w:tr>
      <w:tr w14:paraId="74ACBB83">
        <w:tblPrEx>
          <w:tblCellMar>
            <w:top w:w="0" w:type="dxa"/>
            <w:left w:w="0" w:type="dxa"/>
            <w:bottom w:w="0" w:type="dxa"/>
            <w:right w:w="0" w:type="dxa"/>
          </w:tblCellMar>
        </w:tblPrEx>
        <w:trPr>
          <w:trHeight w:val="367" w:hRule="atLeast"/>
        </w:trPr>
        <w:tc>
          <w:tcPr>
            <w:tcW w:w="704" w:type="dxa"/>
          </w:tcPr>
          <w:p w14:paraId="11F91F93">
            <w:pPr>
              <w:pStyle w:val="29"/>
              <w:spacing w:line="181" w:lineRule="exact"/>
              <w:ind w:left="115"/>
              <w:rPr>
                <w:sz w:val="16"/>
              </w:rPr>
            </w:pPr>
            <w:r>
              <w:rPr>
                <w:spacing w:val="-5"/>
                <w:sz w:val="16"/>
              </w:rPr>
              <w:t>25</w:t>
            </w:r>
          </w:p>
        </w:tc>
        <w:tc>
          <w:tcPr>
            <w:tcW w:w="4614" w:type="dxa"/>
          </w:tcPr>
          <w:p w14:paraId="371BD76F">
            <w:pPr>
              <w:pStyle w:val="29"/>
              <w:spacing w:line="182" w:lineRule="exact"/>
              <w:ind w:left="107"/>
              <w:rPr>
                <w:sz w:val="16"/>
              </w:rPr>
            </w:pPr>
            <w:r>
              <w:rPr>
                <w:sz w:val="16"/>
              </w:rPr>
              <w:t>Sanal</w:t>
            </w:r>
            <w:r>
              <w:rPr>
                <w:spacing w:val="-10"/>
                <w:sz w:val="16"/>
              </w:rPr>
              <w:t xml:space="preserve"> </w:t>
            </w:r>
            <w:r>
              <w:rPr>
                <w:sz w:val="16"/>
              </w:rPr>
              <w:t>rekreasyon</w:t>
            </w:r>
            <w:r>
              <w:rPr>
                <w:spacing w:val="-10"/>
                <w:sz w:val="16"/>
              </w:rPr>
              <w:t xml:space="preserve"> </w:t>
            </w:r>
            <w:r>
              <w:rPr>
                <w:sz w:val="16"/>
              </w:rPr>
              <w:t>faaliyetlerine</w:t>
            </w:r>
            <w:r>
              <w:rPr>
                <w:spacing w:val="-10"/>
                <w:sz w:val="16"/>
              </w:rPr>
              <w:t xml:space="preserve"> </w:t>
            </w:r>
            <w:r>
              <w:rPr>
                <w:sz w:val="16"/>
              </w:rPr>
              <w:t>katılmak,</w:t>
            </w:r>
            <w:r>
              <w:rPr>
                <w:spacing w:val="-10"/>
                <w:sz w:val="16"/>
              </w:rPr>
              <w:t xml:space="preserve"> </w:t>
            </w:r>
            <w:r>
              <w:rPr>
                <w:sz w:val="16"/>
              </w:rPr>
              <w:t>günlük</w:t>
            </w:r>
            <w:r>
              <w:rPr>
                <w:spacing w:val="-10"/>
                <w:sz w:val="16"/>
              </w:rPr>
              <w:t xml:space="preserve"> </w:t>
            </w:r>
            <w:r>
              <w:rPr>
                <w:sz w:val="16"/>
              </w:rPr>
              <w:t>hayatımda</w:t>
            </w:r>
            <w:r>
              <w:rPr>
                <w:spacing w:val="-8"/>
                <w:sz w:val="16"/>
              </w:rPr>
              <w:t xml:space="preserve"> </w:t>
            </w:r>
            <w:r>
              <w:rPr>
                <w:sz w:val="16"/>
              </w:rPr>
              <w:t>yaptığım</w:t>
            </w:r>
            <w:r>
              <w:rPr>
                <w:spacing w:val="40"/>
                <w:sz w:val="16"/>
              </w:rPr>
              <w:t xml:space="preserve"> </w:t>
            </w:r>
            <w:r>
              <w:rPr>
                <w:sz w:val="16"/>
              </w:rPr>
              <w:t>işleri kolaylaştırır.</w:t>
            </w:r>
          </w:p>
        </w:tc>
        <w:tc>
          <w:tcPr>
            <w:tcW w:w="541" w:type="dxa"/>
          </w:tcPr>
          <w:p w14:paraId="5A8C1B82">
            <w:pPr>
              <w:pStyle w:val="29"/>
              <w:spacing w:line="181" w:lineRule="exact"/>
              <w:ind w:left="95" w:right="138"/>
              <w:jc w:val="center"/>
              <w:rPr>
                <w:sz w:val="16"/>
              </w:rPr>
            </w:pPr>
            <w:r>
              <w:rPr>
                <w:spacing w:val="-4"/>
                <w:sz w:val="16"/>
              </w:rPr>
              <w:t>12.5</w:t>
            </w:r>
          </w:p>
        </w:tc>
        <w:tc>
          <w:tcPr>
            <w:tcW w:w="449" w:type="dxa"/>
          </w:tcPr>
          <w:p w14:paraId="6F469855">
            <w:pPr>
              <w:pStyle w:val="29"/>
              <w:spacing w:line="181" w:lineRule="exact"/>
              <w:ind w:left="62"/>
              <w:rPr>
                <w:sz w:val="16"/>
              </w:rPr>
            </w:pPr>
            <w:r>
              <w:rPr>
                <w:spacing w:val="-4"/>
                <w:sz w:val="16"/>
              </w:rPr>
              <w:t>16.8</w:t>
            </w:r>
          </w:p>
        </w:tc>
        <w:tc>
          <w:tcPr>
            <w:tcW w:w="541" w:type="dxa"/>
          </w:tcPr>
          <w:p w14:paraId="71ED8DB3">
            <w:pPr>
              <w:pStyle w:val="29"/>
              <w:spacing w:line="181" w:lineRule="exact"/>
              <w:ind w:left="95" w:right="136"/>
              <w:jc w:val="center"/>
              <w:rPr>
                <w:sz w:val="16"/>
              </w:rPr>
            </w:pPr>
            <w:r>
              <w:rPr>
                <w:spacing w:val="-4"/>
                <w:sz w:val="16"/>
              </w:rPr>
              <w:t>23.1</w:t>
            </w:r>
          </w:p>
        </w:tc>
        <w:tc>
          <w:tcPr>
            <w:tcW w:w="450" w:type="dxa"/>
          </w:tcPr>
          <w:p w14:paraId="096BDA26">
            <w:pPr>
              <w:pStyle w:val="29"/>
              <w:spacing w:line="181" w:lineRule="exact"/>
              <w:ind w:left="64"/>
              <w:rPr>
                <w:sz w:val="16"/>
              </w:rPr>
            </w:pPr>
            <w:r>
              <w:rPr>
                <w:spacing w:val="-4"/>
                <w:sz w:val="16"/>
              </w:rPr>
              <w:t>31.8</w:t>
            </w:r>
          </w:p>
        </w:tc>
        <w:tc>
          <w:tcPr>
            <w:tcW w:w="539" w:type="dxa"/>
          </w:tcPr>
          <w:p w14:paraId="2650C96D">
            <w:pPr>
              <w:pStyle w:val="29"/>
              <w:spacing w:line="181" w:lineRule="exact"/>
              <w:ind w:left="99" w:right="131"/>
              <w:jc w:val="center"/>
              <w:rPr>
                <w:sz w:val="16"/>
              </w:rPr>
            </w:pPr>
            <w:r>
              <w:rPr>
                <w:spacing w:val="-4"/>
                <w:sz w:val="16"/>
              </w:rPr>
              <w:t>15.8</w:t>
            </w:r>
          </w:p>
        </w:tc>
        <w:tc>
          <w:tcPr>
            <w:tcW w:w="450" w:type="dxa"/>
          </w:tcPr>
          <w:p w14:paraId="07C6B039">
            <w:pPr>
              <w:pStyle w:val="29"/>
              <w:spacing w:line="181" w:lineRule="exact"/>
              <w:ind w:left="56" w:right="90"/>
              <w:jc w:val="center"/>
              <w:rPr>
                <w:sz w:val="16"/>
              </w:rPr>
            </w:pPr>
            <w:r>
              <w:rPr>
                <w:spacing w:val="-4"/>
                <w:sz w:val="16"/>
              </w:rPr>
              <w:t>3.21</w:t>
            </w:r>
          </w:p>
        </w:tc>
        <w:tc>
          <w:tcPr>
            <w:tcW w:w="495" w:type="dxa"/>
          </w:tcPr>
          <w:p w14:paraId="144DADC8">
            <w:pPr>
              <w:pStyle w:val="29"/>
              <w:spacing w:line="181" w:lineRule="exact"/>
              <w:ind w:left="102" w:right="89"/>
              <w:jc w:val="center"/>
              <w:rPr>
                <w:sz w:val="16"/>
              </w:rPr>
            </w:pPr>
            <w:r>
              <w:rPr>
                <w:spacing w:val="-4"/>
                <w:sz w:val="16"/>
              </w:rPr>
              <w:t>1.25</w:t>
            </w:r>
          </w:p>
        </w:tc>
      </w:tr>
      <w:tr w14:paraId="2C857ECF">
        <w:tblPrEx>
          <w:tblCellMar>
            <w:top w:w="0" w:type="dxa"/>
            <w:left w:w="0" w:type="dxa"/>
            <w:bottom w:w="0" w:type="dxa"/>
            <w:right w:w="0" w:type="dxa"/>
          </w:tblCellMar>
        </w:tblPrEx>
        <w:trPr>
          <w:trHeight w:val="187" w:hRule="atLeast"/>
        </w:trPr>
        <w:tc>
          <w:tcPr>
            <w:tcW w:w="704" w:type="dxa"/>
            <w:tcBorders>
              <w:bottom w:val="single" w:color="000000" w:sz="4" w:space="0"/>
            </w:tcBorders>
          </w:tcPr>
          <w:p w14:paraId="305FF6B0">
            <w:pPr>
              <w:pStyle w:val="29"/>
              <w:spacing w:line="167" w:lineRule="exact"/>
              <w:ind w:left="115"/>
              <w:rPr>
                <w:sz w:val="16"/>
              </w:rPr>
            </w:pPr>
            <w:r>
              <w:rPr>
                <w:spacing w:val="-5"/>
                <w:sz w:val="16"/>
              </w:rPr>
              <w:t>26</w:t>
            </w:r>
          </w:p>
        </w:tc>
        <w:tc>
          <w:tcPr>
            <w:tcW w:w="4614" w:type="dxa"/>
            <w:tcBorders>
              <w:bottom w:val="single" w:color="000000" w:sz="4" w:space="0"/>
            </w:tcBorders>
          </w:tcPr>
          <w:p w14:paraId="38A05F87">
            <w:pPr>
              <w:pStyle w:val="29"/>
              <w:spacing w:line="167" w:lineRule="exact"/>
              <w:ind w:left="107"/>
              <w:rPr>
                <w:sz w:val="16"/>
              </w:rPr>
            </w:pPr>
            <w:r>
              <w:rPr>
                <w:sz w:val="16"/>
              </w:rPr>
              <w:t>Sanal</w:t>
            </w:r>
            <w:r>
              <w:rPr>
                <w:spacing w:val="-10"/>
                <w:sz w:val="16"/>
              </w:rPr>
              <w:t xml:space="preserve"> </w:t>
            </w:r>
            <w:r>
              <w:rPr>
                <w:sz w:val="16"/>
              </w:rPr>
              <w:t>rekreasyon</w:t>
            </w:r>
            <w:r>
              <w:rPr>
                <w:spacing w:val="-7"/>
                <w:sz w:val="16"/>
              </w:rPr>
              <w:t xml:space="preserve"> </w:t>
            </w:r>
            <w:r>
              <w:rPr>
                <w:sz w:val="16"/>
              </w:rPr>
              <w:t>faaliyetlerine</w:t>
            </w:r>
            <w:r>
              <w:rPr>
                <w:spacing w:val="-10"/>
                <w:sz w:val="16"/>
              </w:rPr>
              <w:t xml:space="preserve"> </w:t>
            </w:r>
            <w:r>
              <w:rPr>
                <w:sz w:val="16"/>
              </w:rPr>
              <w:t>katılmayı</w:t>
            </w:r>
            <w:r>
              <w:rPr>
                <w:spacing w:val="-7"/>
                <w:sz w:val="16"/>
              </w:rPr>
              <w:t xml:space="preserve"> </w:t>
            </w:r>
            <w:r>
              <w:rPr>
                <w:spacing w:val="-2"/>
                <w:sz w:val="16"/>
              </w:rPr>
              <w:t>severim.</w:t>
            </w:r>
          </w:p>
        </w:tc>
        <w:tc>
          <w:tcPr>
            <w:tcW w:w="541" w:type="dxa"/>
            <w:tcBorders>
              <w:bottom w:val="single" w:color="000000" w:sz="4" w:space="0"/>
            </w:tcBorders>
          </w:tcPr>
          <w:p w14:paraId="773195FD">
            <w:pPr>
              <w:pStyle w:val="29"/>
              <w:spacing w:line="167" w:lineRule="exact"/>
              <w:ind w:left="95" w:right="138"/>
              <w:jc w:val="center"/>
              <w:rPr>
                <w:sz w:val="16"/>
              </w:rPr>
            </w:pPr>
            <w:r>
              <w:rPr>
                <w:spacing w:val="-4"/>
                <w:sz w:val="16"/>
              </w:rPr>
              <w:t>13.9</w:t>
            </w:r>
          </w:p>
        </w:tc>
        <w:tc>
          <w:tcPr>
            <w:tcW w:w="449" w:type="dxa"/>
            <w:tcBorders>
              <w:bottom w:val="single" w:color="000000" w:sz="4" w:space="0"/>
            </w:tcBorders>
          </w:tcPr>
          <w:p w14:paraId="273CB06A">
            <w:pPr>
              <w:pStyle w:val="29"/>
              <w:spacing w:line="167" w:lineRule="exact"/>
              <w:ind w:left="62"/>
              <w:rPr>
                <w:sz w:val="16"/>
              </w:rPr>
            </w:pPr>
            <w:r>
              <w:rPr>
                <w:spacing w:val="-4"/>
                <w:sz w:val="16"/>
              </w:rPr>
              <w:t>15.3</w:t>
            </w:r>
          </w:p>
        </w:tc>
        <w:tc>
          <w:tcPr>
            <w:tcW w:w="541" w:type="dxa"/>
            <w:tcBorders>
              <w:bottom w:val="single" w:color="000000" w:sz="4" w:space="0"/>
            </w:tcBorders>
          </w:tcPr>
          <w:p w14:paraId="144830FE">
            <w:pPr>
              <w:pStyle w:val="29"/>
              <w:spacing w:line="167" w:lineRule="exact"/>
              <w:ind w:left="95" w:right="136"/>
              <w:jc w:val="center"/>
              <w:rPr>
                <w:sz w:val="16"/>
              </w:rPr>
            </w:pPr>
            <w:r>
              <w:rPr>
                <w:spacing w:val="-4"/>
                <w:sz w:val="16"/>
              </w:rPr>
              <w:t>21.1</w:t>
            </w:r>
          </w:p>
        </w:tc>
        <w:tc>
          <w:tcPr>
            <w:tcW w:w="450" w:type="dxa"/>
            <w:tcBorders>
              <w:bottom w:val="single" w:color="000000" w:sz="4" w:space="0"/>
            </w:tcBorders>
          </w:tcPr>
          <w:p w14:paraId="44D1576D">
            <w:pPr>
              <w:pStyle w:val="29"/>
              <w:spacing w:line="167" w:lineRule="exact"/>
              <w:ind w:left="64"/>
              <w:rPr>
                <w:sz w:val="16"/>
              </w:rPr>
            </w:pPr>
            <w:r>
              <w:rPr>
                <w:spacing w:val="-4"/>
                <w:sz w:val="16"/>
              </w:rPr>
              <w:t>31.8</w:t>
            </w:r>
          </w:p>
        </w:tc>
        <w:tc>
          <w:tcPr>
            <w:tcW w:w="539" w:type="dxa"/>
            <w:tcBorders>
              <w:bottom w:val="single" w:color="000000" w:sz="4" w:space="0"/>
            </w:tcBorders>
          </w:tcPr>
          <w:p w14:paraId="34C7B05B">
            <w:pPr>
              <w:pStyle w:val="29"/>
              <w:spacing w:line="167" w:lineRule="exact"/>
              <w:ind w:left="99" w:right="131"/>
              <w:jc w:val="center"/>
              <w:rPr>
                <w:sz w:val="16"/>
              </w:rPr>
            </w:pPr>
            <w:r>
              <w:rPr>
                <w:spacing w:val="-4"/>
                <w:sz w:val="16"/>
              </w:rPr>
              <w:t>17.9</w:t>
            </w:r>
          </w:p>
        </w:tc>
        <w:tc>
          <w:tcPr>
            <w:tcW w:w="450" w:type="dxa"/>
            <w:tcBorders>
              <w:bottom w:val="single" w:color="000000" w:sz="4" w:space="0"/>
            </w:tcBorders>
          </w:tcPr>
          <w:p w14:paraId="7C7C7342">
            <w:pPr>
              <w:pStyle w:val="29"/>
              <w:spacing w:line="167" w:lineRule="exact"/>
              <w:ind w:left="56" w:right="90"/>
              <w:jc w:val="center"/>
              <w:rPr>
                <w:sz w:val="16"/>
              </w:rPr>
            </w:pPr>
            <w:r>
              <w:rPr>
                <w:spacing w:val="-4"/>
                <w:sz w:val="16"/>
              </w:rPr>
              <w:t>3.25</w:t>
            </w:r>
          </w:p>
        </w:tc>
        <w:tc>
          <w:tcPr>
            <w:tcW w:w="495" w:type="dxa"/>
            <w:tcBorders>
              <w:bottom w:val="single" w:color="000000" w:sz="4" w:space="0"/>
            </w:tcBorders>
          </w:tcPr>
          <w:p w14:paraId="3086E2DC">
            <w:pPr>
              <w:pStyle w:val="29"/>
              <w:spacing w:line="167" w:lineRule="exact"/>
              <w:ind w:left="102" w:right="89"/>
              <w:jc w:val="center"/>
              <w:rPr>
                <w:sz w:val="16"/>
              </w:rPr>
            </w:pPr>
            <w:r>
              <w:rPr>
                <w:spacing w:val="-4"/>
                <w:sz w:val="16"/>
              </w:rPr>
              <w:t>1.30</w:t>
            </w:r>
          </w:p>
        </w:tc>
      </w:tr>
    </w:tbl>
    <w:p w14:paraId="77E2BFB1">
      <w:pPr>
        <w:pStyle w:val="9"/>
        <w:spacing w:before="5"/>
        <w:ind w:left="0"/>
        <w:jc w:val="left"/>
        <w:rPr>
          <w:sz w:val="2"/>
        </w:rPr>
      </w:pPr>
    </w:p>
    <w:tbl>
      <w:tblPr>
        <w:tblStyle w:val="7"/>
        <w:tblW w:w="0" w:type="auto"/>
        <w:tblInd w:w="167" w:type="dxa"/>
        <w:tblLayout w:type="fixed"/>
        <w:tblCellMar>
          <w:top w:w="0" w:type="dxa"/>
          <w:left w:w="0" w:type="dxa"/>
          <w:bottom w:w="0" w:type="dxa"/>
          <w:right w:w="0" w:type="dxa"/>
        </w:tblCellMar>
      </w:tblPr>
      <w:tblGrid>
        <w:gridCol w:w="538"/>
        <w:gridCol w:w="4774"/>
        <w:gridCol w:w="497"/>
        <w:gridCol w:w="496"/>
        <w:gridCol w:w="496"/>
        <w:gridCol w:w="497"/>
        <w:gridCol w:w="496"/>
        <w:gridCol w:w="496"/>
        <w:gridCol w:w="497"/>
      </w:tblGrid>
      <w:tr w14:paraId="08E56595">
        <w:tblPrEx>
          <w:tblCellMar>
            <w:top w:w="0" w:type="dxa"/>
            <w:left w:w="0" w:type="dxa"/>
            <w:bottom w:w="0" w:type="dxa"/>
            <w:right w:w="0" w:type="dxa"/>
          </w:tblCellMar>
        </w:tblPrEx>
        <w:trPr>
          <w:trHeight w:val="181" w:hRule="atLeast"/>
        </w:trPr>
        <w:tc>
          <w:tcPr>
            <w:tcW w:w="538" w:type="dxa"/>
            <w:tcBorders>
              <w:top w:val="single" w:color="000000" w:sz="4" w:space="0"/>
            </w:tcBorders>
          </w:tcPr>
          <w:p w14:paraId="00973A32">
            <w:pPr>
              <w:pStyle w:val="29"/>
              <w:spacing w:line="162" w:lineRule="exact"/>
              <w:ind w:left="108"/>
              <w:rPr>
                <w:sz w:val="16"/>
              </w:rPr>
            </w:pPr>
            <w:r>
              <w:rPr>
                <w:spacing w:val="-5"/>
                <w:sz w:val="16"/>
              </w:rPr>
              <w:t>27</w:t>
            </w:r>
          </w:p>
        </w:tc>
        <w:tc>
          <w:tcPr>
            <w:tcW w:w="4774" w:type="dxa"/>
            <w:tcBorders>
              <w:top w:val="single" w:color="000000" w:sz="4" w:space="0"/>
            </w:tcBorders>
          </w:tcPr>
          <w:p w14:paraId="2824A1C1">
            <w:pPr>
              <w:pStyle w:val="29"/>
              <w:spacing w:line="162" w:lineRule="exact"/>
              <w:ind w:left="265"/>
              <w:rPr>
                <w:sz w:val="16"/>
              </w:rPr>
            </w:pPr>
            <w:r>
              <w:rPr>
                <w:sz w:val="16"/>
              </w:rPr>
              <w:t>Sanal</w:t>
            </w:r>
            <w:r>
              <w:rPr>
                <w:spacing w:val="-8"/>
                <w:sz w:val="16"/>
              </w:rPr>
              <w:t xml:space="preserve"> </w:t>
            </w:r>
            <w:r>
              <w:rPr>
                <w:sz w:val="16"/>
              </w:rPr>
              <w:t>rekreasyon</w:t>
            </w:r>
            <w:r>
              <w:rPr>
                <w:spacing w:val="-6"/>
                <w:sz w:val="16"/>
              </w:rPr>
              <w:t xml:space="preserve"> </w:t>
            </w:r>
            <w:r>
              <w:rPr>
                <w:sz w:val="16"/>
              </w:rPr>
              <w:t>faaliyetlerine</w:t>
            </w:r>
            <w:r>
              <w:rPr>
                <w:spacing w:val="-8"/>
                <w:sz w:val="16"/>
              </w:rPr>
              <w:t xml:space="preserve"> </w:t>
            </w:r>
            <w:r>
              <w:rPr>
                <w:sz w:val="16"/>
              </w:rPr>
              <w:t>katılmak</w:t>
            </w:r>
            <w:r>
              <w:rPr>
                <w:spacing w:val="-7"/>
                <w:sz w:val="16"/>
              </w:rPr>
              <w:t xml:space="preserve"> </w:t>
            </w:r>
            <w:r>
              <w:rPr>
                <w:sz w:val="16"/>
              </w:rPr>
              <w:t>bana</w:t>
            </w:r>
            <w:r>
              <w:rPr>
                <w:spacing w:val="-6"/>
                <w:sz w:val="16"/>
              </w:rPr>
              <w:t xml:space="preserve"> </w:t>
            </w:r>
            <w:r>
              <w:rPr>
                <w:sz w:val="16"/>
              </w:rPr>
              <w:t>zevk</w:t>
            </w:r>
            <w:r>
              <w:rPr>
                <w:spacing w:val="-5"/>
                <w:sz w:val="16"/>
              </w:rPr>
              <w:t xml:space="preserve"> </w:t>
            </w:r>
            <w:r>
              <w:rPr>
                <w:spacing w:val="-2"/>
                <w:sz w:val="16"/>
              </w:rPr>
              <w:t>verir.</w:t>
            </w:r>
          </w:p>
        </w:tc>
        <w:tc>
          <w:tcPr>
            <w:tcW w:w="497" w:type="dxa"/>
            <w:tcBorders>
              <w:top w:val="single" w:color="000000" w:sz="4" w:space="0"/>
            </w:tcBorders>
          </w:tcPr>
          <w:p w14:paraId="5E3E8C02">
            <w:pPr>
              <w:pStyle w:val="29"/>
              <w:spacing w:line="162" w:lineRule="exact"/>
              <w:ind w:left="94" w:right="95"/>
              <w:jc w:val="center"/>
              <w:rPr>
                <w:sz w:val="16"/>
              </w:rPr>
            </w:pPr>
            <w:r>
              <w:rPr>
                <w:spacing w:val="-4"/>
                <w:sz w:val="16"/>
              </w:rPr>
              <w:t>15.0</w:t>
            </w:r>
          </w:p>
        </w:tc>
        <w:tc>
          <w:tcPr>
            <w:tcW w:w="496" w:type="dxa"/>
            <w:tcBorders>
              <w:top w:val="single" w:color="000000" w:sz="4" w:space="0"/>
            </w:tcBorders>
          </w:tcPr>
          <w:p w14:paraId="31FA3598">
            <w:pPr>
              <w:pStyle w:val="29"/>
              <w:spacing w:line="162" w:lineRule="exact"/>
              <w:ind w:left="93" w:right="94"/>
              <w:jc w:val="center"/>
              <w:rPr>
                <w:sz w:val="16"/>
              </w:rPr>
            </w:pPr>
            <w:r>
              <w:rPr>
                <w:spacing w:val="-4"/>
                <w:sz w:val="16"/>
              </w:rPr>
              <w:t>16.8</w:t>
            </w:r>
          </w:p>
        </w:tc>
        <w:tc>
          <w:tcPr>
            <w:tcW w:w="496" w:type="dxa"/>
            <w:tcBorders>
              <w:top w:val="single" w:color="000000" w:sz="4" w:space="0"/>
            </w:tcBorders>
          </w:tcPr>
          <w:p w14:paraId="5DE9F57E">
            <w:pPr>
              <w:pStyle w:val="29"/>
              <w:spacing w:line="162" w:lineRule="exact"/>
              <w:ind w:left="92" w:right="96"/>
              <w:jc w:val="center"/>
              <w:rPr>
                <w:sz w:val="16"/>
              </w:rPr>
            </w:pPr>
            <w:r>
              <w:rPr>
                <w:spacing w:val="-4"/>
                <w:sz w:val="16"/>
              </w:rPr>
              <w:t>22.8</w:t>
            </w:r>
          </w:p>
        </w:tc>
        <w:tc>
          <w:tcPr>
            <w:tcW w:w="497" w:type="dxa"/>
            <w:tcBorders>
              <w:top w:val="single" w:color="000000" w:sz="4" w:space="0"/>
            </w:tcBorders>
          </w:tcPr>
          <w:p w14:paraId="13D6C352">
            <w:pPr>
              <w:pStyle w:val="29"/>
              <w:spacing w:line="162" w:lineRule="exact"/>
              <w:ind w:left="94" w:right="96"/>
              <w:jc w:val="center"/>
              <w:rPr>
                <w:sz w:val="16"/>
              </w:rPr>
            </w:pPr>
            <w:r>
              <w:rPr>
                <w:spacing w:val="-4"/>
                <w:sz w:val="16"/>
              </w:rPr>
              <w:t>29.2</w:t>
            </w:r>
          </w:p>
        </w:tc>
        <w:tc>
          <w:tcPr>
            <w:tcW w:w="496" w:type="dxa"/>
            <w:tcBorders>
              <w:top w:val="single" w:color="000000" w:sz="4" w:space="0"/>
            </w:tcBorders>
          </w:tcPr>
          <w:p w14:paraId="28DE2B6B">
            <w:pPr>
              <w:pStyle w:val="29"/>
              <w:spacing w:line="162" w:lineRule="exact"/>
              <w:ind w:left="93" w:right="95"/>
              <w:jc w:val="center"/>
              <w:rPr>
                <w:sz w:val="16"/>
              </w:rPr>
            </w:pPr>
            <w:r>
              <w:rPr>
                <w:spacing w:val="-4"/>
                <w:sz w:val="16"/>
              </w:rPr>
              <w:t>16.2</w:t>
            </w:r>
          </w:p>
        </w:tc>
        <w:tc>
          <w:tcPr>
            <w:tcW w:w="496" w:type="dxa"/>
            <w:tcBorders>
              <w:top w:val="single" w:color="000000" w:sz="4" w:space="0"/>
            </w:tcBorders>
          </w:tcPr>
          <w:p w14:paraId="17416A89">
            <w:pPr>
              <w:pStyle w:val="29"/>
              <w:spacing w:line="162" w:lineRule="exact"/>
              <w:ind w:left="91" w:right="96"/>
              <w:jc w:val="center"/>
              <w:rPr>
                <w:sz w:val="16"/>
              </w:rPr>
            </w:pPr>
            <w:r>
              <w:rPr>
                <w:spacing w:val="-4"/>
                <w:sz w:val="16"/>
              </w:rPr>
              <w:t>3.15</w:t>
            </w:r>
          </w:p>
        </w:tc>
        <w:tc>
          <w:tcPr>
            <w:tcW w:w="497" w:type="dxa"/>
            <w:tcBorders>
              <w:top w:val="single" w:color="000000" w:sz="4" w:space="0"/>
            </w:tcBorders>
          </w:tcPr>
          <w:p w14:paraId="61AC962F">
            <w:pPr>
              <w:pStyle w:val="29"/>
              <w:spacing w:line="162" w:lineRule="exact"/>
              <w:ind w:left="93" w:right="97"/>
              <w:jc w:val="center"/>
              <w:rPr>
                <w:sz w:val="16"/>
              </w:rPr>
            </w:pPr>
            <w:r>
              <w:rPr>
                <w:spacing w:val="-4"/>
                <w:sz w:val="16"/>
              </w:rPr>
              <w:t>1.30</w:t>
            </w:r>
          </w:p>
        </w:tc>
      </w:tr>
      <w:tr w14:paraId="5A932885">
        <w:tblPrEx>
          <w:tblCellMar>
            <w:top w:w="0" w:type="dxa"/>
            <w:left w:w="0" w:type="dxa"/>
            <w:bottom w:w="0" w:type="dxa"/>
            <w:right w:w="0" w:type="dxa"/>
          </w:tblCellMar>
        </w:tblPrEx>
        <w:trPr>
          <w:trHeight w:val="367" w:hRule="atLeast"/>
        </w:trPr>
        <w:tc>
          <w:tcPr>
            <w:tcW w:w="538" w:type="dxa"/>
          </w:tcPr>
          <w:p w14:paraId="72D97CBF">
            <w:pPr>
              <w:pStyle w:val="29"/>
              <w:spacing w:line="181" w:lineRule="exact"/>
              <w:ind w:left="108"/>
              <w:rPr>
                <w:sz w:val="16"/>
              </w:rPr>
            </w:pPr>
            <w:r>
              <w:rPr>
                <w:spacing w:val="-5"/>
                <w:sz w:val="16"/>
              </w:rPr>
              <w:t>28</w:t>
            </w:r>
          </w:p>
        </w:tc>
        <w:tc>
          <w:tcPr>
            <w:tcW w:w="4774" w:type="dxa"/>
          </w:tcPr>
          <w:p w14:paraId="57D930FA">
            <w:pPr>
              <w:pStyle w:val="29"/>
              <w:spacing w:line="182" w:lineRule="exact"/>
              <w:ind w:left="265"/>
              <w:rPr>
                <w:sz w:val="16"/>
              </w:rPr>
            </w:pPr>
            <w:r>
              <w:rPr>
                <w:sz w:val="16"/>
              </w:rPr>
              <w:t>Sanal</w:t>
            </w:r>
            <w:r>
              <w:rPr>
                <w:spacing w:val="18"/>
                <w:sz w:val="16"/>
              </w:rPr>
              <w:t xml:space="preserve"> </w:t>
            </w:r>
            <w:r>
              <w:rPr>
                <w:sz w:val="16"/>
              </w:rPr>
              <w:t>rekreasyonda</w:t>
            </w:r>
            <w:r>
              <w:rPr>
                <w:spacing w:val="20"/>
                <w:sz w:val="16"/>
              </w:rPr>
              <w:t xml:space="preserve"> </w:t>
            </w:r>
            <w:r>
              <w:rPr>
                <w:sz w:val="16"/>
              </w:rPr>
              <w:t>yaşanan</w:t>
            </w:r>
            <w:r>
              <w:rPr>
                <w:spacing w:val="21"/>
                <w:sz w:val="16"/>
              </w:rPr>
              <w:t xml:space="preserve"> </w:t>
            </w:r>
            <w:r>
              <w:rPr>
                <w:sz w:val="16"/>
              </w:rPr>
              <w:t>teknolojik</w:t>
            </w:r>
            <w:r>
              <w:rPr>
                <w:spacing w:val="21"/>
                <w:sz w:val="16"/>
              </w:rPr>
              <w:t xml:space="preserve"> </w:t>
            </w:r>
            <w:r>
              <w:rPr>
                <w:sz w:val="16"/>
              </w:rPr>
              <w:t>gelişmeleri</w:t>
            </w:r>
            <w:r>
              <w:rPr>
                <w:spacing w:val="23"/>
                <w:sz w:val="16"/>
              </w:rPr>
              <w:t xml:space="preserve"> </w:t>
            </w:r>
            <w:r>
              <w:rPr>
                <w:sz w:val="16"/>
              </w:rPr>
              <w:t>yakından</w:t>
            </w:r>
            <w:r>
              <w:rPr>
                <w:spacing w:val="21"/>
                <w:sz w:val="16"/>
              </w:rPr>
              <w:t xml:space="preserve"> </w:t>
            </w:r>
            <w:r>
              <w:rPr>
                <w:sz w:val="16"/>
              </w:rPr>
              <w:t>takip</w:t>
            </w:r>
            <w:r>
              <w:rPr>
                <w:spacing w:val="40"/>
                <w:sz w:val="16"/>
              </w:rPr>
              <w:t xml:space="preserve"> </w:t>
            </w:r>
            <w:r>
              <w:rPr>
                <w:spacing w:val="-2"/>
                <w:sz w:val="16"/>
              </w:rPr>
              <w:t>ederim.</w:t>
            </w:r>
          </w:p>
        </w:tc>
        <w:tc>
          <w:tcPr>
            <w:tcW w:w="497" w:type="dxa"/>
          </w:tcPr>
          <w:p w14:paraId="4BC12966">
            <w:pPr>
              <w:pStyle w:val="29"/>
              <w:spacing w:line="181" w:lineRule="exact"/>
              <w:ind w:left="94" w:right="95"/>
              <w:jc w:val="center"/>
              <w:rPr>
                <w:sz w:val="16"/>
              </w:rPr>
            </w:pPr>
            <w:r>
              <w:rPr>
                <w:spacing w:val="-4"/>
                <w:sz w:val="16"/>
              </w:rPr>
              <w:t>14.8</w:t>
            </w:r>
          </w:p>
        </w:tc>
        <w:tc>
          <w:tcPr>
            <w:tcW w:w="496" w:type="dxa"/>
          </w:tcPr>
          <w:p w14:paraId="42E21941">
            <w:pPr>
              <w:pStyle w:val="29"/>
              <w:spacing w:line="181" w:lineRule="exact"/>
              <w:ind w:left="93" w:right="94"/>
              <w:jc w:val="center"/>
              <w:rPr>
                <w:sz w:val="16"/>
              </w:rPr>
            </w:pPr>
            <w:r>
              <w:rPr>
                <w:spacing w:val="-4"/>
                <w:sz w:val="16"/>
              </w:rPr>
              <w:t>18.1</w:t>
            </w:r>
          </w:p>
        </w:tc>
        <w:tc>
          <w:tcPr>
            <w:tcW w:w="496" w:type="dxa"/>
          </w:tcPr>
          <w:p w14:paraId="1CF5AD1A">
            <w:pPr>
              <w:pStyle w:val="29"/>
              <w:spacing w:line="181" w:lineRule="exact"/>
              <w:ind w:left="92" w:right="96"/>
              <w:jc w:val="center"/>
              <w:rPr>
                <w:sz w:val="16"/>
              </w:rPr>
            </w:pPr>
            <w:r>
              <w:rPr>
                <w:spacing w:val="-4"/>
                <w:sz w:val="16"/>
              </w:rPr>
              <w:t>18.4</w:t>
            </w:r>
          </w:p>
        </w:tc>
        <w:tc>
          <w:tcPr>
            <w:tcW w:w="497" w:type="dxa"/>
          </w:tcPr>
          <w:p w14:paraId="795D48B9">
            <w:pPr>
              <w:pStyle w:val="29"/>
              <w:spacing w:line="181" w:lineRule="exact"/>
              <w:ind w:left="94" w:right="96"/>
              <w:jc w:val="center"/>
              <w:rPr>
                <w:sz w:val="16"/>
              </w:rPr>
            </w:pPr>
            <w:r>
              <w:rPr>
                <w:spacing w:val="-4"/>
                <w:sz w:val="16"/>
              </w:rPr>
              <w:t>32.3</w:t>
            </w:r>
          </w:p>
        </w:tc>
        <w:tc>
          <w:tcPr>
            <w:tcW w:w="496" w:type="dxa"/>
          </w:tcPr>
          <w:p w14:paraId="79C5103B">
            <w:pPr>
              <w:pStyle w:val="29"/>
              <w:spacing w:line="181" w:lineRule="exact"/>
              <w:ind w:left="93" w:right="95"/>
              <w:jc w:val="center"/>
              <w:rPr>
                <w:sz w:val="16"/>
              </w:rPr>
            </w:pPr>
            <w:r>
              <w:rPr>
                <w:spacing w:val="-4"/>
                <w:sz w:val="16"/>
              </w:rPr>
              <w:t>16.4</w:t>
            </w:r>
          </w:p>
        </w:tc>
        <w:tc>
          <w:tcPr>
            <w:tcW w:w="496" w:type="dxa"/>
          </w:tcPr>
          <w:p w14:paraId="46513004">
            <w:pPr>
              <w:pStyle w:val="29"/>
              <w:spacing w:line="181" w:lineRule="exact"/>
              <w:ind w:left="91" w:right="96"/>
              <w:jc w:val="center"/>
              <w:rPr>
                <w:sz w:val="16"/>
              </w:rPr>
            </w:pPr>
            <w:r>
              <w:rPr>
                <w:spacing w:val="-4"/>
                <w:sz w:val="16"/>
              </w:rPr>
              <w:t>3.17</w:t>
            </w:r>
          </w:p>
        </w:tc>
        <w:tc>
          <w:tcPr>
            <w:tcW w:w="497" w:type="dxa"/>
          </w:tcPr>
          <w:p w14:paraId="61D74B8B">
            <w:pPr>
              <w:pStyle w:val="29"/>
              <w:spacing w:line="181" w:lineRule="exact"/>
              <w:ind w:left="93" w:right="97"/>
              <w:jc w:val="center"/>
              <w:rPr>
                <w:sz w:val="16"/>
              </w:rPr>
            </w:pPr>
            <w:r>
              <w:rPr>
                <w:spacing w:val="-4"/>
                <w:sz w:val="16"/>
              </w:rPr>
              <w:t>1.31</w:t>
            </w:r>
          </w:p>
        </w:tc>
      </w:tr>
      <w:tr w14:paraId="482D8C38">
        <w:tblPrEx>
          <w:tblCellMar>
            <w:top w:w="0" w:type="dxa"/>
            <w:left w:w="0" w:type="dxa"/>
            <w:bottom w:w="0" w:type="dxa"/>
            <w:right w:w="0" w:type="dxa"/>
          </w:tblCellMar>
        </w:tblPrEx>
        <w:trPr>
          <w:trHeight w:val="184" w:hRule="atLeast"/>
        </w:trPr>
        <w:tc>
          <w:tcPr>
            <w:tcW w:w="538" w:type="dxa"/>
          </w:tcPr>
          <w:p w14:paraId="0BA59109">
            <w:pPr>
              <w:pStyle w:val="29"/>
              <w:spacing w:line="165" w:lineRule="exact"/>
              <w:ind w:left="108"/>
              <w:rPr>
                <w:sz w:val="16"/>
              </w:rPr>
            </w:pPr>
            <w:r>
              <w:rPr>
                <w:spacing w:val="-5"/>
                <w:sz w:val="16"/>
              </w:rPr>
              <w:t>29</w:t>
            </w:r>
          </w:p>
        </w:tc>
        <w:tc>
          <w:tcPr>
            <w:tcW w:w="4774" w:type="dxa"/>
          </w:tcPr>
          <w:p w14:paraId="62738125">
            <w:pPr>
              <w:pStyle w:val="29"/>
              <w:spacing w:line="165" w:lineRule="exact"/>
              <w:ind w:left="265"/>
              <w:rPr>
                <w:sz w:val="16"/>
              </w:rPr>
            </w:pPr>
            <w:r>
              <w:rPr>
                <w:sz w:val="16"/>
              </w:rPr>
              <w:t>Sanal</w:t>
            </w:r>
            <w:r>
              <w:rPr>
                <w:spacing w:val="-10"/>
                <w:sz w:val="16"/>
              </w:rPr>
              <w:t xml:space="preserve"> </w:t>
            </w:r>
            <w:r>
              <w:rPr>
                <w:sz w:val="16"/>
              </w:rPr>
              <w:t>rekreasyon</w:t>
            </w:r>
            <w:r>
              <w:rPr>
                <w:spacing w:val="-7"/>
                <w:sz w:val="16"/>
              </w:rPr>
              <w:t xml:space="preserve"> </w:t>
            </w:r>
            <w:r>
              <w:rPr>
                <w:sz w:val="16"/>
              </w:rPr>
              <w:t>faaliyetlerini</w:t>
            </w:r>
            <w:r>
              <w:rPr>
                <w:spacing w:val="-8"/>
                <w:sz w:val="16"/>
              </w:rPr>
              <w:t xml:space="preserve"> </w:t>
            </w:r>
            <w:r>
              <w:rPr>
                <w:sz w:val="16"/>
              </w:rPr>
              <w:t>zihnimi</w:t>
            </w:r>
            <w:r>
              <w:rPr>
                <w:spacing w:val="-7"/>
                <w:sz w:val="16"/>
              </w:rPr>
              <w:t xml:space="preserve"> </w:t>
            </w:r>
            <w:r>
              <w:rPr>
                <w:spacing w:val="-2"/>
                <w:sz w:val="16"/>
              </w:rPr>
              <w:t>geliştirir.</w:t>
            </w:r>
          </w:p>
        </w:tc>
        <w:tc>
          <w:tcPr>
            <w:tcW w:w="497" w:type="dxa"/>
          </w:tcPr>
          <w:p w14:paraId="5B9A55E6">
            <w:pPr>
              <w:pStyle w:val="29"/>
              <w:spacing w:line="165" w:lineRule="exact"/>
              <w:ind w:left="94" w:right="95"/>
              <w:jc w:val="center"/>
              <w:rPr>
                <w:sz w:val="16"/>
              </w:rPr>
            </w:pPr>
            <w:r>
              <w:rPr>
                <w:spacing w:val="-4"/>
                <w:sz w:val="16"/>
              </w:rPr>
              <w:t>15.1</w:t>
            </w:r>
          </w:p>
        </w:tc>
        <w:tc>
          <w:tcPr>
            <w:tcW w:w="496" w:type="dxa"/>
          </w:tcPr>
          <w:p w14:paraId="6326BDED">
            <w:pPr>
              <w:pStyle w:val="29"/>
              <w:spacing w:line="165" w:lineRule="exact"/>
              <w:ind w:left="93" w:right="94"/>
              <w:jc w:val="center"/>
              <w:rPr>
                <w:sz w:val="16"/>
              </w:rPr>
            </w:pPr>
            <w:r>
              <w:rPr>
                <w:spacing w:val="-4"/>
                <w:sz w:val="16"/>
              </w:rPr>
              <w:t>15.8</w:t>
            </w:r>
          </w:p>
        </w:tc>
        <w:tc>
          <w:tcPr>
            <w:tcW w:w="496" w:type="dxa"/>
          </w:tcPr>
          <w:p w14:paraId="5EFC6C6E">
            <w:pPr>
              <w:pStyle w:val="29"/>
              <w:spacing w:line="165" w:lineRule="exact"/>
              <w:ind w:left="92" w:right="96"/>
              <w:jc w:val="center"/>
              <w:rPr>
                <w:sz w:val="16"/>
              </w:rPr>
            </w:pPr>
            <w:r>
              <w:rPr>
                <w:spacing w:val="-4"/>
                <w:sz w:val="16"/>
              </w:rPr>
              <w:t>18.3</w:t>
            </w:r>
          </w:p>
        </w:tc>
        <w:tc>
          <w:tcPr>
            <w:tcW w:w="497" w:type="dxa"/>
          </w:tcPr>
          <w:p w14:paraId="2F2AE6AC">
            <w:pPr>
              <w:pStyle w:val="29"/>
              <w:spacing w:line="165" w:lineRule="exact"/>
              <w:ind w:left="94" w:right="96"/>
              <w:jc w:val="center"/>
              <w:rPr>
                <w:sz w:val="16"/>
              </w:rPr>
            </w:pPr>
            <w:r>
              <w:rPr>
                <w:spacing w:val="-4"/>
                <w:sz w:val="16"/>
              </w:rPr>
              <w:t>36.0</w:t>
            </w:r>
          </w:p>
        </w:tc>
        <w:tc>
          <w:tcPr>
            <w:tcW w:w="496" w:type="dxa"/>
          </w:tcPr>
          <w:p w14:paraId="009613B0">
            <w:pPr>
              <w:pStyle w:val="29"/>
              <w:spacing w:line="165" w:lineRule="exact"/>
              <w:ind w:left="93" w:right="95"/>
              <w:jc w:val="center"/>
              <w:rPr>
                <w:sz w:val="16"/>
              </w:rPr>
            </w:pPr>
            <w:r>
              <w:rPr>
                <w:spacing w:val="-4"/>
                <w:sz w:val="16"/>
              </w:rPr>
              <w:t>14.8</w:t>
            </w:r>
          </w:p>
        </w:tc>
        <w:tc>
          <w:tcPr>
            <w:tcW w:w="496" w:type="dxa"/>
          </w:tcPr>
          <w:p w14:paraId="1D5C4D3E">
            <w:pPr>
              <w:pStyle w:val="29"/>
              <w:spacing w:line="165" w:lineRule="exact"/>
              <w:ind w:left="91" w:right="96"/>
              <w:jc w:val="center"/>
              <w:rPr>
                <w:sz w:val="16"/>
              </w:rPr>
            </w:pPr>
            <w:r>
              <w:rPr>
                <w:spacing w:val="-4"/>
                <w:sz w:val="16"/>
              </w:rPr>
              <w:t>3.20</w:t>
            </w:r>
          </w:p>
        </w:tc>
        <w:tc>
          <w:tcPr>
            <w:tcW w:w="497" w:type="dxa"/>
          </w:tcPr>
          <w:p w14:paraId="1F3B1B3C">
            <w:pPr>
              <w:pStyle w:val="29"/>
              <w:spacing w:line="165" w:lineRule="exact"/>
              <w:ind w:left="93" w:right="97"/>
              <w:jc w:val="center"/>
              <w:rPr>
                <w:sz w:val="16"/>
              </w:rPr>
            </w:pPr>
            <w:r>
              <w:rPr>
                <w:spacing w:val="-4"/>
                <w:sz w:val="16"/>
              </w:rPr>
              <w:t>1.30</w:t>
            </w:r>
          </w:p>
        </w:tc>
      </w:tr>
      <w:tr w14:paraId="2C3E450F">
        <w:tblPrEx>
          <w:tblCellMar>
            <w:top w:w="0" w:type="dxa"/>
            <w:left w:w="0" w:type="dxa"/>
            <w:bottom w:w="0" w:type="dxa"/>
            <w:right w:w="0" w:type="dxa"/>
          </w:tblCellMar>
        </w:tblPrEx>
        <w:trPr>
          <w:trHeight w:val="183" w:hRule="atLeast"/>
        </w:trPr>
        <w:tc>
          <w:tcPr>
            <w:tcW w:w="538" w:type="dxa"/>
          </w:tcPr>
          <w:p w14:paraId="5A05838D">
            <w:pPr>
              <w:pStyle w:val="29"/>
              <w:spacing w:line="164" w:lineRule="exact"/>
              <w:ind w:left="108"/>
              <w:rPr>
                <w:sz w:val="16"/>
              </w:rPr>
            </w:pPr>
            <w:r>
              <w:rPr>
                <w:spacing w:val="-5"/>
                <w:sz w:val="16"/>
              </w:rPr>
              <w:t>30</w:t>
            </w:r>
          </w:p>
        </w:tc>
        <w:tc>
          <w:tcPr>
            <w:tcW w:w="4774" w:type="dxa"/>
          </w:tcPr>
          <w:p w14:paraId="703C9016">
            <w:pPr>
              <w:pStyle w:val="29"/>
              <w:spacing w:line="164" w:lineRule="exact"/>
              <w:ind w:left="265"/>
              <w:rPr>
                <w:sz w:val="16"/>
              </w:rPr>
            </w:pPr>
            <w:r>
              <w:rPr>
                <w:sz w:val="16"/>
              </w:rPr>
              <w:t>Sanal</w:t>
            </w:r>
            <w:r>
              <w:rPr>
                <w:spacing w:val="-10"/>
                <w:sz w:val="16"/>
              </w:rPr>
              <w:t xml:space="preserve"> </w:t>
            </w:r>
            <w:r>
              <w:rPr>
                <w:sz w:val="16"/>
              </w:rPr>
              <w:t>rekreasyon</w:t>
            </w:r>
            <w:r>
              <w:rPr>
                <w:spacing w:val="-9"/>
                <w:sz w:val="16"/>
              </w:rPr>
              <w:t xml:space="preserve"> </w:t>
            </w:r>
            <w:r>
              <w:rPr>
                <w:sz w:val="16"/>
              </w:rPr>
              <w:t>faaliyetleri</w:t>
            </w:r>
            <w:r>
              <w:rPr>
                <w:spacing w:val="-6"/>
                <w:sz w:val="16"/>
              </w:rPr>
              <w:t xml:space="preserve"> </w:t>
            </w:r>
            <w:r>
              <w:rPr>
                <w:sz w:val="16"/>
              </w:rPr>
              <w:t>yaratıcılığımı</w:t>
            </w:r>
            <w:r>
              <w:rPr>
                <w:spacing w:val="-6"/>
                <w:sz w:val="16"/>
              </w:rPr>
              <w:t xml:space="preserve"> </w:t>
            </w:r>
            <w:r>
              <w:rPr>
                <w:spacing w:val="-2"/>
                <w:sz w:val="16"/>
              </w:rPr>
              <w:t>geliştirir.</w:t>
            </w:r>
          </w:p>
        </w:tc>
        <w:tc>
          <w:tcPr>
            <w:tcW w:w="497" w:type="dxa"/>
          </w:tcPr>
          <w:p w14:paraId="26CCC90F">
            <w:pPr>
              <w:pStyle w:val="29"/>
              <w:spacing w:line="164" w:lineRule="exact"/>
              <w:ind w:left="94" w:right="95"/>
              <w:jc w:val="center"/>
              <w:rPr>
                <w:sz w:val="16"/>
              </w:rPr>
            </w:pPr>
            <w:r>
              <w:rPr>
                <w:spacing w:val="-4"/>
                <w:sz w:val="16"/>
              </w:rPr>
              <w:t>13.3</w:t>
            </w:r>
          </w:p>
        </w:tc>
        <w:tc>
          <w:tcPr>
            <w:tcW w:w="496" w:type="dxa"/>
          </w:tcPr>
          <w:p w14:paraId="5E894E29">
            <w:pPr>
              <w:pStyle w:val="29"/>
              <w:spacing w:line="164" w:lineRule="exact"/>
              <w:ind w:left="93" w:right="94"/>
              <w:jc w:val="center"/>
              <w:rPr>
                <w:sz w:val="16"/>
              </w:rPr>
            </w:pPr>
            <w:r>
              <w:rPr>
                <w:spacing w:val="-4"/>
                <w:sz w:val="16"/>
              </w:rPr>
              <w:t>17.8</w:t>
            </w:r>
          </w:p>
        </w:tc>
        <w:tc>
          <w:tcPr>
            <w:tcW w:w="496" w:type="dxa"/>
          </w:tcPr>
          <w:p w14:paraId="3108E8FB">
            <w:pPr>
              <w:pStyle w:val="29"/>
              <w:spacing w:line="164" w:lineRule="exact"/>
              <w:ind w:left="92" w:right="96"/>
              <w:jc w:val="center"/>
              <w:rPr>
                <w:sz w:val="16"/>
              </w:rPr>
            </w:pPr>
            <w:r>
              <w:rPr>
                <w:spacing w:val="-4"/>
                <w:sz w:val="16"/>
              </w:rPr>
              <w:t>19.8</w:t>
            </w:r>
          </w:p>
        </w:tc>
        <w:tc>
          <w:tcPr>
            <w:tcW w:w="497" w:type="dxa"/>
          </w:tcPr>
          <w:p w14:paraId="216188C6">
            <w:pPr>
              <w:pStyle w:val="29"/>
              <w:spacing w:line="164" w:lineRule="exact"/>
              <w:ind w:left="94" w:right="96"/>
              <w:jc w:val="center"/>
              <w:rPr>
                <w:sz w:val="16"/>
              </w:rPr>
            </w:pPr>
            <w:r>
              <w:rPr>
                <w:spacing w:val="-4"/>
                <w:sz w:val="16"/>
              </w:rPr>
              <w:t>33.7</w:t>
            </w:r>
          </w:p>
        </w:tc>
        <w:tc>
          <w:tcPr>
            <w:tcW w:w="496" w:type="dxa"/>
          </w:tcPr>
          <w:p w14:paraId="08D94C4E">
            <w:pPr>
              <w:pStyle w:val="29"/>
              <w:spacing w:line="164" w:lineRule="exact"/>
              <w:ind w:left="93" w:right="95"/>
              <w:jc w:val="center"/>
              <w:rPr>
                <w:sz w:val="16"/>
              </w:rPr>
            </w:pPr>
            <w:r>
              <w:rPr>
                <w:spacing w:val="-4"/>
                <w:sz w:val="16"/>
              </w:rPr>
              <w:t>15.4</w:t>
            </w:r>
          </w:p>
        </w:tc>
        <w:tc>
          <w:tcPr>
            <w:tcW w:w="496" w:type="dxa"/>
          </w:tcPr>
          <w:p w14:paraId="2D165253">
            <w:pPr>
              <w:pStyle w:val="29"/>
              <w:spacing w:line="164" w:lineRule="exact"/>
              <w:ind w:left="91" w:right="96"/>
              <w:jc w:val="center"/>
              <w:rPr>
                <w:sz w:val="16"/>
              </w:rPr>
            </w:pPr>
            <w:r>
              <w:rPr>
                <w:spacing w:val="-4"/>
                <w:sz w:val="16"/>
              </w:rPr>
              <w:t>3.20</w:t>
            </w:r>
          </w:p>
        </w:tc>
        <w:tc>
          <w:tcPr>
            <w:tcW w:w="497" w:type="dxa"/>
          </w:tcPr>
          <w:p w14:paraId="4B688910">
            <w:pPr>
              <w:pStyle w:val="29"/>
              <w:spacing w:line="164" w:lineRule="exact"/>
              <w:ind w:left="93" w:right="97"/>
              <w:jc w:val="center"/>
              <w:rPr>
                <w:sz w:val="16"/>
              </w:rPr>
            </w:pPr>
            <w:r>
              <w:rPr>
                <w:spacing w:val="-4"/>
                <w:sz w:val="16"/>
              </w:rPr>
              <w:t>1.27</w:t>
            </w:r>
          </w:p>
        </w:tc>
      </w:tr>
      <w:tr w14:paraId="3F20EFE1">
        <w:tblPrEx>
          <w:tblCellMar>
            <w:top w:w="0" w:type="dxa"/>
            <w:left w:w="0" w:type="dxa"/>
            <w:bottom w:w="0" w:type="dxa"/>
            <w:right w:w="0" w:type="dxa"/>
          </w:tblCellMar>
        </w:tblPrEx>
        <w:trPr>
          <w:trHeight w:val="183" w:hRule="atLeast"/>
        </w:trPr>
        <w:tc>
          <w:tcPr>
            <w:tcW w:w="538" w:type="dxa"/>
          </w:tcPr>
          <w:p w14:paraId="0174C6BC">
            <w:pPr>
              <w:pStyle w:val="29"/>
              <w:spacing w:line="164" w:lineRule="exact"/>
              <w:ind w:left="108"/>
              <w:rPr>
                <w:sz w:val="16"/>
              </w:rPr>
            </w:pPr>
            <w:r>
              <w:rPr>
                <w:spacing w:val="-5"/>
                <w:sz w:val="16"/>
              </w:rPr>
              <w:t>31</w:t>
            </w:r>
          </w:p>
        </w:tc>
        <w:tc>
          <w:tcPr>
            <w:tcW w:w="4774" w:type="dxa"/>
          </w:tcPr>
          <w:p w14:paraId="5B0A0BB5">
            <w:pPr>
              <w:pStyle w:val="29"/>
              <w:spacing w:line="164" w:lineRule="exact"/>
              <w:ind w:left="265"/>
              <w:rPr>
                <w:sz w:val="16"/>
              </w:rPr>
            </w:pPr>
            <w:r>
              <w:rPr>
                <w:sz w:val="16"/>
              </w:rPr>
              <w:t>Sanal</w:t>
            </w:r>
            <w:r>
              <w:rPr>
                <w:spacing w:val="-6"/>
                <w:sz w:val="16"/>
              </w:rPr>
              <w:t xml:space="preserve"> </w:t>
            </w:r>
            <w:r>
              <w:rPr>
                <w:sz w:val="16"/>
              </w:rPr>
              <w:t>rekreasyon</w:t>
            </w:r>
            <w:r>
              <w:rPr>
                <w:spacing w:val="-5"/>
                <w:sz w:val="16"/>
              </w:rPr>
              <w:t xml:space="preserve"> </w:t>
            </w:r>
            <w:r>
              <w:rPr>
                <w:sz w:val="16"/>
              </w:rPr>
              <w:t>ile</w:t>
            </w:r>
            <w:r>
              <w:rPr>
                <w:spacing w:val="-7"/>
                <w:sz w:val="16"/>
              </w:rPr>
              <w:t xml:space="preserve"> </w:t>
            </w:r>
            <w:r>
              <w:rPr>
                <w:sz w:val="16"/>
              </w:rPr>
              <w:t>benzersiz</w:t>
            </w:r>
            <w:r>
              <w:rPr>
                <w:spacing w:val="-6"/>
                <w:sz w:val="16"/>
              </w:rPr>
              <w:t xml:space="preserve"> </w:t>
            </w:r>
            <w:r>
              <w:rPr>
                <w:sz w:val="16"/>
              </w:rPr>
              <w:t>bir</w:t>
            </w:r>
            <w:r>
              <w:rPr>
                <w:spacing w:val="-6"/>
                <w:sz w:val="16"/>
              </w:rPr>
              <w:t xml:space="preserve"> </w:t>
            </w:r>
            <w:r>
              <w:rPr>
                <w:sz w:val="16"/>
              </w:rPr>
              <w:t>deneyim</w:t>
            </w:r>
            <w:r>
              <w:rPr>
                <w:spacing w:val="-5"/>
                <w:sz w:val="16"/>
              </w:rPr>
              <w:t xml:space="preserve"> </w:t>
            </w:r>
            <w:r>
              <w:rPr>
                <w:spacing w:val="-2"/>
                <w:sz w:val="16"/>
              </w:rPr>
              <w:t>yaşarım.</w:t>
            </w:r>
          </w:p>
        </w:tc>
        <w:tc>
          <w:tcPr>
            <w:tcW w:w="497" w:type="dxa"/>
          </w:tcPr>
          <w:p w14:paraId="41871951">
            <w:pPr>
              <w:pStyle w:val="29"/>
              <w:spacing w:line="164" w:lineRule="exact"/>
              <w:ind w:left="94" w:right="95"/>
              <w:jc w:val="center"/>
              <w:rPr>
                <w:sz w:val="16"/>
              </w:rPr>
            </w:pPr>
            <w:r>
              <w:rPr>
                <w:spacing w:val="-4"/>
                <w:sz w:val="16"/>
              </w:rPr>
              <w:t>13.4</w:t>
            </w:r>
          </w:p>
        </w:tc>
        <w:tc>
          <w:tcPr>
            <w:tcW w:w="496" w:type="dxa"/>
          </w:tcPr>
          <w:p w14:paraId="5507F5ED">
            <w:pPr>
              <w:pStyle w:val="29"/>
              <w:spacing w:line="164" w:lineRule="exact"/>
              <w:ind w:left="93" w:right="94"/>
              <w:jc w:val="center"/>
              <w:rPr>
                <w:sz w:val="16"/>
              </w:rPr>
            </w:pPr>
            <w:r>
              <w:rPr>
                <w:spacing w:val="-4"/>
                <w:sz w:val="16"/>
              </w:rPr>
              <w:t>18.4</w:t>
            </w:r>
          </w:p>
        </w:tc>
        <w:tc>
          <w:tcPr>
            <w:tcW w:w="496" w:type="dxa"/>
          </w:tcPr>
          <w:p w14:paraId="1CCE8BF0">
            <w:pPr>
              <w:pStyle w:val="29"/>
              <w:spacing w:line="164" w:lineRule="exact"/>
              <w:ind w:left="92" w:right="96"/>
              <w:jc w:val="center"/>
              <w:rPr>
                <w:sz w:val="16"/>
              </w:rPr>
            </w:pPr>
            <w:r>
              <w:rPr>
                <w:spacing w:val="-4"/>
                <w:sz w:val="16"/>
              </w:rPr>
              <w:t>21.7</w:t>
            </w:r>
          </w:p>
        </w:tc>
        <w:tc>
          <w:tcPr>
            <w:tcW w:w="497" w:type="dxa"/>
          </w:tcPr>
          <w:p w14:paraId="46749080">
            <w:pPr>
              <w:pStyle w:val="29"/>
              <w:spacing w:line="164" w:lineRule="exact"/>
              <w:ind w:left="94" w:right="96"/>
              <w:jc w:val="center"/>
              <w:rPr>
                <w:sz w:val="16"/>
              </w:rPr>
            </w:pPr>
            <w:r>
              <w:rPr>
                <w:spacing w:val="-4"/>
                <w:sz w:val="16"/>
              </w:rPr>
              <w:t>30.6</w:t>
            </w:r>
          </w:p>
        </w:tc>
        <w:tc>
          <w:tcPr>
            <w:tcW w:w="496" w:type="dxa"/>
          </w:tcPr>
          <w:p w14:paraId="0CFA3D44">
            <w:pPr>
              <w:pStyle w:val="29"/>
              <w:spacing w:line="164" w:lineRule="exact"/>
              <w:ind w:left="93" w:right="95"/>
              <w:jc w:val="center"/>
              <w:rPr>
                <w:sz w:val="16"/>
              </w:rPr>
            </w:pPr>
            <w:r>
              <w:rPr>
                <w:spacing w:val="-4"/>
                <w:sz w:val="16"/>
              </w:rPr>
              <w:t>15.9</w:t>
            </w:r>
          </w:p>
        </w:tc>
        <w:tc>
          <w:tcPr>
            <w:tcW w:w="496" w:type="dxa"/>
          </w:tcPr>
          <w:p w14:paraId="295154D3">
            <w:pPr>
              <w:pStyle w:val="29"/>
              <w:spacing w:line="164" w:lineRule="exact"/>
              <w:ind w:left="91" w:right="96"/>
              <w:jc w:val="center"/>
              <w:rPr>
                <w:sz w:val="16"/>
              </w:rPr>
            </w:pPr>
            <w:r>
              <w:rPr>
                <w:spacing w:val="-4"/>
                <w:sz w:val="16"/>
              </w:rPr>
              <w:t>3.17</w:t>
            </w:r>
          </w:p>
        </w:tc>
        <w:tc>
          <w:tcPr>
            <w:tcW w:w="497" w:type="dxa"/>
          </w:tcPr>
          <w:p w14:paraId="5D94AD12">
            <w:pPr>
              <w:pStyle w:val="29"/>
              <w:spacing w:line="164" w:lineRule="exact"/>
              <w:ind w:left="93" w:right="97"/>
              <w:jc w:val="center"/>
              <w:rPr>
                <w:sz w:val="16"/>
              </w:rPr>
            </w:pPr>
            <w:r>
              <w:rPr>
                <w:spacing w:val="-4"/>
                <w:sz w:val="16"/>
              </w:rPr>
              <w:t>1.28</w:t>
            </w:r>
          </w:p>
        </w:tc>
      </w:tr>
      <w:tr w14:paraId="6FC403DB">
        <w:tblPrEx>
          <w:tblCellMar>
            <w:top w:w="0" w:type="dxa"/>
            <w:left w:w="0" w:type="dxa"/>
            <w:bottom w:w="0" w:type="dxa"/>
            <w:right w:w="0" w:type="dxa"/>
          </w:tblCellMar>
        </w:tblPrEx>
        <w:trPr>
          <w:trHeight w:val="368" w:hRule="atLeast"/>
        </w:trPr>
        <w:tc>
          <w:tcPr>
            <w:tcW w:w="538" w:type="dxa"/>
          </w:tcPr>
          <w:p w14:paraId="6AF723CB">
            <w:pPr>
              <w:pStyle w:val="29"/>
              <w:spacing w:line="181" w:lineRule="exact"/>
              <w:ind w:left="108"/>
              <w:rPr>
                <w:sz w:val="16"/>
              </w:rPr>
            </w:pPr>
            <w:r>
              <w:rPr>
                <w:spacing w:val="-5"/>
                <w:sz w:val="16"/>
              </w:rPr>
              <w:t>32</w:t>
            </w:r>
          </w:p>
        </w:tc>
        <w:tc>
          <w:tcPr>
            <w:tcW w:w="4774" w:type="dxa"/>
          </w:tcPr>
          <w:p w14:paraId="7EF7616E">
            <w:pPr>
              <w:pStyle w:val="29"/>
              <w:spacing w:line="181" w:lineRule="exact"/>
              <w:ind w:left="265"/>
              <w:rPr>
                <w:sz w:val="16"/>
              </w:rPr>
            </w:pPr>
            <w:r>
              <w:rPr>
                <w:sz w:val="16"/>
              </w:rPr>
              <w:t>Sanal</w:t>
            </w:r>
            <w:r>
              <w:rPr>
                <w:spacing w:val="-8"/>
                <w:sz w:val="16"/>
              </w:rPr>
              <w:t xml:space="preserve"> </w:t>
            </w:r>
            <w:r>
              <w:rPr>
                <w:sz w:val="16"/>
              </w:rPr>
              <w:t>rekreasyon</w:t>
            </w:r>
            <w:r>
              <w:rPr>
                <w:spacing w:val="-5"/>
                <w:sz w:val="16"/>
              </w:rPr>
              <w:t xml:space="preserve"> </w:t>
            </w:r>
            <w:r>
              <w:rPr>
                <w:sz w:val="16"/>
              </w:rPr>
              <w:t>ile</w:t>
            </w:r>
            <w:r>
              <w:rPr>
                <w:spacing w:val="-8"/>
                <w:sz w:val="16"/>
              </w:rPr>
              <w:t xml:space="preserve"> </w:t>
            </w:r>
            <w:r>
              <w:rPr>
                <w:sz w:val="16"/>
              </w:rPr>
              <w:t>sanal</w:t>
            </w:r>
            <w:r>
              <w:rPr>
                <w:spacing w:val="-9"/>
                <w:sz w:val="16"/>
              </w:rPr>
              <w:t xml:space="preserve"> </w:t>
            </w:r>
            <w:r>
              <w:rPr>
                <w:sz w:val="16"/>
              </w:rPr>
              <w:t>dünyalarda</w:t>
            </w:r>
            <w:r>
              <w:rPr>
                <w:spacing w:val="-9"/>
                <w:sz w:val="16"/>
              </w:rPr>
              <w:t xml:space="preserve"> </w:t>
            </w:r>
            <w:r>
              <w:rPr>
                <w:sz w:val="16"/>
              </w:rPr>
              <w:t>yaratılan</w:t>
            </w:r>
            <w:r>
              <w:rPr>
                <w:spacing w:val="-8"/>
                <w:sz w:val="16"/>
              </w:rPr>
              <w:t xml:space="preserve"> </w:t>
            </w:r>
            <w:r>
              <w:rPr>
                <w:sz w:val="16"/>
              </w:rPr>
              <w:t>nesnelerle</w:t>
            </w:r>
            <w:r>
              <w:rPr>
                <w:spacing w:val="-7"/>
                <w:sz w:val="16"/>
              </w:rPr>
              <w:t xml:space="preserve"> </w:t>
            </w:r>
            <w:r>
              <w:rPr>
                <w:spacing w:val="-2"/>
                <w:sz w:val="16"/>
              </w:rPr>
              <w:t>etkileşime</w:t>
            </w:r>
          </w:p>
          <w:p w14:paraId="529CC93B">
            <w:pPr>
              <w:pStyle w:val="29"/>
              <w:spacing w:before="1" w:line="166" w:lineRule="exact"/>
              <w:ind w:left="265"/>
              <w:rPr>
                <w:sz w:val="16"/>
              </w:rPr>
            </w:pPr>
            <w:r>
              <w:rPr>
                <w:spacing w:val="-2"/>
                <w:sz w:val="16"/>
              </w:rPr>
              <w:t>geçerim.</w:t>
            </w:r>
          </w:p>
        </w:tc>
        <w:tc>
          <w:tcPr>
            <w:tcW w:w="497" w:type="dxa"/>
          </w:tcPr>
          <w:p w14:paraId="1A09D2DA">
            <w:pPr>
              <w:pStyle w:val="29"/>
              <w:spacing w:line="181" w:lineRule="exact"/>
              <w:ind w:left="94" w:right="95"/>
              <w:jc w:val="center"/>
              <w:rPr>
                <w:sz w:val="16"/>
              </w:rPr>
            </w:pPr>
            <w:r>
              <w:rPr>
                <w:spacing w:val="-4"/>
                <w:sz w:val="16"/>
              </w:rPr>
              <w:t>15.4</w:t>
            </w:r>
          </w:p>
        </w:tc>
        <w:tc>
          <w:tcPr>
            <w:tcW w:w="496" w:type="dxa"/>
          </w:tcPr>
          <w:p w14:paraId="20E384F5">
            <w:pPr>
              <w:pStyle w:val="29"/>
              <w:spacing w:line="181" w:lineRule="exact"/>
              <w:ind w:left="93" w:right="94"/>
              <w:jc w:val="center"/>
              <w:rPr>
                <w:sz w:val="16"/>
              </w:rPr>
            </w:pPr>
            <w:r>
              <w:rPr>
                <w:spacing w:val="-4"/>
                <w:sz w:val="16"/>
              </w:rPr>
              <w:t>15.6</w:t>
            </w:r>
          </w:p>
        </w:tc>
        <w:tc>
          <w:tcPr>
            <w:tcW w:w="496" w:type="dxa"/>
          </w:tcPr>
          <w:p w14:paraId="524FD9C6">
            <w:pPr>
              <w:pStyle w:val="29"/>
              <w:spacing w:line="181" w:lineRule="exact"/>
              <w:ind w:left="92" w:right="96"/>
              <w:jc w:val="center"/>
              <w:rPr>
                <w:sz w:val="16"/>
              </w:rPr>
            </w:pPr>
            <w:r>
              <w:rPr>
                <w:spacing w:val="-4"/>
                <w:sz w:val="16"/>
              </w:rPr>
              <w:t>19.7</w:t>
            </w:r>
          </w:p>
        </w:tc>
        <w:tc>
          <w:tcPr>
            <w:tcW w:w="497" w:type="dxa"/>
          </w:tcPr>
          <w:p w14:paraId="153487B0">
            <w:pPr>
              <w:pStyle w:val="29"/>
              <w:spacing w:line="181" w:lineRule="exact"/>
              <w:ind w:left="94" w:right="96"/>
              <w:jc w:val="center"/>
              <w:rPr>
                <w:sz w:val="16"/>
              </w:rPr>
            </w:pPr>
            <w:r>
              <w:rPr>
                <w:spacing w:val="-4"/>
                <w:sz w:val="16"/>
              </w:rPr>
              <w:t>32.4</w:t>
            </w:r>
          </w:p>
        </w:tc>
        <w:tc>
          <w:tcPr>
            <w:tcW w:w="496" w:type="dxa"/>
          </w:tcPr>
          <w:p w14:paraId="139C7D43">
            <w:pPr>
              <w:pStyle w:val="29"/>
              <w:spacing w:line="181" w:lineRule="exact"/>
              <w:ind w:left="93" w:right="95"/>
              <w:jc w:val="center"/>
              <w:rPr>
                <w:sz w:val="16"/>
              </w:rPr>
            </w:pPr>
            <w:r>
              <w:rPr>
                <w:spacing w:val="-4"/>
                <w:sz w:val="16"/>
              </w:rPr>
              <w:t>16.8</w:t>
            </w:r>
          </w:p>
        </w:tc>
        <w:tc>
          <w:tcPr>
            <w:tcW w:w="496" w:type="dxa"/>
          </w:tcPr>
          <w:p w14:paraId="7221F90A">
            <w:pPr>
              <w:pStyle w:val="29"/>
              <w:spacing w:line="181" w:lineRule="exact"/>
              <w:ind w:left="91" w:right="96"/>
              <w:jc w:val="center"/>
              <w:rPr>
                <w:sz w:val="16"/>
              </w:rPr>
            </w:pPr>
            <w:r>
              <w:rPr>
                <w:spacing w:val="-4"/>
                <w:sz w:val="16"/>
              </w:rPr>
              <w:t>3.20</w:t>
            </w:r>
          </w:p>
        </w:tc>
        <w:tc>
          <w:tcPr>
            <w:tcW w:w="497" w:type="dxa"/>
          </w:tcPr>
          <w:p w14:paraId="1FECE7EB">
            <w:pPr>
              <w:pStyle w:val="29"/>
              <w:spacing w:line="181" w:lineRule="exact"/>
              <w:ind w:left="93" w:right="97"/>
              <w:jc w:val="center"/>
              <w:rPr>
                <w:sz w:val="16"/>
              </w:rPr>
            </w:pPr>
            <w:r>
              <w:rPr>
                <w:spacing w:val="-4"/>
                <w:sz w:val="16"/>
              </w:rPr>
              <w:t>1.32</w:t>
            </w:r>
          </w:p>
        </w:tc>
      </w:tr>
      <w:tr w14:paraId="6B8915C4">
        <w:tblPrEx>
          <w:tblCellMar>
            <w:top w:w="0" w:type="dxa"/>
            <w:left w:w="0" w:type="dxa"/>
            <w:bottom w:w="0" w:type="dxa"/>
            <w:right w:w="0" w:type="dxa"/>
          </w:tblCellMar>
        </w:tblPrEx>
        <w:trPr>
          <w:trHeight w:val="183" w:hRule="atLeast"/>
        </w:trPr>
        <w:tc>
          <w:tcPr>
            <w:tcW w:w="538" w:type="dxa"/>
          </w:tcPr>
          <w:p w14:paraId="7566F675">
            <w:pPr>
              <w:pStyle w:val="29"/>
              <w:spacing w:line="164" w:lineRule="exact"/>
              <w:ind w:left="108"/>
              <w:rPr>
                <w:sz w:val="16"/>
              </w:rPr>
            </w:pPr>
            <w:r>
              <w:rPr>
                <w:spacing w:val="-5"/>
                <w:sz w:val="16"/>
              </w:rPr>
              <w:t>33</w:t>
            </w:r>
          </w:p>
        </w:tc>
        <w:tc>
          <w:tcPr>
            <w:tcW w:w="4774" w:type="dxa"/>
          </w:tcPr>
          <w:p w14:paraId="16AF2A2C">
            <w:pPr>
              <w:pStyle w:val="29"/>
              <w:spacing w:line="164" w:lineRule="exact"/>
              <w:ind w:left="265"/>
              <w:rPr>
                <w:sz w:val="16"/>
              </w:rPr>
            </w:pPr>
            <w:r>
              <w:rPr>
                <w:sz w:val="16"/>
              </w:rPr>
              <w:t>Sanal</w:t>
            </w:r>
            <w:r>
              <w:rPr>
                <w:spacing w:val="-7"/>
                <w:sz w:val="16"/>
              </w:rPr>
              <w:t xml:space="preserve"> </w:t>
            </w:r>
            <w:r>
              <w:rPr>
                <w:sz w:val="16"/>
              </w:rPr>
              <w:t>rekreasyon</w:t>
            </w:r>
            <w:r>
              <w:rPr>
                <w:spacing w:val="-4"/>
                <w:sz w:val="16"/>
              </w:rPr>
              <w:t xml:space="preserve"> </w:t>
            </w:r>
            <w:r>
              <w:rPr>
                <w:sz w:val="16"/>
              </w:rPr>
              <w:t>faaliyetleri</w:t>
            </w:r>
            <w:r>
              <w:rPr>
                <w:spacing w:val="-5"/>
                <w:sz w:val="16"/>
              </w:rPr>
              <w:t xml:space="preserve"> </w:t>
            </w:r>
            <w:r>
              <w:rPr>
                <w:sz w:val="16"/>
              </w:rPr>
              <w:t>ile</w:t>
            </w:r>
            <w:r>
              <w:rPr>
                <w:spacing w:val="-7"/>
                <w:sz w:val="16"/>
              </w:rPr>
              <w:t xml:space="preserve"> </w:t>
            </w:r>
            <w:r>
              <w:rPr>
                <w:sz w:val="16"/>
              </w:rPr>
              <w:t>başka</w:t>
            </w:r>
            <w:r>
              <w:rPr>
                <w:spacing w:val="-7"/>
                <w:sz w:val="16"/>
              </w:rPr>
              <w:t xml:space="preserve"> </w:t>
            </w:r>
            <w:r>
              <w:rPr>
                <w:sz w:val="16"/>
              </w:rPr>
              <w:t>bir</w:t>
            </w:r>
            <w:r>
              <w:rPr>
                <w:spacing w:val="-8"/>
                <w:sz w:val="16"/>
              </w:rPr>
              <w:t xml:space="preserve"> </w:t>
            </w:r>
            <w:r>
              <w:rPr>
                <w:sz w:val="16"/>
              </w:rPr>
              <w:t>dünyaya</w:t>
            </w:r>
            <w:r>
              <w:rPr>
                <w:spacing w:val="-5"/>
                <w:sz w:val="16"/>
              </w:rPr>
              <w:t xml:space="preserve"> </w:t>
            </w:r>
            <w:r>
              <w:rPr>
                <w:sz w:val="16"/>
              </w:rPr>
              <w:t>geçiş</w:t>
            </w:r>
            <w:r>
              <w:rPr>
                <w:spacing w:val="-5"/>
                <w:sz w:val="16"/>
              </w:rPr>
              <w:t xml:space="preserve"> </w:t>
            </w:r>
            <w:r>
              <w:rPr>
                <w:spacing w:val="-2"/>
                <w:sz w:val="16"/>
              </w:rPr>
              <w:t>yaparım.</w:t>
            </w:r>
          </w:p>
        </w:tc>
        <w:tc>
          <w:tcPr>
            <w:tcW w:w="497" w:type="dxa"/>
          </w:tcPr>
          <w:p w14:paraId="147BB7A7">
            <w:pPr>
              <w:pStyle w:val="29"/>
              <w:spacing w:line="164" w:lineRule="exact"/>
              <w:ind w:left="94" w:right="95"/>
              <w:jc w:val="center"/>
              <w:rPr>
                <w:sz w:val="16"/>
              </w:rPr>
            </w:pPr>
            <w:r>
              <w:rPr>
                <w:spacing w:val="-4"/>
                <w:sz w:val="16"/>
              </w:rPr>
              <w:t>12.8</w:t>
            </w:r>
          </w:p>
        </w:tc>
        <w:tc>
          <w:tcPr>
            <w:tcW w:w="496" w:type="dxa"/>
          </w:tcPr>
          <w:p w14:paraId="6EC6D517">
            <w:pPr>
              <w:pStyle w:val="29"/>
              <w:spacing w:line="164" w:lineRule="exact"/>
              <w:ind w:left="93" w:right="94"/>
              <w:jc w:val="center"/>
              <w:rPr>
                <w:sz w:val="16"/>
              </w:rPr>
            </w:pPr>
            <w:r>
              <w:rPr>
                <w:spacing w:val="-4"/>
                <w:sz w:val="16"/>
              </w:rPr>
              <w:t>17.2</w:t>
            </w:r>
          </w:p>
        </w:tc>
        <w:tc>
          <w:tcPr>
            <w:tcW w:w="496" w:type="dxa"/>
          </w:tcPr>
          <w:p w14:paraId="2338CA16">
            <w:pPr>
              <w:pStyle w:val="29"/>
              <w:spacing w:line="164" w:lineRule="exact"/>
              <w:ind w:left="92" w:right="96"/>
              <w:jc w:val="center"/>
              <w:rPr>
                <w:sz w:val="16"/>
              </w:rPr>
            </w:pPr>
            <w:r>
              <w:rPr>
                <w:spacing w:val="-4"/>
                <w:sz w:val="16"/>
              </w:rPr>
              <w:t>19.2</w:t>
            </w:r>
          </w:p>
        </w:tc>
        <w:tc>
          <w:tcPr>
            <w:tcW w:w="497" w:type="dxa"/>
          </w:tcPr>
          <w:p w14:paraId="4620A05B">
            <w:pPr>
              <w:pStyle w:val="29"/>
              <w:spacing w:line="164" w:lineRule="exact"/>
              <w:ind w:left="94" w:right="96"/>
              <w:jc w:val="center"/>
              <w:rPr>
                <w:sz w:val="16"/>
              </w:rPr>
            </w:pPr>
            <w:r>
              <w:rPr>
                <w:spacing w:val="-4"/>
                <w:sz w:val="16"/>
              </w:rPr>
              <w:t>33.7</w:t>
            </w:r>
          </w:p>
        </w:tc>
        <w:tc>
          <w:tcPr>
            <w:tcW w:w="496" w:type="dxa"/>
          </w:tcPr>
          <w:p w14:paraId="4C258FE3">
            <w:pPr>
              <w:pStyle w:val="29"/>
              <w:spacing w:line="164" w:lineRule="exact"/>
              <w:ind w:left="93" w:right="95"/>
              <w:jc w:val="center"/>
              <w:rPr>
                <w:sz w:val="16"/>
              </w:rPr>
            </w:pPr>
            <w:r>
              <w:rPr>
                <w:spacing w:val="-4"/>
                <w:sz w:val="16"/>
              </w:rPr>
              <w:t>17.2</w:t>
            </w:r>
          </w:p>
        </w:tc>
        <w:tc>
          <w:tcPr>
            <w:tcW w:w="496" w:type="dxa"/>
          </w:tcPr>
          <w:p w14:paraId="4C8A874F">
            <w:pPr>
              <w:pStyle w:val="29"/>
              <w:spacing w:line="164" w:lineRule="exact"/>
              <w:ind w:left="91" w:right="96"/>
              <w:jc w:val="center"/>
              <w:rPr>
                <w:sz w:val="16"/>
              </w:rPr>
            </w:pPr>
            <w:r>
              <w:rPr>
                <w:spacing w:val="-4"/>
                <w:sz w:val="16"/>
              </w:rPr>
              <w:t>3.25</w:t>
            </w:r>
          </w:p>
        </w:tc>
        <w:tc>
          <w:tcPr>
            <w:tcW w:w="497" w:type="dxa"/>
          </w:tcPr>
          <w:p w14:paraId="106696AD">
            <w:pPr>
              <w:pStyle w:val="29"/>
              <w:spacing w:line="164" w:lineRule="exact"/>
              <w:ind w:left="93" w:right="97"/>
              <w:jc w:val="center"/>
              <w:rPr>
                <w:sz w:val="16"/>
              </w:rPr>
            </w:pPr>
            <w:r>
              <w:rPr>
                <w:spacing w:val="-4"/>
                <w:sz w:val="16"/>
              </w:rPr>
              <w:t>1.28</w:t>
            </w:r>
          </w:p>
        </w:tc>
      </w:tr>
      <w:tr w14:paraId="7095E049">
        <w:tblPrEx>
          <w:tblCellMar>
            <w:top w:w="0" w:type="dxa"/>
            <w:left w:w="0" w:type="dxa"/>
            <w:bottom w:w="0" w:type="dxa"/>
            <w:right w:w="0" w:type="dxa"/>
          </w:tblCellMar>
        </w:tblPrEx>
        <w:trPr>
          <w:trHeight w:val="184" w:hRule="atLeast"/>
        </w:trPr>
        <w:tc>
          <w:tcPr>
            <w:tcW w:w="538" w:type="dxa"/>
          </w:tcPr>
          <w:p w14:paraId="70086819">
            <w:pPr>
              <w:pStyle w:val="29"/>
              <w:spacing w:line="165" w:lineRule="exact"/>
              <w:ind w:left="108"/>
              <w:rPr>
                <w:sz w:val="16"/>
              </w:rPr>
            </w:pPr>
            <w:r>
              <w:rPr>
                <w:spacing w:val="-5"/>
                <w:sz w:val="16"/>
              </w:rPr>
              <w:t>34</w:t>
            </w:r>
          </w:p>
        </w:tc>
        <w:tc>
          <w:tcPr>
            <w:tcW w:w="4774" w:type="dxa"/>
          </w:tcPr>
          <w:p w14:paraId="30B79F14">
            <w:pPr>
              <w:pStyle w:val="29"/>
              <w:spacing w:line="165" w:lineRule="exact"/>
              <w:ind w:left="265"/>
              <w:rPr>
                <w:sz w:val="16"/>
              </w:rPr>
            </w:pPr>
            <w:r>
              <w:rPr>
                <w:sz w:val="16"/>
              </w:rPr>
              <w:t>Sanal</w:t>
            </w:r>
            <w:r>
              <w:rPr>
                <w:spacing w:val="-10"/>
                <w:sz w:val="16"/>
              </w:rPr>
              <w:t xml:space="preserve"> </w:t>
            </w:r>
            <w:r>
              <w:rPr>
                <w:sz w:val="16"/>
              </w:rPr>
              <w:t>dünyada</w:t>
            </w:r>
            <w:r>
              <w:rPr>
                <w:spacing w:val="-10"/>
                <w:sz w:val="16"/>
              </w:rPr>
              <w:t xml:space="preserve"> </w:t>
            </w:r>
            <w:r>
              <w:rPr>
                <w:sz w:val="16"/>
              </w:rPr>
              <w:t>yaratılan</w:t>
            </w:r>
            <w:r>
              <w:rPr>
                <w:spacing w:val="-10"/>
                <w:sz w:val="16"/>
              </w:rPr>
              <w:t xml:space="preserve"> </w:t>
            </w:r>
            <w:r>
              <w:rPr>
                <w:sz w:val="16"/>
              </w:rPr>
              <w:t>faaliyetlerin</w:t>
            </w:r>
            <w:r>
              <w:rPr>
                <w:spacing w:val="-7"/>
                <w:sz w:val="16"/>
              </w:rPr>
              <w:t xml:space="preserve"> </w:t>
            </w:r>
            <w:r>
              <w:rPr>
                <w:sz w:val="16"/>
              </w:rPr>
              <w:t>gerçekliğine</w:t>
            </w:r>
            <w:r>
              <w:rPr>
                <w:spacing w:val="-9"/>
                <w:sz w:val="16"/>
              </w:rPr>
              <w:t xml:space="preserve"> </w:t>
            </w:r>
            <w:r>
              <w:rPr>
                <w:spacing w:val="-2"/>
                <w:sz w:val="16"/>
              </w:rPr>
              <w:t>inanırım.</w:t>
            </w:r>
          </w:p>
        </w:tc>
        <w:tc>
          <w:tcPr>
            <w:tcW w:w="497" w:type="dxa"/>
          </w:tcPr>
          <w:p w14:paraId="5788920B">
            <w:pPr>
              <w:pStyle w:val="29"/>
              <w:spacing w:line="165" w:lineRule="exact"/>
              <w:ind w:left="94" w:right="95"/>
              <w:jc w:val="center"/>
              <w:rPr>
                <w:sz w:val="16"/>
              </w:rPr>
            </w:pPr>
            <w:r>
              <w:rPr>
                <w:spacing w:val="-4"/>
                <w:sz w:val="16"/>
              </w:rPr>
              <w:t>12.8</w:t>
            </w:r>
          </w:p>
        </w:tc>
        <w:tc>
          <w:tcPr>
            <w:tcW w:w="496" w:type="dxa"/>
          </w:tcPr>
          <w:p w14:paraId="3F93FB40">
            <w:pPr>
              <w:pStyle w:val="29"/>
              <w:spacing w:line="165" w:lineRule="exact"/>
              <w:ind w:left="93" w:right="94"/>
              <w:jc w:val="center"/>
              <w:rPr>
                <w:sz w:val="16"/>
              </w:rPr>
            </w:pPr>
            <w:r>
              <w:rPr>
                <w:spacing w:val="-4"/>
                <w:sz w:val="16"/>
              </w:rPr>
              <w:t>22.5</w:t>
            </w:r>
          </w:p>
        </w:tc>
        <w:tc>
          <w:tcPr>
            <w:tcW w:w="496" w:type="dxa"/>
          </w:tcPr>
          <w:p w14:paraId="0C507601">
            <w:pPr>
              <w:pStyle w:val="29"/>
              <w:spacing w:line="165" w:lineRule="exact"/>
              <w:ind w:left="92" w:right="96"/>
              <w:jc w:val="center"/>
              <w:rPr>
                <w:sz w:val="16"/>
              </w:rPr>
            </w:pPr>
            <w:r>
              <w:rPr>
                <w:spacing w:val="-4"/>
                <w:sz w:val="16"/>
              </w:rPr>
              <w:t>21.5</w:t>
            </w:r>
          </w:p>
        </w:tc>
        <w:tc>
          <w:tcPr>
            <w:tcW w:w="497" w:type="dxa"/>
          </w:tcPr>
          <w:p w14:paraId="7FEA46D5">
            <w:pPr>
              <w:pStyle w:val="29"/>
              <w:spacing w:line="165" w:lineRule="exact"/>
              <w:ind w:left="94" w:right="96"/>
              <w:jc w:val="center"/>
              <w:rPr>
                <w:sz w:val="16"/>
              </w:rPr>
            </w:pPr>
            <w:r>
              <w:rPr>
                <w:spacing w:val="-4"/>
                <w:sz w:val="16"/>
              </w:rPr>
              <w:t>25.4</w:t>
            </w:r>
          </w:p>
        </w:tc>
        <w:tc>
          <w:tcPr>
            <w:tcW w:w="496" w:type="dxa"/>
          </w:tcPr>
          <w:p w14:paraId="49DDB27C">
            <w:pPr>
              <w:pStyle w:val="29"/>
              <w:spacing w:line="165" w:lineRule="exact"/>
              <w:ind w:left="93" w:right="95"/>
              <w:jc w:val="center"/>
              <w:rPr>
                <w:sz w:val="16"/>
              </w:rPr>
            </w:pPr>
            <w:r>
              <w:rPr>
                <w:spacing w:val="-4"/>
                <w:sz w:val="16"/>
              </w:rPr>
              <w:t>17.8</w:t>
            </w:r>
          </w:p>
        </w:tc>
        <w:tc>
          <w:tcPr>
            <w:tcW w:w="496" w:type="dxa"/>
          </w:tcPr>
          <w:p w14:paraId="289F59EC">
            <w:pPr>
              <w:pStyle w:val="29"/>
              <w:spacing w:line="165" w:lineRule="exact"/>
              <w:ind w:left="91" w:right="96"/>
              <w:jc w:val="center"/>
              <w:rPr>
                <w:sz w:val="16"/>
              </w:rPr>
            </w:pPr>
            <w:r>
              <w:rPr>
                <w:spacing w:val="-4"/>
                <w:sz w:val="16"/>
              </w:rPr>
              <w:t>3.13</w:t>
            </w:r>
          </w:p>
        </w:tc>
        <w:tc>
          <w:tcPr>
            <w:tcW w:w="497" w:type="dxa"/>
          </w:tcPr>
          <w:p w14:paraId="7AFAC205">
            <w:pPr>
              <w:pStyle w:val="29"/>
              <w:spacing w:line="165" w:lineRule="exact"/>
              <w:ind w:left="93" w:right="97"/>
              <w:jc w:val="center"/>
              <w:rPr>
                <w:sz w:val="16"/>
              </w:rPr>
            </w:pPr>
            <w:r>
              <w:rPr>
                <w:spacing w:val="-4"/>
                <w:sz w:val="16"/>
              </w:rPr>
              <w:t>1.30</w:t>
            </w:r>
          </w:p>
        </w:tc>
      </w:tr>
      <w:tr w14:paraId="230BC1A8">
        <w:tblPrEx>
          <w:tblCellMar>
            <w:top w:w="0" w:type="dxa"/>
            <w:left w:w="0" w:type="dxa"/>
            <w:bottom w:w="0" w:type="dxa"/>
            <w:right w:w="0" w:type="dxa"/>
          </w:tblCellMar>
        </w:tblPrEx>
        <w:trPr>
          <w:trHeight w:val="367" w:hRule="atLeast"/>
        </w:trPr>
        <w:tc>
          <w:tcPr>
            <w:tcW w:w="538" w:type="dxa"/>
          </w:tcPr>
          <w:p w14:paraId="5FC34858">
            <w:pPr>
              <w:pStyle w:val="29"/>
              <w:spacing w:line="181" w:lineRule="exact"/>
              <w:ind w:left="108"/>
              <w:rPr>
                <w:sz w:val="16"/>
              </w:rPr>
            </w:pPr>
            <w:r>
              <w:rPr>
                <w:spacing w:val="-5"/>
                <w:sz w:val="16"/>
              </w:rPr>
              <w:t>35</w:t>
            </w:r>
          </w:p>
        </w:tc>
        <w:tc>
          <w:tcPr>
            <w:tcW w:w="4774" w:type="dxa"/>
          </w:tcPr>
          <w:p w14:paraId="316FCAF4">
            <w:pPr>
              <w:pStyle w:val="29"/>
              <w:spacing w:line="182" w:lineRule="exact"/>
              <w:ind w:left="265"/>
              <w:rPr>
                <w:sz w:val="16"/>
              </w:rPr>
            </w:pPr>
            <w:r>
              <w:rPr>
                <w:sz w:val="16"/>
              </w:rPr>
              <w:t>Sanal</w:t>
            </w:r>
            <w:r>
              <w:rPr>
                <w:spacing w:val="25"/>
                <w:sz w:val="16"/>
              </w:rPr>
              <w:t xml:space="preserve"> </w:t>
            </w:r>
            <w:r>
              <w:rPr>
                <w:sz w:val="16"/>
              </w:rPr>
              <w:t>rekreasyon</w:t>
            </w:r>
            <w:r>
              <w:rPr>
                <w:spacing w:val="27"/>
                <w:sz w:val="16"/>
              </w:rPr>
              <w:t xml:space="preserve"> </w:t>
            </w:r>
            <w:r>
              <w:rPr>
                <w:sz w:val="16"/>
              </w:rPr>
              <w:t>faaliyetleri</w:t>
            </w:r>
            <w:r>
              <w:rPr>
                <w:spacing w:val="27"/>
                <w:sz w:val="16"/>
              </w:rPr>
              <w:t xml:space="preserve"> </w:t>
            </w:r>
            <w:r>
              <w:rPr>
                <w:sz w:val="16"/>
              </w:rPr>
              <w:t>ile</w:t>
            </w:r>
            <w:r>
              <w:rPr>
                <w:spacing w:val="25"/>
                <w:sz w:val="16"/>
              </w:rPr>
              <w:t xml:space="preserve"> </w:t>
            </w:r>
            <w:r>
              <w:rPr>
                <w:sz w:val="16"/>
              </w:rPr>
              <w:t>gerçek</w:t>
            </w:r>
            <w:r>
              <w:rPr>
                <w:spacing w:val="28"/>
                <w:sz w:val="16"/>
              </w:rPr>
              <w:t xml:space="preserve"> </w:t>
            </w:r>
            <w:r>
              <w:rPr>
                <w:sz w:val="16"/>
              </w:rPr>
              <w:t>dünyaya</w:t>
            </w:r>
            <w:r>
              <w:rPr>
                <w:spacing w:val="27"/>
                <w:sz w:val="16"/>
              </w:rPr>
              <w:t xml:space="preserve"> </w:t>
            </w:r>
            <w:r>
              <w:rPr>
                <w:sz w:val="16"/>
              </w:rPr>
              <w:t>ilişkin</w:t>
            </w:r>
            <w:r>
              <w:rPr>
                <w:spacing w:val="25"/>
                <w:sz w:val="16"/>
              </w:rPr>
              <w:t xml:space="preserve"> </w:t>
            </w:r>
            <w:r>
              <w:rPr>
                <w:sz w:val="16"/>
              </w:rPr>
              <w:t>duygu</w:t>
            </w:r>
            <w:r>
              <w:rPr>
                <w:spacing w:val="27"/>
                <w:sz w:val="16"/>
              </w:rPr>
              <w:t xml:space="preserve"> </w:t>
            </w:r>
            <w:r>
              <w:rPr>
                <w:sz w:val="16"/>
              </w:rPr>
              <w:t>ve</w:t>
            </w:r>
            <w:r>
              <w:rPr>
                <w:spacing w:val="40"/>
                <w:sz w:val="16"/>
              </w:rPr>
              <w:t xml:space="preserve"> </w:t>
            </w:r>
            <w:r>
              <w:rPr>
                <w:sz w:val="16"/>
              </w:rPr>
              <w:t>düşüncelerimi unuturum.</w:t>
            </w:r>
          </w:p>
        </w:tc>
        <w:tc>
          <w:tcPr>
            <w:tcW w:w="497" w:type="dxa"/>
          </w:tcPr>
          <w:p w14:paraId="2C673247">
            <w:pPr>
              <w:pStyle w:val="29"/>
              <w:spacing w:line="181" w:lineRule="exact"/>
              <w:ind w:left="94" w:right="95"/>
              <w:jc w:val="center"/>
              <w:rPr>
                <w:sz w:val="16"/>
              </w:rPr>
            </w:pPr>
            <w:r>
              <w:rPr>
                <w:spacing w:val="-4"/>
                <w:sz w:val="16"/>
              </w:rPr>
              <w:t>14.8</w:t>
            </w:r>
          </w:p>
        </w:tc>
        <w:tc>
          <w:tcPr>
            <w:tcW w:w="496" w:type="dxa"/>
          </w:tcPr>
          <w:p w14:paraId="0120A461">
            <w:pPr>
              <w:pStyle w:val="29"/>
              <w:spacing w:line="181" w:lineRule="exact"/>
              <w:ind w:left="93" w:right="94"/>
              <w:jc w:val="center"/>
              <w:rPr>
                <w:sz w:val="16"/>
              </w:rPr>
            </w:pPr>
            <w:r>
              <w:rPr>
                <w:spacing w:val="-4"/>
                <w:sz w:val="16"/>
              </w:rPr>
              <w:t>22.9</w:t>
            </w:r>
          </w:p>
        </w:tc>
        <w:tc>
          <w:tcPr>
            <w:tcW w:w="496" w:type="dxa"/>
          </w:tcPr>
          <w:p w14:paraId="73166729">
            <w:pPr>
              <w:pStyle w:val="29"/>
              <w:spacing w:line="181" w:lineRule="exact"/>
              <w:ind w:left="92" w:right="96"/>
              <w:jc w:val="center"/>
              <w:rPr>
                <w:sz w:val="16"/>
              </w:rPr>
            </w:pPr>
            <w:r>
              <w:rPr>
                <w:spacing w:val="-4"/>
                <w:sz w:val="16"/>
              </w:rPr>
              <w:t>23.1</w:t>
            </w:r>
          </w:p>
        </w:tc>
        <w:tc>
          <w:tcPr>
            <w:tcW w:w="497" w:type="dxa"/>
          </w:tcPr>
          <w:p w14:paraId="63F34386">
            <w:pPr>
              <w:pStyle w:val="29"/>
              <w:spacing w:line="181" w:lineRule="exact"/>
              <w:ind w:left="94" w:right="96"/>
              <w:jc w:val="center"/>
              <w:rPr>
                <w:sz w:val="16"/>
              </w:rPr>
            </w:pPr>
            <w:r>
              <w:rPr>
                <w:spacing w:val="-4"/>
                <w:sz w:val="16"/>
              </w:rPr>
              <w:t>23.6</w:t>
            </w:r>
          </w:p>
        </w:tc>
        <w:tc>
          <w:tcPr>
            <w:tcW w:w="496" w:type="dxa"/>
          </w:tcPr>
          <w:p w14:paraId="08DE4407">
            <w:pPr>
              <w:pStyle w:val="29"/>
              <w:spacing w:line="181" w:lineRule="exact"/>
              <w:ind w:left="93" w:right="95"/>
              <w:jc w:val="center"/>
              <w:rPr>
                <w:sz w:val="16"/>
              </w:rPr>
            </w:pPr>
            <w:r>
              <w:rPr>
                <w:spacing w:val="-4"/>
                <w:sz w:val="16"/>
              </w:rPr>
              <w:t>15.6</w:t>
            </w:r>
          </w:p>
        </w:tc>
        <w:tc>
          <w:tcPr>
            <w:tcW w:w="496" w:type="dxa"/>
          </w:tcPr>
          <w:p w14:paraId="43CD03AE">
            <w:pPr>
              <w:pStyle w:val="29"/>
              <w:spacing w:line="181" w:lineRule="exact"/>
              <w:ind w:left="91" w:right="96"/>
              <w:jc w:val="center"/>
              <w:rPr>
                <w:sz w:val="16"/>
              </w:rPr>
            </w:pPr>
            <w:r>
              <w:rPr>
                <w:spacing w:val="-4"/>
                <w:sz w:val="16"/>
              </w:rPr>
              <w:t>3.02</w:t>
            </w:r>
          </w:p>
        </w:tc>
        <w:tc>
          <w:tcPr>
            <w:tcW w:w="497" w:type="dxa"/>
          </w:tcPr>
          <w:p w14:paraId="6E6866E9">
            <w:pPr>
              <w:pStyle w:val="29"/>
              <w:spacing w:line="181" w:lineRule="exact"/>
              <w:ind w:left="93" w:right="97"/>
              <w:jc w:val="center"/>
              <w:rPr>
                <w:sz w:val="16"/>
              </w:rPr>
            </w:pPr>
            <w:r>
              <w:rPr>
                <w:spacing w:val="-4"/>
                <w:sz w:val="16"/>
              </w:rPr>
              <w:t>1.30</w:t>
            </w:r>
          </w:p>
        </w:tc>
      </w:tr>
      <w:tr w14:paraId="09882AC2">
        <w:tblPrEx>
          <w:tblCellMar>
            <w:top w:w="0" w:type="dxa"/>
            <w:left w:w="0" w:type="dxa"/>
            <w:bottom w:w="0" w:type="dxa"/>
            <w:right w:w="0" w:type="dxa"/>
          </w:tblCellMar>
        </w:tblPrEx>
        <w:trPr>
          <w:trHeight w:val="368" w:hRule="atLeast"/>
        </w:trPr>
        <w:tc>
          <w:tcPr>
            <w:tcW w:w="538" w:type="dxa"/>
          </w:tcPr>
          <w:p w14:paraId="4B913A8C">
            <w:pPr>
              <w:pStyle w:val="29"/>
              <w:spacing w:line="181" w:lineRule="exact"/>
              <w:ind w:left="108"/>
              <w:rPr>
                <w:sz w:val="16"/>
              </w:rPr>
            </w:pPr>
            <w:r>
              <w:rPr>
                <w:spacing w:val="-5"/>
                <w:sz w:val="16"/>
              </w:rPr>
              <w:t>36</w:t>
            </w:r>
          </w:p>
        </w:tc>
        <w:tc>
          <w:tcPr>
            <w:tcW w:w="4774" w:type="dxa"/>
          </w:tcPr>
          <w:p w14:paraId="3991FBE4">
            <w:pPr>
              <w:pStyle w:val="29"/>
              <w:spacing w:line="181" w:lineRule="exact"/>
              <w:ind w:left="265"/>
              <w:rPr>
                <w:sz w:val="16"/>
              </w:rPr>
            </w:pPr>
            <w:r>
              <w:rPr>
                <w:sz w:val="16"/>
              </w:rPr>
              <w:t>Sanal</w:t>
            </w:r>
            <w:r>
              <w:rPr>
                <w:spacing w:val="23"/>
                <w:sz w:val="16"/>
              </w:rPr>
              <w:t xml:space="preserve"> </w:t>
            </w:r>
            <w:r>
              <w:rPr>
                <w:sz w:val="16"/>
              </w:rPr>
              <w:t>gerçeklik</w:t>
            </w:r>
            <w:r>
              <w:rPr>
                <w:spacing w:val="24"/>
                <w:sz w:val="16"/>
              </w:rPr>
              <w:t xml:space="preserve"> </w:t>
            </w:r>
            <w:r>
              <w:rPr>
                <w:sz w:val="16"/>
              </w:rPr>
              <w:t>cihazları</w:t>
            </w:r>
            <w:r>
              <w:rPr>
                <w:spacing w:val="26"/>
                <w:sz w:val="16"/>
              </w:rPr>
              <w:t xml:space="preserve"> </w:t>
            </w:r>
            <w:r>
              <w:rPr>
                <w:sz w:val="16"/>
              </w:rPr>
              <w:t>ile</w:t>
            </w:r>
            <w:r>
              <w:rPr>
                <w:spacing w:val="23"/>
                <w:sz w:val="16"/>
              </w:rPr>
              <w:t xml:space="preserve"> </w:t>
            </w:r>
            <w:r>
              <w:rPr>
                <w:sz w:val="16"/>
              </w:rPr>
              <w:t>sanal</w:t>
            </w:r>
            <w:r>
              <w:rPr>
                <w:spacing w:val="24"/>
                <w:sz w:val="16"/>
              </w:rPr>
              <w:t xml:space="preserve"> </w:t>
            </w:r>
            <w:r>
              <w:rPr>
                <w:sz w:val="16"/>
              </w:rPr>
              <w:t>rekreasyon</w:t>
            </w:r>
            <w:r>
              <w:rPr>
                <w:spacing w:val="26"/>
                <w:sz w:val="16"/>
              </w:rPr>
              <w:t xml:space="preserve"> </w:t>
            </w:r>
            <w:r>
              <w:rPr>
                <w:sz w:val="16"/>
              </w:rPr>
              <w:t>faaliyetlerinin</w:t>
            </w:r>
            <w:r>
              <w:rPr>
                <w:spacing w:val="24"/>
                <w:sz w:val="16"/>
              </w:rPr>
              <w:t xml:space="preserve"> </w:t>
            </w:r>
            <w:r>
              <w:rPr>
                <w:spacing w:val="-4"/>
                <w:sz w:val="16"/>
              </w:rPr>
              <w:t>içine</w:t>
            </w:r>
          </w:p>
          <w:p w14:paraId="1CBC381C">
            <w:pPr>
              <w:pStyle w:val="29"/>
              <w:spacing w:before="1" w:line="166" w:lineRule="exact"/>
              <w:ind w:left="265"/>
              <w:rPr>
                <w:sz w:val="16"/>
              </w:rPr>
            </w:pPr>
            <w:r>
              <w:rPr>
                <w:spacing w:val="-2"/>
                <w:sz w:val="16"/>
              </w:rPr>
              <w:t>dalarım.</w:t>
            </w:r>
          </w:p>
        </w:tc>
        <w:tc>
          <w:tcPr>
            <w:tcW w:w="497" w:type="dxa"/>
          </w:tcPr>
          <w:p w14:paraId="14E3A7A5">
            <w:pPr>
              <w:pStyle w:val="29"/>
              <w:spacing w:line="181" w:lineRule="exact"/>
              <w:ind w:left="94" w:right="95"/>
              <w:jc w:val="center"/>
              <w:rPr>
                <w:sz w:val="16"/>
              </w:rPr>
            </w:pPr>
            <w:r>
              <w:rPr>
                <w:spacing w:val="-4"/>
                <w:sz w:val="16"/>
              </w:rPr>
              <w:t>16.7</w:t>
            </w:r>
          </w:p>
        </w:tc>
        <w:tc>
          <w:tcPr>
            <w:tcW w:w="496" w:type="dxa"/>
          </w:tcPr>
          <w:p w14:paraId="5203715B">
            <w:pPr>
              <w:pStyle w:val="29"/>
              <w:spacing w:line="181" w:lineRule="exact"/>
              <w:ind w:left="93" w:right="94"/>
              <w:jc w:val="center"/>
              <w:rPr>
                <w:sz w:val="16"/>
              </w:rPr>
            </w:pPr>
            <w:r>
              <w:rPr>
                <w:spacing w:val="-4"/>
                <w:sz w:val="16"/>
              </w:rPr>
              <w:t>18.7</w:t>
            </w:r>
          </w:p>
        </w:tc>
        <w:tc>
          <w:tcPr>
            <w:tcW w:w="496" w:type="dxa"/>
          </w:tcPr>
          <w:p w14:paraId="23FBC1B8">
            <w:pPr>
              <w:pStyle w:val="29"/>
              <w:spacing w:line="181" w:lineRule="exact"/>
              <w:ind w:left="92" w:right="96"/>
              <w:jc w:val="center"/>
              <w:rPr>
                <w:sz w:val="16"/>
              </w:rPr>
            </w:pPr>
            <w:r>
              <w:rPr>
                <w:spacing w:val="-4"/>
                <w:sz w:val="16"/>
              </w:rPr>
              <w:t>20.3</w:t>
            </w:r>
          </w:p>
        </w:tc>
        <w:tc>
          <w:tcPr>
            <w:tcW w:w="497" w:type="dxa"/>
          </w:tcPr>
          <w:p w14:paraId="3952946C">
            <w:pPr>
              <w:pStyle w:val="29"/>
              <w:spacing w:line="181" w:lineRule="exact"/>
              <w:ind w:left="94" w:right="96"/>
              <w:jc w:val="center"/>
              <w:rPr>
                <w:sz w:val="16"/>
              </w:rPr>
            </w:pPr>
            <w:r>
              <w:rPr>
                <w:spacing w:val="-4"/>
                <w:sz w:val="16"/>
              </w:rPr>
              <w:t>28.7</w:t>
            </w:r>
          </w:p>
        </w:tc>
        <w:tc>
          <w:tcPr>
            <w:tcW w:w="496" w:type="dxa"/>
          </w:tcPr>
          <w:p w14:paraId="0E65844B">
            <w:pPr>
              <w:pStyle w:val="29"/>
              <w:spacing w:line="181" w:lineRule="exact"/>
              <w:ind w:left="93" w:right="95"/>
              <w:jc w:val="center"/>
              <w:rPr>
                <w:sz w:val="16"/>
              </w:rPr>
            </w:pPr>
            <w:r>
              <w:rPr>
                <w:spacing w:val="-4"/>
                <w:sz w:val="16"/>
              </w:rPr>
              <w:t>15.6</w:t>
            </w:r>
          </w:p>
        </w:tc>
        <w:tc>
          <w:tcPr>
            <w:tcW w:w="496" w:type="dxa"/>
          </w:tcPr>
          <w:p w14:paraId="3C25BC17">
            <w:pPr>
              <w:pStyle w:val="29"/>
              <w:spacing w:line="181" w:lineRule="exact"/>
              <w:ind w:left="91" w:right="96"/>
              <w:jc w:val="center"/>
              <w:rPr>
                <w:sz w:val="16"/>
              </w:rPr>
            </w:pPr>
            <w:r>
              <w:rPr>
                <w:spacing w:val="-4"/>
                <w:sz w:val="16"/>
              </w:rPr>
              <w:t>3.08</w:t>
            </w:r>
          </w:p>
        </w:tc>
        <w:tc>
          <w:tcPr>
            <w:tcW w:w="497" w:type="dxa"/>
          </w:tcPr>
          <w:p w14:paraId="07AEF741">
            <w:pPr>
              <w:pStyle w:val="29"/>
              <w:spacing w:line="181" w:lineRule="exact"/>
              <w:ind w:left="93" w:right="97"/>
              <w:jc w:val="center"/>
              <w:rPr>
                <w:sz w:val="16"/>
              </w:rPr>
            </w:pPr>
            <w:r>
              <w:rPr>
                <w:spacing w:val="-4"/>
                <w:sz w:val="16"/>
              </w:rPr>
              <w:t>1.33</w:t>
            </w:r>
          </w:p>
        </w:tc>
      </w:tr>
      <w:tr w14:paraId="79275A25">
        <w:tblPrEx>
          <w:tblCellMar>
            <w:top w:w="0" w:type="dxa"/>
            <w:left w:w="0" w:type="dxa"/>
            <w:bottom w:w="0" w:type="dxa"/>
            <w:right w:w="0" w:type="dxa"/>
          </w:tblCellMar>
        </w:tblPrEx>
        <w:trPr>
          <w:trHeight w:val="368" w:hRule="atLeast"/>
        </w:trPr>
        <w:tc>
          <w:tcPr>
            <w:tcW w:w="538" w:type="dxa"/>
          </w:tcPr>
          <w:p w14:paraId="23E7CBC5">
            <w:pPr>
              <w:pStyle w:val="29"/>
              <w:spacing w:line="180" w:lineRule="exact"/>
              <w:ind w:left="108"/>
              <w:rPr>
                <w:sz w:val="16"/>
              </w:rPr>
            </w:pPr>
            <w:r>
              <w:rPr>
                <w:spacing w:val="-5"/>
                <w:sz w:val="16"/>
              </w:rPr>
              <w:t>37</w:t>
            </w:r>
          </w:p>
        </w:tc>
        <w:tc>
          <w:tcPr>
            <w:tcW w:w="4774" w:type="dxa"/>
          </w:tcPr>
          <w:p w14:paraId="4EB321FC">
            <w:pPr>
              <w:pStyle w:val="29"/>
              <w:spacing w:line="180" w:lineRule="exact"/>
              <w:ind w:left="265"/>
              <w:rPr>
                <w:sz w:val="16"/>
              </w:rPr>
            </w:pPr>
            <w:r>
              <w:rPr>
                <w:sz w:val="16"/>
              </w:rPr>
              <w:t>Sanal</w:t>
            </w:r>
            <w:r>
              <w:rPr>
                <w:spacing w:val="-3"/>
                <w:sz w:val="16"/>
              </w:rPr>
              <w:t xml:space="preserve"> </w:t>
            </w:r>
            <w:r>
              <w:rPr>
                <w:sz w:val="16"/>
              </w:rPr>
              <w:t>rekreasyon</w:t>
            </w:r>
            <w:r>
              <w:rPr>
                <w:spacing w:val="-2"/>
                <w:sz w:val="16"/>
              </w:rPr>
              <w:t xml:space="preserve"> </w:t>
            </w:r>
            <w:r>
              <w:rPr>
                <w:sz w:val="16"/>
              </w:rPr>
              <w:t>faaliyetlerinin</w:t>
            </w:r>
            <w:r>
              <w:rPr>
                <w:spacing w:val="-3"/>
                <w:sz w:val="16"/>
              </w:rPr>
              <w:t xml:space="preserve"> </w:t>
            </w:r>
            <w:r>
              <w:rPr>
                <w:sz w:val="16"/>
              </w:rPr>
              <w:t>içine</w:t>
            </w:r>
            <w:r>
              <w:rPr>
                <w:spacing w:val="-5"/>
                <w:sz w:val="16"/>
              </w:rPr>
              <w:t xml:space="preserve"> </w:t>
            </w:r>
            <w:r>
              <w:rPr>
                <w:sz w:val="16"/>
              </w:rPr>
              <w:t>daldığımda,</w:t>
            </w:r>
            <w:r>
              <w:rPr>
                <w:spacing w:val="-1"/>
                <w:sz w:val="16"/>
              </w:rPr>
              <w:t xml:space="preserve"> </w:t>
            </w:r>
            <w:r>
              <w:rPr>
                <w:sz w:val="16"/>
              </w:rPr>
              <w:t>yepyeni</w:t>
            </w:r>
            <w:r>
              <w:rPr>
                <w:spacing w:val="-1"/>
                <w:sz w:val="16"/>
              </w:rPr>
              <w:t xml:space="preserve"> </w:t>
            </w:r>
            <w:r>
              <w:rPr>
                <w:sz w:val="16"/>
              </w:rPr>
              <w:t>duygu</w:t>
            </w:r>
            <w:r>
              <w:rPr>
                <w:spacing w:val="-1"/>
                <w:sz w:val="16"/>
              </w:rPr>
              <w:t xml:space="preserve"> </w:t>
            </w:r>
            <w:r>
              <w:rPr>
                <w:spacing w:val="-5"/>
                <w:sz w:val="16"/>
              </w:rPr>
              <w:t>ve</w:t>
            </w:r>
          </w:p>
          <w:p w14:paraId="52849CC2">
            <w:pPr>
              <w:pStyle w:val="29"/>
              <w:spacing w:before="1" w:line="168" w:lineRule="exact"/>
              <w:ind w:left="265"/>
              <w:rPr>
                <w:sz w:val="16"/>
              </w:rPr>
            </w:pPr>
            <w:r>
              <w:rPr>
                <w:spacing w:val="-2"/>
                <w:sz w:val="16"/>
              </w:rPr>
              <w:t>düşünceler</w:t>
            </w:r>
            <w:r>
              <w:rPr>
                <w:spacing w:val="8"/>
                <w:sz w:val="16"/>
              </w:rPr>
              <w:t xml:space="preserve"> </w:t>
            </w:r>
            <w:r>
              <w:rPr>
                <w:spacing w:val="-2"/>
                <w:sz w:val="16"/>
              </w:rPr>
              <w:t>edinirim.</w:t>
            </w:r>
          </w:p>
        </w:tc>
        <w:tc>
          <w:tcPr>
            <w:tcW w:w="497" w:type="dxa"/>
          </w:tcPr>
          <w:p w14:paraId="6FA0EF6B">
            <w:pPr>
              <w:pStyle w:val="29"/>
              <w:spacing w:line="180" w:lineRule="exact"/>
              <w:ind w:left="94" w:right="95"/>
              <w:jc w:val="center"/>
              <w:rPr>
                <w:sz w:val="16"/>
              </w:rPr>
            </w:pPr>
            <w:r>
              <w:rPr>
                <w:spacing w:val="-4"/>
                <w:sz w:val="16"/>
              </w:rPr>
              <w:t>12.2</w:t>
            </w:r>
          </w:p>
        </w:tc>
        <w:tc>
          <w:tcPr>
            <w:tcW w:w="496" w:type="dxa"/>
          </w:tcPr>
          <w:p w14:paraId="15D006CA">
            <w:pPr>
              <w:pStyle w:val="29"/>
              <w:spacing w:line="180" w:lineRule="exact"/>
              <w:ind w:left="93" w:right="94"/>
              <w:jc w:val="center"/>
              <w:rPr>
                <w:sz w:val="16"/>
              </w:rPr>
            </w:pPr>
            <w:r>
              <w:rPr>
                <w:spacing w:val="-4"/>
                <w:sz w:val="16"/>
              </w:rPr>
              <w:t>16.5</w:t>
            </w:r>
          </w:p>
        </w:tc>
        <w:tc>
          <w:tcPr>
            <w:tcW w:w="496" w:type="dxa"/>
          </w:tcPr>
          <w:p w14:paraId="1F28CD48">
            <w:pPr>
              <w:pStyle w:val="29"/>
              <w:spacing w:line="180" w:lineRule="exact"/>
              <w:ind w:left="92" w:right="96"/>
              <w:jc w:val="center"/>
              <w:rPr>
                <w:sz w:val="16"/>
              </w:rPr>
            </w:pPr>
            <w:r>
              <w:rPr>
                <w:spacing w:val="-4"/>
                <w:sz w:val="16"/>
              </w:rPr>
              <w:t>20.7</w:t>
            </w:r>
          </w:p>
        </w:tc>
        <w:tc>
          <w:tcPr>
            <w:tcW w:w="497" w:type="dxa"/>
          </w:tcPr>
          <w:p w14:paraId="22FEC459">
            <w:pPr>
              <w:pStyle w:val="29"/>
              <w:spacing w:line="180" w:lineRule="exact"/>
              <w:ind w:left="94" w:right="96"/>
              <w:jc w:val="center"/>
              <w:rPr>
                <w:sz w:val="16"/>
              </w:rPr>
            </w:pPr>
            <w:r>
              <w:rPr>
                <w:spacing w:val="-4"/>
                <w:sz w:val="16"/>
              </w:rPr>
              <w:t>32.9</w:t>
            </w:r>
          </w:p>
        </w:tc>
        <w:tc>
          <w:tcPr>
            <w:tcW w:w="496" w:type="dxa"/>
          </w:tcPr>
          <w:p w14:paraId="15E692F8">
            <w:pPr>
              <w:pStyle w:val="29"/>
              <w:spacing w:line="180" w:lineRule="exact"/>
              <w:ind w:left="93" w:right="95"/>
              <w:jc w:val="center"/>
              <w:rPr>
                <w:sz w:val="16"/>
              </w:rPr>
            </w:pPr>
            <w:r>
              <w:rPr>
                <w:spacing w:val="-4"/>
                <w:sz w:val="16"/>
              </w:rPr>
              <w:t>17.6</w:t>
            </w:r>
          </w:p>
        </w:tc>
        <w:tc>
          <w:tcPr>
            <w:tcW w:w="496" w:type="dxa"/>
          </w:tcPr>
          <w:p w14:paraId="567CCC16">
            <w:pPr>
              <w:pStyle w:val="29"/>
              <w:spacing w:line="180" w:lineRule="exact"/>
              <w:ind w:left="91" w:right="96"/>
              <w:jc w:val="center"/>
              <w:rPr>
                <w:sz w:val="16"/>
              </w:rPr>
            </w:pPr>
            <w:r>
              <w:rPr>
                <w:spacing w:val="-4"/>
                <w:sz w:val="16"/>
              </w:rPr>
              <w:t>3.27</w:t>
            </w:r>
          </w:p>
        </w:tc>
        <w:tc>
          <w:tcPr>
            <w:tcW w:w="497" w:type="dxa"/>
          </w:tcPr>
          <w:p w14:paraId="758A7128">
            <w:pPr>
              <w:pStyle w:val="29"/>
              <w:spacing w:line="180" w:lineRule="exact"/>
              <w:ind w:left="93" w:right="97"/>
              <w:jc w:val="center"/>
              <w:rPr>
                <w:sz w:val="16"/>
              </w:rPr>
            </w:pPr>
            <w:r>
              <w:rPr>
                <w:spacing w:val="-4"/>
                <w:sz w:val="16"/>
              </w:rPr>
              <w:t>1.27</w:t>
            </w:r>
          </w:p>
        </w:tc>
      </w:tr>
      <w:tr w14:paraId="38A36C9B">
        <w:tblPrEx>
          <w:tblCellMar>
            <w:top w:w="0" w:type="dxa"/>
            <w:left w:w="0" w:type="dxa"/>
            <w:bottom w:w="0" w:type="dxa"/>
            <w:right w:w="0" w:type="dxa"/>
          </w:tblCellMar>
        </w:tblPrEx>
        <w:trPr>
          <w:trHeight w:val="183" w:hRule="atLeast"/>
        </w:trPr>
        <w:tc>
          <w:tcPr>
            <w:tcW w:w="538" w:type="dxa"/>
          </w:tcPr>
          <w:p w14:paraId="527A04CF">
            <w:pPr>
              <w:pStyle w:val="29"/>
              <w:spacing w:line="164" w:lineRule="exact"/>
              <w:ind w:left="108"/>
              <w:rPr>
                <w:sz w:val="16"/>
              </w:rPr>
            </w:pPr>
            <w:r>
              <w:rPr>
                <w:spacing w:val="-5"/>
                <w:sz w:val="16"/>
              </w:rPr>
              <w:t>38</w:t>
            </w:r>
          </w:p>
        </w:tc>
        <w:tc>
          <w:tcPr>
            <w:tcW w:w="4774" w:type="dxa"/>
          </w:tcPr>
          <w:p w14:paraId="6173A53A">
            <w:pPr>
              <w:pStyle w:val="29"/>
              <w:spacing w:line="164" w:lineRule="exact"/>
              <w:ind w:left="265"/>
              <w:rPr>
                <w:sz w:val="16"/>
              </w:rPr>
            </w:pPr>
            <w:r>
              <w:rPr>
                <w:sz w:val="16"/>
              </w:rPr>
              <w:t>Sanal</w:t>
            </w:r>
            <w:r>
              <w:rPr>
                <w:spacing w:val="-8"/>
                <w:sz w:val="16"/>
              </w:rPr>
              <w:t xml:space="preserve"> </w:t>
            </w:r>
            <w:r>
              <w:rPr>
                <w:sz w:val="16"/>
              </w:rPr>
              <w:t>rekreasyon</w:t>
            </w:r>
            <w:r>
              <w:rPr>
                <w:spacing w:val="-6"/>
                <w:sz w:val="16"/>
              </w:rPr>
              <w:t xml:space="preserve"> </w:t>
            </w:r>
            <w:r>
              <w:rPr>
                <w:sz w:val="16"/>
              </w:rPr>
              <w:t>faaliyetleri</w:t>
            </w:r>
            <w:r>
              <w:rPr>
                <w:spacing w:val="-5"/>
                <w:sz w:val="16"/>
              </w:rPr>
              <w:t xml:space="preserve"> </w:t>
            </w:r>
            <w:r>
              <w:rPr>
                <w:sz w:val="16"/>
              </w:rPr>
              <w:t>ile</w:t>
            </w:r>
            <w:r>
              <w:rPr>
                <w:spacing w:val="-8"/>
                <w:sz w:val="16"/>
              </w:rPr>
              <w:t xml:space="preserve"> </w:t>
            </w:r>
            <w:r>
              <w:rPr>
                <w:sz w:val="16"/>
              </w:rPr>
              <w:t>orada</w:t>
            </w:r>
            <w:r>
              <w:rPr>
                <w:spacing w:val="-6"/>
                <w:sz w:val="16"/>
              </w:rPr>
              <w:t xml:space="preserve"> </w:t>
            </w:r>
            <w:r>
              <w:rPr>
                <w:sz w:val="16"/>
              </w:rPr>
              <w:t>olduğumu</w:t>
            </w:r>
            <w:r>
              <w:rPr>
                <w:spacing w:val="-7"/>
                <w:sz w:val="16"/>
              </w:rPr>
              <w:t xml:space="preserve"> </w:t>
            </w:r>
            <w:r>
              <w:rPr>
                <w:spacing w:val="-2"/>
                <w:sz w:val="16"/>
              </w:rPr>
              <w:t>hissederim.</w:t>
            </w:r>
          </w:p>
        </w:tc>
        <w:tc>
          <w:tcPr>
            <w:tcW w:w="497" w:type="dxa"/>
          </w:tcPr>
          <w:p w14:paraId="342BDF4A">
            <w:pPr>
              <w:pStyle w:val="29"/>
              <w:spacing w:line="164" w:lineRule="exact"/>
              <w:ind w:left="94" w:right="95"/>
              <w:jc w:val="center"/>
              <w:rPr>
                <w:sz w:val="16"/>
              </w:rPr>
            </w:pPr>
            <w:r>
              <w:rPr>
                <w:spacing w:val="-4"/>
                <w:sz w:val="16"/>
              </w:rPr>
              <w:t>12.6</w:t>
            </w:r>
          </w:p>
        </w:tc>
        <w:tc>
          <w:tcPr>
            <w:tcW w:w="496" w:type="dxa"/>
          </w:tcPr>
          <w:p w14:paraId="1EB4A3A2">
            <w:pPr>
              <w:pStyle w:val="29"/>
              <w:spacing w:line="164" w:lineRule="exact"/>
              <w:ind w:left="93" w:right="94"/>
              <w:jc w:val="center"/>
              <w:rPr>
                <w:sz w:val="16"/>
              </w:rPr>
            </w:pPr>
            <w:r>
              <w:rPr>
                <w:spacing w:val="-4"/>
                <w:sz w:val="16"/>
              </w:rPr>
              <w:t>15.4</w:t>
            </w:r>
          </w:p>
        </w:tc>
        <w:tc>
          <w:tcPr>
            <w:tcW w:w="496" w:type="dxa"/>
          </w:tcPr>
          <w:p w14:paraId="56A07F1E">
            <w:pPr>
              <w:pStyle w:val="29"/>
              <w:spacing w:line="164" w:lineRule="exact"/>
              <w:ind w:left="92" w:right="96"/>
              <w:jc w:val="center"/>
              <w:rPr>
                <w:sz w:val="16"/>
              </w:rPr>
            </w:pPr>
            <w:r>
              <w:rPr>
                <w:spacing w:val="-4"/>
                <w:sz w:val="16"/>
              </w:rPr>
              <w:t>21.1</w:t>
            </w:r>
          </w:p>
        </w:tc>
        <w:tc>
          <w:tcPr>
            <w:tcW w:w="497" w:type="dxa"/>
          </w:tcPr>
          <w:p w14:paraId="551C04F8">
            <w:pPr>
              <w:pStyle w:val="29"/>
              <w:spacing w:line="164" w:lineRule="exact"/>
              <w:ind w:left="94" w:right="96"/>
              <w:jc w:val="center"/>
              <w:rPr>
                <w:sz w:val="16"/>
              </w:rPr>
            </w:pPr>
            <w:r>
              <w:rPr>
                <w:spacing w:val="-4"/>
                <w:sz w:val="16"/>
              </w:rPr>
              <w:t>32.1</w:t>
            </w:r>
          </w:p>
        </w:tc>
        <w:tc>
          <w:tcPr>
            <w:tcW w:w="496" w:type="dxa"/>
          </w:tcPr>
          <w:p w14:paraId="4E532235">
            <w:pPr>
              <w:pStyle w:val="29"/>
              <w:spacing w:line="164" w:lineRule="exact"/>
              <w:ind w:left="93" w:right="95"/>
              <w:jc w:val="center"/>
              <w:rPr>
                <w:sz w:val="16"/>
              </w:rPr>
            </w:pPr>
            <w:r>
              <w:rPr>
                <w:spacing w:val="-4"/>
                <w:sz w:val="16"/>
              </w:rPr>
              <w:t>18.7</w:t>
            </w:r>
          </w:p>
        </w:tc>
        <w:tc>
          <w:tcPr>
            <w:tcW w:w="496" w:type="dxa"/>
          </w:tcPr>
          <w:p w14:paraId="27C7326A">
            <w:pPr>
              <w:pStyle w:val="29"/>
              <w:spacing w:line="164" w:lineRule="exact"/>
              <w:ind w:left="91" w:right="96"/>
              <w:jc w:val="center"/>
              <w:rPr>
                <w:sz w:val="16"/>
              </w:rPr>
            </w:pPr>
            <w:r>
              <w:rPr>
                <w:spacing w:val="-4"/>
                <w:sz w:val="16"/>
              </w:rPr>
              <w:t>3.29</w:t>
            </w:r>
          </w:p>
        </w:tc>
        <w:tc>
          <w:tcPr>
            <w:tcW w:w="497" w:type="dxa"/>
          </w:tcPr>
          <w:p w14:paraId="221D56E2">
            <w:pPr>
              <w:pStyle w:val="29"/>
              <w:spacing w:line="164" w:lineRule="exact"/>
              <w:ind w:left="93" w:right="97"/>
              <w:jc w:val="center"/>
              <w:rPr>
                <w:sz w:val="16"/>
              </w:rPr>
            </w:pPr>
            <w:r>
              <w:rPr>
                <w:spacing w:val="-4"/>
                <w:sz w:val="16"/>
              </w:rPr>
              <w:t>1.28</w:t>
            </w:r>
          </w:p>
        </w:tc>
      </w:tr>
      <w:tr w14:paraId="28847099">
        <w:tblPrEx>
          <w:tblCellMar>
            <w:top w:w="0" w:type="dxa"/>
            <w:left w:w="0" w:type="dxa"/>
            <w:bottom w:w="0" w:type="dxa"/>
            <w:right w:w="0" w:type="dxa"/>
          </w:tblCellMar>
        </w:tblPrEx>
        <w:trPr>
          <w:trHeight w:val="369" w:hRule="atLeast"/>
        </w:trPr>
        <w:tc>
          <w:tcPr>
            <w:tcW w:w="538" w:type="dxa"/>
          </w:tcPr>
          <w:p w14:paraId="248C1B15">
            <w:pPr>
              <w:pStyle w:val="29"/>
              <w:spacing w:line="180" w:lineRule="exact"/>
              <w:ind w:left="108"/>
              <w:rPr>
                <w:sz w:val="16"/>
              </w:rPr>
            </w:pPr>
            <w:r>
              <w:rPr>
                <w:spacing w:val="-5"/>
                <w:sz w:val="16"/>
              </w:rPr>
              <w:t>39</w:t>
            </w:r>
          </w:p>
        </w:tc>
        <w:tc>
          <w:tcPr>
            <w:tcW w:w="4774" w:type="dxa"/>
          </w:tcPr>
          <w:p w14:paraId="490C89AC">
            <w:pPr>
              <w:pStyle w:val="29"/>
              <w:spacing w:line="180" w:lineRule="exact"/>
              <w:ind w:left="265"/>
              <w:rPr>
                <w:sz w:val="16"/>
              </w:rPr>
            </w:pPr>
            <w:r>
              <w:rPr>
                <w:sz w:val="16"/>
              </w:rPr>
              <w:t>Sanal</w:t>
            </w:r>
            <w:r>
              <w:rPr>
                <w:spacing w:val="1"/>
                <w:sz w:val="16"/>
              </w:rPr>
              <w:t xml:space="preserve"> </w:t>
            </w:r>
            <w:r>
              <w:rPr>
                <w:sz w:val="16"/>
              </w:rPr>
              <w:t>rekreasyon</w:t>
            </w:r>
            <w:r>
              <w:rPr>
                <w:spacing w:val="3"/>
                <w:sz w:val="16"/>
              </w:rPr>
              <w:t xml:space="preserve"> </w:t>
            </w:r>
            <w:r>
              <w:rPr>
                <w:sz w:val="16"/>
              </w:rPr>
              <w:t>faaliyetlerine</w:t>
            </w:r>
            <w:r>
              <w:rPr>
                <w:spacing w:val="2"/>
                <w:sz w:val="16"/>
              </w:rPr>
              <w:t xml:space="preserve"> </w:t>
            </w:r>
            <w:r>
              <w:rPr>
                <w:sz w:val="16"/>
              </w:rPr>
              <w:t>katıldığımda,</w:t>
            </w:r>
            <w:r>
              <w:rPr>
                <w:spacing w:val="3"/>
                <w:sz w:val="16"/>
              </w:rPr>
              <w:t xml:space="preserve"> </w:t>
            </w:r>
            <w:r>
              <w:rPr>
                <w:sz w:val="16"/>
              </w:rPr>
              <w:t>o</w:t>
            </w:r>
            <w:r>
              <w:rPr>
                <w:spacing w:val="2"/>
                <w:sz w:val="16"/>
              </w:rPr>
              <w:t xml:space="preserve"> </w:t>
            </w:r>
            <w:r>
              <w:rPr>
                <w:sz w:val="16"/>
              </w:rPr>
              <w:t>faaliyetten</w:t>
            </w:r>
            <w:r>
              <w:rPr>
                <w:spacing w:val="3"/>
                <w:sz w:val="16"/>
              </w:rPr>
              <w:t xml:space="preserve"> </w:t>
            </w:r>
            <w:r>
              <w:rPr>
                <w:sz w:val="16"/>
              </w:rPr>
              <w:t>başka</w:t>
            </w:r>
            <w:r>
              <w:rPr>
                <w:spacing w:val="2"/>
                <w:sz w:val="16"/>
              </w:rPr>
              <w:t xml:space="preserve"> </w:t>
            </w:r>
            <w:r>
              <w:rPr>
                <w:spacing w:val="-5"/>
                <w:sz w:val="16"/>
              </w:rPr>
              <w:t>bir</w:t>
            </w:r>
          </w:p>
          <w:p w14:paraId="40DF7D6E">
            <w:pPr>
              <w:pStyle w:val="29"/>
              <w:spacing w:before="1" w:line="168" w:lineRule="exact"/>
              <w:ind w:left="265"/>
              <w:rPr>
                <w:sz w:val="16"/>
              </w:rPr>
            </w:pPr>
            <w:r>
              <w:rPr>
                <w:sz w:val="16"/>
              </w:rPr>
              <w:t>şey</w:t>
            </w:r>
            <w:r>
              <w:rPr>
                <w:spacing w:val="-3"/>
                <w:sz w:val="16"/>
              </w:rPr>
              <w:t xml:space="preserve"> </w:t>
            </w:r>
            <w:r>
              <w:rPr>
                <w:spacing w:val="-2"/>
                <w:sz w:val="16"/>
              </w:rPr>
              <w:t>düşünmem.</w:t>
            </w:r>
          </w:p>
        </w:tc>
        <w:tc>
          <w:tcPr>
            <w:tcW w:w="497" w:type="dxa"/>
          </w:tcPr>
          <w:p w14:paraId="1D82B7B5">
            <w:pPr>
              <w:pStyle w:val="29"/>
              <w:spacing w:line="180" w:lineRule="exact"/>
              <w:ind w:left="94" w:right="95"/>
              <w:jc w:val="center"/>
              <w:rPr>
                <w:sz w:val="16"/>
              </w:rPr>
            </w:pPr>
            <w:r>
              <w:rPr>
                <w:spacing w:val="-4"/>
                <w:sz w:val="16"/>
              </w:rPr>
              <w:t>12.6</w:t>
            </w:r>
          </w:p>
        </w:tc>
        <w:tc>
          <w:tcPr>
            <w:tcW w:w="496" w:type="dxa"/>
          </w:tcPr>
          <w:p w14:paraId="1426397D">
            <w:pPr>
              <w:pStyle w:val="29"/>
              <w:spacing w:line="180" w:lineRule="exact"/>
              <w:ind w:left="93" w:right="94"/>
              <w:jc w:val="center"/>
              <w:rPr>
                <w:sz w:val="16"/>
              </w:rPr>
            </w:pPr>
            <w:r>
              <w:rPr>
                <w:spacing w:val="-4"/>
                <w:sz w:val="16"/>
              </w:rPr>
              <w:t>22.3</w:t>
            </w:r>
          </w:p>
        </w:tc>
        <w:tc>
          <w:tcPr>
            <w:tcW w:w="496" w:type="dxa"/>
          </w:tcPr>
          <w:p w14:paraId="74EF405E">
            <w:pPr>
              <w:pStyle w:val="29"/>
              <w:spacing w:line="180" w:lineRule="exact"/>
              <w:ind w:left="92" w:right="96"/>
              <w:jc w:val="center"/>
              <w:rPr>
                <w:sz w:val="16"/>
              </w:rPr>
            </w:pPr>
            <w:r>
              <w:rPr>
                <w:spacing w:val="-4"/>
                <w:sz w:val="16"/>
              </w:rPr>
              <w:t>22.9</w:t>
            </w:r>
          </w:p>
        </w:tc>
        <w:tc>
          <w:tcPr>
            <w:tcW w:w="497" w:type="dxa"/>
          </w:tcPr>
          <w:p w14:paraId="0CE9AB55">
            <w:pPr>
              <w:pStyle w:val="29"/>
              <w:spacing w:line="180" w:lineRule="exact"/>
              <w:ind w:left="94" w:right="96"/>
              <w:jc w:val="center"/>
              <w:rPr>
                <w:sz w:val="16"/>
              </w:rPr>
            </w:pPr>
            <w:r>
              <w:rPr>
                <w:spacing w:val="-4"/>
                <w:sz w:val="16"/>
              </w:rPr>
              <w:t>26.2</w:t>
            </w:r>
          </w:p>
        </w:tc>
        <w:tc>
          <w:tcPr>
            <w:tcW w:w="496" w:type="dxa"/>
          </w:tcPr>
          <w:p w14:paraId="53C34EDF">
            <w:pPr>
              <w:pStyle w:val="29"/>
              <w:spacing w:line="180" w:lineRule="exact"/>
              <w:ind w:left="93" w:right="95"/>
              <w:jc w:val="center"/>
              <w:rPr>
                <w:sz w:val="16"/>
              </w:rPr>
            </w:pPr>
            <w:r>
              <w:rPr>
                <w:spacing w:val="-4"/>
                <w:sz w:val="16"/>
              </w:rPr>
              <w:t>15.9</w:t>
            </w:r>
          </w:p>
        </w:tc>
        <w:tc>
          <w:tcPr>
            <w:tcW w:w="496" w:type="dxa"/>
          </w:tcPr>
          <w:p w14:paraId="54E17794">
            <w:pPr>
              <w:pStyle w:val="29"/>
              <w:spacing w:line="180" w:lineRule="exact"/>
              <w:ind w:left="91" w:right="96"/>
              <w:jc w:val="center"/>
              <w:rPr>
                <w:sz w:val="16"/>
              </w:rPr>
            </w:pPr>
            <w:r>
              <w:rPr>
                <w:spacing w:val="-4"/>
                <w:sz w:val="16"/>
              </w:rPr>
              <w:t>3.10</w:t>
            </w:r>
          </w:p>
        </w:tc>
        <w:tc>
          <w:tcPr>
            <w:tcW w:w="497" w:type="dxa"/>
          </w:tcPr>
          <w:p w14:paraId="67E189F2">
            <w:pPr>
              <w:pStyle w:val="29"/>
              <w:spacing w:line="180" w:lineRule="exact"/>
              <w:ind w:left="93" w:right="97"/>
              <w:jc w:val="center"/>
              <w:rPr>
                <w:sz w:val="16"/>
              </w:rPr>
            </w:pPr>
            <w:r>
              <w:rPr>
                <w:spacing w:val="-4"/>
                <w:sz w:val="16"/>
              </w:rPr>
              <w:t>1.27</w:t>
            </w:r>
          </w:p>
        </w:tc>
      </w:tr>
      <w:tr w14:paraId="278A18E9">
        <w:tblPrEx>
          <w:tblCellMar>
            <w:top w:w="0" w:type="dxa"/>
            <w:left w:w="0" w:type="dxa"/>
            <w:bottom w:w="0" w:type="dxa"/>
            <w:right w:w="0" w:type="dxa"/>
          </w:tblCellMar>
        </w:tblPrEx>
        <w:trPr>
          <w:trHeight w:val="183" w:hRule="atLeast"/>
        </w:trPr>
        <w:tc>
          <w:tcPr>
            <w:tcW w:w="538" w:type="dxa"/>
          </w:tcPr>
          <w:p w14:paraId="31C3E69D">
            <w:pPr>
              <w:pStyle w:val="29"/>
              <w:spacing w:line="164" w:lineRule="exact"/>
              <w:ind w:left="108"/>
              <w:rPr>
                <w:sz w:val="16"/>
              </w:rPr>
            </w:pPr>
            <w:r>
              <w:rPr>
                <w:spacing w:val="-5"/>
                <w:sz w:val="16"/>
              </w:rPr>
              <w:t>40</w:t>
            </w:r>
          </w:p>
        </w:tc>
        <w:tc>
          <w:tcPr>
            <w:tcW w:w="4774" w:type="dxa"/>
          </w:tcPr>
          <w:p w14:paraId="0A70DAAC">
            <w:pPr>
              <w:pStyle w:val="29"/>
              <w:spacing w:line="164" w:lineRule="exact"/>
              <w:ind w:left="265"/>
              <w:rPr>
                <w:sz w:val="16"/>
              </w:rPr>
            </w:pPr>
            <w:r>
              <w:rPr>
                <w:sz w:val="16"/>
              </w:rPr>
              <w:t>Sanal</w:t>
            </w:r>
            <w:r>
              <w:rPr>
                <w:spacing w:val="-9"/>
                <w:sz w:val="16"/>
              </w:rPr>
              <w:t xml:space="preserve"> </w:t>
            </w:r>
            <w:r>
              <w:rPr>
                <w:sz w:val="16"/>
              </w:rPr>
              <w:t>rekreasyon</w:t>
            </w:r>
            <w:r>
              <w:rPr>
                <w:spacing w:val="-7"/>
                <w:sz w:val="16"/>
              </w:rPr>
              <w:t xml:space="preserve"> </w:t>
            </w:r>
            <w:r>
              <w:rPr>
                <w:sz w:val="16"/>
              </w:rPr>
              <w:t>faaliyetinin</w:t>
            </w:r>
            <w:r>
              <w:rPr>
                <w:spacing w:val="-8"/>
                <w:sz w:val="16"/>
              </w:rPr>
              <w:t xml:space="preserve"> </w:t>
            </w:r>
            <w:r>
              <w:rPr>
                <w:sz w:val="16"/>
              </w:rPr>
              <w:t>içinde</w:t>
            </w:r>
            <w:r>
              <w:rPr>
                <w:spacing w:val="-10"/>
                <w:sz w:val="16"/>
              </w:rPr>
              <w:t xml:space="preserve"> </w:t>
            </w:r>
            <w:r>
              <w:rPr>
                <w:sz w:val="16"/>
              </w:rPr>
              <w:t>kaybolup</w:t>
            </w:r>
            <w:r>
              <w:rPr>
                <w:spacing w:val="-6"/>
                <w:sz w:val="16"/>
              </w:rPr>
              <w:t xml:space="preserve"> </w:t>
            </w:r>
            <w:r>
              <w:rPr>
                <w:spacing w:val="-2"/>
                <w:sz w:val="16"/>
              </w:rPr>
              <w:t>giderim.</w:t>
            </w:r>
          </w:p>
        </w:tc>
        <w:tc>
          <w:tcPr>
            <w:tcW w:w="497" w:type="dxa"/>
          </w:tcPr>
          <w:p w14:paraId="2CD1CBC4">
            <w:pPr>
              <w:pStyle w:val="29"/>
              <w:spacing w:line="164" w:lineRule="exact"/>
              <w:ind w:left="94" w:right="95"/>
              <w:jc w:val="center"/>
              <w:rPr>
                <w:sz w:val="16"/>
              </w:rPr>
            </w:pPr>
            <w:r>
              <w:rPr>
                <w:spacing w:val="-4"/>
                <w:sz w:val="16"/>
              </w:rPr>
              <w:t>15.3</w:t>
            </w:r>
          </w:p>
        </w:tc>
        <w:tc>
          <w:tcPr>
            <w:tcW w:w="496" w:type="dxa"/>
          </w:tcPr>
          <w:p w14:paraId="5EE254DD">
            <w:pPr>
              <w:pStyle w:val="29"/>
              <w:spacing w:line="164" w:lineRule="exact"/>
              <w:ind w:left="93" w:right="94"/>
              <w:jc w:val="center"/>
              <w:rPr>
                <w:sz w:val="16"/>
              </w:rPr>
            </w:pPr>
            <w:r>
              <w:rPr>
                <w:spacing w:val="-4"/>
                <w:sz w:val="16"/>
              </w:rPr>
              <w:t>22.0</w:t>
            </w:r>
          </w:p>
        </w:tc>
        <w:tc>
          <w:tcPr>
            <w:tcW w:w="496" w:type="dxa"/>
          </w:tcPr>
          <w:p w14:paraId="6212F745">
            <w:pPr>
              <w:pStyle w:val="29"/>
              <w:spacing w:line="164" w:lineRule="exact"/>
              <w:ind w:left="92" w:right="96"/>
              <w:jc w:val="center"/>
              <w:rPr>
                <w:sz w:val="16"/>
              </w:rPr>
            </w:pPr>
            <w:r>
              <w:rPr>
                <w:spacing w:val="-4"/>
                <w:sz w:val="16"/>
              </w:rPr>
              <w:t>21.4</w:t>
            </w:r>
          </w:p>
        </w:tc>
        <w:tc>
          <w:tcPr>
            <w:tcW w:w="497" w:type="dxa"/>
          </w:tcPr>
          <w:p w14:paraId="2B467CAC">
            <w:pPr>
              <w:pStyle w:val="29"/>
              <w:spacing w:line="164" w:lineRule="exact"/>
              <w:ind w:left="94" w:right="96"/>
              <w:jc w:val="center"/>
              <w:rPr>
                <w:sz w:val="16"/>
              </w:rPr>
            </w:pPr>
            <w:r>
              <w:rPr>
                <w:spacing w:val="-4"/>
                <w:sz w:val="16"/>
              </w:rPr>
              <w:t>25.9</w:t>
            </w:r>
          </w:p>
        </w:tc>
        <w:tc>
          <w:tcPr>
            <w:tcW w:w="496" w:type="dxa"/>
          </w:tcPr>
          <w:p w14:paraId="2A18876A">
            <w:pPr>
              <w:pStyle w:val="29"/>
              <w:spacing w:line="164" w:lineRule="exact"/>
              <w:ind w:left="93" w:right="95"/>
              <w:jc w:val="center"/>
              <w:rPr>
                <w:sz w:val="16"/>
              </w:rPr>
            </w:pPr>
            <w:r>
              <w:rPr>
                <w:spacing w:val="-4"/>
                <w:sz w:val="16"/>
              </w:rPr>
              <w:t>15.4</w:t>
            </w:r>
          </w:p>
        </w:tc>
        <w:tc>
          <w:tcPr>
            <w:tcW w:w="496" w:type="dxa"/>
          </w:tcPr>
          <w:p w14:paraId="1CD75EAC">
            <w:pPr>
              <w:pStyle w:val="29"/>
              <w:spacing w:line="164" w:lineRule="exact"/>
              <w:ind w:left="91" w:right="96"/>
              <w:jc w:val="center"/>
              <w:rPr>
                <w:sz w:val="16"/>
              </w:rPr>
            </w:pPr>
            <w:r>
              <w:rPr>
                <w:spacing w:val="-4"/>
                <w:sz w:val="16"/>
              </w:rPr>
              <w:t>3.04</w:t>
            </w:r>
          </w:p>
        </w:tc>
        <w:tc>
          <w:tcPr>
            <w:tcW w:w="497" w:type="dxa"/>
          </w:tcPr>
          <w:p w14:paraId="4015DE16">
            <w:pPr>
              <w:pStyle w:val="29"/>
              <w:spacing w:line="164" w:lineRule="exact"/>
              <w:ind w:left="93" w:right="97"/>
              <w:jc w:val="center"/>
              <w:rPr>
                <w:sz w:val="16"/>
              </w:rPr>
            </w:pPr>
            <w:r>
              <w:rPr>
                <w:spacing w:val="-4"/>
                <w:sz w:val="16"/>
              </w:rPr>
              <w:t>1.31</w:t>
            </w:r>
          </w:p>
        </w:tc>
      </w:tr>
      <w:tr w14:paraId="7BFA1CBE">
        <w:tblPrEx>
          <w:tblCellMar>
            <w:top w:w="0" w:type="dxa"/>
            <w:left w:w="0" w:type="dxa"/>
            <w:bottom w:w="0" w:type="dxa"/>
            <w:right w:w="0" w:type="dxa"/>
          </w:tblCellMar>
        </w:tblPrEx>
        <w:trPr>
          <w:trHeight w:val="183" w:hRule="atLeast"/>
        </w:trPr>
        <w:tc>
          <w:tcPr>
            <w:tcW w:w="538" w:type="dxa"/>
          </w:tcPr>
          <w:p w14:paraId="34805EA6">
            <w:pPr>
              <w:pStyle w:val="29"/>
              <w:spacing w:line="164" w:lineRule="exact"/>
              <w:ind w:left="108"/>
              <w:rPr>
                <w:sz w:val="16"/>
              </w:rPr>
            </w:pPr>
            <w:r>
              <w:rPr>
                <w:spacing w:val="-5"/>
                <w:sz w:val="16"/>
              </w:rPr>
              <w:t>41</w:t>
            </w:r>
          </w:p>
        </w:tc>
        <w:tc>
          <w:tcPr>
            <w:tcW w:w="4774" w:type="dxa"/>
          </w:tcPr>
          <w:p w14:paraId="662805AF">
            <w:pPr>
              <w:pStyle w:val="29"/>
              <w:spacing w:line="164" w:lineRule="exact"/>
              <w:ind w:left="265"/>
              <w:rPr>
                <w:sz w:val="16"/>
              </w:rPr>
            </w:pPr>
            <w:r>
              <w:rPr>
                <w:sz w:val="16"/>
              </w:rPr>
              <w:t>Sanal</w:t>
            </w:r>
            <w:r>
              <w:rPr>
                <w:spacing w:val="-9"/>
                <w:sz w:val="16"/>
              </w:rPr>
              <w:t xml:space="preserve"> </w:t>
            </w:r>
            <w:r>
              <w:rPr>
                <w:sz w:val="16"/>
              </w:rPr>
              <w:t>rekreasyon</w:t>
            </w:r>
            <w:r>
              <w:rPr>
                <w:spacing w:val="-7"/>
                <w:sz w:val="16"/>
              </w:rPr>
              <w:t xml:space="preserve"> </w:t>
            </w:r>
            <w:r>
              <w:rPr>
                <w:sz w:val="16"/>
              </w:rPr>
              <w:t>faaliyetleri</w:t>
            </w:r>
            <w:r>
              <w:rPr>
                <w:spacing w:val="-7"/>
                <w:sz w:val="16"/>
              </w:rPr>
              <w:t xml:space="preserve"> </w:t>
            </w:r>
            <w:r>
              <w:rPr>
                <w:sz w:val="16"/>
              </w:rPr>
              <w:t>ile</w:t>
            </w:r>
            <w:r>
              <w:rPr>
                <w:spacing w:val="-9"/>
                <w:sz w:val="16"/>
              </w:rPr>
              <w:t xml:space="preserve"> </w:t>
            </w:r>
            <w:r>
              <w:rPr>
                <w:sz w:val="16"/>
              </w:rPr>
              <w:t>kapasitemin</w:t>
            </w:r>
            <w:r>
              <w:rPr>
                <w:spacing w:val="-7"/>
                <w:sz w:val="16"/>
              </w:rPr>
              <w:t xml:space="preserve"> </w:t>
            </w:r>
            <w:r>
              <w:rPr>
                <w:sz w:val="16"/>
              </w:rPr>
              <w:t>sınırlarını</w:t>
            </w:r>
            <w:r>
              <w:rPr>
                <w:spacing w:val="-7"/>
                <w:sz w:val="16"/>
              </w:rPr>
              <w:t xml:space="preserve"> </w:t>
            </w:r>
            <w:r>
              <w:rPr>
                <w:spacing w:val="-2"/>
                <w:sz w:val="16"/>
              </w:rPr>
              <w:t>zorlarım.</w:t>
            </w:r>
          </w:p>
        </w:tc>
        <w:tc>
          <w:tcPr>
            <w:tcW w:w="497" w:type="dxa"/>
          </w:tcPr>
          <w:p w14:paraId="00A8E506">
            <w:pPr>
              <w:pStyle w:val="29"/>
              <w:spacing w:line="164" w:lineRule="exact"/>
              <w:ind w:left="94" w:right="95"/>
              <w:jc w:val="center"/>
              <w:rPr>
                <w:sz w:val="16"/>
              </w:rPr>
            </w:pPr>
            <w:r>
              <w:rPr>
                <w:spacing w:val="-4"/>
                <w:sz w:val="16"/>
              </w:rPr>
              <w:t>14.0</w:t>
            </w:r>
          </w:p>
        </w:tc>
        <w:tc>
          <w:tcPr>
            <w:tcW w:w="496" w:type="dxa"/>
          </w:tcPr>
          <w:p w14:paraId="6564876F">
            <w:pPr>
              <w:pStyle w:val="29"/>
              <w:spacing w:line="164" w:lineRule="exact"/>
              <w:ind w:left="93" w:right="94"/>
              <w:jc w:val="center"/>
              <w:rPr>
                <w:sz w:val="16"/>
              </w:rPr>
            </w:pPr>
            <w:r>
              <w:rPr>
                <w:spacing w:val="-4"/>
                <w:sz w:val="16"/>
              </w:rPr>
              <w:t>19.0</w:t>
            </w:r>
          </w:p>
        </w:tc>
        <w:tc>
          <w:tcPr>
            <w:tcW w:w="496" w:type="dxa"/>
          </w:tcPr>
          <w:p w14:paraId="4E2739C2">
            <w:pPr>
              <w:pStyle w:val="29"/>
              <w:spacing w:line="164" w:lineRule="exact"/>
              <w:ind w:left="92" w:right="96"/>
              <w:jc w:val="center"/>
              <w:rPr>
                <w:sz w:val="16"/>
              </w:rPr>
            </w:pPr>
            <w:r>
              <w:rPr>
                <w:spacing w:val="-4"/>
                <w:sz w:val="16"/>
              </w:rPr>
              <w:t>21.8</w:t>
            </w:r>
          </w:p>
        </w:tc>
        <w:tc>
          <w:tcPr>
            <w:tcW w:w="497" w:type="dxa"/>
          </w:tcPr>
          <w:p w14:paraId="726CB32D">
            <w:pPr>
              <w:pStyle w:val="29"/>
              <w:spacing w:line="164" w:lineRule="exact"/>
              <w:ind w:left="94" w:right="96"/>
              <w:jc w:val="center"/>
              <w:rPr>
                <w:sz w:val="16"/>
              </w:rPr>
            </w:pPr>
            <w:r>
              <w:rPr>
                <w:spacing w:val="-4"/>
                <w:sz w:val="16"/>
              </w:rPr>
              <w:t>26.8</w:t>
            </w:r>
          </w:p>
        </w:tc>
        <w:tc>
          <w:tcPr>
            <w:tcW w:w="496" w:type="dxa"/>
          </w:tcPr>
          <w:p w14:paraId="2102FA26">
            <w:pPr>
              <w:pStyle w:val="29"/>
              <w:spacing w:line="164" w:lineRule="exact"/>
              <w:ind w:left="93" w:right="95"/>
              <w:jc w:val="center"/>
              <w:rPr>
                <w:sz w:val="16"/>
              </w:rPr>
            </w:pPr>
            <w:r>
              <w:rPr>
                <w:spacing w:val="-4"/>
                <w:sz w:val="16"/>
              </w:rPr>
              <w:t>18.3</w:t>
            </w:r>
          </w:p>
        </w:tc>
        <w:tc>
          <w:tcPr>
            <w:tcW w:w="496" w:type="dxa"/>
          </w:tcPr>
          <w:p w14:paraId="7782143B">
            <w:pPr>
              <w:pStyle w:val="29"/>
              <w:spacing w:line="164" w:lineRule="exact"/>
              <w:ind w:left="91" w:right="96"/>
              <w:jc w:val="center"/>
              <w:rPr>
                <w:sz w:val="16"/>
              </w:rPr>
            </w:pPr>
            <w:r>
              <w:rPr>
                <w:spacing w:val="-4"/>
                <w:sz w:val="16"/>
              </w:rPr>
              <w:t>3.16</w:t>
            </w:r>
          </w:p>
        </w:tc>
        <w:tc>
          <w:tcPr>
            <w:tcW w:w="497" w:type="dxa"/>
          </w:tcPr>
          <w:p w14:paraId="0C92B109">
            <w:pPr>
              <w:pStyle w:val="29"/>
              <w:spacing w:line="164" w:lineRule="exact"/>
              <w:ind w:left="93" w:right="97"/>
              <w:jc w:val="center"/>
              <w:rPr>
                <w:sz w:val="16"/>
              </w:rPr>
            </w:pPr>
            <w:r>
              <w:rPr>
                <w:spacing w:val="-4"/>
                <w:sz w:val="16"/>
              </w:rPr>
              <w:t>1.31</w:t>
            </w:r>
          </w:p>
        </w:tc>
      </w:tr>
      <w:tr w14:paraId="5FC3903B">
        <w:tblPrEx>
          <w:tblCellMar>
            <w:top w:w="0" w:type="dxa"/>
            <w:left w:w="0" w:type="dxa"/>
            <w:bottom w:w="0" w:type="dxa"/>
            <w:right w:w="0" w:type="dxa"/>
          </w:tblCellMar>
        </w:tblPrEx>
        <w:trPr>
          <w:trHeight w:val="368" w:hRule="atLeast"/>
        </w:trPr>
        <w:tc>
          <w:tcPr>
            <w:tcW w:w="538" w:type="dxa"/>
          </w:tcPr>
          <w:p w14:paraId="17A32ED1">
            <w:pPr>
              <w:pStyle w:val="29"/>
              <w:spacing w:line="181" w:lineRule="exact"/>
              <w:ind w:left="108"/>
              <w:rPr>
                <w:sz w:val="16"/>
              </w:rPr>
            </w:pPr>
            <w:r>
              <w:rPr>
                <w:spacing w:val="-5"/>
                <w:sz w:val="16"/>
              </w:rPr>
              <w:t>42</w:t>
            </w:r>
          </w:p>
        </w:tc>
        <w:tc>
          <w:tcPr>
            <w:tcW w:w="4774" w:type="dxa"/>
          </w:tcPr>
          <w:p w14:paraId="61C8A294">
            <w:pPr>
              <w:pStyle w:val="29"/>
              <w:spacing w:line="181" w:lineRule="exact"/>
              <w:ind w:left="265"/>
              <w:rPr>
                <w:sz w:val="16"/>
              </w:rPr>
            </w:pPr>
            <w:r>
              <w:rPr>
                <w:sz w:val="16"/>
              </w:rPr>
              <w:t>Sanal</w:t>
            </w:r>
            <w:r>
              <w:rPr>
                <w:spacing w:val="47"/>
                <w:sz w:val="16"/>
              </w:rPr>
              <w:t xml:space="preserve"> </w:t>
            </w:r>
            <w:r>
              <w:rPr>
                <w:sz w:val="16"/>
              </w:rPr>
              <w:t>rekreasyon</w:t>
            </w:r>
            <w:r>
              <w:rPr>
                <w:spacing w:val="54"/>
                <w:sz w:val="16"/>
              </w:rPr>
              <w:t xml:space="preserve"> </w:t>
            </w:r>
            <w:r>
              <w:rPr>
                <w:sz w:val="16"/>
              </w:rPr>
              <w:t>faaliyetleri</w:t>
            </w:r>
            <w:r>
              <w:rPr>
                <w:spacing w:val="53"/>
                <w:sz w:val="16"/>
              </w:rPr>
              <w:t xml:space="preserve"> </w:t>
            </w:r>
            <w:r>
              <w:rPr>
                <w:sz w:val="16"/>
              </w:rPr>
              <w:t>ile</w:t>
            </w:r>
            <w:r>
              <w:rPr>
                <w:spacing w:val="51"/>
                <w:sz w:val="16"/>
              </w:rPr>
              <w:t xml:space="preserve"> </w:t>
            </w:r>
            <w:r>
              <w:rPr>
                <w:sz w:val="16"/>
              </w:rPr>
              <w:t>zorlukların</w:t>
            </w:r>
            <w:r>
              <w:rPr>
                <w:spacing w:val="52"/>
                <w:sz w:val="16"/>
              </w:rPr>
              <w:t xml:space="preserve"> </w:t>
            </w:r>
            <w:r>
              <w:rPr>
                <w:sz w:val="16"/>
              </w:rPr>
              <w:t>üstesinden</w:t>
            </w:r>
            <w:r>
              <w:rPr>
                <w:spacing w:val="52"/>
                <w:sz w:val="16"/>
              </w:rPr>
              <w:t xml:space="preserve"> </w:t>
            </w:r>
            <w:r>
              <w:rPr>
                <w:spacing w:val="-2"/>
                <w:sz w:val="16"/>
              </w:rPr>
              <w:t>gelmeyi</w:t>
            </w:r>
          </w:p>
          <w:p w14:paraId="3FCEDA62">
            <w:pPr>
              <w:pStyle w:val="29"/>
              <w:spacing w:before="1" w:line="166" w:lineRule="exact"/>
              <w:ind w:left="265"/>
              <w:rPr>
                <w:sz w:val="16"/>
              </w:rPr>
            </w:pPr>
            <w:r>
              <w:rPr>
                <w:spacing w:val="-2"/>
                <w:sz w:val="16"/>
              </w:rPr>
              <w:t>öğrenirim.</w:t>
            </w:r>
          </w:p>
        </w:tc>
        <w:tc>
          <w:tcPr>
            <w:tcW w:w="497" w:type="dxa"/>
          </w:tcPr>
          <w:p w14:paraId="7C5B444E">
            <w:pPr>
              <w:pStyle w:val="29"/>
              <w:spacing w:line="181" w:lineRule="exact"/>
              <w:ind w:left="94" w:right="95"/>
              <w:jc w:val="center"/>
              <w:rPr>
                <w:sz w:val="16"/>
              </w:rPr>
            </w:pPr>
            <w:r>
              <w:rPr>
                <w:spacing w:val="-4"/>
                <w:sz w:val="16"/>
              </w:rPr>
              <w:t>12.6</w:t>
            </w:r>
          </w:p>
        </w:tc>
        <w:tc>
          <w:tcPr>
            <w:tcW w:w="496" w:type="dxa"/>
          </w:tcPr>
          <w:p w14:paraId="6D379AF9">
            <w:pPr>
              <w:pStyle w:val="29"/>
              <w:spacing w:line="181" w:lineRule="exact"/>
              <w:ind w:left="93" w:right="94"/>
              <w:jc w:val="center"/>
              <w:rPr>
                <w:sz w:val="16"/>
              </w:rPr>
            </w:pPr>
            <w:r>
              <w:rPr>
                <w:spacing w:val="-4"/>
                <w:sz w:val="16"/>
              </w:rPr>
              <w:t>22.0</w:t>
            </w:r>
          </w:p>
        </w:tc>
        <w:tc>
          <w:tcPr>
            <w:tcW w:w="496" w:type="dxa"/>
          </w:tcPr>
          <w:p w14:paraId="3F14905A">
            <w:pPr>
              <w:pStyle w:val="29"/>
              <w:spacing w:line="181" w:lineRule="exact"/>
              <w:ind w:left="92" w:right="96"/>
              <w:jc w:val="center"/>
              <w:rPr>
                <w:sz w:val="16"/>
              </w:rPr>
            </w:pPr>
            <w:r>
              <w:rPr>
                <w:spacing w:val="-4"/>
                <w:sz w:val="16"/>
              </w:rPr>
              <w:t>25.7</w:t>
            </w:r>
          </w:p>
        </w:tc>
        <w:tc>
          <w:tcPr>
            <w:tcW w:w="497" w:type="dxa"/>
          </w:tcPr>
          <w:p w14:paraId="2590CDF6">
            <w:pPr>
              <w:pStyle w:val="29"/>
              <w:spacing w:line="181" w:lineRule="exact"/>
              <w:ind w:left="94" w:right="96"/>
              <w:jc w:val="center"/>
              <w:rPr>
                <w:sz w:val="16"/>
              </w:rPr>
            </w:pPr>
            <w:r>
              <w:rPr>
                <w:spacing w:val="-4"/>
                <w:sz w:val="16"/>
              </w:rPr>
              <w:t>23.9</w:t>
            </w:r>
          </w:p>
        </w:tc>
        <w:tc>
          <w:tcPr>
            <w:tcW w:w="496" w:type="dxa"/>
          </w:tcPr>
          <w:p w14:paraId="5D05DBCE">
            <w:pPr>
              <w:pStyle w:val="29"/>
              <w:spacing w:line="181" w:lineRule="exact"/>
              <w:ind w:left="93" w:right="95"/>
              <w:jc w:val="center"/>
              <w:rPr>
                <w:sz w:val="16"/>
              </w:rPr>
            </w:pPr>
            <w:r>
              <w:rPr>
                <w:spacing w:val="-4"/>
                <w:sz w:val="16"/>
              </w:rPr>
              <w:t>15.8</w:t>
            </w:r>
          </w:p>
        </w:tc>
        <w:tc>
          <w:tcPr>
            <w:tcW w:w="496" w:type="dxa"/>
          </w:tcPr>
          <w:p w14:paraId="34D14314">
            <w:pPr>
              <w:pStyle w:val="29"/>
              <w:spacing w:line="181" w:lineRule="exact"/>
              <w:ind w:left="91" w:right="96"/>
              <w:jc w:val="center"/>
              <w:rPr>
                <w:sz w:val="16"/>
              </w:rPr>
            </w:pPr>
            <w:r>
              <w:rPr>
                <w:spacing w:val="-4"/>
                <w:sz w:val="16"/>
              </w:rPr>
              <w:t>3.08</w:t>
            </w:r>
          </w:p>
        </w:tc>
        <w:tc>
          <w:tcPr>
            <w:tcW w:w="497" w:type="dxa"/>
          </w:tcPr>
          <w:p w14:paraId="09848413">
            <w:pPr>
              <w:pStyle w:val="29"/>
              <w:spacing w:line="181" w:lineRule="exact"/>
              <w:ind w:left="93" w:right="97"/>
              <w:jc w:val="center"/>
              <w:rPr>
                <w:sz w:val="16"/>
              </w:rPr>
            </w:pPr>
            <w:r>
              <w:rPr>
                <w:spacing w:val="-4"/>
                <w:sz w:val="16"/>
              </w:rPr>
              <w:t>1.26</w:t>
            </w:r>
          </w:p>
        </w:tc>
      </w:tr>
      <w:tr w14:paraId="6F006FBF">
        <w:tblPrEx>
          <w:tblCellMar>
            <w:top w:w="0" w:type="dxa"/>
            <w:left w:w="0" w:type="dxa"/>
            <w:bottom w:w="0" w:type="dxa"/>
            <w:right w:w="0" w:type="dxa"/>
          </w:tblCellMar>
        </w:tblPrEx>
        <w:trPr>
          <w:trHeight w:val="368" w:hRule="atLeast"/>
        </w:trPr>
        <w:tc>
          <w:tcPr>
            <w:tcW w:w="538" w:type="dxa"/>
          </w:tcPr>
          <w:p w14:paraId="13187BF2">
            <w:pPr>
              <w:pStyle w:val="29"/>
              <w:spacing w:line="180" w:lineRule="exact"/>
              <w:ind w:left="108"/>
              <w:rPr>
                <w:sz w:val="16"/>
              </w:rPr>
            </w:pPr>
            <w:r>
              <w:rPr>
                <w:spacing w:val="-5"/>
                <w:sz w:val="16"/>
              </w:rPr>
              <w:t>43</w:t>
            </w:r>
          </w:p>
        </w:tc>
        <w:tc>
          <w:tcPr>
            <w:tcW w:w="4774" w:type="dxa"/>
          </w:tcPr>
          <w:p w14:paraId="30440701">
            <w:pPr>
              <w:pStyle w:val="29"/>
              <w:spacing w:line="180" w:lineRule="exact"/>
              <w:ind w:left="265"/>
              <w:rPr>
                <w:sz w:val="16"/>
              </w:rPr>
            </w:pPr>
            <w:r>
              <w:rPr>
                <w:sz w:val="16"/>
              </w:rPr>
              <w:t>Sanal</w:t>
            </w:r>
            <w:r>
              <w:rPr>
                <w:spacing w:val="40"/>
                <w:sz w:val="16"/>
              </w:rPr>
              <w:t xml:space="preserve"> </w:t>
            </w:r>
            <w:r>
              <w:rPr>
                <w:sz w:val="16"/>
              </w:rPr>
              <w:t>rekreasyon</w:t>
            </w:r>
            <w:r>
              <w:rPr>
                <w:spacing w:val="42"/>
                <w:sz w:val="16"/>
              </w:rPr>
              <w:t xml:space="preserve"> </w:t>
            </w:r>
            <w:r>
              <w:rPr>
                <w:sz w:val="16"/>
              </w:rPr>
              <w:t>faaliyetlerini</w:t>
            </w:r>
            <w:r>
              <w:rPr>
                <w:spacing w:val="42"/>
                <w:sz w:val="16"/>
              </w:rPr>
              <w:t xml:space="preserve"> </w:t>
            </w:r>
            <w:r>
              <w:rPr>
                <w:sz w:val="16"/>
              </w:rPr>
              <w:t>yaparken</w:t>
            </w:r>
            <w:r>
              <w:rPr>
                <w:spacing w:val="42"/>
                <w:sz w:val="16"/>
              </w:rPr>
              <w:t xml:space="preserve"> </w:t>
            </w:r>
            <w:r>
              <w:rPr>
                <w:sz w:val="16"/>
              </w:rPr>
              <w:t>zamanın</w:t>
            </w:r>
            <w:r>
              <w:rPr>
                <w:spacing w:val="42"/>
                <w:sz w:val="16"/>
              </w:rPr>
              <w:t xml:space="preserve"> </w:t>
            </w:r>
            <w:r>
              <w:rPr>
                <w:sz w:val="16"/>
              </w:rPr>
              <w:t>nasıl</w:t>
            </w:r>
            <w:r>
              <w:rPr>
                <w:spacing w:val="41"/>
                <w:sz w:val="16"/>
              </w:rPr>
              <w:t xml:space="preserve"> </w:t>
            </w:r>
            <w:r>
              <w:rPr>
                <w:spacing w:val="-2"/>
                <w:sz w:val="16"/>
              </w:rPr>
              <w:t>geçtiğini</w:t>
            </w:r>
          </w:p>
          <w:p w14:paraId="184315EB">
            <w:pPr>
              <w:pStyle w:val="29"/>
              <w:spacing w:before="1" w:line="168" w:lineRule="exact"/>
              <w:ind w:left="265"/>
              <w:rPr>
                <w:sz w:val="16"/>
              </w:rPr>
            </w:pPr>
            <w:r>
              <w:rPr>
                <w:spacing w:val="-2"/>
                <w:sz w:val="16"/>
              </w:rPr>
              <w:t>anlamam.</w:t>
            </w:r>
          </w:p>
        </w:tc>
        <w:tc>
          <w:tcPr>
            <w:tcW w:w="497" w:type="dxa"/>
          </w:tcPr>
          <w:p w14:paraId="72D00EC7">
            <w:pPr>
              <w:pStyle w:val="29"/>
              <w:spacing w:line="180" w:lineRule="exact"/>
              <w:ind w:left="94" w:right="95"/>
              <w:jc w:val="center"/>
              <w:rPr>
                <w:sz w:val="16"/>
              </w:rPr>
            </w:pPr>
            <w:r>
              <w:rPr>
                <w:spacing w:val="-4"/>
                <w:sz w:val="16"/>
              </w:rPr>
              <w:t>14.4</w:t>
            </w:r>
          </w:p>
        </w:tc>
        <w:tc>
          <w:tcPr>
            <w:tcW w:w="496" w:type="dxa"/>
          </w:tcPr>
          <w:p w14:paraId="53C0041A">
            <w:pPr>
              <w:pStyle w:val="29"/>
              <w:spacing w:line="180" w:lineRule="exact"/>
              <w:ind w:left="93" w:right="94"/>
              <w:jc w:val="center"/>
              <w:rPr>
                <w:sz w:val="16"/>
              </w:rPr>
            </w:pPr>
            <w:r>
              <w:rPr>
                <w:spacing w:val="-4"/>
                <w:sz w:val="16"/>
              </w:rPr>
              <w:t>15.3</w:t>
            </w:r>
          </w:p>
        </w:tc>
        <w:tc>
          <w:tcPr>
            <w:tcW w:w="496" w:type="dxa"/>
          </w:tcPr>
          <w:p w14:paraId="66ABEA16">
            <w:pPr>
              <w:pStyle w:val="29"/>
              <w:spacing w:line="180" w:lineRule="exact"/>
              <w:ind w:left="92" w:right="96"/>
              <w:jc w:val="center"/>
              <w:rPr>
                <w:sz w:val="16"/>
              </w:rPr>
            </w:pPr>
            <w:r>
              <w:rPr>
                <w:spacing w:val="-4"/>
                <w:sz w:val="16"/>
              </w:rPr>
              <w:t>18.7</w:t>
            </w:r>
          </w:p>
        </w:tc>
        <w:tc>
          <w:tcPr>
            <w:tcW w:w="497" w:type="dxa"/>
          </w:tcPr>
          <w:p w14:paraId="5973217E">
            <w:pPr>
              <w:pStyle w:val="29"/>
              <w:spacing w:line="180" w:lineRule="exact"/>
              <w:ind w:left="94" w:right="96"/>
              <w:jc w:val="center"/>
              <w:rPr>
                <w:sz w:val="16"/>
              </w:rPr>
            </w:pPr>
            <w:r>
              <w:rPr>
                <w:spacing w:val="-4"/>
                <w:sz w:val="16"/>
              </w:rPr>
              <w:t>32.1</w:t>
            </w:r>
          </w:p>
        </w:tc>
        <w:tc>
          <w:tcPr>
            <w:tcW w:w="496" w:type="dxa"/>
          </w:tcPr>
          <w:p w14:paraId="75719133">
            <w:pPr>
              <w:pStyle w:val="29"/>
              <w:spacing w:line="180" w:lineRule="exact"/>
              <w:ind w:left="93" w:right="95"/>
              <w:jc w:val="center"/>
              <w:rPr>
                <w:sz w:val="16"/>
              </w:rPr>
            </w:pPr>
            <w:r>
              <w:rPr>
                <w:spacing w:val="-4"/>
                <w:sz w:val="16"/>
              </w:rPr>
              <w:t>19.5</w:t>
            </w:r>
          </w:p>
        </w:tc>
        <w:tc>
          <w:tcPr>
            <w:tcW w:w="496" w:type="dxa"/>
          </w:tcPr>
          <w:p w14:paraId="01C390B0">
            <w:pPr>
              <w:pStyle w:val="29"/>
              <w:spacing w:line="180" w:lineRule="exact"/>
              <w:ind w:left="91" w:right="96"/>
              <w:jc w:val="center"/>
              <w:rPr>
                <w:sz w:val="16"/>
              </w:rPr>
            </w:pPr>
            <w:r>
              <w:rPr>
                <w:spacing w:val="-4"/>
                <w:sz w:val="16"/>
              </w:rPr>
              <w:t>3.27</w:t>
            </w:r>
          </w:p>
        </w:tc>
        <w:tc>
          <w:tcPr>
            <w:tcW w:w="497" w:type="dxa"/>
          </w:tcPr>
          <w:p w14:paraId="76AF5F31">
            <w:pPr>
              <w:pStyle w:val="29"/>
              <w:spacing w:line="180" w:lineRule="exact"/>
              <w:ind w:left="93" w:right="97"/>
              <w:jc w:val="center"/>
              <w:rPr>
                <w:sz w:val="16"/>
              </w:rPr>
            </w:pPr>
            <w:r>
              <w:rPr>
                <w:spacing w:val="-4"/>
                <w:sz w:val="16"/>
              </w:rPr>
              <w:t>1.33</w:t>
            </w:r>
          </w:p>
        </w:tc>
      </w:tr>
      <w:tr w14:paraId="361E5DF5">
        <w:tblPrEx>
          <w:tblCellMar>
            <w:top w:w="0" w:type="dxa"/>
            <w:left w:w="0" w:type="dxa"/>
            <w:bottom w:w="0" w:type="dxa"/>
            <w:right w:w="0" w:type="dxa"/>
          </w:tblCellMar>
        </w:tblPrEx>
        <w:trPr>
          <w:trHeight w:val="363" w:hRule="atLeast"/>
        </w:trPr>
        <w:tc>
          <w:tcPr>
            <w:tcW w:w="538" w:type="dxa"/>
          </w:tcPr>
          <w:p w14:paraId="581E1F70">
            <w:pPr>
              <w:pStyle w:val="29"/>
              <w:spacing w:line="181" w:lineRule="exact"/>
              <w:ind w:left="108"/>
              <w:rPr>
                <w:sz w:val="16"/>
              </w:rPr>
            </w:pPr>
            <w:r>
              <w:rPr>
                <w:spacing w:val="-5"/>
                <w:sz w:val="16"/>
              </w:rPr>
              <w:t>44</w:t>
            </w:r>
          </w:p>
        </w:tc>
        <w:tc>
          <w:tcPr>
            <w:tcW w:w="4774" w:type="dxa"/>
          </w:tcPr>
          <w:p w14:paraId="7228B493">
            <w:pPr>
              <w:pStyle w:val="29"/>
              <w:spacing w:line="180" w:lineRule="exact"/>
              <w:ind w:left="265"/>
              <w:rPr>
                <w:sz w:val="16"/>
              </w:rPr>
            </w:pPr>
            <w:r>
              <w:rPr>
                <w:sz w:val="16"/>
              </w:rPr>
              <w:t>Sanal</w:t>
            </w:r>
            <w:r>
              <w:rPr>
                <w:spacing w:val="-10"/>
                <w:sz w:val="16"/>
              </w:rPr>
              <w:t xml:space="preserve"> </w:t>
            </w:r>
            <w:r>
              <w:rPr>
                <w:sz w:val="16"/>
              </w:rPr>
              <w:t>rekreasyon</w:t>
            </w:r>
            <w:r>
              <w:rPr>
                <w:spacing w:val="-10"/>
                <w:sz w:val="16"/>
              </w:rPr>
              <w:t xml:space="preserve"> </w:t>
            </w:r>
            <w:r>
              <w:rPr>
                <w:sz w:val="16"/>
              </w:rPr>
              <w:t>faaliyetleri</w:t>
            </w:r>
            <w:r>
              <w:rPr>
                <w:spacing w:val="-10"/>
                <w:sz w:val="16"/>
              </w:rPr>
              <w:t xml:space="preserve"> </w:t>
            </w:r>
            <w:r>
              <w:rPr>
                <w:sz w:val="16"/>
              </w:rPr>
              <w:t>ile</w:t>
            </w:r>
            <w:r>
              <w:rPr>
                <w:spacing w:val="-9"/>
                <w:sz w:val="16"/>
              </w:rPr>
              <w:t xml:space="preserve"> </w:t>
            </w:r>
            <w:r>
              <w:rPr>
                <w:sz w:val="16"/>
              </w:rPr>
              <w:t>kendimi</w:t>
            </w:r>
            <w:r>
              <w:rPr>
                <w:spacing w:val="-8"/>
                <w:sz w:val="16"/>
              </w:rPr>
              <w:t xml:space="preserve"> </w:t>
            </w:r>
            <w:r>
              <w:rPr>
                <w:sz w:val="16"/>
              </w:rPr>
              <w:t>sonsuz</w:t>
            </w:r>
            <w:r>
              <w:rPr>
                <w:spacing w:val="-10"/>
                <w:sz w:val="16"/>
              </w:rPr>
              <w:t xml:space="preserve"> </w:t>
            </w:r>
            <w:r>
              <w:rPr>
                <w:sz w:val="16"/>
              </w:rPr>
              <w:t>bir</w:t>
            </w:r>
            <w:r>
              <w:rPr>
                <w:spacing w:val="-9"/>
                <w:sz w:val="16"/>
              </w:rPr>
              <w:t xml:space="preserve"> </w:t>
            </w:r>
            <w:r>
              <w:rPr>
                <w:sz w:val="16"/>
              </w:rPr>
              <w:t>yolculuğa</w:t>
            </w:r>
            <w:r>
              <w:rPr>
                <w:spacing w:val="-10"/>
                <w:sz w:val="16"/>
              </w:rPr>
              <w:t xml:space="preserve"> </w:t>
            </w:r>
            <w:r>
              <w:rPr>
                <w:spacing w:val="-2"/>
                <w:sz w:val="16"/>
              </w:rPr>
              <w:t>çıkmış</w:t>
            </w:r>
          </w:p>
          <w:p w14:paraId="4466A958">
            <w:pPr>
              <w:pStyle w:val="29"/>
              <w:tabs>
                <w:tab w:val="left" w:pos="8245"/>
              </w:tabs>
              <w:spacing w:line="163" w:lineRule="exact"/>
              <w:ind w:left="-553" w:right="-3485"/>
              <w:rPr>
                <w:sz w:val="16"/>
              </w:rPr>
            </w:pPr>
            <w:r>
              <w:rPr>
                <w:spacing w:val="76"/>
                <w:w w:val="150"/>
                <w:sz w:val="16"/>
                <w:u w:val="single"/>
              </w:rPr>
              <w:t xml:space="preserve">      </w:t>
            </w:r>
            <w:r>
              <w:rPr>
                <w:sz w:val="16"/>
                <w:u w:val="single"/>
              </w:rPr>
              <w:t>gibi</w:t>
            </w:r>
            <w:r>
              <w:rPr>
                <w:spacing w:val="-1"/>
                <w:sz w:val="16"/>
                <w:u w:val="single"/>
              </w:rPr>
              <w:t xml:space="preserve"> </w:t>
            </w:r>
            <w:r>
              <w:rPr>
                <w:spacing w:val="-2"/>
                <w:sz w:val="16"/>
                <w:u w:val="single"/>
              </w:rPr>
              <w:t>hissederim.</w:t>
            </w:r>
            <w:r>
              <w:rPr>
                <w:sz w:val="16"/>
                <w:u w:val="single"/>
              </w:rPr>
              <w:tab/>
            </w:r>
          </w:p>
        </w:tc>
        <w:tc>
          <w:tcPr>
            <w:tcW w:w="497" w:type="dxa"/>
          </w:tcPr>
          <w:p w14:paraId="5FAA753C">
            <w:pPr>
              <w:pStyle w:val="29"/>
              <w:spacing w:line="181" w:lineRule="exact"/>
              <w:ind w:left="94" w:right="95"/>
              <w:jc w:val="center"/>
              <w:rPr>
                <w:sz w:val="16"/>
              </w:rPr>
            </w:pPr>
            <w:r>
              <w:rPr>
                <w:spacing w:val="-4"/>
                <w:sz w:val="16"/>
              </w:rPr>
              <w:t>13.1</w:t>
            </w:r>
          </w:p>
        </w:tc>
        <w:tc>
          <w:tcPr>
            <w:tcW w:w="496" w:type="dxa"/>
          </w:tcPr>
          <w:p w14:paraId="6E98B05E">
            <w:pPr>
              <w:pStyle w:val="29"/>
              <w:spacing w:line="181" w:lineRule="exact"/>
              <w:ind w:left="93" w:right="94"/>
              <w:jc w:val="center"/>
              <w:rPr>
                <w:sz w:val="16"/>
              </w:rPr>
            </w:pPr>
            <w:r>
              <w:rPr>
                <w:spacing w:val="-4"/>
                <w:sz w:val="16"/>
              </w:rPr>
              <w:t>19.0</w:t>
            </w:r>
          </w:p>
        </w:tc>
        <w:tc>
          <w:tcPr>
            <w:tcW w:w="496" w:type="dxa"/>
          </w:tcPr>
          <w:p w14:paraId="18745BF2">
            <w:pPr>
              <w:pStyle w:val="29"/>
              <w:spacing w:line="181" w:lineRule="exact"/>
              <w:ind w:left="92" w:right="96"/>
              <w:jc w:val="center"/>
              <w:rPr>
                <w:sz w:val="16"/>
              </w:rPr>
            </w:pPr>
            <w:r>
              <w:rPr>
                <w:spacing w:val="-4"/>
                <w:sz w:val="16"/>
              </w:rPr>
              <w:t>23.7</w:t>
            </w:r>
          </w:p>
        </w:tc>
        <w:tc>
          <w:tcPr>
            <w:tcW w:w="497" w:type="dxa"/>
          </w:tcPr>
          <w:p w14:paraId="61A078BB">
            <w:pPr>
              <w:pStyle w:val="29"/>
              <w:spacing w:line="181" w:lineRule="exact"/>
              <w:ind w:left="94" w:right="96"/>
              <w:jc w:val="center"/>
              <w:rPr>
                <w:sz w:val="16"/>
              </w:rPr>
            </w:pPr>
            <w:r>
              <w:rPr>
                <w:spacing w:val="-4"/>
                <w:sz w:val="16"/>
              </w:rPr>
              <w:t>28.5</w:t>
            </w:r>
          </w:p>
        </w:tc>
        <w:tc>
          <w:tcPr>
            <w:tcW w:w="496" w:type="dxa"/>
          </w:tcPr>
          <w:p w14:paraId="2CE9875D">
            <w:pPr>
              <w:pStyle w:val="29"/>
              <w:spacing w:line="181" w:lineRule="exact"/>
              <w:ind w:left="93" w:right="95"/>
              <w:jc w:val="center"/>
              <w:rPr>
                <w:sz w:val="16"/>
              </w:rPr>
            </w:pPr>
            <w:r>
              <w:rPr>
                <w:spacing w:val="-4"/>
                <w:sz w:val="16"/>
              </w:rPr>
              <w:t>15.6</w:t>
            </w:r>
          </w:p>
        </w:tc>
        <w:tc>
          <w:tcPr>
            <w:tcW w:w="496" w:type="dxa"/>
          </w:tcPr>
          <w:p w14:paraId="0F759F24">
            <w:pPr>
              <w:pStyle w:val="29"/>
              <w:spacing w:line="181" w:lineRule="exact"/>
              <w:ind w:left="91" w:right="96"/>
              <w:jc w:val="center"/>
              <w:rPr>
                <w:sz w:val="16"/>
              </w:rPr>
            </w:pPr>
            <w:r>
              <w:rPr>
                <w:spacing w:val="-4"/>
                <w:sz w:val="16"/>
              </w:rPr>
              <w:t>3.15</w:t>
            </w:r>
          </w:p>
        </w:tc>
        <w:tc>
          <w:tcPr>
            <w:tcW w:w="497" w:type="dxa"/>
          </w:tcPr>
          <w:p w14:paraId="36107E51">
            <w:pPr>
              <w:pStyle w:val="29"/>
              <w:spacing w:line="181" w:lineRule="exact"/>
              <w:ind w:left="93" w:right="97"/>
              <w:jc w:val="center"/>
              <w:rPr>
                <w:sz w:val="16"/>
              </w:rPr>
            </w:pPr>
            <w:r>
              <w:rPr>
                <w:spacing w:val="-4"/>
                <w:sz w:val="16"/>
              </w:rPr>
              <w:t>1.27</w:t>
            </w:r>
          </w:p>
        </w:tc>
      </w:tr>
    </w:tbl>
    <w:p w14:paraId="116F1B5C">
      <w:pPr>
        <w:pStyle w:val="9"/>
        <w:spacing w:before="2"/>
        <w:ind w:left="0"/>
        <w:jc w:val="left"/>
        <w:rPr>
          <w:sz w:val="11"/>
        </w:rPr>
      </w:pPr>
    </w:p>
    <w:p w14:paraId="78A9F255">
      <w:pPr>
        <w:pStyle w:val="9"/>
        <w:spacing w:before="120" w:after="120" w:line="360" w:lineRule="auto"/>
        <w:ind w:left="0" w:firstLine="567"/>
      </w:pPr>
      <w:r>
        <w:t xml:space="preserve">"Sanal rekreasyon faaliyetleri, kendimi mutlu hissetmemi sağlar" ifadesi, katılımcılar tarafından ortalama 3.22 (standart sapma = 1.31) olarak değerlendirilmiştir. %19'luk bir kesim bu ifadeye tamamen katılırken, %14'ü katılmadığını belirtmiştir. Bu sonuç, sanal rekreasyonun bireylerin mutluluğu üzerinde pozitif bir etki yapabileceğini göstermektedir. </w:t>
      </w:r>
      <w:r>
        <w:rPr>
          <w:spacing w:val="-2"/>
        </w:rPr>
        <w:t>"Sanal</w:t>
      </w:r>
      <w:r>
        <w:rPr>
          <w:spacing w:val="1"/>
        </w:rPr>
        <w:t xml:space="preserve"> </w:t>
      </w:r>
      <w:r>
        <w:rPr>
          <w:spacing w:val="-2"/>
        </w:rPr>
        <w:t>rekreasyon</w:t>
      </w:r>
      <w:r>
        <w:rPr>
          <w:spacing w:val="3"/>
        </w:rPr>
        <w:t xml:space="preserve"> </w:t>
      </w:r>
      <w:r>
        <w:rPr>
          <w:spacing w:val="-2"/>
        </w:rPr>
        <w:t>faaliyetleri,</w:t>
      </w:r>
      <w:r>
        <w:t xml:space="preserve"> </w:t>
      </w:r>
      <w:r>
        <w:rPr>
          <w:spacing w:val="-2"/>
        </w:rPr>
        <w:t>iş</w:t>
      </w:r>
      <w:r>
        <w:t xml:space="preserve"> </w:t>
      </w:r>
      <w:r>
        <w:rPr>
          <w:spacing w:val="-2"/>
        </w:rPr>
        <w:t>birliği</w:t>
      </w:r>
      <w:r>
        <w:rPr>
          <w:spacing w:val="1"/>
        </w:rPr>
        <w:t xml:space="preserve"> </w:t>
      </w:r>
      <w:r>
        <w:rPr>
          <w:spacing w:val="-2"/>
        </w:rPr>
        <w:t>becerimi</w:t>
      </w:r>
      <w:r>
        <w:rPr>
          <w:spacing w:val="3"/>
        </w:rPr>
        <w:t xml:space="preserve"> </w:t>
      </w:r>
      <w:r>
        <w:rPr>
          <w:spacing w:val="-2"/>
        </w:rPr>
        <w:t>geliştirir"</w:t>
      </w:r>
      <w:r>
        <w:rPr>
          <w:spacing w:val="-3"/>
        </w:rPr>
        <w:t xml:space="preserve"> </w:t>
      </w:r>
      <w:r>
        <w:rPr>
          <w:spacing w:val="-2"/>
        </w:rPr>
        <w:t>ifadesine ilişkin</w:t>
      </w:r>
      <w:r>
        <w:rPr>
          <w:spacing w:val="3"/>
        </w:rPr>
        <w:t xml:space="preserve"> </w:t>
      </w:r>
      <w:r>
        <w:rPr>
          <w:spacing w:val="-2"/>
        </w:rPr>
        <w:t>yanıtlar</w:t>
      </w:r>
      <w:r>
        <w:rPr>
          <w:spacing w:val="-1"/>
        </w:rPr>
        <w:t xml:space="preserve"> </w:t>
      </w:r>
      <w:r>
        <w:rPr>
          <w:spacing w:val="-2"/>
        </w:rPr>
        <w:t>ortalama</w:t>
      </w:r>
      <w:r>
        <w:t xml:space="preserve"> 3.07</w:t>
      </w:r>
      <w:r>
        <w:rPr>
          <w:spacing w:val="13"/>
        </w:rPr>
        <w:t xml:space="preserve"> </w:t>
      </w:r>
      <w:r>
        <w:t>(standart</w:t>
      </w:r>
      <w:r>
        <w:rPr>
          <w:spacing w:val="15"/>
        </w:rPr>
        <w:t xml:space="preserve"> </w:t>
      </w:r>
      <w:r>
        <w:t>sapma</w:t>
      </w:r>
      <w:r>
        <w:rPr>
          <w:spacing w:val="15"/>
        </w:rPr>
        <w:t xml:space="preserve"> </w:t>
      </w:r>
      <w:r>
        <w:t>=</w:t>
      </w:r>
      <w:r>
        <w:rPr>
          <w:spacing w:val="15"/>
        </w:rPr>
        <w:t xml:space="preserve"> </w:t>
      </w:r>
      <w:r>
        <w:t>1.31)</w:t>
      </w:r>
      <w:r>
        <w:rPr>
          <w:spacing w:val="14"/>
        </w:rPr>
        <w:t xml:space="preserve"> </w:t>
      </w:r>
      <w:r>
        <w:t>ile</w:t>
      </w:r>
      <w:r>
        <w:rPr>
          <w:spacing w:val="14"/>
        </w:rPr>
        <w:t xml:space="preserve"> </w:t>
      </w:r>
      <w:r>
        <w:t>değerlendirilmiş</w:t>
      </w:r>
      <w:r>
        <w:rPr>
          <w:spacing w:val="15"/>
        </w:rPr>
        <w:t xml:space="preserve"> </w:t>
      </w:r>
      <w:r>
        <w:t>olup,</w:t>
      </w:r>
      <w:r>
        <w:rPr>
          <w:spacing w:val="17"/>
        </w:rPr>
        <w:t xml:space="preserve"> </w:t>
      </w:r>
      <w:r>
        <w:t>%16.5’lik</w:t>
      </w:r>
      <w:r>
        <w:rPr>
          <w:spacing w:val="15"/>
        </w:rPr>
        <w:t xml:space="preserve"> </w:t>
      </w:r>
      <w:r>
        <w:t>bir</w:t>
      </w:r>
      <w:r>
        <w:rPr>
          <w:spacing w:val="15"/>
        </w:rPr>
        <w:t xml:space="preserve"> </w:t>
      </w:r>
      <w:r>
        <w:t>kesim</w:t>
      </w:r>
      <w:r>
        <w:rPr>
          <w:spacing w:val="17"/>
        </w:rPr>
        <w:t xml:space="preserve"> </w:t>
      </w:r>
      <w:r>
        <w:rPr>
          <w:spacing w:val="-2"/>
        </w:rPr>
        <w:t>katılmadığını,</w:t>
      </w:r>
      <w:r>
        <w:t xml:space="preserve"> %15'lik bir kesim ise tamamen katıldığını ifade etmiştir. İş birliği becerileri üzerinde sanal rekreasyonun orta düzeyde bir etkisi olduğu söylenebilir.</w:t>
      </w:r>
    </w:p>
    <w:p w14:paraId="1BB7A51F">
      <w:pPr>
        <w:pStyle w:val="9"/>
        <w:spacing w:before="120" w:after="120" w:line="360" w:lineRule="auto"/>
        <w:ind w:left="0" w:firstLine="567"/>
      </w:pPr>
      <w:r>
        <w:t>"Sanal rekreasyon faaliyetleri, başkalarının güvenini kazanma konusunda bana yardımcı olur"</w:t>
      </w:r>
      <w:r>
        <w:rPr>
          <w:spacing w:val="-13"/>
        </w:rPr>
        <w:t xml:space="preserve"> </w:t>
      </w:r>
      <w:r>
        <w:t>ifadesi</w:t>
      </w:r>
      <w:r>
        <w:rPr>
          <w:spacing w:val="-10"/>
        </w:rPr>
        <w:t xml:space="preserve"> </w:t>
      </w:r>
      <w:r>
        <w:t>ortalama</w:t>
      </w:r>
      <w:r>
        <w:rPr>
          <w:spacing w:val="-12"/>
        </w:rPr>
        <w:t xml:space="preserve"> </w:t>
      </w:r>
      <w:r>
        <w:t>3.04</w:t>
      </w:r>
      <w:r>
        <w:rPr>
          <w:spacing w:val="-11"/>
        </w:rPr>
        <w:t xml:space="preserve"> </w:t>
      </w:r>
      <w:r>
        <w:t>(standart</w:t>
      </w:r>
      <w:r>
        <w:rPr>
          <w:spacing w:val="-11"/>
        </w:rPr>
        <w:t xml:space="preserve"> </w:t>
      </w:r>
      <w:r>
        <w:t>sapma</w:t>
      </w:r>
      <w:r>
        <w:rPr>
          <w:spacing w:val="-11"/>
        </w:rPr>
        <w:t xml:space="preserve"> </w:t>
      </w:r>
      <w:r>
        <w:t>=</w:t>
      </w:r>
      <w:r>
        <w:rPr>
          <w:spacing w:val="-12"/>
        </w:rPr>
        <w:t xml:space="preserve"> </w:t>
      </w:r>
      <w:r>
        <w:t>1.28)</w:t>
      </w:r>
      <w:r>
        <w:rPr>
          <w:spacing w:val="-9"/>
        </w:rPr>
        <w:t xml:space="preserve"> </w:t>
      </w:r>
      <w:r>
        <w:t>ile</w:t>
      </w:r>
      <w:r>
        <w:rPr>
          <w:spacing w:val="-9"/>
        </w:rPr>
        <w:t xml:space="preserve"> </w:t>
      </w:r>
      <w:r>
        <w:t>yanıtlanmıştır.</w:t>
      </w:r>
      <w:r>
        <w:rPr>
          <w:spacing w:val="-11"/>
        </w:rPr>
        <w:t xml:space="preserve"> </w:t>
      </w:r>
      <w:r>
        <w:t>%23.7'lik</w:t>
      </w:r>
      <w:r>
        <w:rPr>
          <w:spacing w:val="-11"/>
        </w:rPr>
        <w:t xml:space="preserve"> </w:t>
      </w:r>
      <w:r>
        <w:t>bir</w:t>
      </w:r>
      <w:r>
        <w:rPr>
          <w:spacing w:val="-11"/>
        </w:rPr>
        <w:t xml:space="preserve"> </w:t>
      </w:r>
      <w:r>
        <w:t>kesim</w:t>
      </w:r>
      <w:r>
        <w:rPr>
          <w:spacing w:val="-10"/>
        </w:rPr>
        <w:t xml:space="preserve"> </w:t>
      </w:r>
      <w:r>
        <w:t>bu ifadeye</w:t>
      </w:r>
      <w:r>
        <w:rPr>
          <w:spacing w:val="-5"/>
        </w:rPr>
        <w:t xml:space="preserve"> </w:t>
      </w:r>
      <w:r>
        <w:t>katılmadığını</w:t>
      </w:r>
      <w:r>
        <w:rPr>
          <w:spacing w:val="-5"/>
        </w:rPr>
        <w:t xml:space="preserve"> </w:t>
      </w:r>
      <w:r>
        <w:t>belirtirken,</w:t>
      </w:r>
      <w:r>
        <w:rPr>
          <w:spacing w:val="-5"/>
        </w:rPr>
        <w:t xml:space="preserve"> </w:t>
      </w:r>
      <w:r>
        <w:t>%15.8'i</w:t>
      </w:r>
      <w:r>
        <w:rPr>
          <w:spacing w:val="-5"/>
        </w:rPr>
        <w:t xml:space="preserve"> </w:t>
      </w:r>
      <w:r>
        <w:t>tamamen</w:t>
      </w:r>
      <w:r>
        <w:rPr>
          <w:spacing w:val="-5"/>
        </w:rPr>
        <w:t xml:space="preserve"> </w:t>
      </w:r>
      <w:r>
        <w:t>katıldığını</w:t>
      </w:r>
      <w:r>
        <w:rPr>
          <w:spacing w:val="-5"/>
        </w:rPr>
        <w:t xml:space="preserve"> </w:t>
      </w:r>
      <w:r>
        <w:t>belirtmiştir.</w:t>
      </w:r>
      <w:r>
        <w:rPr>
          <w:spacing w:val="-5"/>
        </w:rPr>
        <w:t xml:space="preserve"> </w:t>
      </w:r>
      <w:r>
        <w:t>Bu</w:t>
      </w:r>
      <w:r>
        <w:rPr>
          <w:spacing w:val="-5"/>
        </w:rPr>
        <w:t xml:space="preserve"> </w:t>
      </w:r>
      <w:r>
        <w:t>bulgu,</w:t>
      </w:r>
      <w:r>
        <w:rPr>
          <w:spacing w:val="-3"/>
        </w:rPr>
        <w:t xml:space="preserve"> </w:t>
      </w:r>
      <w:r>
        <w:t>güven kazanma becerilerinde sanal rekreasyonun belirli bir katkısı olduğunu ortaya koymaktadır. "Sanal</w:t>
      </w:r>
      <w:r>
        <w:rPr>
          <w:spacing w:val="3"/>
        </w:rPr>
        <w:t xml:space="preserve"> </w:t>
      </w:r>
      <w:r>
        <w:t>rekreasyon</w:t>
      </w:r>
      <w:r>
        <w:rPr>
          <w:spacing w:val="3"/>
        </w:rPr>
        <w:t xml:space="preserve"> </w:t>
      </w:r>
      <w:r>
        <w:t>faaliyetleri,</w:t>
      </w:r>
      <w:r>
        <w:rPr>
          <w:spacing w:val="3"/>
        </w:rPr>
        <w:t xml:space="preserve"> </w:t>
      </w:r>
      <w:r>
        <w:t>diğer</w:t>
      </w:r>
      <w:r>
        <w:rPr>
          <w:spacing w:val="2"/>
        </w:rPr>
        <w:t xml:space="preserve"> </w:t>
      </w:r>
      <w:r>
        <w:t>insanlardan</w:t>
      </w:r>
      <w:r>
        <w:rPr>
          <w:spacing w:val="4"/>
        </w:rPr>
        <w:t xml:space="preserve"> </w:t>
      </w:r>
      <w:r>
        <w:t>destek</w:t>
      </w:r>
      <w:r>
        <w:rPr>
          <w:spacing w:val="3"/>
        </w:rPr>
        <w:t xml:space="preserve"> </w:t>
      </w:r>
      <w:r>
        <w:t>almamı</w:t>
      </w:r>
      <w:r>
        <w:rPr>
          <w:spacing w:val="4"/>
        </w:rPr>
        <w:t xml:space="preserve"> </w:t>
      </w:r>
      <w:r>
        <w:t>sağlar"</w:t>
      </w:r>
      <w:r>
        <w:rPr>
          <w:spacing w:val="1"/>
        </w:rPr>
        <w:t xml:space="preserve"> </w:t>
      </w:r>
      <w:r>
        <w:t>ifadesi</w:t>
      </w:r>
      <w:r>
        <w:rPr>
          <w:spacing w:val="4"/>
        </w:rPr>
        <w:t xml:space="preserve"> </w:t>
      </w:r>
      <w:r>
        <w:t>ise</w:t>
      </w:r>
      <w:r>
        <w:rPr>
          <w:spacing w:val="3"/>
        </w:rPr>
        <w:t xml:space="preserve"> </w:t>
      </w:r>
      <w:r>
        <w:rPr>
          <w:spacing w:val="-2"/>
        </w:rPr>
        <w:t>ortalama</w:t>
      </w:r>
      <w:r>
        <w:t xml:space="preserve"> 3.12 (standart sapma = 1.30) ile değerlendirilmiştir. %30.1’lik bir kesim bu ifadenin doğru olduğunu belirtirken, %15.1'i ise katılmadığını ifade etmiştir. Günlük yaşamın monotonluğundan kaçınma konusunda, "Sanal rekreasyon faaliyetleri, günlük yaşamın sıkıcılığından</w:t>
      </w:r>
      <w:r>
        <w:rPr>
          <w:spacing w:val="7"/>
        </w:rPr>
        <w:t xml:space="preserve"> </w:t>
      </w:r>
      <w:r>
        <w:t>kurtulmamı</w:t>
      </w:r>
      <w:r>
        <w:rPr>
          <w:spacing w:val="9"/>
        </w:rPr>
        <w:t xml:space="preserve"> </w:t>
      </w:r>
      <w:r>
        <w:t>sağlar"</w:t>
      </w:r>
      <w:r>
        <w:rPr>
          <w:spacing w:val="7"/>
        </w:rPr>
        <w:t xml:space="preserve"> </w:t>
      </w:r>
      <w:r>
        <w:t>ifadesi</w:t>
      </w:r>
      <w:r>
        <w:rPr>
          <w:spacing w:val="10"/>
        </w:rPr>
        <w:t xml:space="preserve"> </w:t>
      </w:r>
      <w:r>
        <w:t>ortalama</w:t>
      </w:r>
      <w:r>
        <w:rPr>
          <w:spacing w:val="10"/>
        </w:rPr>
        <w:t xml:space="preserve"> </w:t>
      </w:r>
      <w:r>
        <w:t>3.22</w:t>
      </w:r>
      <w:r>
        <w:rPr>
          <w:spacing w:val="9"/>
        </w:rPr>
        <w:t xml:space="preserve"> </w:t>
      </w:r>
      <w:r>
        <w:t>(standart</w:t>
      </w:r>
      <w:r>
        <w:rPr>
          <w:spacing w:val="9"/>
        </w:rPr>
        <w:t xml:space="preserve"> </w:t>
      </w:r>
      <w:r>
        <w:t>sapma</w:t>
      </w:r>
      <w:r>
        <w:rPr>
          <w:spacing w:val="11"/>
        </w:rPr>
        <w:t xml:space="preserve"> </w:t>
      </w:r>
      <w:r>
        <w:t>=</w:t>
      </w:r>
      <w:r>
        <w:rPr>
          <w:spacing w:val="10"/>
        </w:rPr>
        <w:t xml:space="preserve"> </w:t>
      </w:r>
      <w:r>
        <w:t>1.32)</w:t>
      </w:r>
      <w:r>
        <w:rPr>
          <w:spacing w:val="8"/>
        </w:rPr>
        <w:t xml:space="preserve"> </w:t>
      </w:r>
      <w:r>
        <w:t>ile</w:t>
      </w:r>
      <w:r>
        <w:rPr>
          <w:spacing w:val="13"/>
        </w:rPr>
        <w:t xml:space="preserve"> </w:t>
      </w:r>
      <w:r>
        <w:rPr>
          <w:spacing w:val="-2"/>
        </w:rPr>
        <w:t>yüksek</w:t>
      </w:r>
      <w:r>
        <w:t xml:space="preserve"> bir</w:t>
      </w:r>
      <w:r>
        <w:rPr>
          <w:spacing w:val="-3"/>
        </w:rPr>
        <w:t xml:space="preserve"> </w:t>
      </w:r>
      <w:r>
        <w:t>değerlendirme</w:t>
      </w:r>
      <w:r>
        <w:rPr>
          <w:spacing w:val="-1"/>
        </w:rPr>
        <w:t xml:space="preserve"> </w:t>
      </w:r>
      <w:r>
        <w:t>almıştır.</w:t>
      </w:r>
      <w:r>
        <w:rPr>
          <w:spacing w:val="-3"/>
        </w:rPr>
        <w:t xml:space="preserve"> </w:t>
      </w:r>
      <w:r>
        <w:t>%18.1 oranında</w:t>
      </w:r>
      <w:r>
        <w:rPr>
          <w:spacing w:val="-1"/>
        </w:rPr>
        <w:t xml:space="preserve"> </w:t>
      </w:r>
      <w:r>
        <w:t>katılımcı</w:t>
      </w:r>
      <w:r>
        <w:rPr>
          <w:spacing w:val="-2"/>
        </w:rPr>
        <w:t xml:space="preserve"> </w:t>
      </w:r>
      <w:r>
        <w:t>bu</w:t>
      </w:r>
      <w:r>
        <w:rPr>
          <w:spacing w:val="-2"/>
        </w:rPr>
        <w:t xml:space="preserve"> </w:t>
      </w:r>
      <w:r>
        <w:t>ifadeye</w:t>
      </w:r>
      <w:r>
        <w:rPr>
          <w:spacing w:val="-1"/>
        </w:rPr>
        <w:t xml:space="preserve"> </w:t>
      </w:r>
      <w:r>
        <w:t>tamamen katılmış,</w:t>
      </w:r>
      <w:r>
        <w:rPr>
          <w:spacing w:val="-2"/>
        </w:rPr>
        <w:t xml:space="preserve"> </w:t>
      </w:r>
      <w:r>
        <w:t>%15.1'i ise katılmadığını belirtmiştir.</w:t>
      </w:r>
    </w:p>
    <w:p w14:paraId="414372FD">
      <w:pPr>
        <w:pStyle w:val="9"/>
        <w:spacing w:before="120" w:after="120" w:line="360" w:lineRule="auto"/>
        <w:ind w:left="0" w:firstLine="567"/>
      </w:pPr>
      <w:r>
        <w:t>"Sanal rekreasyon faaliyetleri, sosyal ilişkilerimi geliştirir" ifadesi, katılımcılar tarafından ortalama 3.01 (standart sapma = 1.34) ile değerlendirilmiş, %17.3'lük bir kesim bu ifadeye tamamen katılırken, %16.4'ü katılmadığını belirtmiştir. "Sanal rekreasyon faaliyetleri, toplumsal iletişim becerimi geliştirir" ifadesi ortalama 3.09 (standart sapma = 1.31) ile değerlendirilmiştir. %16.8'lik bir kesim bu ifadeye tam katılım göstermiş, %14.2'si ise katılmadığını belirtmiştir. "Sanal rekreasyon faaliyetleri, diğer insanlarla yakınlık kurma becerimi</w:t>
      </w:r>
      <w:r>
        <w:rPr>
          <w:spacing w:val="8"/>
        </w:rPr>
        <w:t xml:space="preserve"> </w:t>
      </w:r>
      <w:r>
        <w:t>geliştirir"</w:t>
      </w:r>
      <w:r>
        <w:rPr>
          <w:spacing w:val="5"/>
        </w:rPr>
        <w:t xml:space="preserve"> </w:t>
      </w:r>
      <w:r>
        <w:t>ifadesi</w:t>
      </w:r>
      <w:r>
        <w:rPr>
          <w:spacing w:val="7"/>
        </w:rPr>
        <w:t xml:space="preserve"> </w:t>
      </w:r>
      <w:r>
        <w:t>ortalama</w:t>
      </w:r>
      <w:r>
        <w:rPr>
          <w:spacing w:val="6"/>
        </w:rPr>
        <w:t xml:space="preserve"> </w:t>
      </w:r>
      <w:r>
        <w:t>2.97</w:t>
      </w:r>
      <w:r>
        <w:rPr>
          <w:spacing w:val="6"/>
        </w:rPr>
        <w:t xml:space="preserve"> </w:t>
      </w:r>
      <w:r>
        <w:t>(standart</w:t>
      </w:r>
      <w:r>
        <w:rPr>
          <w:spacing w:val="7"/>
        </w:rPr>
        <w:t xml:space="preserve"> </w:t>
      </w:r>
      <w:r>
        <w:t>sapma</w:t>
      </w:r>
      <w:r>
        <w:rPr>
          <w:spacing w:val="6"/>
        </w:rPr>
        <w:t xml:space="preserve"> </w:t>
      </w:r>
      <w:r>
        <w:t>=</w:t>
      </w:r>
      <w:r>
        <w:rPr>
          <w:spacing w:val="6"/>
        </w:rPr>
        <w:t xml:space="preserve"> </w:t>
      </w:r>
      <w:r>
        <w:t>1.31)</w:t>
      </w:r>
      <w:r>
        <w:rPr>
          <w:spacing w:val="6"/>
        </w:rPr>
        <w:t xml:space="preserve"> </w:t>
      </w:r>
      <w:r>
        <w:t>ile</w:t>
      </w:r>
      <w:r>
        <w:rPr>
          <w:spacing w:val="6"/>
        </w:rPr>
        <w:t xml:space="preserve"> </w:t>
      </w:r>
      <w:r>
        <w:t>değerlendirilmiş</w:t>
      </w:r>
      <w:r>
        <w:rPr>
          <w:spacing w:val="7"/>
        </w:rPr>
        <w:t xml:space="preserve"> </w:t>
      </w:r>
      <w:r>
        <w:rPr>
          <w:spacing w:val="-2"/>
        </w:rPr>
        <w:t>olup,</w:t>
      </w:r>
      <w:r>
        <w:t xml:space="preserve"> %15'lik bir katılımcı grubu bu ifadeye tamamen katılmış, %16.2'si katılmadığını ifade </w:t>
      </w:r>
      <w:r>
        <w:rPr>
          <w:spacing w:val="-2"/>
        </w:rPr>
        <w:t>etmiştir.</w:t>
      </w:r>
    </w:p>
    <w:p w14:paraId="4C94784C">
      <w:pPr>
        <w:pStyle w:val="9"/>
        <w:spacing w:before="120" w:after="120" w:line="360" w:lineRule="auto"/>
        <w:ind w:left="0" w:firstLine="567"/>
      </w:pPr>
      <w:r>
        <w:t>Farklı kültürlere uyum sağlama konusunda, "Sanal rekreasyon faaliyetleri, farklı kültürlere sahip</w:t>
      </w:r>
      <w:r>
        <w:rPr>
          <w:spacing w:val="-13"/>
        </w:rPr>
        <w:t xml:space="preserve"> </w:t>
      </w:r>
      <w:r>
        <w:t>insanlara</w:t>
      </w:r>
      <w:r>
        <w:rPr>
          <w:spacing w:val="-15"/>
        </w:rPr>
        <w:t xml:space="preserve"> </w:t>
      </w:r>
      <w:r>
        <w:t>uyum</w:t>
      </w:r>
      <w:r>
        <w:rPr>
          <w:spacing w:val="-13"/>
        </w:rPr>
        <w:t xml:space="preserve"> </w:t>
      </w:r>
      <w:r>
        <w:t>sağlama</w:t>
      </w:r>
      <w:r>
        <w:rPr>
          <w:spacing w:val="-14"/>
        </w:rPr>
        <w:t xml:space="preserve"> </w:t>
      </w:r>
      <w:r>
        <w:t>becerimi</w:t>
      </w:r>
      <w:r>
        <w:rPr>
          <w:spacing w:val="-13"/>
        </w:rPr>
        <w:t xml:space="preserve"> </w:t>
      </w:r>
      <w:r>
        <w:t>artırır"</w:t>
      </w:r>
      <w:r>
        <w:rPr>
          <w:spacing w:val="-15"/>
        </w:rPr>
        <w:t xml:space="preserve"> </w:t>
      </w:r>
      <w:r>
        <w:t>ifadesi</w:t>
      </w:r>
      <w:r>
        <w:rPr>
          <w:spacing w:val="-12"/>
        </w:rPr>
        <w:t xml:space="preserve"> </w:t>
      </w:r>
      <w:r>
        <w:t>ortalama</w:t>
      </w:r>
      <w:r>
        <w:rPr>
          <w:spacing w:val="-14"/>
        </w:rPr>
        <w:t xml:space="preserve"> </w:t>
      </w:r>
      <w:r>
        <w:t>3.18</w:t>
      </w:r>
      <w:r>
        <w:rPr>
          <w:spacing w:val="-13"/>
        </w:rPr>
        <w:t xml:space="preserve"> </w:t>
      </w:r>
      <w:r>
        <w:t>(standart</w:t>
      </w:r>
      <w:r>
        <w:rPr>
          <w:spacing w:val="-13"/>
        </w:rPr>
        <w:t xml:space="preserve"> </w:t>
      </w:r>
      <w:r>
        <w:t>sapma</w:t>
      </w:r>
      <w:r>
        <w:rPr>
          <w:spacing w:val="-14"/>
        </w:rPr>
        <w:t xml:space="preserve"> </w:t>
      </w:r>
      <w:r>
        <w:t>=</w:t>
      </w:r>
      <w:r>
        <w:rPr>
          <w:spacing w:val="-14"/>
        </w:rPr>
        <w:t xml:space="preserve"> </w:t>
      </w:r>
      <w:r>
        <w:t>1.30) ile değerlendirilmiş, %17.8’i bu ifadeye tamamen katılırken, %14.4'ü katılmadığını ifade etmiştir.</w:t>
      </w:r>
      <w:r>
        <w:rPr>
          <w:spacing w:val="-10"/>
        </w:rPr>
        <w:t xml:space="preserve"> </w:t>
      </w:r>
      <w:r>
        <w:t>"Sanal</w:t>
      </w:r>
      <w:r>
        <w:rPr>
          <w:spacing w:val="-7"/>
        </w:rPr>
        <w:t xml:space="preserve"> </w:t>
      </w:r>
      <w:r>
        <w:t>rekreasyon</w:t>
      </w:r>
      <w:r>
        <w:rPr>
          <w:spacing w:val="-6"/>
        </w:rPr>
        <w:t xml:space="preserve"> </w:t>
      </w:r>
      <w:r>
        <w:t>faaliyetleri,</w:t>
      </w:r>
      <w:r>
        <w:rPr>
          <w:spacing w:val="-8"/>
        </w:rPr>
        <w:t xml:space="preserve"> </w:t>
      </w:r>
      <w:r>
        <w:t>insanları</w:t>
      </w:r>
      <w:r>
        <w:rPr>
          <w:spacing w:val="-7"/>
        </w:rPr>
        <w:t xml:space="preserve"> </w:t>
      </w:r>
      <w:r>
        <w:t>tanıma</w:t>
      </w:r>
      <w:r>
        <w:rPr>
          <w:spacing w:val="-7"/>
        </w:rPr>
        <w:t xml:space="preserve"> </w:t>
      </w:r>
      <w:r>
        <w:t>becerimi</w:t>
      </w:r>
      <w:r>
        <w:rPr>
          <w:spacing w:val="-7"/>
        </w:rPr>
        <w:t xml:space="preserve"> </w:t>
      </w:r>
      <w:r>
        <w:t>geliştirir"</w:t>
      </w:r>
      <w:r>
        <w:rPr>
          <w:spacing w:val="-7"/>
        </w:rPr>
        <w:t xml:space="preserve"> </w:t>
      </w:r>
      <w:r>
        <w:t>ifadesi</w:t>
      </w:r>
      <w:r>
        <w:rPr>
          <w:spacing w:val="-6"/>
        </w:rPr>
        <w:t xml:space="preserve"> </w:t>
      </w:r>
      <w:r>
        <w:rPr>
          <w:spacing w:val="-2"/>
        </w:rPr>
        <w:t>ortalama</w:t>
      </w:r>
      <w:r>
        <w:t xml:space="preserve"> 3.08 (standart sapma = 1.31) ile değerlendirilmiştir. Katılımcıların %30.3'ü bu ifadeye katıldığını belirtmiş, %15.1’i ise katılmadığını belirtmiştir. "Sanal rekreasyon faaliyetleri, kendimi ifade etme becerimi geliştirir" ifadesi ortalama 3.08 (standart sapma = 1.29) ile yanıtlanmış olup, %30'luk bir katılımcı grubu bu ifadeye tamamen katılmış, %14.7'si ise katılmadığını ifade etmiştir. "Sanal rekreasyon faaliyetleri, duygusal yönden gelişmemi sağlar" ifadesi ortalama 3.07 (standart sapma = 1.33) ile değerlendirilmiştir. %29'luk bir katılımcı grubu bu ifadeye tam katılım göstermiş, %15.8'i ise katılmadığını belirtmiştir. "Sanal rekreasyon faaliyetleri, toplum içerisinde karşılaştığım sorunları çözmemde bana yardımcı</w:t>
      </w:r>
      <w:r>
        <w:rPr>
          <w:spacing w:val="75"/>
        </w:rPr>
        <w:t xml:space="preserve"> </w:t>
      </w:r>
      <w:r>
        <w:t>olur"</w:t>
      </w:r>
      <w:r>
        <w:rPr>
          <w:spacing w:val="75"/>
        </w:rPr>
        <w:t xml:space="preserve"> </w:t>
      </w:r>
      <w:r>
        <w:t>ifadesi</w:t>
      </w:r>
      <w:r>
        <w:rPr>
          <w:spacing w:val="78"/>
        </w:rPr>
        <w:t xml:space="preserve"> </w:t>
      </w:r>
      <w:r>
        <w:t>ortalama</w:t>
      </w:r>
      <w:r>
        <w:rPr>
          <w:spacing w:val="74"/>
        </w:rPr>
        <w:t xml:space="preserve"> </w:t>
      </w:r>
      <w:r>
        <w:t>3.03</w:t>
      </w:r>
      <w:r>
        <w:rPr>
          <w:spacing w:val="75"/>
        </w:rPr>
        <w:t xml:space="preserve"> </w:t>
      </w:r>
      <w:r>
        <w:t>(standart</w:t>
      </w:r>
      <w:r>
        <w:rPr>
          <w:spacing w:val="79"/>
        </w:rPr>
        <w:t xml:space="preserve"> </w:t>
      </w:r>
      <w:r>
        <w:t>sapma</w:t>
      </w:r>
      <w:r>
        <w:rPr>
          <w:spacing w:val="75"/>
        </w:rPr>
        <w:t xml:space="preserve"> </w:t>
      </w:r>
      <w:r>
        <w:t>=</w:t>
      </w:r>
      <w:r>
        <w:rPr>
          <w:spacing w:val="74"/>
        </w:rPr>
        <w:t xml:space="preserve"> </w:t>
      </w:r>
      <w:r>
        <w:t>1.28)</w:t>
      </w:r>
      <w:r>
        <w:rPr>
          <w:spacing w:val="74"/>
        </w:rPr>
        <w:t xml:space="preserve"> </w:t>
      </w:r>
      <w:r>
        <w:t>ile</w:t>
      </w:r>
      <w:r>
        <w:rPr>
          <w:spacing w:val="74"/>
        </w:rPr>
        <w:t xml:space="preserve"> </w:t>
      </w:r>
      <w:r>
        <w:rPr>
          <w:spacing w:val="-2"/>
        </w:rPr>
        <w:t>değerlendirilmiştir.</w:t>
      </w:r>
      <w:r>
        <w:t xml:space="preserve"> %27.3'lük</w:t>
      </w:r>
      <w:r>
        <w:rPr>
          <w:spacing w:val="-5"/>
        </w:rPr>
        <w:t xml:space="preserve"> </w:t>
      </w:r>
      <w:r>
        <w:t>bir</w:t>
      </w:r>
      <w:r>
        <w:rPr>
          <w:spacing w:val="-2"/>
        </w:rPr>
        <w:t xml:space="preserve"> </w:t>
      </w:r>
      <w:r>
        <w:t>kesim</w:t>
      </w:r>
      <w:r>
        <w:rPr>
          <w:spacing w:val="-1"/>
        </w:rPr>
        <w:t xml:space="preserve"> </w:t>
      </w:r>
      <w:r>
        <w:t>bu</w:t>
      </w:r>
      <w:r>
        <w:rPr>
          <w:spacing w:val="-3"/>
        </w:rPr>
        <w:t xml:space="preserve"> </w:t>
      </w:r>
      <w:r>
        <w:t>ifadeye</w:t>
      </w:r>
      <w:r>
        <w:rPr>
          <w:spacing w:val="-3"/>
        </w:rPr>
        <w:t xml:space="preserve"> </w:t>
      </w:r>
      <w:r>
        <w:t>tamamen</w:t>
      </w:r>
      <w:r>
        <w:rPr>
          <w:spacing w:val="-2"/>
        </w:rPr>
        <w:t xml:space="preserve"> </w:t>
      </w:r>
      <w:r>
        <w:t>katılmış,</w:t>
      </w:r>
      <w:r>
        <w:rPr>
          <w:spacing w:val="-2"/>
        </w:rPr>
        <w:t xml:space="preserve"> </w:t>
      </w:r>
      <w:r>
        <w:t>%14.5'i</w:t>
      </w:r>
      <w:r>
        <w:rPr>
          <w:spacing w:val="-3"/>
        </w:rPr>
        <w:t xml:space="preserve"> </w:t>
      </w:r>
      <w:r>
        <w:t>ise</w:t>
      </w:r>
      <w:r>
        <w:rPr>
          <w:spacing w:val="-3"/>
        </w:rPr>
        <w:t xml:space="preserve"> </w:t>
      </w:r>
      <w:r>
        <w:t>katılmadığını</w:t>
      </w:r>
      <w:r>
        <w:rPr>
          <w:spacing w:val="1"/>
        </w:rPr>
        <w:t xml:space="preserve"> </w:t>
      </w:r>
      <w:r>
        <w:t>ifade</w:t>
      </w:r>
      <w:r>
        <w:rPr>
          <w:spacing w:val="-3"/>
        </w:rPr>
        <w:t xml:space="preserve"> </w:t>
      </w:r>
      <w:r>
        <w:rPr>
          <w:spacing w:val="-2"/>
        </w:rPr>
        <w:t>etmiştir.</w:t>
      </w:r>
    </w:p>
    <w:p w14:paraId="1925DFE3">
      <w:pPr>
        <w:pStyle w:val="9"/>
        <w:spacing w:before="120" w:after="120" w:line="360" w:lineRule="auto"/>
        <w:ind w:left="0" w:firstLine="567"/>
      </w:pPr>
      <w:r>
        <w:t>Yeni arkadaşlar edinme konusunda, "Sanal rekreasyon faaliyetleri, yeni arkadaşlar edinmemi</w:t>
      </w:r>
      <w:r>
        <w:rPr>
          <w:spacing w:val="45"/>
        </w:rPr>
        <w:t xml:space="preserve"> </w:t>
      </w:r>
      <w:r>
        <w:t>sağlar"</w:t>
      </w:r>
      <w:r>
        <w:rPr>
          <w:spacing w:val="44"/>
        </w:rPr>
        <w:t xml:space="preserve"> </w:t>
      </w:r>
      <w:r>
        <w:t>ifadesi</w:t>
      </w:r>
      <w:r>
        <w:rPr>
          <w:spacing w:val="47"/>
        </w:rPr>
        <w:t xml:space="preserve"> </w:t>
      </w:r>
      <w:r>
        <w:t>ortalama</w:t>
      </w:r>
      <w:r>
        <w:rPr>
          <w:spacing w:val="45"/>
        </w:rPr>
        <w:t xml:space="preserve"> </w:t>
      </w:r>
      <w:r>
        <w:t>3.05</w:t>
      </w:r>
      <w:r>
        <w:rPr>
          <w:spacing w:val="46"/>
        </w:rPr>
        <w:t xml:space="preserve"> </w:t>
      </w:r>
      <w:r>
        <w:t>(standart</w:t>
      </w:r>
      <w:r>
        <w:rPr>
          <w:spacing w:val="47"/>
        </w:rPr>
        <w:t xml:space="preserve"> </w:t>
      </w:r>
      <w:r>
        <w:t>sapma</w:t>
      </w:r>
      <w:r>
        <w:rPr>
          <w:spacing w:val="46"/>
        </w:rPr>
        <w:t xml:space="preserve"> </w:t>
      </w:r>
      <w:r>
        <w:t>=</w:t>
      </w:r>
      <w:r>
        <w:rPr>
          <w:spacing w:val="45"/>
        </w:rPr>
        <w:t xml:space="preserve"> </w:t>
      </w:r>
      <w:r>
        <w:t>1.32)</w:t>
      </w:r>
      <w:r>
        <w:rPr>
          <w:spacing w:val="46"/>
        </w:rPr>
        <w:t xml:space="preserve"> </w:t>
      </w:r>
      <w:r>
        <w:t>ile</w:t>
      </w:r>
      <w:r>
        <w:rPr>
          <w:spacing w:val="46"/>
        </w:rPr>
        <w:t xml:space="preserve"> </w:t>
      </w:r>
      <w:r>
        <w:rPr>
          <w:spacing w:val="-2"/>
        </w:rPr>
        <w:t>değerlendirilmiştir.</w:t>
      </w:r>
      <w:r>
        <w:t xml:space="preserve"> %24.2'si bu ifadeye tamamen katıldığını belirtmiş, %15.9'u katılmadığını ifade etmiştir. "Sanal</w:t>
      </w:r>
      <w:r>
        <w:rPr>
          <w:spacing w:val="62"/>
        </w:rPr>
        <w:t xml:space="preserve"> </w:t>
      </w:r>
      <w:r>
        <w:t>rekreasyon</w:t>
      </w:r>
      <w:r>
        <w:rPr>
          <w:spacing w:val="62"/>
        </w:rPr>
        <w:t xml:space="preserve"> </w:t>
      </w:r>
      <w:r>
        <w:t>faaliyetleri,</w:t>
      </w:r>
      <w:r>
        <w:rPr>
          <w:spacing w:val="61"/>
        </w:rPr>
        <w:t xml:space="preserve"> </w:t>
      </w:r>
      <w:r>
        <w:t>takım</w:t>
      </w:r>
      <w:r>
        <w:rPr>
          <w:spacing w:val="63"/>
        </w:rPr>
        <w:t xml:space="preserve"> </w:t>
      </w:r>
      <w:r>
        <w:t>çalışması</w:t>
      </w:r>
      <w:r>
        <w:rPr>
          <w:spacing w:val="62"/>
        </w:rPr>
        <w:t xml:space="preserve"> </w:t>
      </w:r>
      <w:r>
        <w:t>kavramını</w:t>
      </w:r>
      <w:r>
        <w:rPr>
          <w:spacing w:val="63"/>
        </w:rPr>
        <w:t xml:space="preserve"> </w:t>
      </w:r>
      <w:r>
        <w:t>oluşturmama</w:t>
      </w:r>
      <w:r>
        <w:rPr>
          <w:spacing w:val="63"/>
        </w:rPr>
        <w:t xml:space="preserve"> </w:t>
      </w:r>
      <w:r>
        <w:t>yardımcı</w:t>
      </w:r>
      <w:r>
        <w:rPr>
          <w:spacing w:val="63"/>
        </w:rPr>
        <w:t xml:space="preserve"> </w:t>
      </w:r>
      <w:r>
        <w:rPr>
          <w:spacing w:val="-2"/>
        </w:rPr>
        <w:t>olur"</w:t>
      </w:r>
      <w:r>
        <w:t xml:space="preserve"> ifadesi</w:t>
      </w:r>
      <w:r>
        <w:rPr>
          <w:spacing w:val="-11"/>
        </w:rPr>
        <w:t xml:space="preserve"> </w:t>
      </w:r>
      <w:r>
        <w:t>ortalama</w:t>
      </w:r>
      <w:r>
        <w:rPr>
          <w:spacing w:val="-13"/>
        </w:rPr>
        <w:t xml:space="preserve"> </w:t>
      </w:r>
      <w:r>
        <w:t>3.02</w:t>
      </w:r>
      <w:r>
        <w:rPr>
          <w:spacing w:val="-12"/>
        </w:rPr>
        <w:t xml:space="preserve"> </w:t>
      </w:r>
      <w:r>
        <w:t>(standart</w:t>
      </w:r>
      <w:r>
        <w:rPr>
          <w:spacing w:val="-12"/>
        </w:rPr>
        <w:t xml:space="preserve"> </w:t>
      </w:r>
      <w:r>
        <w:t>sapma</w:t>
      </w:r>
      <w:r>
        <w:rPr>
          <w:spacing w:val="-12"/>
        </w:rPr>
        <w:t xml:space="preserve"> </w:t>
      </w:r>
      <w:r>
        <w:t>=</w:t>
      </w:r>
      <w:r>
        <w:rPr>
          <w:spacing w:val="-13"/>
        </w:rPr>
        <w:t xml:space="preserve"> </w:t>
      </w:r>
      <w:r>
        <w:t>1.28)</w:t>
      </w:r>
      <w:r>
        <w:rPr>
          <w:spacing w:val="-12"/>
        </w:rPr>
        <w:t xml:space="preserve"> </w:t>
      </w:r>
      <w:r>
        <w:t>ile</w:t>
      </w:r>
      <w:r>
        <w:rPr>
          <w:spacing w:val="-13"/>
        </w:rPr>
        <w:t xml:space="preserve"> </w:t>
      </w:r>
      <w:r>
        <w:t>değerlendirilmiştir.</w:t>
      </w:r>
      <w:r>
        <w:rPr>
          <w:spacing w:val="-12"/>
        </w:rPr>
        <w:t xml:space="preserve"> </w:t>
      </w:r>
      <w:r>
        <w:t>Katılımcıların</w:t>
      </w:r>
      <w:r>
        <w:rPr>
          <w:spacing w:val="-11"/>
        </w:rPr>
        <w:t xml:space="preserve"> </w:t>
      </w:r>
      <w:r>
        <w:t>%25'i</w:t>
      </w:r>
      <w:r>
        <w:rPr>
          <w:spacing w:val="-11"/>
        </w:rPr>
        <w:t xml:space="preserve"> </w:t>
      </w:r>
      <w:r>
        <w:t>bu ifadeye katıldığını belirtmiş, %15'i ise katılmadığını belirtmiştir.</w:t>
      </w:r>
      <w:r>
        <w:rPr>
          <w:spacing w:val="-1"/>
        </w:rPr>
        <w:t xml:space="preserve"> </w:t>
      </w:r>
      <w:r>
        <w:t>Aile ilişkilerini geliştirme konusunda, "Sanal rekreasyon faaliyetleri, aile ilişkilerimi geliştirir" ifadesi ortalama 2.96 (standart sapma = 1.32) ile değerlendirilmiş olup, %21.8'lik bir katılımcı grubu bu ifadeye katıldığını, %16.7'si ise katılmadığını ifade etmiştir. "Sanal rekreasyon faaliyetleri, arkadaşlarımla olan ilişkilerimi geliştirir" ifadesi ortalama 3.09 (standart sapma = 1.32) ile değerlendirilmiştir. %25.6'sı bu ifadeye katıldığını, %14.4'ü ise katılmadığını belirtmiştir.</w:t>
      </w:r>
    </w:p>
    <w:p w14:paraId="742648ED">
      <w:pPr>
        <w:pStyle w:val="9"/>
        <w:spacing w:before="120" w:after="120" w:line="360" w:lineRule="auto"/>
        <w:ind w:left="0" w:firstLine="567"/>
      </w:pPr>
      <w:r>
        <w:t>"Sanal rekreasyon faaliyetleri, yeni bilgiler öğrenmemi sağlar" ifadesi ise ortalama 3.39 (standart sapma = 1.33) ile yüksek bir değer almış olup, %34.2'lik bir kesim bu ifadeye tamamen katılmıştır. %13.3'lük bir kesim ise katılmadığını belirtmiştir. "Sanal rekreasyon faaliyetleri,</w:t>
      </w:r>
      <w:r>
        <w:rPr>
          <w:spacing w:val="5"/>
        </w:rPr>
        <w:t xml:space="preserve"> </w:t>
      </w:r>
      <w:r>
        <w:t>yeni</w:t>
      </w:r>
      <w:r>
        <w:rPr>
          <w:spacing w:val="3"/>
        </w:rPr>
        <w:t xml:space="preserve"> </w:t>
      </w:r>
      <w:r>
        <w:t>deneyimlerden</w:t>
      </w:r>
      <w:r>
        <w:rPr>
          <w:spacing w:val="2"/>
        </w:rPr>
        <w:t xml:space="preserve"> </w:t>
      </w:r>
      <w:r>
        <w:t>zevk</w:t>
      </w:r>
      <w:r>
        <w:rPr>
          <w:spacing w:val="3"/>
        </w:rPr>
        <w:t xml:space="preserve"> </w:t>
      </w:r>
      <w:r>
        <w:t>almamı</w:t>
      </w:r>
      <w:r>
        <w:rPr>
          <w:spacing w:val="3"/>
        </w:rPr>
        <w:t xml:space="preserve"> </w:t>
      </w:r>
      <w:r>
        <w:t>sağlar" ifadesi</w:t>
      </w:r>
      <w:r>
        <w:rPr>
          <w:spacing w:val="4"/>
        </w:rPr>
        <w:t xml:space="preserve"> </w:t>
      </w:r>
      <w:r>
        <w:t>ortalama</w:t>
      </w:r>
      <w:r>
        <w:rPr>
          <w:spacing w:val="1"/>
        </w:rPr>
        <w:t xml:space="preserve"> </w:t>
      </w:r>
      <w:r>
        <w:t>3.36</w:t>
      </w:r>
      <w:r>
        <w:rPr>
          <w:spacing w:val="2"/>
        </w:rPr>
        <w:t xml:space="preserve"> </w:t>
      </w:r>
      <w:r>
        <w:t>(standart</w:t>
      </w:r>
      <w:r>
        <w:rPr>
          <w:spacing w:val="3"/>
        </w:rPr>
        <w:t xml:space="preserve"> </w:t>
      </w:r>
      <w:r>
        <w:rPr>
          <w:spacing w:val="-2"/>
        </w:rPr>
        <w:t>sapma</w:t>
      </w:r>
      <w:r>
        <w:t xml:space="preserve"> = 1.34) ile değerlendirilmiş olup, %30.3'ü bu ifadeye tamamen katılmış, %13.9'u ise katılmadığını belirtmiştir. "Sanal rekreasyon faaliyetleri, bağımsız bir kişilik geliştirmeme yardımcı</w:t>
      </w:r>
      <w:r>
        <w:rPr>
          <w:spacing w:val="44"/>
        </w:rPr>
        <w:t xml:space="preserve"> </w:t>
      </w:r>
      <w:r>
        <w:t>olur"</w:t>
      </w:r>
      <w:r>
        <w:rPr>
          <w:spacing w:val="42"/>
        </w:rPr>
        <w:t xml:space="preserve"> </w:t>
      </w:r>
      <w:r>
        <w:t>ifadesi</w:t>
      </w:r>
      <w:r>
        <w:rPr>
          <w:spacing w:val="45"/>
        </w:rPr>
        <w:t xml:space="preserve"> </w:t>
      </w:r>
      <w:r>
        <w:t>ortalama</w:t>
      </w:r>
      <w:r>
        <w:rPr>
          <w:spacing w:val="43"/>
        </w:rPr>
        <w:t xml:space="preserve"> </w:t>
      </w:r>
      <w:r>
        <w:t>3.12</w:t>
      </w:r>
      <w:r>
        <w:rPr>
          <w:spacing w:val="44"/>
        </w:rPr>
        <w:t xml:space="preserve"> </w:t>
      </w:r>
      <w:r>
        <w:t>(standart</w:t>
      </w:r>
      <w:r>
        <w:rPr>
          <w:spacing w:val="43"/>
        </w:rPr>
        <w:t xml:space="preserve"> </w:t>
      </w:r>
      <w:r>
        <w:t>sapma</w:t>
      </w:r>
      <w:r>
        <w:rPr>
          <w:spacing w:val="44"/>
        </w:rPr>
        <w:t xml:space="preserve"> </w:t>
      </w:r>
      <w:r>
        <w:t>=</w:t>
      </w:r>
      <w:r>
        <w:rPr>
          <w:spacing w:val="43"/>
        </w:rPr>
        <w:t xml:space="preserve"> </w:t>
      </w:r>
      <w:r>
        <w:t>1.29)</w:t>
      </w:r>
      <w:r>
        <w:rPr>
          <w:spacing w:val="43"/>
        </w:rPr>
        <w:t xml:space="preserve"> </w:t>
      </w:r>
      <w:r>
        <w:t>ile</w:t>
      </w:r>
      <w:r>
        <w:rPr>
          <w:spacing w:val="43"/>
        </w:rPr>
        <w:t xml:space="preserve"> </w:t>
      </w:r>
      <w:r>
        <w:t>değerlendirilmiş</w:t>
      </w:r>
      <w:r>
        <w:rPr>
          <w:spacing w:val="44"/>
        </w:rPr>
        <w:t xml:space="preserve"> </w:t>
      </w:r>
      <w:r>
        <w:rPr>
          <w:spacing w:val="-2"/>
        </w:rPr>
        <w:t>olup,</w:t>
      </w:r>
      <w:r>
        <w:t xml:space="preserve"> %28.7'lik bir kesim bu ifadeye katıldığını, %14.2'si ise katılmadığını belirtmiştir. "Sanal rekreasyon faaliyetleri, zorluklarla daha kolay yüzleşmemi sağlar" ifadesi ortalama 3.09 (standart</w:t>
      </w:r>
      <w:r>
        <w:rPr>
          <w:spacing w:val="-6"/>
        </w:rPr>
        <w:t xml:space="preserve"> </w:t>
      </w:r>
      <w:r>
        <w:t>sapma</w:t>
      </w:r>
      <w:r>
        <w:rPr>
          <w:spacing w:val="-6"/>
        </w:rPr>
        <w:t xml:space="preserve"> </w:t>
      </w:r>
      <w:r>
        <w:t>=</w:t>
      </w:r>
      <w:r>
        <w:rPr>
          <w:spacing w:val="-7"/>
        </w:rPr>
        <w:t xml:space="preserve"> </w:t>
      </w:r>
      <w:r>
        <w:t>1.29)</w:t>
      </w:r>
      <w:r>
        <w:rPr>
          <w:spacing w:val="-6"/>
        </w:rPr>
        <w:t xml:space="preserve"> </w:t>
      </w:r>
      <w:r>
        <w:t>ile</w:t>
      </w:r>
      <w:r>
        <w:rPr>
          <w:spacing w:val="-7"/>
        </w:rPr>
        <w:t xml:space="preserve"> </w:t>
      </w:r>
      <w:r>
        <w:t>değerlendirilmiştir.</w:t>
      </w:r>
      <w:r>
        <w:rPr>
          <w:spacing w:val="-6"/>
        </w:rPr>
        <w:t xml:space="preserve"> </w:t>
      </w:r>
      <w:r>
        <w:t>%24.5'lik</w:t>
      </w:r>
      <w:r>
        <w:rPr>
          <w:spacing w:val="-6"/>
        </w:rPr>
        <w:t xml:space="preserve"> </w:t>
      </w:r>
      <w:r>
        <w:t>bir</w:t>
      </w:r>
      <w:r>
        <w:rPr>
          <w:spacing w:val="-6"/>
        </w:rPr>
        <w:t xml:space="preserve"> </w:t>
      </w:r>
      <w:r>
        <w:t>katılımcı</w:t>
      </w:r>
      <w:r>
        <w:rPr>
          <w:spacing w:val="-6"/>
        </w:rPr>
        <w:t xml:space="preserve"> </w:t>
      </w:r>
      <w:r>
        <w:t>bu</w:t>
      </w:r>
      <w:r>
        <w:rPr>
          <w:spacing w:val="-6"/>
        </w:rPr>
        <w:t xml:space="preserve"> </w:t>
      </w:r>
      <w:r>
        <w:t>ifadeye</w:t>
      </w:r>
      <w:r>
        <w:rPr>
          <w:spacing w:val="-5"/>
        </w:rPr>
        <w:t xml:space="preserve"> </w:t>
      </w:r>
      <w:r>
        <w:t>katıldığını belirtirken,</w:t>
      </w:r>
      <w:r>
        <w:rPr>
          <w:spacing w:val="-15"/>
        </w:rPr>
        <w:t xml:space="preserve"> </w:t>
      </w:r>
      <w:r>
        <w:t>%13.9'u</w:t>
      </w:r>
      <w:r>
        <w:rPr>
          <w:spacing w:val="-15"/>
        </w:rPr>
        <w:t xml:space="preserve"> </w:t>
      </w:r>
      <w:r>
        <w:t>katılmadığını</w:t>
      </w:r>
      <w:r>
        <w:rPr>
          <w:spacing w:val="-15"/>
        </w:rPr>
        <w:t xml:space="preserve"> </w:t>
      </w:r>
      <w:r>
        <w:t>ifade</w:t>
      </w:r>
      <w:r>
        <w:rPr>
          <w:spacing w:val="-15"/>
        </w:rPr>
        <w:t xml:space="preserve"> </w:t>
      </w:r>
      <w:r>
        <w:t>etmiştir.</w:t>
      </w:r>
      <w:r>
        <w:rPr>
          <w:spacing w:val="-15"/>
        </w:rPr>
        <w:t xml:space="preserve"> </w:t>
      </w:r>
      <w:r>
        <w:t>Katılımcılar,</w:t>
      </w:r>
      <w:r>
        <w:rPr>
          <w:spacing w:val="-15"/>
        </w:rPr>
        <w:t xml:space="preserve"> </w:t>
      </w:r>
      <w:r>
        <w:t>"Sanal</w:t>
      </w:r>
      <w:r>
        <w:rPr>
          <w:spacing w:val="-15"/>
        </w:rPr>
        <w:t xml:space="preserve"> </w:t>
      </w:r>
      <w:r>
        <w:t>rekreasyon</w:t>
      </w:r>
      <w:r>
        <w:rPr>
          <w:spacing w:val="-15"/>
        </w:rPr>
        <w:t xml:space="preserve"> </w:t>
      </w:r>
      <w:r>
        <w:t>faaliyetleri, potansiyelimi geliştirmeme yardımcı olur" ifadesine ortalama 3.29 (standart sapma = 1.29) ile yanıt vermiştir. %34.2'lik bir kesim bu ifadeye tamamen katıldığını belirtmiştir.</w:t>
      </w:r>
    </w:p>
    <w:p w14:paraId="12C569F4">
      <w:pPr>
        <w:pStyle w:val="9"/>
        <w:spacing w:before="120" w:after="120" w:line="360" w:lineRule="auto"/>
        <w:ind w:left="0" w:firstLine="567"/>
      </w:pPr>
      <w:r>
        <w:t>"Sanal</w:t>
      </w:r>
      <w:r>
        <w:rPr>
          <w:spacing w:val="-15"/>
        </w:rPr>
        <w:t xml:space="preserve"> </w:t>
      </w:r>
      <w:r>
        <w:t>rekreasyon</w:t>
      </w:r>
      <w:r>
        <w:rPr>
          <w:spacing w:val="-15"/>
        </w:rPr>
        <w:t xml:space="preserve"> </w:t>
      </w:r>
      <w:r>
        <w:t>faaliyetleri,</w:t>
      </w:r>
      <w:r>
        <w:rPr>
          <w:spacing w:val="-15"/>
        </w:rPr>
        <w:t xml:space="preserve"> </w:t>
      </w:r>
      <w:r>
        <w:t>kişisel</w:t>
      </w:r>
      <w:r>
        <w:rPr>
          <w:spacing w:val="-15"/>
        </w:rPr>
        <w:t xml:space="preserve"> </w:t>
      </w:r>
      <w:r>
        <w:t>becerilerimin</w:t>
      </w:r>
      <w:r>
        <w:rPr>
          <w:spacing w:val="-15"/>
        </w:rPr>
        <w:t xml:space="preserve"> </w:t>
      </w:r>
      <w:r>
        <w:t>gelişmesini</w:t>
      </w:r>
      <w:r>
        <w:rPr>
          <w:spacing w:val="-15"/>
        </w:rPr>
        <w:t xml:space="preserve"> </w:t>
      </w:r>
      <w:r>
        <w:t>sağlar"</w:t>
      </w:r>
      <w:r>
        <w:rPr>
          <w:spacing w:val="-15"/>
        </w:rPr>
        <w:t xml:space="preserve"> </w:t>
      </w:r>
      <w:r>
        <w:t>ifadesi</w:t>
      </w:r>
      <w:r>
        <w:rPr>
          <w:spacing w:val="-15"/>
        </w:rPr>
        <w:t xml:space="preserve"> </w:t>
      </w:r>
      <w:r>
        <w:t>ortalama</w:t>
      </w:r>
      <w:r>
        <w:rPr>
          <w:spacing w:val="-14"/>
        </w:rPr>
        <w:t xml:space="preserve"> </w:t>
      </w:r>
      <w:r>
        <w:t>3.32 (standart sapma = 1.26) ile değerlendirilmiştir. %36.7'si bu ifadeye tamamen katıldığını belirtmiş,</w:t>
      </w:r>
      <w:r>
        <w:rPr>
          <w:spacing w:val="-15"/>
        </w:rPr>
        <w:t xml:space="preserve"> </w:t>
      </w:r>
      <w:r>
        <w:t>%12'si</w:t>
      </w:r>
      <w:r>
        <w:rPr>
          <w:spacing w:val="-15"/>
        </w:rPr>
        <w:t xml:space="preserve"> </w:t>
      </w:r>
      <w:r>
        <w:t>katılmadığını</w:t>
      </w:r>
      <w:r>
        <w:rPr>
          <w:spacing w:val="-15"/>
        </w:rPr>
        <w:t xml:space="preserve"> </w:t>
      </w:r>
      <w:r>
        <w:t>ifade</w:t>
      </w:r>
      <w:r>
        <w:rPr>
          <w:spacing w:val="-15"/>
        </w:rPr>
        <w:t xml:space="preserve"> </w:t>
      </w:r>
      <w:r>
        <w:t>etmiştir.</w:t>
      </w:r>
      <w:r>
        <w:rPr>
          <w:spacing w:val="-15"/>
        </w:rPr>
        <w:t xml:space="preserve"> </w:t>
      </w:r>
      <w:r>
        <w:t>"Sanal</w:t>
      </w:r>
      <w:r>
        <w:rPr>
          <w:spacing w:val="-15"/>
        </w:rPr>
        <w:t xml:space="preserve"> </w:t>
      </w:r>
      <w:r>
        <w:t>rekreasyon</w:t>
      </w:r>
      <w:r>
        <w:rPr>
          <w:spacing w:val="-15"/>
        </w:rPr>
        <w:t xml:space="preserve"> </w:t>
      </w:r>
      <w:r>
        <w:t>faaliyetleri,</w:t>
      </w:r>
      <w:r>
        <w:rPr>
          <w:spacing w:val="-15"/>
        </w:rPr>
        <w:t xml:space="preserve"> </w:t>
      </w:r>
      <w:r>
        <w:t>stresimi</w:t>
      </w:r>
      <w:r>
        <w:rPr>
          <w:spacing w:val="-15"/>
        </w:rPr>
        <w:t xml:space="preserve"> </w:t>
      </w:r>
      <w:r>
        <w:t>azaltır" ifadesine</w:t>
      </w:r>
      <w:r>
        <w:rPr>
          <w:spacing w:val="15"/>
        </w:rPr>
        <w:t xml:space="preserve"> </w:t>
      </w:r>
      <w:r>
        <w:t>verilen</w:t>
      </w:r>
      <w:r>
        <w:rPr>
          <w:spacing w:val="20"/>
        </w:rPr>
        <w:t xml:space="preserve"> </w:t>
      </w:r>
      <w:r>
        <w:t>yanıtlar</w:t>
      </w:r>
      <w:r>
        <w:rPr>
          <w:spacing w:val="18"/>
        </w:rPr>
        <w:t xml:space="preserve"> </w:t>
      </w:r>
      <w:r>
        <w:t>ortalama</w:t>
      </w:r>
      <w:r>
        <w:rPr>
          <w:spacing w:val="17"/>
        </w:rPr>
        <w:t xml:space="preserve"> </w:t>
      </w:r>
      <w:r>
        <w:t>3.25</w:t>
      </w:r>
      <w:r>
        <w:rPr>
          <w:spacing w:val="17"/>
        </w:rPr>
        <w:t xml:space="preserve"> </w:t>
      </w:r>
      <w:r>
        <w:t>(standart</w:t>
      </w:r>
      <w:r>
        <w:rPr>
          <w:spacing w:val="17"/>
        </w:rPr>
        <w:t xml:space="preserve"> </w:t>
      </w:r>
      <w:r>
        <w:t>sapma</w:t>
      </w:r>
      <w:r>
        <w:rPr>
          <w:spacing w:val="17"/>
        </w:rPr>
        <w:t xml:space="preserve"> </w:t>
      </w:r>
      <w:r>
        <w:t>=</w:t>
      </w:r>
      <w:r>
        <w:rPr>
          <w:spacing w:val="17"/>
        </w:rPr>
        <w:t xml:space="preserve"> </w:t>
      </w:r>
      <w:r>
        <w:t>1.33)</w:t>
      </w:r>
      <w:r>
        <w:rPr>
          <w:spacing w:val="17"/>
        </w:rPr>
        <w:t xml:space="preserve"> </w:t>
      </w:r>
      <w:r>
        <w:t>ile</w:t>
      </w:r>
      <w:r>
        <w:rPr>
          <w:spacing w:val="17"/>
        </w:rPr>
        <w:t xml:space="preserve"> </w:t>
      </w:r>
      <w:r>
        <w:t>değerlendirilmiş</w:t>
      </w:r>
      <w:r>
        <w:rPr>
          <w:spacing w:val="19"/>
        </w:rPr>
        <w:t xml:space="preserve"> </w:t>
      </w:r>
      <w:r>
        <w:rPr>
          <w:spacing w:val="-2"/>
        </w:rPr>
        <w:t>olup,</w:t>
      </w:r>
      <w:r>
        <w:t xml:space="preserve"> %19.5'lik bir katılımcı bu ifadeye tamamen katılmıştır. %15'i ise katılmadığını belirtmiştir. "Sanal rekreasyon faaliyetlerine katılmak, günlük hayatımda yaptığım işleri kolaylaştırır" ifadesi ortalama 3.21 (standart sapma = 1.25) ile değerlendirilmiştir. %15.8'i tamamen katılırken, %12.5'i katılmadığını ifade etmiştir.</w:t>
      </w:r>
    </w:p>
    <w:p w14:paraId="53D238EB">
      <w:pPr>
        <w:pStyle w:val="9"/>
        <w:spacing w:before="120" w:after="120" w:line="360" w:lineRule="auto"/>
        <w:ind w:left="0" w:firstLine="567"/>
      </w:pPr>
      <w:r>
        <w:t>"Sanal rekreasyon faaliyetlerine katılmayı severim" ifadesine yönelik katılımcılar, sanal rekreasyon</w:t>
      </w:r>
      <w:r>
        <w:rPr>
          <w:spacing w:val="-5"/>
        </w:rPr>
        <w:t xml:space="preserve"> </w:t>
      </w:r>
      <w:r>
        <w:t>faaliyetlerine</w:t>
      </w:r>
      <w:r>
        <w:rPr>
          <w:spacing w:val="-4"/>
        </w:rPr>
        <w:t xml:space="preserve"> </w:t>
      </w:r>
      <w:r>
        <w:t>katılmaktan</w:t>
      </w:r>
      <w:r>
        <w:rPr>
          <w:spacing w:val="-5"/>
        </w:rPr>
        <w:t xml:space="preserve"> </w:t>
      </w:r>
      <w:r>
        <w:t>genel</w:t>
      </w:r>
      <w:r>
        <w:rPr>
          <w:spacing w:val="-5"/>
        </w:rPr>
        <w:t xml:space="preserve"> </w:t>
      </w:r>
      <w:r>
        <w:t>olarak</w:t>
      </w:r>
      <w:r>
        <w:rPr>
          <w:spacing w:val="-3"/>
        </w:rPr>
        <w:t xml:space="preserve"> </w:t>
      </w:r>
      <w:r>
        <w:t>keyif</w:t>
      </w:r>
      <w:r>
        <w:rPr>
          <w:spacing w:val="-4"/>
        </w:rPr>
        <w:t xml:space="preserve"> </w:t>
      </w:r>
      <w:r>
        <w:t>aldıklarını</w:t>
      </w:r>
      <w:r>
        <w:rPr>
          <w:spacing w:val="-5"/>
        </w:rPr>
        <w:t xml:space="preserve"> </w:t>
      </w:r>
      <w:r>
        <w:t>belirtmişlerdir.</w:t>
      </w:r>
      <w:r>
        <w:rPr>
          <w:spacing w:val="-5"/>
        </w:rPr>
        <w:t xml:space="preserve"> </w:t>
      </w:r>
      <w:r>
        <w:t>Bu</w:t>
      </w:r>
      <w:r>
        <w:rPr>
          <w:spacing w:val="-5"/>
        </w:rPr>
        <w:t xml:space="preserve"> </w:t>
      </w:r>
      <w:r>
        <w:t>ifade ortalama 3.25 (standart sapma = 1.30) ile değerlendirilmiştir. Katılımcıların %31.8’i sanal rekreasyon faaliyetlerine katılmayı sevdiğini ifade ederken, %13.9’u kesinlikle katılmadığını</w:t>
      </w:r>
      <w:r>
        <w:rPr>
          <w:spacing w:val="-14"/>
        </w:rPr>
        <w:t xml:space="preserve"> </w:t>
      </w:r>
      <w:r>
        <w:t>belirtmiştir.</w:t>
      </w:r>
      <w:r>
        <w:rPr>
          <w:spacing w:val="-15"/>
        </w:rPr>
        <w:t xml:space="preserve"> </w:t>
      </w:r>
      <w:r>
        <w:t>Bu</w:t>
      </w:r>
      <w:r>
        <w:rPr>
          <w:spacing w:val="-14"/>
        </w:rPr>
        <w:t xml:space="preserve"> </w:t>
      </w:r>
      <w:r>
        <w:t>sonuç,</w:t>
      </w:r>
      <w:r>
        <w:rPr>
          <w:spacing w:val="-14"/>
        </w:rPr>
        <w:t xml:space="preserve"> </w:t>
      </w:r>
      <w:r>
        <w:t>sanal</w:t>
      </w:r>
      <w:r>
        <w:rPr>
          <w:spacing w:val="-14"/>
        </w:rPr>
        <w:t xml:space="preserve"> </w:t>
      </w:r>
      <w:r>
        <w:t>rekreasyonun,</w:t>
      </w:r>
      <w:r>
        <w:rPr>
          <w:spacing w:val="-14"/>
        </w:rPr>
        <w:t xml:space="preserve"> </w:t>
      </w:r>
      <w:r>
        <w:t>çoğunlukla</w:t>
      </w:r>
      <w:r>
        <w:rPr>
          <w:spacing w:val="-15"/>
        </w:rPr>
        <w:t xml:space="preserve"> </w:t>
      </w:r>
      <w:r>
        <w:t>keyif</w:t>
      </w:r>
      <w:r>
        <w:rPr>
          <w:spacing w:val="-14"/>
        </w:rPr>
        <w:t xml:space="preserve"> </w:t>
      </w:r>
      <w:r>
        <w:t>alınan</w:t>
      </w:r>
      <w:r>
        <w:rPr>
          <w:spacing w:val="-15"/>
        </w:rPr>
        <w:t xml:space="preserve"> </w:t>
      </w:r>
      <w:r>
        <w:t>bir</w:t>
      </w:r>
      <w:r>
        <w:rPr>
          <w:spacing w:val="-14"/>
        </w:rPr>
        <w:t xml:space="preserve"> </w:t>
      </w:r>
      <w:r>
        <w:t>aktivite olarak kabul edildiğini ortaya koymaktadır.</w:t>
      </w:r>
    </w:p>
    <w:p w14:paraId="33A77597">
      <w:pPr>
        <w:pStyle w:val="9"/>
        <w:spacing w:before="120" w:after="120" w:line="360" w:lineRule="auto"/>
        <w:ind w:left="0" w:firstLine="567"/>
      </w:pPr>
      <w:r>
        <w:t>"Sanal rekreasyon faaliyetlerine katılmak bana zevk verir" ifadesine yönelik katılımcılar, sanal</w:t>
      </w:r>
      <w:r>
        <w:rPr>
          <w:spacing w:val="-10"/>
        </w:rPr>
        <w:t xml:space="preserve"> </w:t>
      </w:r>
      <w:r>
        <w:t>rekreasyon</w:t>
      </w:r>
      <w:r>
        <w:rPr>
          <w:spacing w:val="-10"/>
        </w:rPr>
        <w:t xml:space="preserve"> </w:t>
      </w:r>
      <w:r>
        <w:t>faaliyetlerinin</w:t>
      </w:r>
      <w:r>
        <w:rPr>
          <w:spacing w:val="-10"/>
        </w:rPr>
        <w:t xml:space="preserve"> </w:t>
      </w:r>
      <w:r>
        <w:t>zevk</w:t>
      </w:r>
      <w:r>
        <w:rPr>
          <w:spacing w:val="-11"/>
        </w:rPr>
        <w:t xml:space="preserve"> </w:t>
      </w:r>
      <w:r>
        <w:t>verici</w:t>
      </w:r>
      <w:r>
        <w:rPr>
          <w:spacing w:val="-10"/>
        </w:rPr>
        <w:t xml:space="preserve"> </w:t>
      </w:r>
      <w:r>
        <w:t>olduğunu</w:t>
      </w:r>
      <w:r>
        <w:rPr>
          <w:spacing w:val="-11"/>
        </w:rPr>
        <w:t xml:space="preserve"> </w:t>
      </w:r>
      <w:r>
        <w:t>belirtmişlerdir.</w:t>
      </w:r>
      <w:r>
        <w:rPr>
          <w:spacing w:val="-11"/>
        </w:rPr>
        <w:t xml:space="preserve"> </w:t>
      </w:r>
      <w:r>
        <w:t>Bu</w:t>
      </w:r>
      <w:r>
        <w:rPr>
          <w:spacing w:val="-11"/>
        </w:rPr>
        <w:t xml:space="preserve"> </w:t>
      </w:r>
      <w:r>
        <w:t>ifade</w:t>
      </w:r>
      <w:r>
        <w:rPr>
          <w:spacing w:val="-12"/>
        </w:rPr>
        <w:t xml:space="preserve"> </w:t>
      </w:r>
      <w:r>
        <w:t>ortalama</w:t>
      </w:r>
      <w:r>
        <w:rPr>
          <w:spacing w:val="-10"/>
        </w:rPr>
        <w:t xml:space="preserve"> </w:t>
      </w:r>
      <w:r>
        <w:t>3.15 (standart sapma = 1.30) ile değerlendirilmiştir. Katılımcıların %29.2’si sanal rekreasyon faaliyetlerinden zevk aldığını ifade ederken, %15.0’ı kesinlikle katılmadığını belirtmiştir. Bu bulgu, sanal rekreasyonun genellikle keyif verici bir etkinlik olduğunu gösterirken, bir kısmı için daha az çekici olabileceğine işaret etmektedir.</w:t>
      </w:r>
    </w:p>
    <w:p w14:paraId="392B7DB7">
      <w:pPr>
        <w:pStyle w:val="9"/>
        <w:spacing w:before="120" w:after="120" w:line="360" w:lineRule="auto"/>
        <w:ind w:left="0" w:firstLine="567"/>
      </w:pPr>
      <w:r>
        <w:t>"Sanal rekreasyonda yaşanan teknolojik gelişmeleri yakından takip ederim" ifadesine yönelik katılımcılar, sanal rekreasyondaki teknolojik gelişmeleri takip ettiklerini belirtmişlerdir. Bu ifade ortalama 3.17 (standart sapma = 1.31) ile değerlendirilmiştir. Katılımcıların</w:t>
      </w:r>
      <w:r>
        <w:rPr>
          <w:spacing w:val="-1"/>
        </w:rPr>
        <w:t xml:space="preserve"> </w:t>
      </w:r>
      <w:r>
        <w:t>%32.3’ü</w:t>
      </w:r>
      <w:r>
        <w:rPr>
          <w:spacing w:val="-1"/>
        </w:rPr>
        <w:t xml:space="preserve"> </w:t>
      </w:r>
      <w:r>
        <w:t>bu</w:t>
      </w:r>
      <w:r>
        <w:rPr>
          <w:spacing w:val="-1"/>
        </w:rPr>
        <w:t xml:space="preserve"> </w:t>
      </w:r>
      <w:r>
        <w:t>gelişmeleri</w:t>
      </w:r>
      <w:r>
        <w:rPr>
          <w:spacing w:val="-2"/>
        </w:rPr>
        <w:t xml:space="preserve"> </w:t>
      </w:r>
      <w:r>
        <w:t>takip ettiklerini</w:t>
      </w:r>
      <w:r>
        <w:rPr>
          <w:spacing w:val="-1"/>
        </w:rPr>
        <w:t xml:space="preserve"> </w:t>
      </w:r>
      <w:r>
        <w:t>ifade ederken,</w:t>
      </w:r>
      <w:r>
        <w:rPr>
          <w:spacing w:val="-1"/>
        </w:rPr>
        <w:t xml:space="preserve"> </w:t>
      </w:r>
      <w:r>
        <w:t>%14.8’i</w:t>
      </w:r>
      <w:r>
        <w:rPr>
          <w:spacing w:val="-2"/>
        </w:rPr>
        <w:t xml:space="preserve"> </w:t>
      </w:r>
      <w:r>
        <w:t>ise</w:t>
      </w:r>
      <w:r>
        <w:rPr>
          <w:spacing w:val="-2"/>
        </w:rPr>
        <w:t xml:space="preserve"> </w:t>
      </w:r>
      <w:r>
        <w:t xml:space="preserve">kesinlikle katılmadığını belirtmiştir. Bu bulgu, katılımcıların bir kısmının teknolojik gelişmelere ilgi gösterdiğini, ancak diğer bir kısmının bu konuda daha az farkındalık taşıdığını </w:t>
      </w:r>
      <w:r>
        <w:rPr>
          <w:spacing w:val="-2"/>
        </w:rPr>
        <w:t>göstermektedir.</w:t>
      </w:r>
    </w:p>
    <w:p w14:paraId="6B525AFB">
      <w:pPr>
        <w:pStyle w:val="9"/>
        <w:spacing w:before="120" w:after="120" w:line="360" w:lineRule="auto"/>
        <w:ind w:left="0" w:firstLine="567"/>
      </w:pPr>
      <w:r>
        <w:t>"Sanal rekreasyon faaliyetlerini zihnimi geliştirir" ifadesine yönelik katılımcılar, sanal rekreasyon faaliyetlerinin zihinsel gelişim üzerinde olumlu bir etkisi olduğunu belirtmişlerdir. Bu ifade ortalama 3.20 (standart sapma = 1.30) ile değerlendirilmiştir. Katılımcıların %36.0’ı sanal rekreasyon faaliyetlerinin zihinsel gelişim sağladığını ifade ederken,</w:t>
      </w:r>
      <w:r>
        <w:rPr>
          <w:spacing w:val="-15"/>
        </w:rPr>
        <w:t xml:space="preserve"> </w:t>
      </w:r>
      <w:r>
        <w:t>%15.1’i</w:t>
      </w:r>
      <w:r>
        <w:rPr>
          <w:spacing w:val="-15"/>
        </w:rPr>
        <w:t xml:space="preserve"> </w:t>
      </w:r>
      <w:r>
        <w:t>kesinlikle</w:t>
      </w:r>
      <w:r>
        <w:rPr>
          <w:spacing w:val="-15"/>
        </w:rPr>
        <w:t xml:space="preserve"> </w:t>
      </w:r>
      <w:r>
        <w:t>katılmadığını</w:t>
      </w:r>
      <w:r>
        <w:rPr>
          <w:spacing w:val="-15"/>
        </w:rPr>
        <w:t xml:space="preserve"> </w:t>
      </w:r>
      <w:r>
        <w:t>belirtmiştir.</w:t>
      </w:r>
      <w:r>
        <w:rPr>
          <w:spacing w:val="-15"/>
        </w:rPr>
        <w:t xml:space="preserve"> </w:t>
      </w:r>
      <w:r>
        <w:t>Bu</w:t>
      </w:r>
      <w:r>
        <w:rPr>
          <w:spacing w:val="-15"/>
        </w:rPr>
        <w:t xml:space="preserve"> </w:t>
      </w:r>
      <w:r>
        <w:t>sonuç,</w:t>
      </w:r>
      <w:r>
        <w:rPr>
          <w:spacing w:val="-15"/>
        </w:rPr>
        <w:t xml:space="preserve"> </w:t>
      </w:r>
      <w:r>
        <w:t>sanal</w:t>
      </w:r>
      <w:r>
        <w:rPr>
          <w:spacing w:val="-15"/>
        </w:rPr>
        <w:t xml:space="preserve"> </w:t>
      </w:r>
      <w:r>
        <w:t>rekreasyonun</w:t>
      </w:r>
      <w:r>
        <w:rPr>
          <w:spacing w:val="-15"/>
        </w:rPr>
        <w:t xml:space="preserve"> </w:t>
      </w:r>
      <w:r>
        <w:t>zihinsel beceriler üzerinde pozitif bir etki yapabileceğini göstermektedir.</w:t>
      </w:r>
    </w:p>
    <w:p w14:paraId="7A3ACE5F">
      <w:pPr>
        <w:pStyle w:val="9"/>
        <w:spacing w:before="120" w:after="120" w:line="360" w:lineRule="auto"/>
        <w:ind w:left="0" w:firstLine="567"/>
      </w:pPr>
      <w:r>
        <w:t>"Sanal rekreasyon faaliyetleri yaratıcılığımı geliştirir" ifadesine yönelik katılımcılar, sanal rekreasyon</w:t>
      </w:r>
      <w:r>
        <w:rPr>
          <w:spacing w:val="-1"/>
        </w:rPr>
        <w:t xml:space="preserve"> </w:t>
      </w:r>
      <w:r>
        <w:t>faaliyetlerinin</w:t>
      </w:r>
      <w:r>
        <w:rPr>
          <w:spacing w:val="1"/>
        </w:rPr>
        <w:t xml:space="preserve"> </w:t>
      </w:r>
      <w:r>
        <w:t>yaratıcılıklarını</w:t>
      </w:r>
      <w:r>
        <w:rPr>
          <w:spacing w:val="-1"/>
        </w:rPr>
        <w:t xml:space="preserve"> </w:t>
      </w:r>
      <w:r>
        <w:t>geliştirdiğini</w:t>
      </w:r>
      <w:r>
        <w:rPr>
          <w:spacing w:val="-1"/>
        </w:rPr>
        <w:t xml:space="preserve"> </w:t>
      </w:r>
      <w:r>
        <w:t>ifade</w:t>
      </w:r>
      <w:r>
        <w:rPr>
          <w:spacing w:val="1"/>
        </w:rPr>
        <w:t xml:space="preserve"> </w:t>
      </w:r>
      <w:r>
        <w:t>etmişlerdir.</w:t>
      </w:r>
      <w:r>
        <w:rPr>
          <w:spacing w:val="-1"/>
        </w:rPr>
        <w:t xml:space="preserve"> </w:t>
      </w:r>
      <w:r>
        <w:t>Bu</w:t>
      </w:r>
      <w:r>
        <w:rPr>
          <w:spacing w:val="-1"/>
        </w:rPr>
        <w:t xml:space="preserve"> </w:t>
      </w:r>
      <w:r>
        <w:t>ifade</w:t>
      </w:r>
      <w:r>
        <w:rPr>
          <w:spacing w:val="-1"/>
        </w:rPr>
        <w:t xml:space="preserve"> </w:t>
      </w:r>
      <w:r>
        <w:rPr>
          <w:spacing w:val="-2"/>
        </w:rPr>
        <w:t>ortalama</w:t>
      </w:r>
      <w:r>
        <w:t xml:space="preserve"> 3.20</w:t>
      </w:r>
      <w:r>
        <w:rPr>
          <w:spacing w:val="71"/>
          <w:w w:val="150"/>
        </w:rPr>
        <w:t xml:space="preserve"> </w:t>
      </w:r>
      <w:r>
        <w:t>(standart</w:t>
      </w:r>
      <w:r>
        <w:rPr>
          <w:spacing w:val="74"/>
          <w:w w:val="150"/>
        </w:rPr>
        <w:t xml:space="preserve"> </w:t>
      </w:r>
      <w:r>
        <w:t>sapma</w:t>
      </w:r>
      <w:r>
        <w:rPr>
          <w:spacing w:val="76"/>
          <w:w w:val="150"/>
        </w:rPr>
        <w:t xml:space="preserve"> </w:t>
      </w:r>
      <w:r>
        <w:t>=</w:t>
      </w:r>
      <w:r>
        <w:rPr>
          <w:spacing w:val="73"/>
          <w:w w:val="150"/>
        </w:rPr>
        <w:t xml:space="preserve"> </w:t>
      </w:r>
      <w:r>
        <w:t>1.27)</w:t>
      </w:r>
      <w:r>
        <w:rPr>
          <w:spacing w:val="72"/>
          <w:w w:val="150"/>
        </w:rPr>
        <w:t xml:space="preserve"> </w:t>
      </w:r>
      <w:r>
        <w:t>ile</w:t>
      </w:r>
      <w:r>
        <w:rPr>
          <w:spacing w:val="73"/>
          <w:w w:val="150"/>
        </w:rPr>
        <w:t xml:space="preserve"> </w:t>
      </w:r>
      <w:r>
        <w:t>değerlendirilmiştir.</w:t>
      </w:r>
      <w:r>
        <w:rPr>
          <w:spacing w:val="73"/>
          <w:w w:val="150"/>
        </w:rPr>
        <w:t xml:space="preserve"> </w:t>
      </w:r>
      <w:r>
        <w:t>Katılımcıların</w:t>
      </w:r>
      <w:r>
        <w:rPr>
          <w:spacing w:val="72"/>
          <w:w w:val="150"/>
        </w:rPr>
        <w:t xml:space="preserve"> </w:t>
      </w:r>
      <w:r>
        <w:t>%33.7’si</w:t>
      </w:r>
      <w:r>
        <w:rPr>
          <w:spacing w:val="75"/>
          <w:w w:val="150"/>
        </w:rPr>
        <w:t xml:space="preserve"> </w:t>
      </w:r>
      <w:r>
        <w:rPr>
          <w:spacing w:val="-2"/>
        </w:rPr>
        <w:t>sanal</w:t>
      </w:r>
      <w:r>
        <w:t xml:space="preserve"> rekreasyon faaliyetlerinin yaratıcılıklarını geliştirdiğini ifade ederken, %13.3’ü kesinlikle katılmadığını belirtmiştir. Bu bulgular, sanal rekreasyonun yaratıcı düşünmeyi teşvik ettiğini, ancak bazı katılımcılar için daha sınırlı bir etkisi olduğunu göstermektedir.</w:t>
      </w:r>
    </w:p>
    <w:p w14:paraId="30F78481">
      <w:pPr>
        <w:pStyle w:val="9"/>
        <w:spacing w:before="120" w:after="120" w:line="360" w:lineRule="auto"/>
        <w:ind w:left="0" w:firstLine="567"/>
      </w:pPr>
      <w:r>
        <w:t>"Sanal rekreasyon ile benzersiz bir deneyim yaşarım" ifadesine yönelik katılımcılar, sanal rekreasyon ile benzersiz bir deneyim yaşadıklarını belirtmişlerdir. Bu ifade ortalama 3.17 (standart sapma = 1.28) ile değerlendirilmiştir. Katılımcıların %30.6’sı bu deneyimi yaşadığını ifade ederken, %13.4’ü kesinlikle katılmadığını belirtmiştir. Bu sonuç, sanal rekreasyonun çoğu katılımcı için unutulmaz deneyimler sunduğunu, ancak bir kısmı için aynı derecede etkileyici olmadığına işaret etmektedir.</w:t>
      </w:r>
    </w:p>
    <w:p w14:paraId="6DCD3AAA">
      <w:pPr>
        <w:pStyle w:val="9"/>
        <w:spacing w:before="120" w:after="120" w:line="360" w:lineRule="auto"/>
        <w:ind w:left="0" w:firstLine="567"/>
      </w:pPr>
      <w:r>
        <w:t>"Sanal rekreasyon ile sanal dünyalarda yaratılan nesnelerle etkileşime geçerim" ifadesine yönelik katılımcılar, sanal rekreasyon sırasında sanal dünyada yaratılan nesnelerle etkileşime girdiklerini ifade etmişlerdir. Bu ifade ortalama 3.20 (standart sapma = 1.32) ile değerlendirilmiştir.</w:t>
      </w:r>
      <w:r>
        <w:rPr>
          <w:spacing w:val="-4"/>
        </w:rPr>
        <w:t xml:space="preserve"> </w:t>
      </w:r>
      <w:r>
        <w:t>Katılımcıların %32.4’ü bu</w:t>
      </w:r>
      <w:r>
        <w:rPr>
          <w:spacing w:val="-1"/>
        </w:rPr>
        <w:t xml:space="preserve"> </w:t>
      </w:r>
      <w:r>
        <w:t>nesnelerle</w:t>
      </w:r>
      <w:r>
        <w:rPr>
          <w:spacing w:val="-1"/>
        </w:rPr>
        <w:t xml:space="preserve"> </w:t>
      </w:r>
      <w:r>
        <w:t>etkileşime</w:t>
      </w:r>
      <w:r>
        <w:rPr>
          <w:spacing w:val="-1"/>
        </w:rPr>
        <w:t xml:space="preserve"> </w:t>
      </w:r>
      <w:r>
        <w:t xml:space="preserve">girdiklerini </w:t>
      </w:r>
      <w:r>
        <w:rPr>
          <w:spacing w:val="-2"/>
        </w:rPr>
        <w:t>belirtirken,</w:t>
      </w:r>
      <w:r>
        <w:t xml:space="preserve"> %15.4’ü kesinlikle katılmadığını ifade etmiştir. Bu sonuç, katılımcıların çoğunun sanal dünyada etkileşime girdiğini, ancak bazı katılımcıların bu etkileşimi sınırlı deneyimlediklerini göstermektedir.</w:t>
      </w:r>
    </w:p>
    <w:p w14:paraId="21D7960E">
      <w:pPr>
        <w:pStyle w:val="9"/>
        <w:spacing w:before="120" w:after="120" w:line="360" w:lineRule="auto"/>
        <w:ind w:left="0" w:firstLine="567"/>
      </w:pPr>
      <w:r>
        <w:t>"Sanal rekreasyon faaliyetleri ile başka bir dünyaya geçiş yaparım" ifadesine yönelik katılımcılar, sanal rekreasyon faaliyetleri ile başka bir dünyaya geçiş yaptıklarını belirtmişlerdir. Bu ifade ortalama 3.25 (standart sapma = 1.28) ile değerlendirilmiştir. Katılımcıların</w:t>
      </w:r>
      <w:r>
        <w:rPr>
          <w:spacing w:val="-15"/>
        </w:rPr>
        <w:t xml:space="preserve"> </w:t>
      </w:r>
      <w:r>
        <w:t>%33.7’si</w:t>
      </w:r>
      <w:r>
        <w:rPr>
          <w:spacing w:val="-15"/>
        </w:rPr>
        <w:t xml:space="preserve"> </w:t>
      </w:r>
      <w:r>
        <w:t>sanal</w:t>
      </w:r>
      <w:r>
        <w:rPr>
          <w:spacing w:val="-15"/>
        </w:rPr>
        <w:t xml:space="preserve"> </w:t>
      </w:r>
      <w:r>
        <w:t>rekreasyon</w:t>
      </w:r>
      <w:r>
        <w:rPr>
          <w:spacing w:val="-15"/>
        </w:rPr>
        <w:t xml:space="preserve"> </w:t>
      </w:r>
      <w:r>
        <w:t>ile</w:t>
      </w:r>
      <w:r>
        <w:rPr>
          <w:spacing w:val="-15"/>
        </w:rPr>
        <w:t xml:space="preserve"> </w:t>
      </w:r>
      <w:r>
        <w:t>başka</w:t>
      </w:r>
      <w:r>
        <w:rPr>
          <w:spacing w:val="-15"/>
        </w:rPr>
        <w:t xml:space="preserve"> </w:t>
      </w:r>
      <w:r>
        <w:t>bir</w:t>
      </w:r>
      <w:r>
        <w:rPr>
          <w:spacing w:val="-15"/>
        </w:rPr>
        <w:t xml:space="preserve"> </w:t>
      </w:r>
      <w:r>
        <w:t>dünyaya</w:t>
      </w:r>
      <w:r>
        <w:rPr>
          <w:spacing w:val="-14"/>
        </w:rPr>
        <w:t xml:space="preserve"> </w:t>
      </w:r>
      <w:r>
        <w:t>geçiş</w:t>
      </w:r>
      <w:r>
        <w:rPr>
          <w:spacing w:val="-12"/>
        </w:rPr>
        <w:t xml:space="preserve"> </w:t>
      </w:r>
      <w:r>
        <w:t>yaptığını</w:t>
      </w:r>
      <w:r>
        <w:rPr>
          <w:spacing w:val="-14"/>
        </w:rPr>
        <w:t xml:space="preserve"> </w:t>
      </w:r>
      <w:r>
        <w:t>ifade</w:t>
      </w:r>
      <w:r>
        <w:rPr>
          <w:spacing w:val="-15"/>
        </w:rPr>
        <w:t xml:space="preserve"> </w:t>
      </w:r>
      <w:r>
        <w:rPr>
          <w:spacing w:val="-2"/>
        </w:rPr>
        <w:t>ederken,</w:t>
      </w:r>
      <w:r>
        <w:t xml:space="preserve"> %12.8’i</w:t>
      </w:r>
      <w:r>
        <w:rPr>
          <w:spacing w:val="-9"/>
        </w:rPr>
        <w:t xml:space="preserve"> </w:t>
      </w:r>
      <w:r>
        <w:t>ise</w:t>
      </w:r>
      <w:r>
        <w:rPr>
          <w:spacing w:val="-9"/>
        </w:rPr>
        <w:t xml:space="preserve"> </w:t>
      </w:r>
      <w:r>
        <w:t>katılmadığını</w:t>
      </w:r>
      <w:r>
        <w:rPr>
          <w:spacing w:val="-6"/>
        </w:rPr>
        <w:t xml:space="preserve"> </w:t>
      </w:r>
      <w:r>
        <w:t>belirtmiştir.</w:t>
      </w:r>
      <w:r>
        <w:rPr>
          <w:spacing w:val="-10"/>
        </w:rPr>
        <w:t xml:space="preserve"> </w:t>
      </w:r>
      <w:r>
        <w:t>Bu</w:t>
      </w:r>
      <w:r>
        <w:rPr>
          <w:spacing w:val="-7"/>
        </w:rPr>
        <w:t xml:space="preserve"> </w:t>
      </w:r>
      <w:r>
        <w:t>sonuç,</w:t>
      </w:r>
      <w:r>
        <w:rPr>
          <w:spacing w:val="-9"/>
        </w:rPr>
        <w:t xml:space="preserve"> </w:t>
      </w:r>
      <w:r>
        <w:t>sanal</w:t>
      </w:r>
      <w:r>
        <w:rPr>
          <w:spacing w:val="-9"/>
        </w:rPr>
        <w:t xml:space="preserve"> </w:t>
      </w:r>
      <w:r>
        <w:t>rekreasyonun</w:t>
      </w:r>
      <w:r>
        <w:rPr>
          <w:spacing w:val="-7"/>
        </w:rPr>
        <w:t xml:space="preserve"> </w:t>
      </w:r>
      <w:r>
        <w:t>katılımcıların</w:t>
      </w:r>
      <w:r>
        <w:rPr>
          <w:spacing w:val="-9"/>
        </w:rPr>
        <w:t xml:space="preserve"> </w:t>
      </w:r>
      <w:r>
        <w:t>bir</w:t>
      </w:r>
      <w:r>
        <w:rPr>
          <w:spacing w:val="-7"/>
        </w:rPr>
        <w:t xml:space="preserve"> </w:t>
      </w:r>
      <w:r>
        <w:t xml:space="preserve">kısmı için güçlü bir kaçış deneyimi sunduğunu, ancak diğerleri için daha zayıf bir etki yarattığını </w:t>
      </w:r>
      <w:r>
        <w:rPr>
          <w:spacing w:val="-2"/>
        </w:rPr>
        <w:t>göstermektedir.</w:t>
      </w:r>
    </w:p>
    <w:p w14:paraId="449FB590">
      <w:pPr>
        <w:pStyle w:val="9"/>
        <w:spacing w:before="120" w:after="120" w:line="360" w:lineRule="auto"/>
        <w:ind w:left="0" w:firstLine="567"/>
      </w:pPr>
      <w:r>
        <w:t>"Sanal</w:t>
      </w:r>
      <w:r>
        <w:rPr>
          <w:spacing w:val="-3"/>
        </w:rPr>
        <w:t xml:space="preserve"> </w:t>
      </w:r>
      <w:r>
        <w:t>dünyada</w:t>
      </w:r>
      <w:r>
        <w:rPr>
          <w:spacing w:val="-1"/>
        </w:rPr>
        <w:t xml:space="preserve"> </w:t>
      </w:r>
      <w:r>
        <w:t>yaratılan</w:t>
      </w:r>
      <w:r>
        <w:rPr>
          <w:spacing w:val="-4"/>
        </w:rPr>
        <w:t xml:space="preserve"> </w:t>
      </w:r>
      <w:r>
        <w:t>faaliyetlerin</w:t>
      </w:r>
      <w:r>
        <w:rPr>
          <w:spacing w:val="-4"/>
        </w:rPr>
        <w:t xml:space="preserve"> </w:t>
      </w:r>
      <w:r>
        <w:t>gerçekliğine</w:t>
      </w:r>
      <w:r>
        <w:rPr>
          <w:spacing w:val="-6"/>
        </w:rPr>
        <w:t xml:space="preserve"> </w:t>
      </w:r>
      <w:r>
        <w:t>inanırım"</w:t>
      </w:r>
      <w:r>
        <w:rPr>
          <w:spacing w:val="-2"/>
        </w:rPr>
        <w:t xml:space="preserve"> </w:t>
      </w:r>
      <w:r>
        <w:t>ifadesine</w:t>
      </w:r>
      <w:r>
        <w:rPr>
          <w:spacing w:val="-2"/>
        </w:rPr>
        <w:t xml:space="preserve"> </w:t>
      </w:r>
      <w:r>
        <w:t>yönelik</w:t>
      </w:r>
      <w:r>
        <w:rPr>
          <w:spacing w:val="-5"/>
        </w:rPr>
        <w:t xml:space="preserve"> </w:t>
      </w:r>
      <w:r>
        <w:t>katılımcılar, sanal dünyadaki faaliyetlerin gerçekliğine inanma konusunda daha temkinli bir tutum sergilemişlerdir. Bu ifade ortalama 3.13 (standart sapma = 1.30) ile değerlendirilmiştir. Katılımcıların</w:t>
      </w:r>
      <w:r>
        <w:rPr>
          <w:spacing w:val="-2"/>
        </w:rPr>
        <w:t xml:space="preserve"> </w:t>
      </w:r>
      <w:r>
        <w:t>%25.4’ü</w:t>
      </w:r>
      <w:r>
        <w:rPr>
          <w:spacing w:val="1"/>
        </w:rPr>
        <w:t xml:space="preserve"> </w:t>
      </w:r>
      <w:r>
        <w:t>sanal dünyadaki faaliyetlerin gerçekliğine inandığını ifade</w:t>
      </w:r>
      <w:r>
        <w:rPr>
          <w:spacing w:val="2"/>
        </w:rPr>
        <w:t xml:space="preserve"> </w:t>
      </w:r>
      <w:r>
        <w:rPr>
          <w:spacing w:val="-2"/>
        </w:rPr>
        <w:t>ederken,</w:t>
      </w:r>
      <w:r>
        <w:t xml:space="preserve"> %12.8’i kesinlikle katılmadığını belirtmiştir. Bu sonuç, sanal dünyadaki etkinliklerin gerçekliği konusunda katılımcıların daha dikkatli yaklaşmakta olduklarını göstermektedir.</w:t>
      </w:r>
    </w:p>
    <w:p w14:paraId="34A13ACF">
      <w:pPr>
        <w:pStyle w:val="9"/>
        <w:spacing w:before="120" w:after="120" w:line="360" w:lineRule="auto"/>
        <w:ind w:left="0" w:firstLine="567"/>
      </w:pPr>
      <w:r>
        <w:t>"Sanal</w:t>
      </w:r>
      <w:r>
        <w:rPr>
          <w:spacing w:val="-9"/>
        </w:rPr>
        <w:t xml:space="preserve"> </w:t>
      </w:r>
      <w:r>
        <w:t>rekreasyon</w:t>
      </w:r>
      <w:r>
        <w:rPr>
          <w:spacing w:val="-9"/>
        </w:rPr>
        <w:t xml:space="preserve"> </w:t>
      </w:r>
      <w:r>
        <w:t>faaliyetleri</w:t>
      </w:r>
      <w:r>
        <w:rPr>
          <w:spacing w:val="-9"/>
        </w:rPr>
        <w:t xml:space="preserve"> </w:t>
      </w:r>
      <w:r>
        <w:t>ile</w:t>
      </w:r>
      <w:r>
        <w:rPr>
          <w:spacing w:val="-10"/>
        </w:rPr>
        <w:t xml:space="preserve"> </w:t>
      </w:r>
      <w:r>
        <w:t>gerçek</w:t>
      </w:r>
      <w:r>
        <w:rPr>
          <w:spacing w:val="-9"/>
        </w:rPr>
        <w:t xml:space="preserve"> </w:t>
      </w:r>
      <w:r>
        <w:t>dünyaya</w:t>
      </w:r>
      <w:r>
        <w:rPr>
          <w:spacing w:val="-8"/>
        </w:rPr>
        <w:t xml:space="preserve"> </w:t>
      </w:r>
      <w:r>
        <w:t>ilişkin</w:t>
      </w:r>
      <w:r>
        <w:rPr>
          <w:spacing w:val="-9"/>
        </w:rPr>
        <w:t xml:space="preserve"> </w:t>
      </w:r>
      <w:r>
        <w:t>duygu</w:t>
      </w:r>
      <w:r>
        <w:rPr>
          <w:spacing w:val="-9"/>
        </w:rPr>
        <w:t xml:space="preserve"> </w:t>
      </w:r>
      <w:r>
        <w:t>ve</w:t>
      </w:r>
      <w:r>
        <w:rPr>
          <w:spacing w:val="-10"/>
        </w:rPr>
        <w:t xml:space="preserve"> </w:t>
      </w:r>
      <w:r>
        <w:t>düşüncelerimi</w:t>
      </w:r>
      <w:r>
        <w:rPr>
          <w:spacing w:val="-9"/>
        </w:rPr>
        <w:t xml:space="preserve"> </w:t>
      </w:r>
      <w:r>
        <w:t>unuturum" ifadesine yönelik katılımcılar, sanal rekreasyon faaliyetleri sırasında gerçek dünyadan kopma deneyimi yaşadıklarını belirtmişlerdir. Bu ifade ortalama 3.02 (standart sapma = 1.30)</w:t>
      </w:r>
      <w:r>
        <w:rPr>
          <w:spacing w:val="-13"/>
        </w:rPr>
        <w:t xml:space="preserve"> </w:t>
      </w:r>
      <w:r>
        <w:t>ile</w:t>
      </w:r>
      <w:r>
        <w:rPr>
          <w:spacing w:val="-11"/>
        </w:rPr>
        <w:t xml:space="preserve"> </w:t>
      </w:r>
      <w:r>
        <w:t>değerlendirilmiştir.</w:t>
      </w:r>
      <w:r>
        <w:rPr>
          <w:spacing w:val="-11"/>
        </w:rPr>
        <w:t xml:space="preserve"> </w:t>
      </w:r>
      <w:r>
        <w:t>Katılımcıların</w:t>
      </w:r>
      <w:r>
        <w:rPr>
          <w:spacing w:val="-9"/>
        </w:rPr>
        <w:t xml:space="preserve"> </w:t>
      </w:r>
      <w:r>
        <w:t>%23.6’sı</w:t>
      </w:r>
      <w:r>
        <w:rPr>
          <w:spacing w:val="-10"/>
        </w:rPr>
        <w:t xml:space="preserve"> </w:t>
      </w:r>
      <w:r>
        <w:t>bu</w:t>
      </w:r>
      <w:r>
        <w:rPr>
          <w:spacing w:val="-10"/>
        </w:rPr>
        <w:t xml:space="preserve"> </w:t>
      </w:r>
      <w:r>
        <w:t>durumu</w:t>
      </w:r>
      <w:r>
        <w:rPr>
          <w:spacing w:val="-11"/>
        </w:rPr>
        <w:t xml:space="preserve"> </w:t>
      </w:r>
      <w:r>
        <w:t>yaşadıklarını</w:t>
      </w:r>
      <w:r>
        <w:rPr>
          <w:spacing w:val="-9"/>
        </w:rPr>
        <w:t xml:space="preserve"> </w:t>
      </w:r>
      <w:r>
        <w:t>ifade</w:t>
      </w:r>
      <w:r>
        <w:rPr>
          <w:spacing w:val="-11"/>
        </w:rPr>
        <w:t xml:space="preserve"> </w:t>
      </w:r>
      <w:r>
        <w:rPr>
          <w:spacing w:val="-2"/>
        </w:rPr>
        <w:t>ederken,</w:t>
      </w:r>
      <w:r>
        <w:t xml:space="preserve"> %14.8’i kesinlikle katılmadığını belirtmiştir. Bu bulgu, sanal rekreasyonun bir kısmı için gerçek dünyadan kaçış sağlasa da, diğer katılımcılar için bu etkinliğin daha az etkili olduğunu göstermektedir.</w:t>
      </w:r>
    </w:p>
    <w:p w14:paraId="132B95A4">
      <w:pPr>
        <w:pStyle w:val="9"/>
        <w:spacing w:before="120" w:after="120" w:line="360" w:lineRule="auto"/>
        <w:ind w:left="0" w:firstLine="567"/>
      </w:pPr>
      <w:r>
        <w:t>"Sanal gerçeklik cihazları ile sanal rekreasyon faaliyetlerinin içine dalarım" ifadesine yönelik katılımcılar, sanal gerçeklik cihazları ile sanal rekreasyon faaliyetlerine yoğun şekilde katıldıklarını belirtmişlerdir. Bu ifade ortalama 3.08 (standart sapma = 1.33) ile değerlendirilmiştir.</w:t>
      </w:r>
      <w:r>
        <w:rPr>
          <w:spacing w:val="-12"/>
        </w:rPr>
        <w:t xml:space="preserve"> </w:t>
      </w:r>
      <w:r>
        <w:t>Katılımcıların</w:t>
      </w:r>
      <w:r>
        <w:rPr>
          <w:spacing w:val="-9"/>
        </w:rPr>
        <w:t xml:space="preserve"> </w:t>
      </w:r>
      <w:r>
        <w:t>%28.7’si</w:t>
      </w:r>
      <w:r>
        <w:rPr>
          <w:spacing w:val="-9"/>
        </w:rPr>
        <w:t xml:space="preserve"> </w:t>
      </w:r>
      <w:r>
        <w:t>bu</w:t>
      </w:r>
      <w:r>
        <w:rPr>
          <w:spacing w:val="-10"/>
        </w:rPr>
        <w:t xml:space="preserve"> </w:t>
      </w:r>
      <w:r>
        <w:t>tür</w:t>
      </w:r>
      <w:r>
        <w:rPr>
          <w:spacing w:val="-9"/>
        </w:rPr>
        <w:t xml:space="preserve"> </w:t>
      </w:r>
      <w:r>
        <w:t>cihazlarla</w:t>
      </w:r>
      <w:r>
        <w:rPr>
          <w:spacing w:val="-10"/>
        </w:rPr>
        <w:t xml:space="preserve"> </w:t>
      </w:r>
      <w:r>
        <w:t>faaliyete</w:t>
      </w:r>
      <w:r>
        <w:rPr>
          <w:spacing w:val="-11"/>
        </w:rPr>
        <w:t xml:space="preserve"> </w:t>
      </w:r>
      <w:r>
        <w:t>katıldığını</w:t>
      </w:r>
      <w:r>
        <w:rPr>
          <w:spacing w:val="-8"/>
        </w:rPr>
        <w:t xml:space="preserve"> </w:t>
      </w:r>
      <w:r>
        <w:rPr>
          <w:spacing w:val="-2"/>
        </w:rPr>
        <w:t>belirtirken,</w:t>
      </w:r>
      <w:r>
        <w:t xml:space="preserve"> %16.7’si kesinlikle katılmadığını ifade etmiştir. Bu sonuç, sanal gerçeklik cihazlarının kullanımının</w:t>
      </w:r>
      <w:r>
        <w:rPr>
          <w:spacing w:val="-14"/>
        </w:rPr>
        <w:t xml:space="preserve"> </w:t>
      </w:r>
      <w:r>
        <w:t>katılımcıların</w:t>
      </w:r>
      <w:r>
        <w:rPr>
          <w:spacing w:val="-14"/>
        </w:rPr>
        <w:t xml:space="preserve"> </w:t>
      </w:r>
      <w:r>
        <w:t>çoğu</w:t>
      </w:r>
      <w:r>
        <w:rPr>
          <w:spacing w:val="-14"/>
        </w:rPr>
        <w:t xml:space="preserve"> </w:t>
      </w:r>
      <w:r>
        <w:t>için</w:t>
      </w:r>
      <w:r>
        <w:rPr>
          <w:spacing w:val="-14"/>
        </w:rPr>
        <w:t xml:space="preserve"> </w:t>
      </w:r>
      <w:r>
        <w:t>önemli</w:t>
      </w:r>
      <w:r>
        <w:rPr>
          <w:spacing w:val="-14"/>
        </w:rPr>
        <w:t xml:space="preserve"> </w:t>
      </w:r>
      <w:r>
        <w:t>bir</w:t>
      </w:r>
      <w:r>
        <w:rPr>
          <w:spacing w:val="-14"/>
        </w:rPr>
        <w:t xml:space="preserve"> </w:t>
      </w:r>
      <w:r>
        <w:t>deneyim</w:t>
      </w:r>
      <w:r>
        <w:rPr>
          <w:spacing w:val="-14"/>
        </w:rPr>
        <w:t xml:space="preserve"> </w:t>
      </w:r>
      <w:r>
        <w:t>sunduğunu,</w:t>
      </w:r>
      <w:r>
        <w:rPr>
          <w:spacing w:val="-14"/>
        </w:rPr>
        <w:t xml:space="preserve"> </w:t>
      </w:r>
      <w:r>
        <w:t>ancak</w:t>
      </w:r>
      <w:r>
        <w:rPr>
          <w:spacing w:val="-14"/>
        </w:rPr>
        <w:t xml:space="preserve"> </w:t>
      </w:r>
      <w:r>
        <w:t>bazı</w:t>
      </w:r>
      <w:r>
        <w:rPr>
          <w:spacing w:val="-14"/>
        </w:rPr>
        <w:t xml:space="preserve"> </w:t>
      </w:r>
      <w:r>
        <w:t>katılımcılar için daha az çekici olduğunu göstermektedir.</w:t>
      </w:r>
    </w:p>
    <w:p w14:paraId="02184BF7">
      <w:pPr>
        <w:pStyle w:val="9"/>
        <w:spacing w:before="120" w:after="120" w:line="360" w:lineRule="auto"/>
        <w:ind w:left="0" w:firstLine="567"/>
      </w:pPr>
      <w:r>
        <w:t>"Sanal rekreasyon faaliyetlerinin içine daldığımda, yepyeni duygu ve düşünceler edinirim" ifadesine yönelik</w:t>
      </w:r>
      <w:r>
        <w:rPr>
          <w:spacing w:val="-1"/>
        </w:rPr>
        <w:t xml:space="preserve"> </w:t>
      </w:r>
      <w:r>
        <w:t>katılımcılar,</w:t>
      </w:r>
      <w:r>
        <w:rPr>
          <w:spacing w:val="-1"/>
        </w:rPr>
        <w:t xml:space="preserve"> </w:t>
      </w:r>
      <w:r>
        <w:t>sanal rekreasyon faaliyetlerine</w:t>
      </w:r>
      <w:r>
        <w:rPr>
          <w:spacing w:val="-2"/>
        </w:rPr>
        <w:t xml:space="preserve"> </w:t>
      </w:r>
      <w:r>
        <w:t>katıldıklarında yeni duygu</w:t>
      </w:r>
      <w:r>
        <w:rPr>
          <w:spacing w:val="-1"/>
        </w:rPr>
        <w:t xml:space="preserve"> </w:t>
      </w:r>
      <w:r>
        <w:t>ve düşünceler edindiklerini belirtmişlerdir. Bu ifade ortalama 3.27 (standart sapma = 1.27) ile değerlendirilmiştir.</w:t>
      </w:r>
      <w:r>
        <w:rPr>
          <w:spacing w:val="-15"/>
        </w:rPr>
        <w:t xml:space="preserve"> </w:t>
      </w:r>
      <w:r>
        <w:t>Katılımcıların</w:t>
      </w:r>
      <w:r>
        <w:rPr>
          <w:spacing w:val="-15"/>
        </w:rPr>
        <w:t xml:space="preserve"> </w:t>
      </w:r>
      <w:r>
        <w:t>%32.9’u</w:t>
      </w:r>
      <w:r>
        <w:rPr>
          <w:spacing w:val="-15"/>
        </w:rPr>
        <w:t xml:space="preserve"> </w:t>
      </w:r>
      <w:r>
        <w:t>bu</w:t>
      </w:r>
      <w:r>
        <w:rPr>
          <w:spacing w:val="-15"/>
        </w:rPr>
        <w:t xml:space="preserve"> </w:t>
      </w:r>
      <w:r>
        <w:t>durumu</w:t>
      </w:r>
      <w:r>
        <w:rPr>
          <w:spacing w:val="-15"/>
        </w:rPr>
        <w:t xml:space="preserve"> </w:t>
      </w:r>
      <w:r>
        <w:t>yaşadıklarını</w:t>
      </w:r>
      <w:r>
        <w:rPr>
          <w:spacing w:val="-15"/>
        </w:rPr>
        <w:t xml:space="preserve"> </w:t>
      </w:r>
      <w:r>
        <w:t>ifade</w:t>
      </w:r>
      <w:r>
        <w:rPr>
          <w:spacing w:val="-15"/>
        </w:rPr>
        <w:t xml:space="preserve"> </w:t>
      </w:r>
      <w:r>
        <w:t>ederken,</w:t>
      </w:r>
      <w:r>
        <w:rPr>
          <w:spacing w:val="-15"/>
        </w:rPr>
        <w:t xml:space="preserve"> </w:t>
      </w:r>
      <w:r>
        <w:t xml:space="preserve">%12.2’si kesinlikle katılmadığını belirtmiştir. Bu bulgu, sanal rekreasyonun çoğu katılımcı için yeni bir deneyim sunduğunu, ancak bazı katılımcılar için etkisinin sınırlı olduğunu </w:t>
      </w:r>
      <w:r>
        <w:rPr>
          <w:spacing w:val="-2"/>
        </w:rPr>
        <w:t>göstermektedir.</w:t>
      </w:r>
    </w:p>
    <w:p w14:paraId="36D0F2E1">
      <w:pPr>
        <w:pStyle w:val="9"/>
        <w:spacing w:before="120" w:after="120" w:line="360" w:lineRule="auto"/>
        <w:ind w:left="0" w:firstLine="567"/>
      </w:pPr>
      <w:r>
        <w:t>"Sanal</w:t>
      </w:r>
      <w:r>
        <w:rPr>
          <w:spacing w:val="-15"/>
        </w:rPr>
        <w:t xml:space="preserve"> </w:t>
      </w:r>
      <w:r>
        <w:t>rekreasyon</w:t>
      </w:r>
      <w:r>
        <w:rPr>
          <w:spacing w:val="-15"/>
        </w:rPr>
        <w:t xml:space="preserve"> </w:t>
      </w:r>
      <w:r>
        <w:t>faaliyetleri</w:t>
      </w:r>
      <w:r>
        <w:rPr>
          <w:spacing w:val="-15"/>
        </w:rPr>
        <w:t xml:space="preserve"> </w:t>
      </w:r>
      <w:r>
        <w:t>ile</w:t>
      </w:r>
      <w:r>
        <w:rPr>
          <w:spacing w:val="-15"/>
        </w:rPr>
        <w:t xml:space="preserve"> </w:t>
      </w:r>
      <w:r>
        <w:t>orada</w:t>
      </w:r>
      <w:r>
        <w:rPr>
          <w:spacing w:val="-15"/>
        </w:rPr>
        <w:t xml:space="preserve"> </w:t>
      </w:r>
      <w:r>
        <w:t>olduğumu</w:t>
      </w:r>
      <w:r>
        <w:rPr>
          <w:spacing w:val="-15"/>
        </w:rPr>
        <w:t xml:space="preserve"> </w:t>
      </w:r>
      <w:r>
        <w:t>hissederim"</w:t>
      </w:r>
      <w:r>
        <w:rPr>
          <w:spacing w:val="-15"/>
        </w:rPr>
        <w:t xml:space="preserve"> </w:t>
      </w:r>
      <w:r>
        <w:t>ifadesine</w:t>
      </w:r>
      <w:r>
        <w:rPr>
          <w:spacing w:val="-15"/>
        </w:rPr>
        <w:t xml:space="preserve"> </w:t>
      </w:r>
      <w:r>
        <w:t>yönelik</w:t>
      </w:r>
      <w:r>
        <w:rPr>
          <w:spacing w:val="-15"/>
        </w:rPr>
        <w:t xml:space="preserve"> </w:t>
      </w:r>
      <w:r>
        <w:t>katılımcılar, sanal rekreasyon faaliyetlerinde gerçeklik hissi yaşadıklarını ifade etmişlerdir. Bu ifade ortalama</w:t>
      </w:r>
      <w:r>
        <w:rPr>
          <w:spacing w:val="-14"/>
        </w:rPr>
        <w:t xml:space="preserve"> </w:t>
      </w:r>
      <w:r>
        <w:t>3.29</w:t>
      </w:r>
      <w:r>
        <w:rPr>
          <w:spacing w:val="-13"/>
        </w:rPr>
        <w:t xml:space="preserve"> </w:t>
      </w:r>
      <w:r>
        <w:t>(standart</w:t>
      </w:r>
      <w:r>
        <w:rPr>
          <w:spacing w:val="-13"/>
        </w:rPr>
        <w:t xml:space="preserve"> </w:t>
      </w:r>
      <w:r>
        <w:t>sapma</w:t>
      </w:r>
      <w:r>
        <w:rPr>
          <w:spacing w:val="-14"/>
        </w:rPr>
        <w:t xml:space="preserve"> </w:t>
      </w:r>
      <w:r>
        <w:t>=</w:t>
      </w:r>
      <w:r>
        <w:rPr>
          <w:spacing w:val="-14"/>
        </w:rPr>
        <w:t xml:space="preserve"> </w:t>
      </w:r>
      <w:r>
        <w:t>1.28)</w:t>
      </w:r>
      <w:r>
        <w:rPr>
          <w:spacing w:val="-14"/>
        </w:rPr>
        <w:t xml:space="preserve"> </w:t>
      </w:r>
      <w:r>
        <w:t>ile</w:t>
      </w:r>
      <w:r>
        <w:rPr>
          <w:spacing w:val="-14"/>
        </w:rPr>
        <w:t xml:space="preserve"> </w:t>
      </w:r>
      <w:r>
        <w:t>değerlendirilmiştir.</w:t>
      </w:r>
      <w:r>
        <w:rPr>
          <w:spacing w:val="-13"/>
        </w:rPr>
        <w:t xml:space="preserve"> </w:t>
      </w:r>
      <w:r>
        <w:t>Katılımcıların</w:t>
      </w:r>
      <w:r>
        <w:rPr>
          <w:spacing w:val="-15"/>
        </w:rPr>
        <w:t xml:space="preserve"> </w:t>
      </w:r>
      <w:r>
        <w:t>%32.1’i</w:t>
      </w:r>
      <w:r>
        <w:rPr>
          <w:spacing w:val="-13"/>
        </w:rPr>
        <w:t xml:space="preserve"> </w:t>
      </w:r>
      <w:r>
        <w:t>bu</w:t>
      </w:r>
      <w:r>
        <w:rPr>
          <w:spacing w:val="-13"/>
        </w:rPr>
        <w:t xml:space="preserve"> </w:t>
      </w:r>
      <w:r>
        <w:t>hissi yaşadıklarını</w:t>
      </w:r>
      <w:r>
        <w:rPr>
          <w:spacing w:val="17"/>
        </w:rPr>
        <w:t xml:space="preserve"> </w:t>
      </w:r>
      <w:r>
        <w:t>belirtirken,</w:t>
      </w:r>
      <w:r>
        <w:rPr>
          <w:spacing w:val="22"/>
        </w:rPr>
        <w:t xml:space="preserve"> </w:t>
      </w:r>
      <w:r>
        <w:t>%12.6’sı</w:t>
      </w:r>
      <w:r>
        <w:rPr>
          <w:spacing w:val="20"/>
        </w:rPr>
        <w:t xml:space="preserve"> </w:t>
      </w:r>
      <w:r>
        <w:t>kesinlikle</w:t>
      </w:r>
      <w:r>
        <w:rPr>
          <w:spacing w:val="19"/>
        </w:rPr>
        <w:t xml:space="preserve"> </w:t>
      </w:r>
      <w:r>
        <w:t>katılmadığını</w:t>
      </w:r>
      <w:r>
        <w:rPr>
          <w:spacing w:val="21"/>
        </w:rPr>
        <w:t xml:space="preserve"> </w:t>
      </w:r>
      <w:r>
        <w:t>ifade</w:t>
      </w:r>
      <w:r>
        <w:rPr>
          <w:spacing w:val="19"/>
        </w:rPr>
        <w:t xml:space="preserve"> </w:t>
      </w:r>
      <w:r>
        <w:t>etmiştir.</w:t>
      </w:r>
      <w:r>
        <w:rPr>
          <w:spacing w:val="21"/>
        </w:rPr>
        <w:t xml:space="preserve"> </w:t>
      </w:r>
      <w:r>
        <w:t>Bu</w:t>
      </w:r>
      <w:r>
        <w:rPr>
          <w:spacing w:val="20"/>
        </w:rPr>
        <w:t xml:space="preserve"> </w:t>
      </w:r>
      <w:r>
        <w:t>sonuç,</w:t>
      </w:r>
      <w:r>
        <w:rPr>
          <w:spacing w:val="22"/>
        </w:rPr>
        <w:t xml:space="preserve"> </w:t>
      </w:r>
      <w:r>
        <w:rPr>
          <w:spacing w:val="-2"/>
        </w:rPr>
        <w:t>sanal</w:t>
      </w:r>
      <w:r>
        <w:t xml:space="preserve"> rekreasyonun büyük bir kısmı için güçlü bir gerçeklik hissi sağladığını, ancak bazı katılımcılar için bu hissin daha zayıf olduğunu göstermektedir.</w:t>
      </w:r>
    </w:p>
    <w:p w14:paraId="6DBF66D2">
      <w:pPr>
        <w:pStyle w:val="9"/>
        <w:spacing w:before="120" w:after="120" w:line="360" w:lineRule="auto"/>
        <w:ind w:left="0" w:firstLine="567"/>
      </w:pPr>
      <w:r>
        <w:t>"Sanal rekreasyon faaliyetlerine katıldığımda, o faaliyetten başka bir şey düşünmem" ifadesine yönelik katılımcılar, sanal rekreasyon faaliyetlerine katıldıklarında, genellikle yalnızca bu</w:t>
      </w:r>
      <w:r>
        <w:rPr>
          <w:spacing w:val="-1"/>
        </w:rPr>
        <w:t xml:space="preserve"> </w:t>
      </w:r>
      <w:r>
        <w:t>faaliyeti düşündüklerini</w:t>
      </w:r>
      <w:r>
        <w:rPr>
          <w:spacing w:val="-1"/>
        </w:rPr>
        <w:t xml:space="preserve"> </w:t>
      </w:r>
      <w:r>
        <w:t>belirtmişlerdir. Bu</w:t>
      </w:r>
      <w:r>
        <w:rPr>
          <w:spacing w:val="1"/>
        </w:rPr>
        <w:t xml:space="preserve"> </w:t>
      </w:r>
      <w:r>
        <w:t>ifade</w:t>
      </w:r>
      <w:r>
        <w:rPr>
          <w:spacing w:val="-2"/>
        </w:rPr>
        <w:t xml:space="preserve"> </w:t>
      </w:r>
      <w:r>
        <w:t>ortalama</w:t>
      </w:r>
      <w:r>
        <w:rPr>
          <w:spacing w:val="-1"/>
        </w:rPr>
        <w:t xml:space="preserve"> </w:t>
      </w:r>
      <w:r>
        <w:t>3.10</w:t>
      </w:r>
      <w:r>
        <w:rPr>
          <w:spacing w:val="-1"/>
        </w:rPr>
        <w:t xml:space="preserve"> </w:t>
      </w:r>
      <w:r>
        <w:t xml:space="preserve">(standart </w:t>
      </w:r>
      <w:r>
        <w:rPr>
          <w:spacing w:val="-2"/>
        </w:rPr>
        <w:t>sapma</w:t>
      </w:r>
      <w:r>
        <w:t xml:space="preserve"> = 1.27) ile değerlendirilmiştir. Katılımcıların %26.2’si faaliyetin dışında başka bir şey düşünmediklerini ifade ederken, %12.6’sı kesinlikle katılmadığını belirtmiştir. Bu bulgu, sanal</w:t>
      </w:r>
      <w:r>
        <w:rPr>
          <w:spacing w:val="-15"/>
        </w:rPr>
        <w:t xml:space="preserve"> </w:t>
      </w:r>
      <w:r>
        <w:t>rekreasyonun</w:t>
      </w:r>
      <w:r>
        <w:rPr>
          <w:spacing w:val="-15"/>
        </w:rPr>
        <w:t xml:space="preserve"> </w:t>
      </w:r>
      <w:r>
        <w:t>katılımcılar</w:t>
      </w:r>
      <w:r>
        <w:rPr>
          <w:spacing w:val="-15"/>
        </w:rPr>
        <w:t xml:space="preserve"> </w:t>
      </w:r>
      <w:r>
        <w:t>için</w:t>
      </w:r>
      <w:r>
        <w:rPr>
          <w:spacing w:val="-15"/>
        </w:rPr>
        <w:t xml:space="preserve"> </w:t>
      </w:r>
      <w:r>
        <w:t>çoğu</w:t>
      </w:r>
      <w:r>
        <w:rPr>
          <w:spacing w:val="-15"/>
        </w:rPr>
        <w:t xml:space="preserve"> </w:t>
      </w:r>
      <w:r>
        <w:t>zaman</w:t>
      </w:r>
      <w:r>
        <w:rPr>
          <w:spacing w:val="-15"/>
        </w:rPr>
        <w:t xml:space="preserve"> </w:t>
      </w:r>
      <w:r>
        <w:t>tamamen</w:t>
      </w:r>
      <w:r>
        <w:rPr>
          <w:spacing w:val="-15"/>
        </w:rPr>
        <w:t xml:space="preserve"> </w:t>
      </w:r>
      <w:r>
        <w:t>odaklanılan</w:t>
      </w:r>
      <w:r>
        <w:rPr>
          <w:spacing w:val="-15"/>
        </w:rPr>
        <w:t xml:space="preserve"> </w:t>
      </w:r>
      <w:r>
        <w:t>bir</w:t>
      </w:r>
      <w:r>
        <w:rPr>
          <w:spacing w:val="-15"/>
        </w:rPr>
        <w:t xml:space="preserve"> </w:t>
      </w:r>
      <w:r>
        <w:t>etkinlik</w:t>
      </w:r>
      <w:r>
        <w:rPr>
          <w:spacing w:val="-15"/>
        </w:rPr>
        <w:t xml:space="preserve"> </w:t>
      </w:r>
      <w:r>
        <w:t>olduğunu, ancak bazı katılımcılar için daha az etki yarattığını göstermektedir.</w:t>
      </w:r>
    </w:p>
    <w:p w14:paraId="39D6DB73">
      <w:pPr>
        <w:pStyle w:val="9"/>
        <w:spacing w:before="120" w:after="120" w:line="360" w:lineRule="auto"/>
        <w:ind w:left="0" w:firstLine="567"/>
      </w:pPr>
      <w:r>
        <w:t>"Sanal</w:t>
      </w:r>
      <w:r>
        <w:rPr>
          <w:spacing w:val="-15"/>
        </w:rPr>
        <w:t xml:space="preserve"> </w:t>
      </w:r>
      <w:r>
        <w:t>rekreasyon</w:t>
      </w:r>
      <w:r>
        <w:rPr>
          <w:spacing w:val="-15"/>
        </w:rPr>
        <w:t xml:space="preserve"> </w:t>
      </w:r>
      <w:r>
        <w:t>faaliyetinin</w:t>
      </w:r>
      <w:r>
        <w:rPr>
          <w:spacing w:val="-15"/>
        </w:rPr>
        <w:t xml:space="preserve"> </w:t>
      </w:r>
      <w:r>
        <w:t>içinde</w:t>
      </w:r>
      <w:r>
        <w:rPr>
          <w:spacing w:val="-15"/>
        </w:rPr>
        <w:t xml:space="preserve"> </w:t>
      </w:r>
      <w:r>
        <w:t>kaybolup</w:t>
      </w:r>
      <w:r>
        <w:rPr>
          <w:spacing w:val="-15"/>
        </w:rPr>
        <w:t xml:space="preserve"> </w:t>
      </w:r>
      <w:r>
        <w:t>giderim"</w:t>
      </w:r>
      <w:r>
        <w:rPr>
          <w:spacing w:val="-15"/>
        </w:rPr>
        <w:t xml:space="preserve"> </w:t>
      </w:r>
      <w:r>
        <w:t>ifadesine</w:t>
      </w:r>
      <w:r>
        <w:rPr>
          <w:spacing w:val="-15"/>
        </w:rPr>
        <w:t xml:space="preserve"> </w:t>
      </w:r>
      <w:r>
        <w:t>yönelik</w:t>
      </w:r>
      <w:r>
        <w:rPr>
          <w:spacing w:val="-15"/>
        </w:rPr>
        <w:t xml:space="preserve"> </w:t>
      </w:r>
      <w:r>
        <w:t>katılımcılar,</w:t>
      </w:r>
      <w:r>
        <w:rPr>
          <w:spacing w:val="-15"/>
        </w:rPr>
        <w:t xml:space="preserve"> </w:t>
      </w:r>
      <w:r>
        <w:t>sanal rekreasyon faaliyetlerinin içinde</w:t>
      </w:r>
      <w:r>
        <w:rPr>
          <w:spacing w:val="-1"/>
        </w:rPr>
        <w:t xml:space="preserve"> </w:t>
      </w:r>
      <w:r>
        <w:t>kaybolma deneyimi yaşadıklarını belirtmişlerdir. Bu ifade ortalama 3.04 (standart sapma = 1.31) ile değerlendirilmiştir. Katılımcıların %25.9’u bu durumu</w:t>
      </w:r>
      <w:r>
        <w:rPr>
          <w:spacing w:val="-15"/>
        </w:rPr>
        <w:t xml:space="preserve"> </w:t>
      </w:r>
      <w:r>
        <w:t>yaşadıklarını</w:t>
      </w:r>
      <w:r>
        <w:rPr>
          <w:spacing w:val="-15"/>
        </w:rPr>
        <w:t xml:space="preserve"> </w:t>
      </w:r>
      <w:r>
        <w:t>ifade</w:t>
      </w:r>
      <w:r>
        <w:rPr>
          <w:spacing w:val="-15"/>
        </w:rPr>
        <w:t xml:space="preserve"> </w:t>
      </w:r>
      <w:r>
        <w:t>ederken,</w:t>
      </w:r>
      <w:r>
        <w:rPr>
          <w:spacing w:val="-15"/>
        </w:rPr>
        <w:t xml:space="preserve"> </w:t>
      </w:r>
      <w:r>
        <w:t>%15.3’ü</w:t>
      </w:r>
      <w:r>
        <w:rPr>
          <w:spacing w:val="-15"/>
        </w:rPr>
        <w:t xml:space="preserve"> </w:t>
      </w:r>
      <w:r>
        <w:t>kesinlikle</w:t>
      </w:r>
      <w:r>
        <w:rPr>
          <w:spacing w:val="-15"/>
        </w:rPr>
        <w:t xml:space="preserve"> </w:t>
      </w:r>
      <w:r>
        <w:t>katılmadığını</w:t>
      </w:r>
      <w:r>
        <w:rPr>
          <w:spacing w:val="-15"/>
        </w:rPr>
        <w:t xml:space="preserve"> </w:t>
      </w:r>
      <w:r>
        <w:t>belirtmiştir.</w:t>
      </w:r>
      <w:r>
        <w:rPr>
          <w:spacing w:val="-15"/>
        </w:rPr>
        <w:t xml:space="preserve"> </w:t>
      </w:r>
      <w:r>
        <w:t>Bu</w:t>
      </w:r>
      <w:r>
        <w:rPr>
          <w:spacing w:val="-15"/>
        </w:rPr>
        <w:t xml:space="preserve"> </w:t>
      </w:r>
      <w:r>
        <w:t>sonuç, sanal rekreasyonun katılımcılar için derin bir katılım sağladığını, ancak bir kısmı için bu etkilerin sınırlı olduğunu göstermektedir.</w:t>
      </w:r>
    </w:p>
    <w:p w14:paraId="5A1B3660">
      <w:pPr>
        <w:pStyle w:val="9"/>
        <w:spacing w:before="120" w:after="120" w:line="360" w:lineRule="auto"/>
        <w:ind w:left="0" w:firstLine="567"/>
      </w:pPr>
      <w:r>
        <w:t>"Sanal rekreasyon faaliyetleri ile kapasitemin sınırlarını zorlarım" ifadesine yönelik katılımcılar, sanal rekreasyon faaliyetleri ile kendi kapasite sınırlarını zorladıklarını belirtmişlerdir. Bu ifade ortalama 3.16 (standart sapma = 1.31) ile değerlendirilmiştir. Katılımcıların %26.8’i bu durumu yaşadıklarını ifade ederken, %14.0’ı kesinlikle katılmadığını belirtmiştir. Bu bulgu, sanal rekreasyonun çoğu katılımcı için sınırlarını zorlama</w:t>
      </w:r>
      <w:r>
        <w:rPr>
          <w:spacing w:val="-4"/>
        </w:rPr>
        <w:t xml:space="preserve"> </w:t>
      </w:r>
      <w:r>
        <w:t>deneyimi</w:t>
      </w:r>
      <w:r>
        <w:rPr>
          <w:spacing w:val="-4"/>
        </w:rPr>
        <w:t xml:space="preserve"> </w:t>
      </w:r>
      <w:r>
        <w:t>sunduğunu,</w:t>
      </w:r>
      <w:r>
        <w:rPr>
          <w:spacing w:val="-4"/>
        </w:rPr>
        <w:t xml:space="preserve"> </w:t>
      </w:r>
      <w:r>
        <w:t>ancak</w:t>
      </w:r>
      <w:r>
        <w:rPr>
          <w:spacing w:val="-4"/>
        </w:rPr>
        <w:t xml:space="preserve"> </w:t>
      </w:r>
      <w:r>
        <w:t>bir</w:t>
      </w:r>
      <w:r>
        <w:rPr>
          <w:spacing w:val="-4"/>
        </w:rPr>
        <w:t xml:space="preserve"> </w:t>
      </w:r>
      <w:r>
        <w:t>kısmı</w:t>
      </w:r>
      <w:r>
        <w:rPr>
          <w:spacing w:val="-4"/>
        </w:rPr>
        <w:t xml:space="preserve"> </w:t>
      </w:r>
      <w:r>
        <w:t>için</w:t>
      </w:r>
      <w:r>
        <w:rPr>
          <w:spacing w:val="-4"/>
        </w:rPr>
        <w:t xml:space="preserve"> </w:t>
      </w:r>
      <w:r>
        <w:t>bu</w:t>
      </w:r>
      <w:r>
        <w:rPr>
          <w:spacing w:val="-4"/>
        </w:rPr>
        <w:t xml:space="preserve"> </w:t>
      </w:r>
      <w:r>
        <w:t>deneyimin</w:t>
      </w:r>
      <w:r>
        <w:rPr>
          <w:spacing w:val="-4"/>
        </w:rPr>
        <w:t xml:space="preserve"> </w:t>
      </w:r>
      <w:r>
        <w:t>daha</w:t>
      </w:r>
      <w:r>
        <w:rPr>
          <w:spacing w:val="-6"/>
        </w:rPr>
        <w:t xml:space="preserve"> </w:t>
      </w:r>
      <w:r>
        <w:t>az</w:t>
      </w:r>
      <w:r>
        <w:rPr>
          <w:spacing w:val="-3"/>
        </w:rPr>
        <w:t xml:space="preserve"> </w:t>
      </w:r>
      <w:r>
        <w:t>belirgin</w:t>
      </w:r>
      <w:r>
        <w:rPr>
          <w:spacing w:val="-4"/>
        </w:rPr>
        <w:t xml:space="preserve"> </w:t>
      </w:r>
      <w:r>
        <w:t xml:space="preserve">olduğunu </w:t>
      </w:r>
      <w:r>
        <w:rPr>
          <w:spacing w:val="-2"/>
        </w:rPr>
        <w:t>göstermektedir.</w:t>
      </w:r>
    </w:p>
    <w:p w14:paraId="0CA46F3D">
      <w:pPr>
        <w:pStyle w:val="9"/>
        <w:spacing w:before="120" w:after="120" w:line="360" w:lineRule="auto"/>
        <w:ind w:left="0" w:firstLine="567"/>
      </w:pPr>
      <w:r>
        <w:t>"Sanal rekreasyon faaliyetleri ile zorlukların üstesinden gelmeyi öğrenirim" ifadesine yönelik katılımcılar, sanal rekreasyon faaliyetleri ile zorlukların üstesinden gelmeyi öğrendiklerini belirtmişlerdir. Bu ifade ortalama 3.08 (standart sapma = 1.26) ile değerlendirilmiştir.</w:t>
      </w:r>
      <w:r>
        <w:rPr>
          <w:spacing w:val="-15"/>
        </w:rPr>
        <w:t xml:space="preserve"> </w:t>
      </w:r>
      <w:r>
        <w:t>Katılımcıların</w:t>
      </w:r>
      <w:r>
        <w:rPr>
          <w:spacing w:val="-15"/>
        </w:rPr>
        <w:t xml:space="preserve"> </w:t>
      </w:r>
      <w:r>
        <w:t>%23.9’u</w:t>
      </w:r>
      <w:r>
        <w:rPr>
          <w:spacing w:val="-15"/>
        </w:rPr>
        <w:t xml:space="preserve"> </w:t>
      </w:r>
      <w:r>
        <w:t>bu</w:t>
      </w:r>
      <w:r>
        <w:rPr>
          <w:spacing w:val="-15"/>
        </w:rPr>
        <w:t xml:space="preserve"> </w:t>
      </w:r>
      <w:r>
        <w:t>durumu</w:t>
      </w:r>
      <w:r>
        <w:rPr>
          <w:spacing w:val="-15"/>
        </w:rPr>
        <w:t xml:space="preserve"> </w:t>
      </w:r>
      <w:r>
        <w:t>yaşadıklarını</w:t>
      </w:r>
      <w:r>
        <w:rPr>
          <w:spacing w:val="-15"/>
        </w:rPr>
        <w:t xml:space="preserve"> </w:t>
      </w:r>
      <w:r>
        <w:t>ifade</w:t>
      </w:r>
      <w:r>
        <w:rPr>
          <w:spacing w:val="-15"/>
        </w:rPr>
        <w:t xml:space="preserve"> </w:t>
      </w:r>
      <w:r>
        <w:t>ederken,</w:t>
      </w:r>
      <w:r>
        <w:rPr>
          <w:spacing w:val="-15"/>
        </w:rPr>
        <w:t xml:space="preserve"> </w:t>
      </w:r>
      <w:r>
        <w:t>%12.6’sı kesinlikle</w:t>
      </w:r>
      <w:r>
        <w:rPr>
          <w:spacing w:val="-11"/>
        </w:rPr>
        <w:t xml:space="preserve"> </w:t>
      </w:r>
      <w:r>
        <w:t>katılmadığını</w:t>
      </w:r>
      <w:r>
        <w:rPr>
          <w:spacing w:val="-10"/>
        </w:rPr>
        <w:t xml:space="preserve"> </w:t>
      </w:r>
      <w:r>
        <w:t>belirtmiştir.</w:t>
      </w:r>
      <w:r>
        <w:rPr>
          <w:spacing w:val="-11"/>
        </w:rPr>
        <w:t xml:space="preserve"> </w:t>
      </w:r>
      <w:r>
        <w:t>Bu</w:t>
      </w:r>
      <w:r>
        <w:rPr>
          <w:spacing w:val="-10"/>
        </w:rPr>
        <w:t xml:space="preserve"> </w:t>
      </w:r>
      <w:r>
        <w:t>sonuç,</w:t>
      </w:r>
      <w:r>
        <w:rPr>
          <w:spacing w:val="-10"/>
        </w:rPr>
        <w:t xml:space="preserve"> </w:t>
      </w:r>
      <w:r>
        <w:t>sanal</w:t>
      </w:r>
      <w:r>
        <w:rPr>
          <w:spacing w:val="-10"/>
        </w:rPr>
        <w:t xml:space="preserve"> </w:t>
      </w:r>
      <w:r>
        <w:t>rekreasyonun</w:t>
      </w:r>
      <w:r>
        <w:rPr>
          <w:spacing w:val="-10"/>
        </w:rPr>
        <w:t xml:space="preserve"> </w:t>
      </w:r>
      <w:r>
        <w:t>katılımcılar</w:t>
      </w:r>
      <w:r>
        <w:rPr>
          <w:spacing w:val="-11"/>
        </w:rPr>
        <w:t xml:space="preserve"> </w:t>
      </w:r>
      <w:r>
        <w:t>için</w:t>
      </w:r>
      <w:r>
        <w:rPr>
          <w:spacing w:val="-10"/>
        </w:rPr>
        <w:t xml:space="preserve"> </w:t>
      </w:r>
      <w:r>
        <w:t>problem çözme becerilerini geliştiren bir etkinlik olduğunu göstermektedir.</w:t>
      </w:r>
    </w:p>
    <w:p w14:paraId="41F70CA7">
      <w:pPr>
        <w:pStyle w:val="9"/>
        <w:spacing w:before="120" w:after="120" w:line="360" w:lineRule="auto"/>
        <w:ind w:left="0" w:firstLine="567"/>
      </w:pPr>
      <w:r>
        <w:t>"Sanal rekreasyon faaliyetlerini yaparken zamanın nasıl geçtiğini anlamam" ifadesine yönelik katılımcılar, sanal rekreasyon faaliyetlerinde zamanın nasıl geçtiğini fark etmediklerini belirtmişlerdir. Bu ifade ortalama 3.27 (standart sapma = 1.33) ile değerlendirilmiştir. Katılımcıların %32.1’i zamanın nasıl geçtiğini fark etmediklerini ifade ederken, %14.4’ü kesinlikle katılmadığını belirtmiştir. Bu sonuç, sanal rekreasyonun katılımcılar için zamanın hızlı geçtiği bir deneyim sunduğunu göstermektedir.</w:t>
      </w:r>
    </w:p>
    <w:p w14:paraId="17B94D11">
      <w:pPr>
        <w:pStyle w:val="9"/>
        <w:spacing w:before="120" w:after="120" w:line="360" w:lineRule="auto"/>
        <w:ind w:left="0" w:firstLine="567"/>
      </w:pPr>
      <w:r>
        <w:t>"Sanal rekreasyon faaliyetleri ile kendimi sonsuz bir yolculuğa çıkmış gibi hissederim" ifadesine yönelik katılımcılar, sanal rekreasyon faaliyetleri ile kendilerini sonsuz bir yolculuğa</w:t>
      </w:r>
      <w:r>
        <w:rPr>
          <w:spacing w:val="-1"/>
        </w:rPr>
        <w:t xml:space="preserve"> </w:t>
      </w:r>
      <w:r>
        <w:t>çıkmış gibi</w:t>
      </w:r>
      <w:r>
        <w:rPr>
          <w:spacing w:val="-1"/>
        </w:rPr>
        <w:t xml:space="preserve"> </w:t>
      </w:r>
      <w:r>
        <w:t>hissettiklerini</w:t>
      </w:r>
      <w:r>
        <w:rPr>
          <w:spacing w:val="-1"/>
        </w:rPr>
        <w:t xml:space="preserve"> </w:t>
      </w:r>
      <w:r>
        <w:t>belirtmişlerdir.</w:t>
      </w:r>
      <w:r>
        <w:rPr>
          <w:spacing w:val="-2"/>
        </w:rPr>
        <w:t xml:space="preserve"> </w:t>
      </w:r>
      <w:r>
        <w:t>Bu ifade</w:t>
      </w:r>
      <w:r>
        <w:rPr>
          <w:spacing w:val="-2"/>
        </w:rPr>
        <w:t xml:space="preserve"> </w:t>
      </w:r>
      <w:r>
        <w:t>ortalama 3.15 (standart</w:t>
      </w:r>
      <w:r>
        <w:rPr>
          <w:spacing w:val="-1"/>
        </w:rPr>
        <w:t xml:space="preserve"> </w:t>
      </w:r>
      <w:r>
        <w:rPr>
          <w:spacing w:val="-2"/>
        </w:rPr>
        <w:t>sapma</w:t>
      </w:r>
    </w:p>
    <w:p w14:paraId="303FD146">
      <w:pPr>
        <w:pStyle w:val="9"/>
        <w:spacing w:before="120" w:after="120" w:line="360" w:lineRule="auto"/>
        <w:ind w:left="0" w:firstLine="567"/>
      </w:pPr>
      <w:r>
        <w:rPr>
          <w:spacing w:val="-2"/>
        </w:rPr>
        <w:t>=</w:t>
      </w:r>
      <w:r>
        <w:rPr>
          <w:spacing w:val="-3"/>
        </w:rPr>
        <w:t xml:space="preserve"> </w:t>
      </w:r>
      <w:r>
        <w:rPr>
          <w:spacing w:val="-2"/>
        </w:rPr>
        <w:t>1.27)</w:t>
      </w:r>
      <w:r>
        <w:rPr>
          <w:spacing w:val="-3"/>
        </w:rPr>
        <w:t xml:space="preserve"> </w:t>
      </w:r>
      <w:r>
        <w:rPr>
          <w:spacing w:val="-2"/>
        </w:rPr>
        <w:t>ile</w:t>
      </w:r>
      <w:r>
        <w:rPr>
          <w:spacing w:val="-3"/>
        </w:rPr>
        <w:t xml:space="preserve"> </w:t>
      </w:r>
      <w:r>
        <w:rPr>
          <w:spacing w:val="-2"/>
        </w:rPr>
        <w:t>değerlendirilmiştir.</w:t>
      </w:r>
      <w:r>
        <w:rPr>
          <w:spacing w:val="-3"/>
        </w:rPr>
        <w:t xml:space="preserve"> </w:t>
      </w:r>
      <w:r>
        <w:rPr>
          <w:spacing w:val="-2"/>
        </w:rPr>
        <w:t xml:space="preserve">Katılımcıların %28.5’i bu hissi yaşadığını belirtirken, %13.1’i </w:t>
      </w:r>
      <w:r>
        <w:t>kesinlikle katılmadığını ifade etmiştir. Bu bulgu, sanal rekreasyonun çoğu katılımcı için derin ve anlamlı bir yolculuk hissi sağladığını, ancak bir kısmı için bu deneyimin daha az etkileyici olduğunu göstermektedir.</w:t>
      </w:r>
    </w:p>
    <w:p w14:paraId="6989917E">
      <w:pPr>
        <w:pStyle w:val="4"/>
        <w:spacing w:before="240" w:after="240" w:line="360" w:lineRule="auto"/>
        <w:ind w:left="567" w:firstLine="0"/>
        <w:rPr>
          <w:i w:val="0"/>
        </w:rPr>
      </w:pPr>
      <w:bookmarkStart w:id="222" w:name="_Toc195877828"/>
      <w:bookmarkStart w:id="223" w:name="_Toc197351281"/>
      <w:bookmarkStart w:id="224" w:name="_Toc195875849"/>
      <w:r>
        <w:rPr>
          <w:i w:val="0"/>
        </w:rPr>
        <w:t>4.1.2. Yaşam Kalitesi Ölçeği'ne İlişkin Bulgular</w:t>
      </w:r>
      <w:bookmarkEnd w:id="222"/>
      <w:bookmarkEnd w:id="223"/>
      <w:bookmarkEnd w:id="224"/>
    </w:p>
    <w:p w14:paraId="435E1FC4">
      <w:pPr>
        <w:pStyle w:val="9"/>
        <w:spacing w:before="120" w:after="120" w:line="360" w:lineRule="auto"/>
        <w:ind w:left="0" w:firstLine="567"/>
      </w:pPr>
      <w:r>
        <w:t>Bu bölümde, Yaşam Kalitesi Ölçeği kullanılarak elde edilen bulgular detaylı bir şekilde sunulmaktadır. Araştırmanın amacı doğrultusunda katılımcıların yaşam kaliteleri, sağlık durumları ve genel memnuniyet düzeyleri incelenmiştir. Aşağıda her bir maddeye ilişkin frekans,</w:t>
      </w:r>
      <w:r>
        <w:rPr>
          <w:spacing w:val="-15"/>
        </w:rPr>
        <w:t xml:space="preserve"> </w:t>
      </w:r>
      <w:r>
        <w:t>yüzde</w:t>
      </w:r>
      <w:r>
        <w:rPr>
          <w:spacing w:val="-15"/>
        </w:rPr>
        <w:t xml:space="preserve"> </w:t>
      </w:r>
      <w:r>
        <w:t>dağılımı,</w:t>
      </w:r>
      <w:r>
        <w:rPr>
          <w:spacing w:val="-15"/>
        </w:rPr>
        <w:t xml:space="preserve"> </w:t>
      </w:r>
      <w:r>
        <w:t>ortalama</w:t>
      </w:r>
      <w:r>
        <w:rPr>
          <w:spacing w:val="-15"/>
        </w:rPr>
        <w:t xml:space="preserve"> </w:t>
      </w:r>
      <w:r>
        <w:t>ve</w:t>
      </w:r>
      <w:r>
        <w:rPr>
          <w:spacing w:val="-15"/>
        </w:rPr>
        <w:t xml:space="preserve"> </w:t>
      </w:r>
      <w:r>
        <w:t>standart</w:t>
      </w:r>
      <w:r>
        <w:rPr>
          <w:spacing w:val="-15"/>
        </w:rPr>
        <w:t xml:space="preserve"> </w:t>
      </w:r>
      <w:r>
        <w:t>sapma</w:t>
      </w:r>
      <w:r>
        <w:rPr>
          <w:spacing w:val="-15"/>
        </w:rPr>
        <w:t xml:space="preserve"> </w:t>
      </w:r>
      <w:r>
        <w:t>değerleri</w:t>
      </w:r>
      <w:r>
        <w:rPr>
          <w:spacing w:val="-15"/>
        </w:rPr>
        <w:t xml:space="preserve"> </w:t>
      </w:r>
      <w:r>
        <w:t>açıklanmaktadır.</w:t>
      </w:r>
      <w:r>
        <w:rPr>
          <w:spacing w:val="-15"/>
        </w:rPr>
        <w:t xml:space="preserve"> </w:t>
      </w:r>
      <w:r>
        <w:t>Bu</w:t>
      </w:r>
      <w:r>
        <w:rPr>
          <w:spacing w:val="-15"/>
        </w:rPr>
        <w:t xml:space="preserve"> </w:t>
      </w:r>
      <w:r>
        <w:t>analizlere ilişkin sayısal değerler Tablo 4.2’de gösterilmektedir.</w:t>
      </w:r>
    </w:p>
    <w:p w14:paraId="1BD0A50C">
      <w:pPr>
        <w:pStyle w:val="9"/>
        <w:spacing w:line="360" w:lineRule="auto"/>
        <w:ind w:left="0"/>
        <w:rPr>
          <w:b/>
        </w:rPr>
      </w:pPr>
      <w:r>
        <w:rPr>
          <w:b/>
        </w:rPr>
        <w:t>Tablo</w:t>
      </w:r>
      <w:r>
        <w:rPr>
          <w:b/>
          <w:spacing w:val="-4"/>
        </w:rPr>
        <w:t xml:space="preserve"> </w:t>
      </w:r>
      <w:r>
        <w:rPr>
          <w:b/>
        </w:rPr>
        <w:t>4.2.</w:t>
      </w:r>
      <w:r>
        <w:rPr>
          <w:b/>
          <w:spacing w:val="-2"/>
        </w:rPr>
        <w:t xml:space="preserve"> </w:t>
      </w:r>
      <w:r>
        <w:t>Yaşam</w:t>
      </w:r>
      <w:r>
        <w:rPr>
          <w:spacing w:val="-1"/>
        </w:rPr>
        <w:t xml:space="preserve"> </w:t>
      </w:r>
      <w:r>
        <w:t>Kalitesi</w:t>
      </w:r>
      <w:r>
        <w:rPr>
          <w:spacing w:val="-2"/>
        </w:rPr>
        <w:t xml:space="preserve"> </w:t>
      </w:r>
      <w:r>
        <w:t>Ölçeği</w:t>
      </w:r>
      <w:r>
        <w:rPr>
          <w:spacing w:val="-1"/>
        </w:rPr>
        <w:t xml:space="preserve"> </w:t>
      </w:r>
      <w:r>
        <w:t>Maddelerine İlişkin</w:t>
      </w:r>
      <w:r>
        <w:rPr>
          <w:spacing w:val="-1"/>
        </w:rPr>
        <w:t xml:space="preserve"> </w:t>
      </w:r>
      <w:r>
        <w:t>Betimsel</w:t>
      </w:r>
      <w:r>
        <w:rPr>
          <w:spacing w:val="-2"/>
        </w:rPr>
        <w:t xml:space="preserve"> </w:t>
      </w:r>
      <w:r>
        <w:t>Analiz</w:t>
      </w:r>
      <w:r>
        <w:rPr>
          <w:spacing w:val="1"/>
        </w:rPr>
        <w:t xml:space="preserve"> </w:t>
      </w:r>
      <w:r>
        <w:rPr>
          <w:spacing w:val="-2"/>
        </w:rPr>
        <w:t>Değerleri</w:t>
      </w:r>
    </w:p>
    <w:p w14:paraId="1A4F2C36">
      <w:pPr>
        <w:pStyle w:val="9"/>
        <w:ind w:left="0"/>
        <w:jc w:val="left"/>
        <w:rPr>
          <w:sz w:val="20"/>
        </w:rPr>
      </w:pPr>
    </w:p>
    <w:p w14:paraId="133C4F31">
      <w:pPr>
        <w:pStyle w:val="9"/>
        <w:spacing w:before="7"/>
        <w:ind w:left="0"/>
        <w:jc w:val="left"/>
        <w:rPr>
          <w:sz w:val="12"/>
        </w:rPr>
      </w:pPr>
    </w:p>
    <w:tbl>
      <w:tblPr>
        <w:tblStyle w:val="7"/>
        <w:tblW w:w="0" w:type="auto"/>
        <w:tblInd w:w="167" w:type="dxa"/>
        <w:tblLayout w:type="fixed"/>
        <w:tblCellMar>
          <w:top w:w="0" w:type="dxa"/>
          <w:left w:w="0" w:type="dxa"/>
          <w:bottom w:w="0" w:type="dxa"/>
          <w:right w:w="0" w:type="dxa"/>
        </w:tblCellMar>
      </w:tblPr>
      <w:tblGrid>
        <w:gridCol w:w="554"/>
        <w:gridCol w:w="5375"/>
        <w:gridCol w:w="426"/>
        <w:gridCol w:w="369"/>
        <w:gridCol w:w="378"/>
        <w:gridCol w:w="341"/>
        <w:gridCol w:w="594"/>
        <w:gridCol w:w="397"/>
        <w:gridCol w:w="356"/>
      </w:tblGrid>
      <w:tr w14:paraId="185AA8C7">
        <w:tblPrEx>
          <w:tblCellMar>
            <w:top w:w="0" w:type="dxa"/>
            <w:left w:w="0" w:type="dxa"/>
            <w:bottom w:w="0" w:type="dxa"/>
            <w:right w:w="0" w:type="dxa"/>
          </w:tblCellMar>
        </w:tblPrEx>
        <w:trPr>
          <w:trHeight w:val="1413" w:hRule="atLeast"/>
        </w:trPr>
        <w:tc>
          <w:tcPr>
            <w:tcW w:w="554" w:type="dxa"/>
            <w:tcBorders>
              <w:top w:val="single" w:color="000000" w:sz="4" w:space="0"/>
              <w:bottom w:val="single" w:color="000000" w:sz="4" w:space="0"/>
            </w:tcBorders>
          </w:tcPr>
          <w:p w14:paraId="0365D4A8">
            <w:pPr>
              <w:pStyle w:val="29"/>
              <w:spacing w:before="11"/>
              <w:ind w:left="184" w:right="22" w:hanging="142"/>
              <w:rPr>
                <w:b/>
                <w:sz w:val="16"/>
              </w:rPr>
            </w:pPr>
            <w:r>
              <w:rPr>
                <w:b/>
                <w:spacing w:val="-2"/>
                <w:sz w:val="16"/>
              </w:rPr>
              <w:t>Madde</w:t>
            </w:r>
            <w:r>
              <w:rPr>
                <w:b/>
                <w:spacing w:val="40"/>
                <w:sz w:val="16"/>
              </w:rPr>
              <w:t xml:space="preserve"> </w:t>
            </w:r>
            <w:r>
              <w:rPr>
                <w:b/>
                <w:spacing w:val="-6"/>
                <w:sz w:val="16"/>
              </w:rPr>
              <w:t>No</w:t>
            </w:r>
          </w:p>
        </w:tc>
        <w:tc>
          <w:tcPr>
            <w:tcW w:w="5375" w:type="dxa"/>
            <w:tcBorders>
              <w:top w:val="single" w:color="000000" w:sz="4" w:space="0"/>
              <w:bottom w:val="single" w:color="000000" w:sz="4" w:space="0"/>
            </w:tcBorders>
          </w:tcPr>
          <w:p w14:paraId="716EF2BD">
            <w:pPr>
              <w:pStyle w:val="29"/>
              <w:rPr>
                <w:sz w:val="18"/>
              </w:rPr>
            </w:pPr>
          </w:p>
          <w:p w14:paraId="37AF1DD9">
            <w:pPr>
              <w:pStyle w:val="29"/>
              <w:rPr>
                <w:sz w:val="18"/>
              </w:rPr>
            </w:pPr>
          </w:p>
          <w:p w14:paraId="67B941C5">
            <w:pPr>
              <w:pStyle w:val="29"/>
              <w:spacing w:before="1"/>
              <w:rPr>
                <w:sz w:val="17"/>
              </w:rPr>
            </w:pPr>
          </w:p>
          <w:p w14:paraId="2EC32AD4">
            <w:pPr>
              <w:pStyle w:val="29"/>
              <w:ind w:left="2432" w:right="2432"/>
              <w:jc w:val="center"/>
              <w:rPr>
                <w:b/>
                <w:sz w:val="16"/>
              </w:rPr>
            </w:pPr>
            <w:r>
              <w:rPr>
                <w:b/>
                <w:spacing w:val="-2"/>
                <w:sz w:val="16"/>
              </w:rPr>
              <w:t>Madde</w:t>
            </w:r>
          </w:p>
        </w:tc>
        <w:tc>
          <w:tcPr>
            <w:tcW w:w="426" w:type="dxa"/>
            <w:tcBorders>
              <w:top w:val="single" w:color="000000" w:sz="4" w:space="0"/>
              <w:bottom w:val="single" w:color="000000" w:sz="4" w:space="0"/>
            </w:tcBorders>
            <w:textDirection w:val="btLr"/>
          </w:tcPr>
          <w:p w14:paraId="2ABB71AF">
            <w:pPr>
              <w:pStyle w:val="29"/>
              <w:spacing w:before="33" w:line="180" w:lineRule="atLeast"/>
              <w:ind w:left="218" w:firstLine="141"/>
              <w:rPr>
                <w:b/>
                <w:sz w:val="16"/>
              </w:rPr>
            </w:pPr>
            <w:r>
              <w:rPr>
                <w:b/>
                <w:spacing w:val="-2"/>
                <w:sz w:val="16"/>
              </w:rPr>
              <w:t>Tamamen</w:t>
            </w:r>
            <w:r>
              <w:rPr>
                <w:b/>
                <w:spacing w:val="40"/>
                <w:sz w:val="16"/>
              </w:rPr>
              <w:t xml:space="preserve"> </w:t>
            </w:r>
            <w:r>
              <w:rPr>
                <w:b/>
                <w:spacing w:val="-2"/>
                <w:sz w:val="16"/>
              </w:rPr>
              <w:t>Katılmıyorum</w:t>
            </w:r>
          </w:p>
        </w:tc>
        <w:tc>
          <w:tcPr>
            <w:tcW w:w="369" w:type="dxa"/>
            <w:tcBorders>
              <w:top w:val="single" w:color="000000" w:sz="4" w:space="0"/>
              <w:bottom w:val="single" w:color="000000" w:sz="4" w:space="0"/>
            </w:tcBorders>
            <w:textDirection w:val="btLr"/>
          </w:tcPr>
          <w:p w14:paraId="5FF993B1">
            <w:pPr>
              <w:pStyle w:val="29"/>
              <w:spacing w:before="101"/>
              <w:ind w:left="218"/>
              <w:rPr>
                <w:b/>
                <w:sz w:val="16"/>
              </w:rPr>
            </w:pPr>
            <w:r>
              <w:rPr>
                <w:b/>
                <w:spacing w:val="-2"/>
                <w:sz w:val="16"/>
              </w:rPr>
              <w:t>Katılmıyorum</w:t>
            </w:r>
          </w:p>
        </w:tc>
        <w:tc>
          <w:tcPr>
            <w:tcW w:w="378" w:type="dxa"/>
            <w:tcBorders>
              <w:top w:val="single" w:color="000000" w:sz="4" w:space="0"/>
              <w:bottom w:val="single" w:color="000000" w:sz="4" w:space="0"/>
            </w:tcBorders>
            <w:textDirection w:val="btLr"/>
          </w:tcPr>
          <w:p w14:paraId="1B9F5A94">
            <w:pPr>
              <w:pStyle w:val="29"/>
              <w:spacing w:before="109"/>
              <w:ind w:left="314"/>
              <w:rPr>
                <w:b/>
                <w:sz w:val="16"/>
              </w:rPr>
            </w:pPr>
            <w:r>
              <w:rPr>
                <w:b/>
                <w:spacing w:val="-2"/>
                <w:sz w:val="16"/>
              </w:rPr>
              <w:t>Kararsızım</w:t>
            </w:r>
          </w:p>
        </w:tc>
        <w:tc>
          <w:tcPr>
            <w:tcW w:w="341" w:type="dxa"/>
            <w:tcBorders>
              <w:top w:val="single" w:color="000000" w:sz="4" w:space="0"/>
              <w:bottom w:val="single" w:color="000000" w:sz="4" w:space="0"/>
            </w:tcBorders>
            <w:textDirection w:val="btLr"/>
          </w:tcPr>
          <w:p w14:paraId="44B1C264">
            <w:pPr>
              <w:pStyle w:val="29"/>
              <w:spacing w:before="72"/>
              <w:ind w:left="282"/>
              <w:rPr>
                <w:b/>
                <w:sz w:val="16"/>
              </w:rPr>
            </w:pPr>
            <w:r>
              <w:rPr>
                <w:b/>
                <w:spacing w:val="-2"/>
                <w:sz w:val="16"/>
              </w:rPr>
              <w:t>Katılıyorum</w:t>
            </w:r>
          </w:p>
        </w:tc>
        <w:tc>
          <w:tcPr>
            <w:tcW w:w="594" w:type="dxa"/>
            <w:tcBorders>
              <w:top w:val="single" w:color="000000" w:sz="4" w:space="0"/>
              <w:bottom w:val="single" w:color="000000" w:sz="4" w:space="0"/>
            </w:tcBorders>
            <w:textDirection w:val="btLr"/>
          </w:tcPr>
          <w:p w14:paraId="1F1AB3DA">
            <w:pPr>
              <w:pStyle w:val="29"/>
              <w:spacing w:before="130" w:line="247" w:lineRule="auto"/>
              <w:ind w:left="282" w:firstLine="76"/>
              <w:rPr>
                <w:b/>
                <w:sz w:val="16"/>
              </w:rPr>
            </w:pPr>
            <w:r>
              <w:rPr>
                <w:b/>
                <w:spacing w:val="-2"/>
                <w:sz w:val="16"/>
              </w:rPr>
              <w:t>Tamamen</w:t>
            </w:r>
            <w:r>
              <w:rPr>
                <w:b/>
                <w:spacing w:val="40"/>
                <w:sz w:val="16"/>
              </w:rPr>
              <w:t xml:space="preserve"> </w:t>
            </w:r>
            <w:r>
              <w:rPr>
                <w:b/>
                <w:spacing w:val="-2"/>
                <w:sz w:val="16"/>
              </w:rPr>
              <w:t>Katılıyorum</w:t>
            </w:r>
          </w:p>
        </w:tc>
        <w:tc>
          <w:tcPr>
            <w:tcW w:w="397" w:type="dxa"/>
            <w:tcBorders>
              <w:top w:val="single" w:color="000000" w:sz="4" w:space="0"/>
              <w:bottom w:val="single" w:color="000000" w:sz="4" w:space="0"/>
            </w:tcBorders>
            <w:textDirection w:val="btLr"/>
          </w:tcPr>
          <w:p w14:paraId="2F75DB7B">
            <w:pPr>
              <w:pStyle w:val="29"/>
              <w:spacing w:before="126"/>
              <w:ind w:left="374"/>
              <w:rPr>
                <w:b/>
                <w:sz w:val="16"/>
              </w:rPr>
            </w:pPr>
            <w:r>
              <w:rPr>
                <w:b/>
                <w:spacing w:val="-2"/>
                <w:sz w:val="16"/>
              </w:rPr>
              <w:t>Ortalama</w:t>
            </w:r>
          </w:p>
        </w:tc>
        <w:tc>
          <w:tcPr>
            <w:tcW w:w="356" w:type="dxa"/>
            <w:tcBorders>
              <w:top w:val="single" w:color="000000" w:sz="4" w:space="0"/>
              <w:bottom w:val="single" w:color="000000" w:sz="4" w:space="0"/>
            </w:tcBorders>
            <w:textDirection w:val="btLr"/>
          </w:tcPr>
          <w:p w14:paraId="756B5C84">
            <w:pPr>
              <w:pStyle w:val="29"/>
              <w:spacing w:before="67"/>
              <w:ind w:left="148"/>
              <w:rPr>
                <w:b/>
                <w:sz w:val="16"/>
              </w:rPr>
            </w:pPr>
            <w:r>
              <w:rPr>
                <w:b/>
                <w:sz w:val="16"/>
              </w:rPr>
              <w:t>Standart</w:t>
            </w:r>
            <w:r>
              <w:rPr>
                <w:b/>
                <w:spacing w:val="-7"/>
                <w:sz w:val="16"/>
              </w:rPr>
              <w:t xml:space="preserve"> </w:t>
            </w:r>
            <w:r>
              <w:rPr>
                <w:b/>
                <w:spacing w:val="-2"/>
                <w:sz w:val="16"/>
              </w:rPr>
              <w:t>Sapma</w:t>
            </w:r>
          </w:p>
        </w:tc>
      </w:tr>
      <w:tr w14:paraId="15615544">
        <w:tblPrEx>
          <w:tblCellMar>
            <w:top w:w="0" w:type="dxa"/>
            <w:left w:w="0" w:type="dxa"/>
            <w:bottom w:w="0" w:type="dxa"/>
            <w:right w:w="0" w:type="dxa"/>
          </w:tblCellMar>
        </w:tblPrEx>
        <w:trPr>
          <w:trHeight w:val="258" w:hRule="atLeast"/>
        </w:trPr>
        <w:tc>
          <w:tcPr>
            <w:tcW w:w="554" w:type="dxa"/>
            <w:tcBorders>
              <w:top w:val="single" w:color="000000" w:sz="4" w:space="0"/>
            </w:tcBorders>
          </w:tcPr>
          <w:p w14:paraId="112AFFC0">
            <w:pPr>
              <w:pStyle w:val="29"/>
              <w:spacing w:before="42"/>
              <w:ind w:left="43"/>
              <w:rPr>
                <w:sz w:val="16"/>
              </w:rPr>
            </w:pPr>
            <w:r>
              <w:rPr>
                <w:sz w:val="16"/>
              </w:rPr>
              <w:t>1</w:t>
            </w:r>
          </w:p>
        </w:tc>
        <w:tc>
          <w:tcPr>
            <w:tcW w:w="5375" w:type="dxa"/>
            <w:tcBorders>
              <w:top w:val="single" w:color="000000" w:sz="4" w:space="0"/>
            </w:tcBorders>
          </w:tcPr>
          <w:p w14:paraId="04394235">
            <w:pPr>
              <w:pStyle w:val="29"/>
              <w:spacing w:before="42"/>
              <w:ind w:left="29"/>
              <w:rPr>
                <w:sz w:val="16"/>
              </w:rPr>
            </w:pPr>
            <w:r>
              <w:rPr>
                <w:sz w:val="16"/>
              </w:rPr>
              <w:t>Yaşam</w:t>
            </w:r>
            <w:r>
              <w:rPr>
                <w:spacing w:val="-6"/>
                <w:sz w:val="16"/>
              </w:rPr>
              <w:t xml:space="preserve"> </w:t>
            </w:r>
            <w:r>
              <w:rPr>
                <w:sz w:val="16"/>
              </w:rPr>
              <w:t>kalitenizi</w:t>
            </w:r>
            <w:r>
              <w:rPr>
                <w:spacing w:val="-5"/>
                <w:sz w:val="16"/>
              </w:rPr>
              <w:t xml:space="preserve"> </w:t>
            </w:r>
            <w:r>
              <w:rPr>
                <w:sz w:val="16"/>
              </w:rPr>
              <w:t>nasıl</w:t>
            </w:r>
            <w:r>
              <w:rPr>
                <w:spacing w:val="-6"/>
                <w:sz w:val="16"/>
              </w:rPr>
              <w:t xml:space="preserve"> </w:t>
            </w:r>
            <w:r>
              <w:rPr>
                <w:spacing w:val="-2"/>
                <w:sz w:val="16"/>
              </w:rPr>
              <w:t>buluyorsunuz?</w:t>
            </w:r>
          </w:p>
        </w:tc>
        <w:tc>
          <w:tcPr>
            <w:tcW w:w="426" w:type="dxa"/>
            <w:tcBorders>
              <w:top w:val="single" w:color="000000" w:sz="4" w:space="0"/>
            </w:tcBorders>
          </w:tcPr>
          <w:p w14:paraId="268A482B">
            <w:pPr>
              <w:pStyle w:val="29"/>
              <w:spacing w:before="42"/>
              <w:ind w:left="22" w:right="97"/>
              <w:jc w:val="center"/>
              <w:rPr>
                <w:sz w:val="16"/>
              </w:rPr>
            </w:pPr>
            <w:r>
              <w:rPr>
                <w:spacing w:val="-4"/>
                <w:sz w:val="16"/>
              </w:rPr>
              <w:t>10.8</w:t>
            </w:r>
          </w:p>
        </w:tc>
        <w:tc>
          <w:tcPr>
            <w:tcW w:w="369" w:type="dxa"/>
            <w:tcBorders>
              <w:top w:val="single" w:color="000000" w:sz="4" w:space="0"/>
            </w:tcBorders>
          </w:tcPr>
          <w:p w14:paraId="6056F927">
            <w:pPr>
              <w:pStyle w:val="29"/>
              <w:spacing w:before="42"/>
              <w:ind w:left="10" w:right="54"/>
              <w:jc w:val="center"/>
              <w:rPr>
                <w:sz w:val="16"/>
              </w:rPr>
            </w:pPr>
            <w:r>
              <w:rPr>
                <w:spacing w:val="-4"/>
                <w:sz w:val="16"/>
              </w:rPr>
              <w:t>13.4</w:t>
            </w:r>
          </w:p>
        </w:tc>
        <w:tc>
          <w:tcPr>
            <w:tcW w:w="378" w:type="dxa"/>
            <w:tcBorders>
              <w:top w:val="single" w:color="000000" w:sz="4" w:space="0"/>
            </w:tcBorders>
          </w:tcPr>
          <w:p w14:paraId="19BCDAE5">
            <w:pPr>
              <w:pStyle w:val="29"/>
              <w:spacing w:before="42"/>
              <w:ind w:left="53" w:right="20"/>
              <w:jc w:val="center"/>
              <w:rPr>
                <w:sz w:val="16"/>
              </w:rPr>
            </w:pPr>
            <w:r>
              <w:rPr>
                <w:spacing w:val="-4"/>
                <w:sz w:val="16"/>
              </w:rPr>
              <w:t>36.3</w:t>
            </w:r>
          </w:p>
        </w:tc>
        <w:tc>
          <w:tcPr>
            <w:tcW w:w="341" w:type="dxa"/>
            <w:tcBorders>
              <w:top w:val="single" w:color="000000" w:sz="4" w:space="0"/>
            </w:tcBorders>
          </w:tcPr>
          <w:p w14:paraId="21B4A8EA">
            <w:pPr>
              <w:pStyle w:val="29"/>
              <w:spacing w:before="42"/>
              <w:ind w:left="17" w:right="19"/>
              <w:jc w:val="center"/>
              <w:rPr>
                <w:sz w:val="16"/>
              </w:rPr>
            </w:pPr>
            <w:r>
              <w:rPr>
                <w:spacing w:val="-4"/>
                <w:sz w:val="16"/>
              </w:rPr>
              <w:t>22.5</w:t>
            </w:r>
          </w:p>
        </w:tc>
        <w:tc>
          <w:tcPr>
            <w:tcW w:w="594" w:type="dxa"/>
            <w:tcBorders>
              <w:top w:val="single" w:color="000000" w:sz="4" w:space="0"/>
            </w:tcBorders>
          </w:tcPr>
          <w:p w14:paraId="4C3848D5">
            <w:pPr>
              <w:pStyle w:val="29"/>
              <w:spacing w:before="42"/>
              <w:ind w:left="24"/>
              <w:rPr>
                <w:sz w:val="16"/>
              </w:rPr>
            </w:pPr>
            <w:r>
              <w:rPr>
                <w:spacing w:val="-4"/>
                <w:sz w:val="16"/>
              </w:rPr>
              <w:t>17.0</w:t>
            </w:r>
          </w:p>
        </w:tc>
        <w:tc>
          <w:tcPr>
            <w:tcW w:w="397" w:type="dxa"/>
            <w:tcBorders>
              <w:top w:val="single" w:color="000000" w:sz="4" w:space="0"/>
            </w:tcBorders>
          </w:tcPr>
          <w:p w14:paraId="6ECC10BF">
            <w:pPr>
              <w:pStyle w:val="29"/>
              <w:spacing w:before="42"/>
              <w:ind w:left="70" w:right="23"/>
              <w:jc w:val="center"/>
              <w:rPr>
                <w:sz w:val="16"/>
              </w:rPr>
            </w:pPr>
            <w:r>
              <w:rPr>
                <w:spacing w:val="-4"/>
                <w:sz w:val="16"/>
              </w:rPr>
              <w:t>3.21</w:t>
            </w:r>
          </w:p>
        </w:tc>
        <w:tc>
          <w:tcPr>
            <w:tcW w:w="356" w:type="dxa"/>
            <w:tcBorders>
              <w:top w:val="single" w:color="000000" w:sz="4" w:space="0"/>
            </w:tcBorders>
          </w:tcPr>
          <w:p w14:paraId="3680C9CC">
            <w:pPr>
              <w:pStyle w:val="29"/>
              <w:spacing w:before="42"/>
              <w:ind w:left="12" w:right="40"/>
              <w:jc w:val="center"/>
              <w:rPr>
                <w:sz w:val="16"/>
              </w:rPr>
            </w:pPr>
            <w:r>
              <w:rPr>
                <w:spacing w:val="-4"/>
                <w:sz w:val="16"/>
              </w:rPr>
              <w:t>1.19</w:t>
            </w:r>
          </w:p>
        </w:tc>
      </w:tr>
      <w:tr w14:paraId="4D7A07D3">
        <w:tblPrEx>
          <w:tblCellMar>
            <w:top w:w="0" w:type="dxa"/>
            <w:left w:w="0" w:type="dxa"/>
            <w:bottom w:w="0" w:type="dxa"/>
            <w:right w:w="0" w:type="dxa"/>
          </w:tblCellMar>
        </w:tblPrEx>
        <w:trPr>
          <w:trHeight w:val="243" w:hRule="atLeast"/>
        </w:trPr>
        <w:tc>
          <w:tcPr>
            <w:tcW w:w="554" w:type="dxa"/>
          </w:tcPr>
          <w:p w14:paraId="1B4E86AB">
            <w:pPr>
              <w:pStyle w:val="29"/>
              <w:spacing w:before="26"/>
              <w:ind w:left="43"/>
              <w:rPr>
                <w:sz w:val="16"/>
              </w:rPr>
            </w:pPr>
            <w:r>
              <w:rPr>
                <w:sz w:val="16"/>
              </w:rPr>
              <w:t>2</w:t>
            </w:r>
          </w:p>
        </w:tc>
        <w:tc>
          <w:tcPr>
            <w:tcW w:w="5375" w:type="dxa"/>
          </w:tcPr>
          <w:p w14:paraId="6D09FBD4">
            <w:pPr>
              <w:pStyle w:val="29"/>
              <w:spacing w:before="26"/>
              <w:ind w:left="29"/>
              <w:rPr>
                <w:sz w:val="16"/>
              </w:rPr>
            </w:pPr>
            <w:r>
              <w:rPr>
                <w:sz w:val="16"/>
              </w:rPr>
              <w:t>Sağlığınızdan</w:t>
            </w:r>
            <w:r>
              <w:rPr>
                <w:spacing w:val="-6"/>
                <w:sz w:val="16"/>
              </w:rPr>
              <w:t xml:space="preserve"> </w:t>
            </w:r>
            <w:r>
              <w:rPr>
                <w:sz w:val="16"/>
              </w:rPr>
              <w:t>ne</w:t>
            </w:r>
            <w:r>
              <w:rPr>
                <w:spacing w:val="-8"/>
                <w:sz w:val="16"/>
              </w:rPr>
              <w:t xml:space="preserve"> </w:t>
            </w:r>
            <w:r>
              <w:rPr>
                <w:sz w:val="16"/>
              </w:rPr>
              <w:t>kadar</w:t>
            </w:r>
            <w:r>
              <w:rPr>
                <w:spacing w:val="-7"/>
                <w:sz w:val="16"/>
              </w:rPr>
              <w:t xml:space="preserve"> </w:t>
            </w:r>
            <w:r>
              <w:rPr>
                <w:spacing w:val="-2"/>
                <w:sz w:val="16"/>
              </w:rPr>
              <w:t>hoşnutsunuz?</w:t>
            </w:r>
          </w:p>
        </w:tc>
        <w:tc>
          <w:tcPr>
            <w:tcW w:w="426" w:type="dxa"/>
          </w:tcPr>
          <w:p w14:paraId="7526FB67">
            <w:pPr>
              <w:pStyle w:val="29"/>
              <w:spacing w:before="26"/>
              <w:ind w:left="22" w:right="97"/>
              <w:jc w:val="center"/>
              <w:rPr>
                <w:sz w:val="16"/>
              </w:rPr>
            </w:pPr>
            <w:r>
              <w:rPr>
                <w:spacing w:val="-4"/>
                <w:sz w:val="16"/>
              </w:rPr>
              <w:t>14.8</w:t>
            </w:r>
          </w:p>
        </w:tc>
        <w:tc>
          <w:tcPr>
            <w:tcW w:w="369" w:type="dxa"/>
          </w:tcPr>
          <w:p w14:paraId="2A4A337C">
            <w:pPr>
              <w:pStyle w:val="29"/>
              <w:spacing w:before="26"/>
              <w:ind w:left="10" w:right="54"/>
              <w:jc w:val="center"/>
              <w:rPr>
                <w:sz w:val="16"/>
              </w:rPr>
            </w:pPr>
            <w:r>
              <w:rPr>
                <w:spacing w:val="-4"/>
                <w:sz w:val="16"/>
              </w:rPr>
              <w:t>16.2</w:t>
            </w:r>
          </w:p>
        </w:tc>
        <w:tc>
          <w:tcPr>
            <w:tcW w:w="378" w:type="dxa"/>
          </w:tcPr>
          <w:p w14:paraId="10176371">
            <w:pPr>
              <w:pStyle w:val="29"/>
              <w:spacing w:before="26"/>
              <w:ind w:left="53" w:right="20"/>
              <w:jc w:val="center"/>
              <w:rPr>
                <w:sz w:val="16"/>
              </w:rPr>
            </w:pPr>
            <w:r>
              <w:rPr>
                <w:spacing w:val="-4"/>
                <w:sz w:val="16"/>
              </w:rPr>
              <w:t>22.8</w:t>
            </w:r>
          </w:p>
        </w:tc>
        <w:tc>
          <w:tcPr>
            <w:tcW w:w="341" w:type="dxa"/>
          </w:tcPr>
          <w:p w14:paraId="211C7F22">
            <w:pPr>
              <w:pStyle w:val="29"/>
              <w:spacing w:before="26"/>
              <w:ind w:left="17" w:right="19"/>
              <w:jc w:val="center"/>
              <w:rPr>
                <w:sz w:val="16"/>
              </w:rPr>
            </w:pPr>
            <w:r>
              <w:rPr>
                <w:spacing w:val="-4"/>
                <w:sz w:val="16"/>
              </w:rPr>
              <w:t>31.2</w:t>
            </w:r>
          </w:p>
        </w:tc>
        <w:tc>
          <w:tcPr>
            <w:tcW w:w="594" w:type="dxa"/>
          </w:tcPr>
          <w:p w14:paraId="76AF1091">
            <w:pPr>
              <w:pStyle w:val="29"/>
              <w:spacing w:before="26"/>
              <w:ind w:left="24"/>
              <w:rPr>
                <w:sz w:val="16"/>
              </w:rPr>
            </w:pPr>
            <w:r>
              <w:rPr>
                <w:spacing w:val="-4"/>
                <w:sz w:val="16"/>
              </w:rPr>
              <w:t>15.0</w:t>
            </w:r>
          </w:p>
        </w:tc>
        <w:tc>
          <w:tcPr>
            <w:tcW w:w="397" w:type="dxa"/>
          </w:tcPr>
          <w:p w14:paraId="57BB4E6A">
            <w:pPr>
              <w:pStyle w:val="29"/>
              <w:spacing w:before="26"/>
              <w:ind w:left="70" w:right="23"/>
              <w:jc w:val="center"/>
              <w:rPr>
                <w:sz w:val="16"/>
              </w:rPr>
            </w:pPr>
            <w:r>
              <w:rPr>
                <w:spacing w:val="-4"/>
                <w:sz w:val="16"/>
              </w:rPr>
              <w:t>3.15</w:t>
            </w:r>
          </w:p>
        </w:tc>
        <w:tc>
          <w:tcPr>
            <w:tcW w:w="356" w:type="dxa"/>
          </w:tcPr>
          <w:p w14:paraId="3A0F1E44">
            <w:pPr>
              <w:pStyle w:val="29"/>
              <w:spacing w:before="26"/>
              <w:ind w:left="12" w:right="40"/>
              <w:jc w:val="center"/>
              <w:rPr>
                <w:sz w:val="16"/>
              </w:rPr>
            </w:pPr>
            <w:r>
              <w:rPr>
                <w:spacing w:val="-4"/>
                <w:sz w:val="16"/>
              </w:rPr>
              <w:t>1.28</w:t>
            </w:r>
          </w:p>
        </w:tc>
      </w:tr>
      <w:tr w14:paraId="40F093F6">
        <w:tblPrEx>
          <w:tblCellMar>
            <w:top w:w="0" w:type="dxa"/>
            <w:left w:w="0" w:type="dxa"/>
            <w:bottom w:w="0" w:type="dxa"/>
            <w:right w:w="0" w:type="dxa"/>
          </w:tblCellMar>
        </w:tblPrEx>
        <w:trPr>
          <w:trHeight w:val="244" w:hRule="atLeast"/>
        </w:trPr>
        <w:tc>
          <w:tcPr>
            <w:tcW w:w="554" w:type="dxa"/>
          </w:tcPr>
          <w:p w14:paraId="2D73AB15">
            <w:pPr>
              <w:pStyle w:val="29"/>
              <w:spacing w:before="27"/>
              <w:ind w:left="43"/>
              <w:rPr>
                <w:sz w:val="16"/>
              </w:rPr>
            </w:pPr>
            <w:r>
              <w:rPr>
                <w:sz w:val="16"/>
              </w:rPr>
              <w:t>3</w:t>
            </w:r>
          </w:p>
        </w:tc>
        <w:tc>
          <w:tcPr>
            <w:tcW w:w="5375" w:type="dxa"/>
          </w:tcPr>
          <w:p w14:paraId="39807A23">
            <w:pPr>
              <w:pStyle w:val="29"/>
              <w:spacing w:before="27"/>
              <w:ind w:left="29"/>
              <w:rPr>
                <w:sz w:val="16"/>
              </w:rPr>
            </w:pPr>
            <w:r>
              <w:rPr>
                <w:sz w:val="16"/>
              </w:rPr>
              <w:t>Ağrılarınızın</w:t>
            </w:r>
            <w:r>
              <w:rPr>
                <w:spacing w:val="-9"/>
                <w:sz w:val="16"/>
              </w:rPr>
              <w:t xml:space="preserve"> </w:t>
            </w:r>
            <w:r>
              <w:rPr>
                <w:sz w:val="16"/>
              </w:rPr>
              <w:t>yapmanız</w:t>
            </w:r>
            <w:r>
              <w:rPr>
                <w:spacing w:val="-10"/>
                <w:sz w:val="16"/>
              </w:rPr>
              <w:t xml:space="preserve"> </w:t>
            </w:r>
            <w:r>
              <w:rPr>
                <w:sz w:val="16"/>
              </w:rPr>
              <w:t>gerekenleri</w:t>
            </w:r>
            <w:r>
              <w:rPr>
                <w:spacing w:val="-7"/>
                <w:sz w:val="16"/>
              </w:rPr>
              <w:t xml:space="preserve"> </w:t>
            </w:r>
            <w:r>
              <w:rPr>
                <w:sz w:val="16"/>
              </w:rPr>
              <w:t>ne</w:t>
            </w:r>
            <w:r>
              <w:rPr>
                <w:spacing w:val="-10"/>
                <w:sz w:val="16"/>
              </w:rPr>
              <w:t xml:space="preserve"> </w:t>
            </w:r>
            <w:r>
              <w:rPr>
                <w:sz w:val="16"/>
              </w:rPr>
              <w:t>kadar</w:t>
            </w:r>
            <w:r>
              <w:rPr>
                <w:spacing w:val="-10"/>
                <w:sz w:val="16"/>
              </w:rPr>
              <w:t xml:space="preserve"> </w:t>
            </w:r>
            <w:r>
              <w:rPr>
                <w:sz w:val="16"/>
              </w:rPr>
              <w:t>engellediğini</w:t>
            </w:r>
            <w:r>
              <w:rPr>
                <w:spacing w:val="-9"/>
                <w:sz w:val="16"/>
              </w:rPr>
              <w:t xml:space="preserve"> </w:t>
            </w:r>
            <w:r>
              <w:rPr>
                <w:spacing w:val="-2"/>
                <w:sz w:val="16"/>
              </w:rPr>
              <w:t>düşünüyorsunuz?</w:t>
            </w:r>
          </w:p>
        </w:tc>
        <w:tc>
          <w:tcPr>
            <w:tcW w:w="426" w:type="dxa"/>
          </w:tcPr>
          <w:p w14:paraId="005CDB56">
            <w:pPr>
              <w:pStyle w:val="29"/>
              <w:spacing w:before="27"/>
              <w:ind w:left="22" w:right="97"/>
              <w:jc w:val="center"/>
              <w:rPr>
                <w:sz w:val="16"/>
              </w:rPr>
            </w:pPr>
            <w:r>
              <w:rPr>
                <w:spacing w:val="-4"/>
                <w:sz w:val="16"/>
              </w:rPr>
              <w:t>17.2</w:t>
            </w:r>
          </w:p>
        </w:tc>
        <w:tc>
          <w:tcPr>
            <w:tcW w:w="369" w:type="dxa"/>
          </w:tcPr>
          <w:p w14:paraId="3AE0DE4B">
            <w:pPr>
              <w:pStyle w:val="29"/>
              <w:spacing w:before="27"/>
              <w:ind w:left="10" w:right="54"/>
              <w:jc w:val="center"/>
              <w:rPr>
                <w:sz w:val="16"/>
              </w:rPr>
            </w:pPr>
            <w:r>
              <w:rPr>
                <w:spacing w:val="-4"/>
                <w:sz w:val="16"/>
              </w:rPr>
              <w:t>25.9</w:t>
            </w:r>
          </w:p>
        </w:tc>
        <w:tc>
          <w:tcPr>
            <w:tcW w:w="378" w:type="dxa"/>
          </w:tcPr>
          <w:p w14:paraId="3605595F">
            <w:pPr>
              <w:pStyle w:val="29"/>
              <w:spacing w:before="27"/>
              <w:ind w:left="53" w:right="20"/>
              <w:jc w:val="center"/>
              <w:rPr>
                <w:sz w:val="16"/>
              </w:rPr>
            </w:pPr>
            <w:r>
              <w:rPr>
                <w:spacing w:val="-4"/>
                <w:sz w:val="16"/>
              </w:rPr>
              <w:t>26.8</w:t>
            </w:r>
          </w:p>
        </w:tc>
        <w:tc>
          <w:tcPr>
            <w:tcW w:w="341" w:type="dxa"/>
          </w:tcPr>
          <w:p w14:paraId="645D5A89">
            <w:pPr>
              <w:pStyle w:val="29"/>
              <w:spacing w:before="27"/>
              <w:ind w:left="17" w:right="19"/>
              <w:jc w:val="center"/>
              <w:rPr>
                <w:sz w:val="16"/>
              </w:rPr>
            </w:pPr>
            <w:r>
              <w:rPr>
                <w:spacing w:val="-4"/>
                <w:sz w:val="16"/>
              </w:rPr>
              <w:t>17.6</w:t>
            </w:r>
          </w:p>
        </w:tc>
        <w:tc>
          <w:tcPr>
            <w:tcW w:w="594" w:type="dxa"/>
          </w:tcPr>
          <w:p w14:paraId="5E56FDB7">
            <w:pPr>
              <w:pStyle w:val="29"/>
              <w:spacing w:before="27"/>
              <w:ind w:left="24"/>
              <w:rPr>
                <w:sz w:val="16"/>
              </w:rPr>
            </w:pPr>
            <w:r>
              <w:rPr>
                <w:spacing w:val="-4"/>
                <w:sz w:val="16"/>
              </w:rPr>
              <w:t>12.5</w:t>
            </w:r>
          </w:p>
        </w:tc>
        <w:tc>
          <w:tcPr>
            <w:tcW w:w="397" w:type="dxa"/>
          </w:tcPr>
          <w:p w14:paraId="4A822824">
            <w:pPr>
              <w:pStyle w:val="29"/>
              <w:spacing w:before="27"/>
              <w:ind w:left="70" w:right="23"/>
              <w:jc w:val="center"/>
              <w:rPr>
                <w:sz w:val="16"/>
              </w:rPr>
            </w:pPr>
            <w:r>
              <w:rPr>
                <w:spacing w:val="-4"/>
                <w:sz w:val="16"/>
              </w:rPr>
              <w:t>2.82</w:t>
            </w:r>
          </w:p>
        </w:tc>
        <w:tc>
          <w:tcPr>
            <w:tcW w:w="356" w:type="dxa"/>
          </w:tcPr>
          <w:p w14:paraId="57F0E98E">
            <w:pPr>
              <w:pStyle w:val="29"/>
              <w:spacing w:before="27"/>
              <w:ind w:left="12" w:right="40"/>
              <w:jc w:val="center"/>
              <w:rPr>
                <w:sz w:val="16"/>
              </w:rPr>
            </w:pPr>
            <w:r>
              <w:rPr>
                <w:spacing w:val="-4"/>
                <w:sz w:val="16"/>
              </w:rPr>
              <w:t>1.26</w:t>
            </w:r>
          </w:p>
        </w:tc>
      </w:tr>
      <w:tr w14:paraId="18583460">
        <w:tblPrEx>
          <w:tblCellMar>
            <w:top w:w="0" w:type="dxa"/>
            <w:left w:w="0" w:type="dxa"/>
            <w:bottom w:w="0" w:type="dxa"/>
            <w:right w:w="0" w:type="dxa"/>
          </w:tblCellMar>
        </w:tblPrEx>
        <w:trPr>
          <w:trHeight w:val="427" w:hRule="atLeast"/>
        </w:trPr>
        <w:tc>
          <w:tcPr>
            <w:tcW w:w="554" w:type="dxa"/>
          </w:tcPr>
          <w:p w14:paraId="354FD10C">
            <w:pPr>
              <w:pStyle w:val="29"/>
              <w:spacing w:before="27"/>
              <w:ind w:left="43"/>
              <w:rPr>
                <w:sz w:val="16"/>
              </w:rPr>
            </w:pPr>
            <w:r>
              <w:rPr>
                <w:sz w:val="16"/>
              </w:rPr>
              <w:t>4</w:t>
            </w:r>
          </w:p>
        </w:tc>
        <w:tc>
          <w:tcPr>
            <w:tcW w:w="5375" w:type="dxa"/>
          </w:tcPr>
          <w:p w14:paraId="563EDF38">
            <w:pPr>
              <w:pStyle w:val="29"/>
              <w:spacing w:before="27"/>
              <w:ind w:left="29"/>
              <w:rPr>
                <w:sz w:val="16"/>
              </w:rPr>
            </w:pPr>
            <w:r>
              <w:rPr>
                <w:sz w:val="16"/>
              </w:rPr>
              <w:t>Günlük</w:t>
            </w:r>
            <w:r>
              <w:rPr>
                <w:spacing w:val="-3"/>
                <w:sz w:val="16"/>
              </w:rPr>
              <w:t xml:space="preserve"> </w:t>
            </w:r>
            <w:r>
              <w:rPr>
                <w:sz w:val="16"/>
              </w:rPr>
              <w:t>uğraşlarınızı</w:t>
            </w:r>
            <w:r>
              <w:rPr>
                <w:spacing w:val="-1"/>
                <w:sz w:val="16"/>
              </w:rPr>
              <w:t xml:space="preserve"> </w:t>
            </w:r>
            <w:r>
              <w:rPr>
                <w:sz w:val="16"/>
              </w:rPr>
              <w:t>yürütebilmek için herhangi</w:t>
            </w:r>
            <w:r>
              <w:rPr>
                <w:spacing w:val="-1"/>
                <w:sz w:val="16"/>
              </w:rPr>
              <w:t xml:space="preserve"> </w:t>
            </w:r>
            <w:r>
              <w:rPr>
                <w:sz w:val="16"/>
              </w:rPr>
              <w:t>bir</w:t>
            </w:r>
            <w:r>
              <w:rPr>
                <w:spacing w:val="-2"/>
                <w:sz w:val="16"/>
              </w:rPr>
              <w:t xml:space="preserve"> </w:t>
            </w:r>
            <w:r>
              <w:rPr>
                <w:sz w:val="16"/>
              </w:rPr>
              <w:t>tıbbi</w:t>
            </w:r>
            <w:r>
              <w:rPr>
                <w:spacing w:val="-3"/>
                <w:sz w:val="16"/>
              </w:rPr>
              <w:t xml:space="preserve"> </w:t>
            </w:r>
            <w:r>
              <w:rPr>
                <w:sz w:val="16"/>
              </w:rPr>
              <w:t>tedaviye</w:t>
            </w:r>
            <w:r>
              <w:rPr>
                <w:spacing w:val="-3"/>
                <w:sz w:val="16"/>
              </w:rPr>
              <w:t xml:space="preserve"> </w:t>
            </w:r>
            <w:r>
              <w:rPr>
                <w:sz w:val="16"/>
              </w:rPr>
              <w:t>ne</w:t>
            </w:r>
            <w:r>
              <w:rPr>
                <w:spacing w:val="-3"/>
                <w:sz w:val="16"/>
              </w:rPr>
              <w:t xml:space="preserve"> </w:t>
            </w:r>
            <w:r>
              <w:rPr>
                <w:sz w:val="16"/>
              </w:rPr>
              <w:t>kadar</w:t>
            </w:r>
            <w:r>
              <w:rPr>
                <w:spacing w:val="-5"/>
                <w:sz w:val="16"/>
              </w:rPr>
              <w:t xml:space="preserve"> </w:t>
            </w:r>
            <w:r>
              <w:rPr>
                <w:sz w:val="16"/>
              </w:rPr>
              <w:t>ihtiyaç</w:t>
            </w:r>
            <w:r>
              <w:rPr>
                <w:spacing w:val="40"/>
                <w:sz w:val="16"/>
              </w:rPr>
              <w:t xml:space="preserve"> </w:t>
            </w:r>
            <w:r>
              <w:rPr>
                <w:spacing w:val="-2"/>
                <w:sz w:val="16"/>
              </w:rPr>
              <w:t>duyuyorsunuz?</w:t>
            </w:r>
          </w:p>
        </w:tc>
        <w:tc>
          <w:tcPr>
            <w:tcW w:w="426" w:type="dxa"/>
          </w:tcPr>
          <w:p w14:paraId="7A09018A">
            <w:pPr>
              <w:pStyle w:val="29"/>
              <w:spacing w:before="118"/>
              <w:ind w:left="22" w:right="97"/>
              <w:jc w:val="center"/>
              <w:rPr>
                <w:sz w:val="16"/>
              </w:rPr>
            </w:pPr>
            <w:r>
              <w:rPr>
                <w:spacing w:val="-4"/>
                <w:sz w:val="16"/>
              </w:rPr>
              <w:t>29.3</w:t>
            </w:r>
          </w:p>
        </w:tc>
        <w:tc>
          <w:tcPr>
            <w:tcW w:w="369" w:type="dxa"/>
          </w:tcPr>
          <w:p w14:paraId="4964B795">
            <w:pPr>
              <w:pStyle w:val="29"/>
              <w:spacing w:before="118"/>
              <w:ind w:left="10" w:right="54"/>
              <w:jc w:val="center"/>
              <w:rPr>
                <w:sz w:val="16"/>
              </w:rPr>
            </w:pPr>
            <w:r>
              <w:rPr>
                <w:spacing w:val="-4"/>
                <w:sz w:val="16"/>
              </w:rPr>
              <w:t>25.1</w:t>
            </w:r>
          </w:p>
        </w:tc>
        <w:tc>
          <w:tcPr>
            <w:tcW w:w="378" w:type="dxa"/>
          </w:tcPr>
          <w:p w14:paraId="21219BC8">
            <w:pPr>
              <w:pStyle w:val="29"/>
              <w:spacing w:before="118"/>
              <w:ind w:left="53" w:right="20"/>
              <w:jc w:val="center"/>
              <w:rPr>
                <w:sz w:val="16"/>
              </w:rPr>
            </w:pPr>
            <w:r>
              <w:rPr>
                <w:spacing w:val="-4"/>
                <w:sz w:val="16"/>
              </w:rPr>
              <w:t>19.5</w:t>
            </w:r>
          </w:p>
        </w:tc>
        <w:tc>
          <w:tcPr>
            <w:tcW w:w="341" w:type="dxa"/>
          </w:tcPr>
          <w:p w14:paraId="64B16D0F">
            <w:pPr>
              <w:pStyle w:val="29"/>
              <w:spacing w:before="118"/>
              <w:ind w:left="17" w:right="19"/>
              <w:jc w:val="center"/>
              <w:rPr>
                <w:sz w:val="16"/>
              </w:rPr>
            </w:pPr>
            <w:r>
              <w:rPr>
                <w:spacing w:val="-4"/>
                <w:sz w:val="16"/>
              </w:rPr>
              <w:t>13.3</w:t>
            </w:r>
          </w:p>
        </w:tc>
        <w:tc>
          <w:tcPr>
            <w:tcW w:w="594" w:type="dxa"/>
          </w:tcPr>
          <w:p w14:paraId="04B70771">
            <w:pPr>
              <w:pStyle w:val="29"/>
              <w:spacing w:before="118"/>
              <w:ind w:left="24"/>
              <w:rPr>
                <w:sz w:val="16"/>
              </w:rPr>
            </w:pPr>
            <w:r>
              <w:rPr>
                <w:spacing w:val="-4"/>
                <w:sz w:val="16"/>
              </w:rPr>
              <w:t>12.8</w:t>
            </w:r>
          </w:p>
        </w:tc>
        <w:tc>
          <w:tcPr>
            <w:tcW w:w="397" w:type="dxa"/>
          </w:tcPr>
          <w:p w14:paraId="7BDF3D21">
            <w:pPr>
              <w:pStyle w:val="29"/>
              <w:spacing w:before="118"/>
              <w:ind w:left="70" w:right="23"/>
              <w:jc w:val="center"/>
              <w:rPr>
                <w:sz w:val="16"/>
              </w:rPr>
            </w:pPr>
            <w:r>
              <w:rPr>
                <w:spacing w:val="-4"/>
                <w:sz w:val="16"/>
              </w:rPr>
              <w:t>2.55</w:t>
            </w:r>
          </w:p>
        </w:tc>
        <w:tc>
          <w:tcPr>
            <w:tcW w:w="356" w:type="dxa"/>
          </w:tcPr>
          <w:p w14:paraId="219DF741">
            <w:pPr>
              <w:pStyle w:val="29"/>
              <w:spacing w:before="118"/>
              <w:ind w:left="12" w:right="40"/>
              <w:jc w:val="center"/>
              <w:rPr>
                <w:sz w:val="16"/>
              </w:rPr>
            </w:pPr>
            <w:r>
              <w:rPr>
                <w:spacing w:val="-4"/>
                <w:sz w:val="16"/>
              </w:rPr>
              <w:t>1.36</w:t>
            </w:r>
          </w:p>
        </w:tc>
      </w:tr>
      <w:tr w14:paraId="0ECE4F1A">
        <w:tblPrEx>
          <w:tblCellMar>
            <w:top w:w="0" w:type="dxa"/>
            <w:left w:w="0" w:type="dxa"/>
            <w:bottom w:w="0" w:type="dxa"/>
            <w:right w:w="0" w:type="dxa"/>
          </w:tblCellMar>
        </w:tblPrEx>
        <w:trPr>
          <w:trHeight w:val="244" w:hRule="atLeast"/>
        </w:trPr>
        <w:tc>
          <w:tcPr>
            <w:tcW w:w="554" w:type="dxa"/>
          </w:tcPr>
          <w:p w14:paraId="57AB7462">
            <w:pPr>
              <w:pStyle w:val="29"/>
              <w:spacing w:before="27"/>
              <w:ind w:left="43"/>
              <w:rPr>
                <w:sz w:val="16"/>
              </w:rPr>
            </w:pPr>
            <w:r>
              <w:rPr>
                <w:sz w:val="16"/>
              </w:rPr>
              <w:t>5</w:t>
            </w:r>
          </w:p>
        </w:tc>
        <w:tc>
          <w:tcPr>
            <w:tcW w:w="5375" w:type="dxa"/>
          </w:tcPr>
          <w:p w14:paraId="13E58371">
            <w:pPr>
              <w:pStyle w:val="29"/>
              <w:spacing w:before="27"/>
              <w:ind w:left="29"/>
              <w:rPr>
                <w:sz w:val="16"/>
              </w:rPr>
            </w:pPr>
            <w:r>
              <w:rPr>
                <w:sz w:val="16"/>
              </w:rPr>
              <w:t>Yaşamaktan</w:t>
            </w:r>
            <w:r>
              <w:rPr>
                <w:spacing w:val="-5"/>
                <w:sz w:val="16"/>
              </w:rPr>
              <w:t xml:space="preserve"> </w:t>
            </w:r>
            <w:r>
              <w:rPr>
                <w:sz w:val="16"/>
              </w:rPr>
              <w:t>ne</w:t>
            </w:r>
            <w:r>
              <w:rPr>
                <w:spacing w:val="-7"/>
                <w:sz w:val="16"/>
              </w:rPr>
              <w:t xml:space="preserve"> </w:t>
            </w:r>
            <w:r>
              <w:rPr>
                <w:sz w:val="16"/>
              </w:rPr>
              <w:t>kadar</w:t>
            </w:r>
            <w:r>
              <w:rPr>
                <w:spacing w:val="-6"/>
                <w:sz w:val="16"/>
              </w:rPr>
              <w:t xml:space="preserve"> </w:t>
            </w:r>
            <w:r>
              <w:rPr>
                <w:sz w:val="16"/>
              </w:rPr>
              <w:t>keyif</w:t>
            </w:r>
            <w:r>
              <w:rPr>
                <w:spacing w:val="-4"/>
                <w:sz w:val="16"/>
              </w:rPr>
              <w:t xml:space="preserve"> </w:t>
            </w:r>
            <w:r>
              <w:rPr>
                <w:spacing w:val="-2"/>
                <w:sz w:val="16"/>
              </w:rPr>
              <w:t>alırsınız?</w:t>
            </w:r>
          </w:p>
        </w:tc>
        <w:tc>
          <w:tcPr>
            <w:tcW w:w="426" w:type="dxa"/>
          </w:tcPr>
          <w:p w14:paraId="384E9849">
            <w:pPr>
              <w:pStyle w:val="29"/>
              <w:spacing w:before="27"/>
              <w:ind w:left="22" w:right="97"/>
              <w:jc w:val="center"/>
              <w:rPr>
                <w:sz w:val="16"/>
              </w:rPr>
            </w:pPr>
            <w:r>
              <w:rPr>
                <w:spacing w:val="-4"/>
                <w:sz w:val="16"/>
              </w:rPr>
              <w:t>11.5</w:t>
            </w:r>
          </w:p>
        </w:tc>
        <w:tc>
          <w:tcPr>
            <w:tcW w:w="369" w:type="dxa"/>
          </w:tcPr>
          <w:p w14:paraId="2851C52E">
            <w:pPr>
              <w:pStyle w:val="29"/>
              <w:spacing w:before="27"/>
              <w:ind w:left="10" w:right="54"/>
              <w:jc w:val="center"/>
              <w:rPr>
                <w:sz w:val="16"/>
              </w:rPr>
            </w:pPr>
            <w:r>
              <w:rPr>
                <w:spacing w:val="-4"/>
                <w:sz w:val="16"/>
              </w:rPr>
              <w:t>16.5</w:t>
            </w:r>
          </w:p>
        </w:tc>
        <w:tc>
          <w:tcPr>
            <w:tcW w:w="378" w:type="dxa"/>
          </w:tcPr>
          <w:p w14:paraId="65688A3E">
            <w:pPr>
              <w:pStyle w:val="29"/>
              <w:spacing w:before="27"/>
              <w:ind w:left="53" w:right="20"/>
              <w:jc w:val="center"/>
              <w:rPr>
                <w:sz w:val="16"/>
              </w:rPr>
            </w:pPr>
            <w:r>
              <w:rPr>
                <w:spacing w:val="-4"/>
                <w:sz w:val="16"/>
              </w:rPr>
              <w:t>23.7</w:t>
            </w:r>
          </w:p>
        </w:tc>
        <w:tc>
          <w:tcPr>
            <w:tcW w:w="341" w:type="dxa"/>
          </w:tcPr>
          <w:p w14:paraId="438675B2">
            <w:pPr>
              <w:pStyle w:val="29"/>
              <w:spacing w:before="27"/>
              <w:ind w:left="17" w:right="19"/>
              <w:jc w:val="center"/>
              <w:rPr>
                <w:sz w:val="16"/>
              </w:rPr>
            </w:pPr>
            <w:r>
              <w:rPr>
                <w:spacing w:val="-4"/>
                <w:sz w:val="16"/>
              </w:rPr>
              <w:t>32.4</w:t>
            </w:r>
          </w:p>
        </w:tc>
        <w:tc>
          <w:tcPr>
            <w:tcW w:w="594" w:type="dxa"/>
          </w:tcPr>
          <w:p w14:paraId="271D0A4B">
            <w:pPr>
              <w:pStyle w:val="29"/>
              <w:spacing w:before="27"/>
              <w:ind w:left="24"/>
              <w:rPr>
                <w:sz w:val="16"/>
              </w:rPr>
            </w:pPr>
            <w:r>
              <w:rPr>
                <w:spacing w:val="-4"/>
                <w:sz w:val="16"/>
              </w:rPr>
              <w:t>15.8</w:t>
            </w:r>
          </w:p>
        </w:tc>
        <w:tc>
          <w:tcPr>
            <w:tcW w:w="397" w:type="dxa"/>
          </w:tcPr>
          <w:p w14:paraId="7F727EAA">
            <w:pPr>
              <w:pStyle w:val="29"/>
              <w:spacing w:before="27"/>
              <w:ind w:left="70" w:right="23"/>
              <w:jc w:val="center"/>
              <w:rPr>
                <w:sz w:val="16"/>
              </w:rPr>
            </w:pPr>
            <w:r>
              <w:rPr>
                <w:spacing w:val="-4"/>
                <w:sz w:val="16"/>
              </w:rPr>
              <w:t>3.24</w:t>
            </w:r>
          </w:p>
        </w:tc>
        <w:tc>
          <w:tcPr>
            <w:tcW w:w="356" w:type="dxa"/>
          </w:tcPr>
          <w:p w14:paraId="430CC31A">
            <w:pPr>
              <w:pStyle w:val="29"/>
              <w:spacing w:before="27"/>
              <w:ind w:left="12" w:right="40"/>
              <w:jc w:val="center"/>
              <w:rPr>
                <w:sz w:val="16"/>
              </w:rPr>
            </w:pPr>
            <w:r>
              <w:rPr>
                <w:spacing w:val="-4"/>
                <w:sz w:val="16"/>
              </w:rPr>
              <w:t>1.23</w:t>
            </w:r>
          </w:p>
        </w:tc>
      </w:tr>
      <w:tr w14:paraId="17EED0F2">
        <w:tblPrEx>
          <w:tblCellMar>
            <w:top w:w="0" w:type="dxa"/>
            <w:left w:w="0" w:type="dxa"/>
            <w:bottom w:w="0" w:type="dxa"/>
            <w:right w:w="0" w:type="dxa"/>
          </w:tblCellMar>
        </w:tblPrEx>
        <w:trPr>
          <w:trHeight w:val="211" w:hRule="atLeast"/>
        </w:trPr>
        <w:tc>
          <w:tcPr>
            <w:tcW w:w="554" w:type="dxa"/>
          </w:tcPr>
          <w:p w14:paraId="75102A4B">
            <w:pPr>
              <w:pStyle w:val="29"/>
              <w:spacing w:before="27" w:line="164" w:lineRule="exact"/>
              <w:ind w:left="43"/>
              <w:rPr>
                <w:sz w:val="16"/>
              </w:rPr>
            </w:pPr>
            <w:r>
              <w:rPr>
                <w:sz w:val="16"/>
              </w:rPr>
              <w:t>6</w:t>
            </w:r>
          </w:p>
        </w:tc>
        <w:tc>
          <w:tcPr>
            <w:tcW w:w="5375" w:type="dxa"/>
          </w:tcPr>
          <w:p w14:paraId="32BE5E6C">
            <w:pPr>
              <w:pStyle w:val="29"/>
              <w:spacing w:before="27" w:line="164" w:lineRule="exact"/>
              <w:ind w:left="29"/>
              <w:rPr>
                <w:sz w:val="16"/>
              </w:rPr>
            </w:pPr>
            <w:r>
              <w:rPr>
                <w:sz w:val="16"/>
              </w:rPr>
              <w:t>Yaşamınızı</w:t>
            </w:r>
            <w:r>
              <w:rPr>
                <w:spacing w:val="-6"/>
                <w:sz w:val="16"/>
              </w:rPr>
              <w:t xml:space="preserve"> </w:t>
            </w:r>
            <w:r>
              <w:rPr>
                <w:sz w:val="16"/>
              </w:rPr>
              <w:t>ne</w:t>
            </w:r>
            <w:r>
              <w:rPr>
                <w:spacing w:val="-6"/>
                <w:sz w:val="16"/>
              </w:rPr>
              <w:t xml:space="preserve"> </w:t>
            </w:r>
            <w:r>
              <w:rPr>
                <w:sz w:val="16"/>
              </w:rPr>
              <w:t>ölçüde</w:t>
            </w:r>
            <w:r>
              <w:rPr>
                <w:spacing w:val="-6"/>
                <w:sz w:val="16"/>
              </w:rPr>
              <w:t xml:space="preserve"> </w:t>
            </w:r>
            <w:r>
              <w:rPr>
                <w:sz w:val="16"/>
              </w:rPr>
              <w:t>anlamlı</w:t>
            </w:r>
            <w:r>
              <w:rPr>
                <w:spacing w:val="-5"/>
                <w:sz w:val="16"/>
              </w:rPr>
              <w:t xml:space="preserve"> </w:t>
            </w:r>
            <w:r>
              <w:rPr>
                <w:spacing w:val="-2"/>
                <w:sz w:val="16"/>
              </w:rPr>
              <w:t>buluyorsunuz?</w:t>
            </w:r>
          </w:p>
        </w:tc>
        <w:tc>
          <w:tcPr>
            <w:tcW w:w="426" w:type="dxa"/>
          </w:tcPr>
          <w:p w14:paraId="7C699DAD">
            <w:pPr>
              <w:pStyle w:val="29"/>
              <w:spacing w:before="27" w:line="164" w:lineRule="exact"/>
              <w:ind w:left="22" w:right="97"/>
              <w:jc w:val="center"/>
              <w:rPr>
                <w:sz w:val="16"/>
              </w:rPr>
            </w:pPr>
            <w:r>
              <w:rPr>
                <w:spacing w:val="-4"/>
                <w:sz w:val="16"/>
              </w:rPr>
              <w:t>13.3</w:t>
            </w:r>
          </w:p>
        </w:tc>
        <w:tc>
          <w:tcPr>
            <w:tcW w:w="369" w:type="dxa"/>
          </w:tcPr>
          <w:p w14:paraId="463900D4">
            <w:pPr>
              <w:pStyle w:val="29"/>
              <w:spacing w:before="27" w:line="164" w:lineRule="exact"/>
              <w:ind w:left="10" w:right="54"/>
              <w:jc w:val="center"/>
              <w:rPr>
                <w:sz w:val="16"/>
              </w:rPr>
            </w:pPr>
            <w:r>
              <w:rPr>
                <w:spacing w:val="-4"/>
                <w:sz w:val="16"/>
              </w:rPr>
              <w:t>13.4</w:t>
            </w:r>
          </w:p>
        </w:tc>
        <w:tc>
          <w:tcPr>
            <w:tcW w:w="378" w:type="dxa"/>
          </w:tcPr>
          <w:p w14:paraId="39B4EC73">
            <w:pPr>
              <w:pStyle w:val="29"/>
              <w:spacing w:before="27" w:line="164" w:lineRule="exact"/>
              <w:ind w:left="53" w:right="20"/>
              <w:jc w:val="center"/>
              <w:rPr>
                <w:sz w:val="16"/>
              </w:rPr>
            </w:pPr>
            <w:r>
              <w:rPr>
                <w:spacing w:val="-4"/>
                <w:sz w:val="16"/>
              </w:rPr>
              <w:t>25.9</w:t>
            </w:r>
          </w:p>
        </w:tc>
        <w:tc>
          <w:tcPr>
            <w:tcW w:w="341" w:type="dxa"/>
          </w:tcPr>
          <w:p w14:paraId="18369072">
            <w:pPr>
              <w:pStyle w:val="29"/>
              <w:spacing w:before="27" w:line="164" w:lineRule="exact"/>
              <w:ind w:left="17" w:right="19"/>
              <w:jc w:val="center"/>
              <w:rPr>
                <w:sz w:val="16"/>
              </w:rPr>
            </w:pPr>
            <w:r>
              <w:rPr>
                <w:spacing w:val="-4"/>
                <w:sz w:val="16"/>
              </w:rPr>
              <w:t>28.4</w:t>
            </w:r>
          </w:p>
        </w:tc>
        <w:tc>
          <w:tcPr>
            <w:tcW w:w="594" w:type="dxa"/>
          </w:tcPr>
          <w:p w14:paraId="36917F78">
            <w:pPr>
              <w:pStyle w:val="29"/>
              <w:spacing w:before="27" w:line="164" w:lineRule="exact"/>
              <w:ind w:left="24"/>
              <w:rPr>
                <w:sz w:val="16"/>
              </w:rPr>
            </w:pPr>
            <w:r>
              <w:rPr>
                <w:spacing w:val="-4"/>
                <w:sz w:val="16"/>
              </w:rPr>
              <w:t>19.0</w:t>
            </w:r>
          </w:p>
        </w:tc>
        <w:tc>
          <w:tcPr>
            <w:tcW w:w="397" w:type="dxa"/>
          </w:tcPr>
          <w:p w14:paraId="5A818331">
            <w:pPr>
              <w:pStyle w:val="29"/>
              <w:spacing w:before="27" w:line="164" w:lineRule="exact"/>
              <w:ind w:left="70" w:right="23"/>
              <w:jc w:val="center"/>
              <w:rPr>
                <w:sz w:val="16"/>
              </w:rPr>
            </w:pPr>
            <w:r>
              <w:rPr>
                <w:spacing w:val="-4"/>
                <w:sz w:val="16"/>
              </w:rPr>
              <w:t>3.26</w:t>
            </w:r>
          </w:p>
        </w:tc>
        <w:tc>
          <w:tcPr>
            <w:tcW w:w="356" w:type="dxa"/>
          </w:tcPr>
          <w:p w14:paraId="3FB23CE6">
            <w:pPr>
              <w:pStyle w:val="29"/>
              <w:spacing w:before="27" w:line="164" w:lineRule="exact"/>
              <w:ind w:left="12" w:right="40"/>
              <w:jc w:val="center"/>
              <w:rPr>
                <w:sz w:val="16"/>
              </w:rPr>
            </w:pPr>
            <w:r>
              <w:rPr>
                <w:spacing w:val="-4"/>
                <w:sz w:val="16"/>
              </w:rPr>
              <w:t>1.28</w:t>
            </w:r>
          </w:p>
        </w:tc>
      </w:tr>
    </w:tbl>
    <w:p w14:paraId="445019FD">
      <w:pPr>
        <w:spacing w:line="164" w:lineRule="exact"/>
        <w:jc w:val="center"/>
        <w:rPr>
          <w:sz w:val="16"/>
        </w:rPr>
        <w:sectPr>
          <w:pgSz w:w="11900" w:h="16850"/>
          <w:pgMar w:top="1985" w:right="1418" w:bottom="1418" w:left="1418" w:header="0" w:footer="652" w:gutter="0"/>
          <w:cols w:space="720" w:num="1"/>
        </w:sectPr>
      </w:pPr>
    </w:p>
    <w:tbl>
      <w:tblPr>
        <w:tblStyle w:val="7"/>
        <w:tblW w:w="0" w:type="auto"/>
        <w:tblInd w:w="167" w:type="dxa"/>
        <w:tblLayout w:type="fixed"/>
        <w:tblCellMar>
          <w:top w:w="0" w:type="dxa"/>
          <w:left w:w="0" w:type="dxa"/>
          <w:bottom w:w="0" w:type="dxa"/>
          <w:right w:w="0" w:type="dxa"/>
        </w:tblCellMar>
      </w:tblPr>
      <w:tblGrid>
        <w:gridCol w:w="554"/>
        <w:gridCol w:w="5376"/>
        <w:gridCol w:w="426"/>
        <w:gridCol w:w="370"/>
        <w:gridCol w:w="379"/>
        <w:gridCol w:w="342"/>
        <w:gridCol w:w="595"/>
        <w:gridCol w:w="398"/>
        <w:gridCol w:w="357"/>
      </w:tblGrid>
      <w:tr w14:paraId="79E277E2">
        <w:tblPrEx>
          <w:tblCellMar>
            <w:top w:w="0" w:type="dxa"/>
            <w:left w:w="0" w:type="dxa"/>
            <w:bottom w:w="0" w:type="dxa"/>
            <w:right w:w="0" w:type="dxa"/>
          </w:tblCellMar>
        </w:tblPrEx>
        <w:trPr>
          <w:trHeight w:val="1413" w:hRule="atLeast"/>
        </w:trPr>
        <w:tc>
          <w:tcPr>
            <w:tcW w:w="554" w:type="dxa"/>
            <w:tcBorders>
              <w:top w:val="single" w:color="000000" w:sz="4" w:space="0"/>
              <w:bottom w:val="single" w:color="000000" w:sz="4" w:space="0"/>
            </w:tcBorders>
          </w:tcPr>
          <w:p w14:paraId="48C58545">
            <w:pPr>
              <w:pStyle w:val="29"/>
              <w:spacing w:before="11"/>
              <w:ind w:left="184" w:right="22" w:hanging="142"/>
              <w:rPr>
                <w:b/>
                <w:sz w:val="16"/>
              </w:rPr>
            </w:pPr>
            <w:r>
              <w:rPr>
                <w:b/>
                <w:spacing w:val="-2"/>
                <w:sz w:val="16"/>
              </w:rPr>
              <w:t>Madde</w:t>
            </w:r>
            <w:r>
              <w:rPr>
                <w:b/>
                <w:spacing w:val="40"/>
                <w:sz w:val="16"/>
              </w:rPr>
              <w:t xml:space="preserve"> </w:t>
            </w:r>
            <w:r>
              <w:rPr>
                <w:b/>
                <w:spacing w:val="-6"/>
                <w:sz w:val="16"/>
              </w:rPr>
              <w:t>No</w:t>
            </w:r>
          </w:p>
        </w:tc>
        <w:tc>
          <w:tcPr>
            <w:tcW w:w="5376" w:type="dxa"/>
            <w:tcBorders>
              <w:top w:val="single" w:color="000000" w:sz="4" w:space="0"/>
              <w:bottom w:val="single" w:color="000000" w:sz="4" w:space="0"/>
            </w:tcBorders>
          </w:tcPr>
          <w:p w14:paraId="055DE584">
            <w:pPr>
              <w:pStyle w:val="29"/>
              <w:rPr>
                <w:sz w:val="18"/>
              </w:rPr>
            </w:pPr>
          </w:p>
          <w:p w14:paraId="44BA1ECD">
            <w:pPr>
              <w:pStyle w:val="29"/>
              <w:rPr>
                <w:sz w:val="18"/>
              </w:rPr>
            </w:pPr>
          </w:p>
          <w:p w14:paraId="6C73889C">
            <w:pPr>
              <w:pStyle w:val="29"/>
              <w:spacing w:before="1"/>
              <w:rPr>
                <w:sz w:val="17"/>
              </w:rPr>
            </w:pPr>
          </w:p>
          <w:p w14:paraId="43A4DD88">
            <w:pPr>
              <w:pStyle w:val="29"/>
              <w:ind w:left="2432" w:right="2433"/>
              <w:jc w:val="center"/>
              <w:rPr>
                <w:b/>
                <w:sz w:val="16"/>
              </w:rPr>
            </w:pPr>
            <w:r>
              <w:rPr>
                <w:b/>
                <w:spacing w:val="-2"/>
                <w:sz w:val="16"/>
              </w:rPr>
              <w:t>Madde</w:t>
            </w:r>
          </w:p>
        </w:tc>
        <w:tc>
          <w:tcPr>
            <w:tcW w:w="426" w:type="dxa"/>
            <w:tcBorders>
              <w:top w:val="single" w:color="000000" w:sz="4" w:space="0"/>
              <w:bottom w:val="single" w:color="000000" w:sz="4" w:space="0"/>
            </w:tcBorders>
            <w:textDirection w:val="btLr"/>
          </w:tcPr>
          <w:p w14:paraId="6AFF45F3">
            <w:pPr>
              <w:pStyle w:val="29"/>
              <w:spacing w:before="30" w:line="244" w:lineRule="auto"/>
              <w:ind w:left="215" w:firstLine="141"/>
              <w:rPr>
                <w:b/>
                <w:sz w:val="16"/>
              </w:rPr>
            </w:pPr>
            <w:r>
              <w:rPr>
                <w:b/>
                <w:spacing w:val="-2"/>
                <w:sz w:val="16"/>
              </w:rPr>
              <w:t>Tamamen</w:t>
            </w:r>
            <w:r>
              <w:rPr>
                <w:b/>
                <w:spacing w:val="40"/>
                <w:sz w:val="16"/>
              </w:rPr>
              <w:t xml:space="preserve"> </w:t>
            </w:r>
            <w:r>
              <w:rPr>
                <w:b/>
                <w:spacing w:val="-2"/>
                <w:sz w:val="16"/>
              </w:rPr>
              <w:t>Katılmıyorum</w:t>
            </w:r>
          </w:p>
        </w:tc>
        <w:tc>
          <w:tcPr>
            <w:tcW w:w="370" w:type="dxa"/>
            <w:tcBorders>
              <w:top w:val="single" w:color="000000" w:sz="4" w:space="0"/>
              <w:bottom w:val="single" w:color="000000" w:sz="4" w:space="0"/>
            </w:tcBorders>
            <w:textDirection w:val="btLr"/>
          </w:tcPr>
          <w:p w14:paraId="24FEBC29">
            <w:pPr>
              <w:pStyle w:val="29"/>
              <w:spacing w:before="100"/>
              <w:ind w:left="215"/>
              <w:rPr>
                <w:b/>
                <w:sz w:val="16"/>
              </w:rPr>
            </w:pPr>
            <w:r>
              <w:rPr>
                <w:b/>
                <w:spacing w:val="-2"/>
                <w:sz w:val="16"/>
              </w:rPr>
              <w:t>Katılmıyorum</w:t>
            </w:r>
          </w:p>
        </w:tc>
        <w:tc>
          <w:tcPr>
            <w:tcW w:w="379" w:type="dxa"/>
            <w:tcBorders>
              <w:top w:val="single" w:color="000000" w:sz="4" w:space="0"/>
              <w:bottom w:val="single" w:color="000000" w:sz="4" w:space="0"/>
            </w:tcBorders>
            <w:textDirection w:val="btLr"/>
          </w:tcPr>
          <w:p w14:paraId="40EBCBBE">
            <w:pPr>
              <w:pStyle w:val="29"/>
              <w:spacing w:before="107"/>
              <w:ind w:left="311"/>
              <w:rPr>
                <w:b/>
                <w:sz w:val="16"/>
              </w:rPr>
            </w:pPr>
            <w:r>
              <w:rPr>
                <w:b/>
                <w:spacing w:val="-2"/>
                <w:sz w:val="16"/>
              </w:rPr>
              <w:t>Kararsızım</w:t>
            </w:r>
          </w:p>
        </w:tc>
        <w:tc>
          <w:tcPr>
            <w:tcW w:w="342" w:type="dxa"/>
            <w:tcBorders>
              <w:top w:val="single" w:color="000000" w:sz="4" w:space="0"/>
              <w:bottom w:val="single" w:color="000000" w:sz="4" w:space="0"/>
            </w:tcBorders>
            <w:textDirection w:val="btLr"/>
          </w:tcPr>
          <w:p w14:paraId="76B5D35D">
            <w:pPr>
              <w:pStyle w:val="29"/>
              <w:spacing w:before="69"/>
              <w:ind w:left="280"/>
              <w:rPr>
                <w:b/>
                <w:sz w:val="16"/>
              </w:rPr>
            </w:pPr>
            <w:r>
              <w:rPr>
                <w:b/>
                <w:spacing w:val="-2"/>
                <w:sz w:val="16"/>
              </w:rPr>
              <w:t>Katılıyorum</w:t>
            </w:r>
          </w:p>
        </w:tc>
        <w:tc>
          <w:tcPr>
            <w:tcW w:w="595" w:type="dxa"/>
            <w:tcBorders>
              <w:top w:val="single" w:color="000000" w:sz="4" w:space="0"/>
              <w:bottom w:val="single" w:color="000000" w:sz="4" w:space="0"/>
            </w:tcBorders>
            <w:textDirection w:val="btLr"/>
          </w:tcPr>
          <w:p w14:paraId="42BF2A9F">
            <w:pPr>
              <w:pStyle w:val="29"/>
              <w:spacing w:before="126" w:line="247" w:lineRule="auto"/>
              <w:ind w:left="280" w:firstLine="76"/>
              <w:rPr>
                <w:b/>
                <w:sz w:val="16"/>
              </w:rPr>
            </w:pPr>
            <w:r>
              <w:rPr>
                <w:b/>
                <w:spacing w:val="-2"/>
                <w:sz w:val="16"/>
              </w:rPr>
              <w:t>Tamamen</w:t>
            </w:r>
            <w:r>
              <w:rPr>
                <w:b/>
                <w:spacing w:val="40"/>
                <w:sz w:val="16"/>
              </w:rPr>
              <w:t xml:space="preserve"> </w:t>
            </w:r>
            <w:r>
              <w:rPr>
                <w:b/>
                <w:spacing w:val="-2"/>
                <w:sz w:val="16"/>
              </w:rPr>
              <w:t>Katılıyorum</w:t>
            </w:r>
          </w:p>
        </w:tc>
        <w:tc>
          <w:tcPr>
            <w:tcW w:w="398" w:type="dxa"/>
            <w:tcBorders>
              <w:top w:val="single" w:color="000000" w:sz="4" w:space="0"/>
              <w:bottom w:val="single" w:color="000000" w:sz="4" w:space="0"/>
            </w:tcBorders>
            <w:textDirection w:val="btLr"/>
          </w:tcPr>
          <w:p w14:paraId="19341F6D">
            <w:pPr>
              <w:pStyle w:val="29"/>
              <w:spacing w:before="121"/>
              <w:ind w:left="371"/>
              <w:rPr>
                <w:b/>
                <w:sz w:val="16"/>
              </w:rPr>
            </w:pPr>
            <w:r>
              <w:rPr>
                <w:b/>
                <w:spacing w:val="-2"/>
                <w:sz w:val="16"/>
              </w:rPr>
              <w:t>Ortalama</w:t>
            </w:r>
          </w:p>
        </w:tc>
        <w:tc>
          <w:tcPr>
            <w:tcW w:w="357" w:type="dxa"/>
            <w:tcBorders>
              <w:top w:val="single" w:color="000000" w:sz="4" w:space="0"/>
              <w:bottom w:val="single" w:color="000000" w:sz="4" w:space="0"/>
            </w:tcBorders>
            <w:textDirection w:val="btLr"/>
          </w:tcPr>
          <w:p w14:paraId="62CD93A4">
            <w:pPr>
              <w:pStyle w:val="29"/>
              <w:spacing w:before="61"/>
              <w:ind w:left="146"/>
              <w:rPr>
                <w:b/>
                <w:sz w:val="16"/>
              </w:rPr>
            </w:pPr>
            <w:r>
              <w:rPr>
                <w:b/>
                <w:sz w:val="16"/>
              </w:rPr>
              <w:t>Standart</w:t>
            </w:r>
            <w:r>
              <w:rPr>
                <w:b/>
                <w:spacing w:val="-7"/>
                <w:sz w:val="16"/>
              </w:rPr>
              <w:t xml:space="preserve"> </w:t>
            </w:r>
            <w:r>
              <w:rPr>
                <w:b/>
                <w:spacing w:val="-2"/>
                <w:sz w:val="16"/>
              </w:rPr>
              <w:t>Sapma</w:t>
            </w:r>
          </w:p>
        </w:tc>
      </w:tr>
      <w:tr w14:paraId="41FFC47E">
        <w:tblPrEx>
          <w:tblCellMar>
            <w:top w:w="0" w:type="dxa"/>
            <w:left w:w="0" w:type="dxa"/>
            <w:bottom w:w="0" w:type="dxa"/>
            <w:right w:w="0" w:type="dxa"/>
          </w:tblCellMar>
        </w:tblPrEx>
        <w:trPr>
          <w:trHeight w:val="259" w:hRule="atLeast"/>
        </w:trPr>
        <w:tc>
          <w:tcPr>
            <w:tcW w:w="554" w:type="dxa"/>
            <w:tcBorders>
              <w:top w:val="single" w:color="000000" w:sz="4" w:space="0"/>
            </w:tcBorders>
          </w:tcPr>
          <w:p w14:paraId="2E3A8F57">
            <w:pPr>
              <w:pStyle w:val="29"/>
              <w:spacing w:before="42"/>
              <w:ind w:left="43"/>
              <w:rPr>
                <w:sz w:val="16"/>
              </w:rPr>
            </w:pPr>
            <w:r>
              <w:rPr>
                <w:sz w:val="16"/>
              </w:rPr>
              <w:t>7</w:t>
            </w:r>
          </w:p>
        </w:tc>
        <w:tc>
          <w:tcPr>
            <w:tcW w:w="5376" w:type="dxa"/>
            <w:tcBorders>
              <w:top w:val="single" w:color="000000" w:sz="4" w:space="0"/>
            </w:tcBorders>
          </w:tcPr>
          <w:p w14:paraId="3C66B025">
            <w:pPr>
              <w:pStyle w:val="29"/>
              <w:spacing w:before="42"/>
              <w:ind w:left="29"/>
              <w:rPr>
                <w:sz w:val="16"/>
              </w:rPr>
            </w:pPr>
            <w:r>
              <w:rPr>
                <w:sz w:val="16"/>
              </w:rPr>
              <w:t>Dikkatinizi</w:t>
            </w:r>
            <w:r>
              <w:rPr>
                <w:spacing w:val="-7"/>
                <w:sz w:val="16"/>
              </w:rPr>
              <w:t xml:space="preserve"> </w:t>
            </w:r>
            <w:r>
              <w:rPr>
                <w:sz w:val="16"/>
              </w:rPr>
              <w:t>toplamada</w:t>
            </w:r>
            <w:r>
              <w:rPr>
                <w:spacing w:val="-7"/>
                <w:sz w:val="16"/>
              </w:rPr>
              <w:t xml:space="preserve"> </w:t>
            </w:r>
            <w:r>
              <w:rPr>
                <w:sz w:val="16"/>
              </w:rPr>
              <w:t>ne</w:t>
            </w:r>
            <w:r>
              <w:rPr>
                <w:spacing w:val="-8"/>
                <w:sz w:val="16"/>
              </w:rPr>
              <w:t xml:space="preserve"> </w:t>
            </w:r>
            <w:r>
              <w:rPr>
                <w:sz w:val="16"/>
              </w:rPr>
              <w:t>kadar</w:t>
            </w:r>
            <w:r>
              <w:rPr>
                <w:spacing w:val="-6"/>
                <w:sz w:val="16"/>
              </w:rPr>
              <w:t xml:space="preserve"> </w:t>
            </w:r>
            <w:r>
              <w:rPr>
                <w:spacing w:val="-2"/>
                <w:sz w:val="16"/>
              </w:rPr>
              <w:t>başarılısınız?</w:t>
            </w:r>
          </w:p>
        </w:tc>
        <w:tc>
          <w:tcPr>
            <w:tcW w:w="426" w:type="dxa"/>
            <w:tcBorders>
              <w:top w:val="single" w:color="000000" w:sz="4" w:space="0"/>
            </w:tcBorders>
          </w:tcPr>
          <w:p w14:paraId="7E3A1A94">
            <w:pPr>
              <w:pStyle w:val="29"/>
              <w:spacing w:before="42"/>
              <w:ind w:left="21" w:right="98"/>
              <w:jc w:val="center"/>
              <w:rPr>
                <w:sz w:val="16"/>
              </w:rPr>
            </w:pPr>
            <w:r>
              <w:rPr>
                <w:spacing w:val="-4"/>
                <w:sz w:val="16"/>
              </w:rPr>
              <w:t>12.8</w:t>
            </w:r>
          </w:p>
        </w:tc>
        <w:tc>
          <w:tcPr>
            <w:tcW w:w="370" w:type="dxa"/>
            <w:tcBorders>
              <w:top w:val="single" w:color="000000" w:sz="4" w:space="0"/>
            </w:tcBorders>
          </w:tcPr>
          <w:p w14:paraId="5DBAA796">
            <w:pPr>
              <w:pStyle w:val="29"/>
              <w:spacing w:before="42"/>
              <w:ind w:left="9" w:right="56"/>
              <w:jc w:val="center"/>
              <w:rPr>
                <w:sz w:val="16"/>
              </w:rPr>
            </w:pPr>
            <w:r>
              <w:rPr>
                <w:spacing w:val="-4"/>
                <w:sz w:val="16"/>
              </w:rPr>
              <w:t>15.0</w:t>
            </w:r>
          </w:p>
        </w:tc>
        <w:tc>
          <w:tcPr>
            <w:tcW w:w="379" w:type="dxa"/>
            <w:tcBorders>
              <w:top w:val="single" w:color="000000" w:sz="4" w:space="0"/>
            </w:tcBorders>
          </w:tcPr>
          <w:p w14:paraId="3C1A0D86">
            <w:pPr>
              <w:pStyle w:val="29"/>
              <w:spacing w:before="42"/>
              <w:ind w:left="51" w:right="23"/>
              <w:jc w:val="center"/>
              <w:rPr>
                <w:sz w:val="16"/>
              </w:rPr>
            </w:pPr>
            <w:r>
              <w:rPr>
                <w:spacing w:val="-4"/>
                <w:sz w:val="16"/>
              </w:rPr>
              <w:t>28.9</w:t>
            </w:r>
          </w:p>
        </w:tc>
        <w:tc>
          <w:tcPr>
            <w:tcW w:w="342" w:type="dxa"/>
            <w:tcBorders>
              <w:top w:val="single" w:color="000000" w:sz="4" w:space="0"/>
            </w:tcBorders>
          </w:tcPr>
          <w:p w14:paraId="4AC596B3">
            <w:pPr>
              <w:pStyle w:val="29"/>
              <w:spacing w:before="42"/>
              <w:ind w:left="14" w:right="23"/>
              <w:jc w:val="center"/>
              <w:rPr>
                <w:sz w:val="16"/>
              </w:rPr>
            </w:pPr>
            <w:r>
              <w:rPr>
                <w:spacing w:val="-4"/>
                <w:sz w:val="16"/>
              </w:rPr>
              <w:t>26.1</w:t>
            </w:r>
          </w:p>
        </w:tc>
        <w:tc>
          <w:tcPr>
            <w:tcW w:w="595" w:type="dxa"/>
            <w:tcBorders>
              <w:top w:val="single" w:color="000000" w:sz="4" w:space="0"/>
            </w:tcBorders>
          </w:tcPr>
          <w:p w14:paraId="0550A395">
            <w:pPr>
              <w:pStyle w:val="29"/>
              <w:spacing w:before="42"/>
              <w:ind w:left="20"/>
              <w:rPr>
                <w:sz w:val="16"/>
              </w:rPr>
            </w:pPr>
            <w:r>
              <w:rPr>
                <w:spacing w:val="-4"/>
                <w:sz w:val="16"/>
              </w:rPr>
              <w:t>17.3</w:t>
            </w:r>
          </w:p>
        </w:tc>
        <w:tc>
          <w:tcPr>
            <w:tcW w:w="398" w:type="dxa"/>
            <w:tcBorders>
              <w:top w:val="single" w:color="000000" w:sz="4" w:space="0"/>
            </w:tcBorders>
          </w:tcPr>
          <w:p w14:paraId="234CB65E">
            <w:pPr>
              <w:pStyle w:val="29"/>
              <w:spacing w:before="42"/>
              <w:ind w:left="65" w:right="29"/>
              <w:jc w:val="center"/>
              <w:rPr>
                <w:sz w:val="16"/>
              </w:rPr>
            </w:pPr>
            <w:r>
              <w:rPr>
                <w:spacing w:val="-4"/>
                <w:sz w:val="16"/>
              </w:rPr>
              <w:t>3.20</w:t>
            </w:r>
          </w:p>
        </w:tc>
        <w:tc>
          <w:tcPr>
            <w:tcW w:w="357" w:type="dxa"/>
            <w:tcBorders>
              <w:top w:val="single" w:color="000000" w:sz="4" w:space="0"/>
            </w:tcBorders>
          </w:tcPr>
          <w:p w14:paraId="02D46C84">
            <w:pPr>
              <w:pStyle w:val="29"/>
              <w:spacing w:before="42"/>
              <w:ind w:left="6" w:right="47"/>
              <w:jc w:val="center"/>
              <w:rPr>
                <w:sz w:val="16"/>
              </w:rPr>
            </w:pPr>
            <w:r>
              <w:rPr>
                <w:spacing w:val="-4"/>
                <w:sz w:val="16"/>
              </w:rPr>
              <w:t>1.25</w:t>
            </w:r>
          </w:p>
        </w:tc>
      </w:tr>
      <w:tr w14:paraId="22BE10D9">
        <w:tblPrEx>
          <w:tblCellMar>
            <w:top w:w="0" w:type="dxa"/>
            <w:left w:w="0" w:type="dxa"/>
            <w:bottom w:w="0" w:type="dxa"/>
            <w:right w:w="0" w:type="dxa"/>
          </w:tblCellMar>
        </w:tblPrEx>
        <w:trPr>
          <w:trHeight w:val="243" w:hRule="atLeast"/>
        </w:trPr>
        <w:tc>
          <w:tcPr>
            <w:tcW w:w="554" w:type="dxa"/>
          </w:tcPr>
          <w:p w14:paraId="10E44422">
            <w:pPr>
              <w:pStyle w:val="29"/>
              <w:spacing w:before="27"/>
              <w:ind w:left="43"/>
              <w:rPr>
                <w:sz w:val="16"/>
              </w:rPr>
            </w:pPr>
            <w:r>
              <w:rPr>
                <w:sz w:val="16"/>
              </w:rPr>
              <w:t>8</w:t>
            </w:r>
          </w:p>
        </w:tc>
        <w:tc>
          <w:tcPr>
            <w:tcW w:w="5376" w:type="dxa"/>
          </w:tcPr>
          <w:p w14:paraId="6381273E">
            <w:pPr>
              <w:pStyle w:val="29"/>
              <w:spacing w:before="27"/>
              <w:ind w:left="29"/>
              <w:rPr>
                <w:sz w:val="16"/>
              </w:rPr>
            </w:pPr>
            <w:r>
              <w:rPr>
                <w:sz w:val="16"/>
              </w:rPr>
              <w:t>Günlük</w:t>
            </w:r>
            <w:r>
              <w:rPr>
                <w:spacing w:val="-6"/>
                <w:sz w:val="16"/>
              </w:rPr>
              <w:t xml:space="preserve"> </w:t>
            </w:r>
            <w:r>
              <w:rPr>
                <w:sz w:val="16"/>
              </w:rPr>
              <w:t>yaşamınızda</w:t>
            </w:r>
            <w:r>
              <w:rPr>
                <w:spacing w:val="-7"/>
                <w:sz w:val="16"/>
              </w:rPr>
              <w:t xml:space="preserve"> </w:t>
            </w:r>
            <w:r>
              <w:rPr>
                <w:sz w:val="16"/>
              </w:rPr>
              <w:t>kendinizi</w:t>
            </w:r>
            <w:r>
              <w:rPr>
                <w:spacing w:val="-7"/>
                <w:sz w:val="16"/>
              </w:rPr>
              <w:t xml:space="preserve"> </w:t>
            </w:r>
            <w:r>
              <w:rPr>
                <w:sz w:val="16"/>
              </w:rPr>
              <w:t>ne</w:t>
            </w:r>
            <w:r>
              <w:rPr>
                <w:spacing w:val="-9"/>
                <w:sz w:val="16"/>
              </w:rPr>
              <w:t xml:space="preserve"> </w:t>
            </w:r>
            <w:r>
              <w:rPr>
                <w:sz w:val="16"/>
              </w:rPr>
              <w:t>kadar</w:t>
            </w:r>
            <w:r>
              <w:rPr>
                <w:spacing w:val="-7"/>
                <w:sz w:val="16"/>
              </w:rPr>
              <w:t xml:space="preserve"> </w:t>
            </w:r>
            <w:r>
              <w:rPr>
                <w:sz w:val="16"/>
              </w:rPr>
              <w:t>güvende</w:t>
            </w:r>
            <w:r>
              <w:rPr>
                <w:spacing w:val="-9"/>
                <w:sz w:val="16"/>
              </w:rPr>
              <w:t xml:space="preserve"> </w:t>
            </w:r>
            <w:r>
              <w:rPr>
                <w:spacing w:val="-2"/>
                <w:sz w:val="16"/>
              </w:rPr>
              <w:t>hissediyorsunuz?</w:t>
            </w:r>
          </w:p>
        </w:tc>
        <w:tc>
          <w:tcPr>
            <w:tcW w:w="426" w:type="dxa"/>
          </w:tcPr>
          <w:p w14:paraId="083053B9">
            <w:pPr>
              <w:pStyle w:val="29"/>
              <w:spacing w:before="27"/>
              <w:ind w:left="21" w:right="98"/>
              <w:jc w:val="center"/>
              <w:rPr>
                <w:sz w:val="16"/>
              </w:rPr>
            </w:pPr>
            <w:r>
              <w:rPr>
                <w:spacing w:val="-4"/>
                <w:sz w:val="16"/>
              </w:rPr>
              <w:t>12.5</w:t>
            </w:r>
          </w:p>
        </w:tc>
        <w:tc>
          <w:tcPr>
            <w:tcW w:w="370" w:type="dxa"/>
          </w:tcPr>
          <w:p w14:paraId="38707652">
            <w:pPr>
              <w:pStyle w:val="29"/>
              <w:spacing w:before="27"/>
              <w:ind w:left="9" w:right="56"/>
              <w:jc w:val="center"/>
              <w:rPr>
                <w:sz w:val="16"/>
              </w:rPr>
            </w:pPr>
            <w:r>
              <w:rPr>
                <w:spacing w:val="-4"/>
                <w:sz w:val="16"/>
              </w:rPr>
              <w:t>14.0</w:t>
            </w:r>
          </w:p>
        </w:tc>
        <w:tc>
          <w:tcPr>
            <w:tcW w:w="379" w:type="dxa"/>
          </w:tcPr>
          <w:p w14:paraId="0C9452EB">
            <w:pPr>
              <w:pStyle w:val="29"/>
              <w:spacing w:before="27"/>
              <w:ind w:left="51" w:right="23"/>
              <w:jc w:val="center"/>
              <w:rPr>
                <w:sz w:val="16"/>
              </w:rPr>
            </w:pPr>
            <w:r>
              <w:rPr>
                <w:spacing w:val="-4"/>
                <w:sz w:val="16"/>
              </w:rPr>
              <w:t>31.0</w:t>
            </w:r>
          </w:p>
        </w:tc>
        <w:tc>
          <w:tcPr>
            <w:tcW w:w="342" w:type="dxa"/>
          </w:tcPr>
          <w:p w14:paraId="7B755DED">
            <w:pPr>
              <w:pStyle w:val="29"/>
              <w:spacing w:before="27"/>
              <w:ind w:left="14" w:right="23"/>
              <w:jc w:val="center"/>
              <w:rPr>
                <w:sz w:val="16"/>
              </w:rPr>
            </w:pPr>
            <w:r>
              <w:rPr>
                <w:spacing w:val="-4"/>
                <w:sz w:val="16"/>
              </w:rPr>
              <w:t>26.2</w:t>
            </w:r>
          </w:p>
        </w:tc>
        <w:tc>
          <w:tcPr>
            <w:tcW w:w="595" w:type="dxa"/>
          </w:tcPr>
          <w:p w14:paraId="01A312B7">
            <w:pPr>
              <w:pStyle w:val="29"/>
              <w:spacing w:before="27"/>
              <w:ind w:left="20"/>
              <w:rPr>
                <w:sz w:val="16"/>
              </w:rPr>
            </w:pPr>
            <w:r>
              <w:rPr>
                <w:spacing w:val="-4"/>
                <w:sz w:val="16"/>
              </w:rPr>
              <w:t>16.2</w:t>
            </w:r>
          </w:p>
        </w:tc>
        <w:tc>
          <w:tcPr>
            <w:tcW w:w="398" w:type="dxa"/>
          </w:tcPr>
          <w:p w14:paraId="209E5DEB">
            <w:pPr>
              <w:pStyle w:val="29"/>
              <w:spacing w:before="27"/>
              <w:ind w:left="65" w:right="29"/>
              <w:jc w:val="center"/>
              <w:rPr>
                <w:sz w:val="16"/>
              </w:rPr>
            </w:pPr>
            <w:r>
              <w:rPr>
                <w:spacing w:val="-4"/>
                <w:sz w:val="16"/>
              </w:rPr>
              <w:t>3.19</w:t>
            </w:r>
          </w:p>
        </w:tc>
        <w:tc>
          <w:tcPr>
            <w:tcW w:w="357" w:type="dxa"/>
          </w:tcPr>
          <w:p w14:paraId="6BDBDB40">
            <w:pPr>
              <w:pStyle w:val="29"/>
              <w:spacing w:before="27"/>
              <w:ind w:left="6" w:right="47"/>
              <w:jc w:val="center"/>
              <w:rPr>
                <w:sz w:val="16"/>
              </w:rPr>
            </w:pPr>
            <w:r>
              <w:rPr>
                <w:spacing w:val="-4"/>
                <w:sz w:val="16"/>
              </w:rPr>
              <w:t>1.23</w:t>
            </w:r>
          </w:p>
        </w:tc>
      </w:tr>
      <w:tr w14:paraId="5B25B0D3">
        <w:tblPrEx>
          <w:tblCellMar>
            <w:top w:w="0" w:type="dxa"/>
            <w:left w:w="0" w:type="dxa"/>
            <w:bottom w:w="0" w:type="dxa"/>
            <w:right w:w="0" w:type="dxa"/>
          </w:tblCellMar>
        </w:tblPrEx>
        <w:trPr>
          <w:trHeight w:val="243" w:hRule="atLeast"/>
        </w:trPr>
        <w:tc>
          <w:tcPr>
            <w:tcW w:w="554" w:type="dxa"/>
          </w:tcPr>
          <w:p w14:paraId="4FFC351F">
            <w:pPr>
              <w:pStyle w:val="29"/>
              <w:spacing w:before="26"/>
              <w:ind w:left="43"/>
              <w:rPr>
                <w:sz w:val="16"/>
              </w:rPr>
            </w:pPr>
            <w:r>
              <w:rPr>
                <w:sz w:val="16"/>
              </w:rPr>
              <w:t>9</w:t>
            </w:r>
          </w:p>
        </w:tc>
        <w:tc>
          <w:tcPr>
            <w:tcW w:w="5376" w:type="dxa"/>
          </w:tcPr>
          <w:p w14:paraId="010BFDCE">
            <w:pPr>
              <w:pStyle w:val="29"/>
              <w:spacing w:before="26"/>
              <w:ind w:left="29"/>
              <w:rPr>
                <w:sz w:val="16"/>
              </w:rPr>
            </w:pPr>
            <w:r>
              <w:rPr>
                <w:sz w:val="16"/>
              </w:rPr>
              <w:t>Fiziksel</w:t>
            </w:r>
            <w:r>
              <w:rPr>
                <w:spacing w:val="-6"/>
                <w:sz w:val="16"/>
              </w:rPr>
              <w:t xml:space="preserve"> </w:t>
            </w:r>
            <w:r>
              <w:rPr>
                <w:sz w:val="16"/>
              </w:rPr>
              <w:t>çevreniz</w:t>
            </w:r>
            <w:r>
              <w:rPr>
                <w:spacing w:val="-6"/>
                <w:sz w:val="16"/>
              </w:rPr>
              <w:t xml:space="preserve"> </w:t>
            </w:r>
            <w:r>
              <w:rPr>
                <w:sz w:val="16"/>
              </w:rPr>
              <w:t>ne</w:t>
            </w:r>
            <w:r>
              <w:rPr>
                <w:spacing w:val="-6"/>
                <w:sz w:val="16"/>
              </w:rPr>
              <w:t xml:space="preserve"> </w:t>
            </w:r>
            <w:r>
              <w:rPr>
                <w:sz w:val="16"/>
              </w:rPr>
              <w:t>ölçüde</w:t>
            </w:r>
            <w:r>
              <w:rPr>
                <w:spacing w:val="-6"/>
                <w:sz w:val="16"/>
              </w:rPr>
              <w:t xml:space="preserve"> </w:t>
            </w:r>
            <w:r>
              <w:rPr>
                <w:spacing w:val="-2"/>
                <w:sz w:val="16"/>
              </w:rPr>
              <w:t>sağlıklıdır?</w:t>
            </w:r>
          </w:p>
        </w:tc>
        <w:tc>
          <w:tcPr>
            <w:tcW w:w="426" w:type="dxa"/>
          </w:tcPr>
          <w:p w14:paraId="138315F4">
            <w:pPr>
              <w:pStyle w:val="29"/>
              <w:spacing w:before="26"/>
              <w:ind w:left="21" w:right="98"/>
              <w:jc w:val="center"/>
              <w:rPr>
                <w:sz w:val="16"/>
              </w:rPr>
            </w:pPr>
            <w:r>
              <w:rPr>
                <w:spacing w:val="-4"/>
                <w:sz w:val="16"/>
              </w:rPr>
              <w:t>13.7</w:t>
            </w:r>
          </w:p>
        </w:tc>
        <w:tc>
          <w:tcPr>
            <w:tcW w:w="370" w:type="dxa"/>
          </w:tcPr>
          <w:p w14:paraId="479F77DA">
            <w:pPr>
              <w:pStyle w:val="29"/>
              <w:spacing w:before="26"/>
              <w:ind w:left="9" w:right="56"/>
              <w:jc w:val="center"/>
              <w:rPr>
                <w:sz w:val="16"/>
              </w:rPr>
            </w:pPr>
            <w:r>
              <w:rPr>
                <w:spacing w:val="-4"/>
                <w:sz w:val="16"/>
              </w:rPr>
              <w:t>14.2</w:t>
            </w:r>
          </w:p>
        </w:tc>
        <w:tc>
          <w:tcPr>
            <w:tcW w:w="379" w:type="dxa"/>
          </w:tcPr>
          <w:p w14:paraId="31BA4576">
            <w:pPr>
              <w:pStyle w:val="29"/>
              <w:spacing w:before="26"/>
              <w:ind w:left="51" w:right="23"/>
              <w:jc w:val="center"/>
              <w:rPr>
                <w:sz w:val="16"/>
              </w:rPr>
            </w:pPr>
            <w:r>
              <w:rPr>
                <w:spacing w:val="-4"/>
                <w:sz w:val="16"/>
              </w:rPr>
              <w:t>30.6</w:t>
            </w:r>
          </w:p>
        </w:tc>
        <w:tc>
          <w:tcPr>
            <w:tcW w:w="342" w:type="dxa"/>
          </w:tcPr>
          <w:p w14:paraId="17FE4283">
            <w:pPr>
              <w:pStyle w:val="29"/>
              <w:spacing w:before="26"/>
              <w:ind w:left="14" w:right="23"/>
              <w:jc w:val="center"/>
              <w:rPr>
                <w:sz w:val="16"/>
              </w:rPr>
            </w:pPr>
            <w:r>
              <w:rPr>
                <w:spacing w:val="-4"/>
                <w:sz w:val="16"/>
              </w:rPr>
              <w:t>26.2</w:t>
            </w:r>
          </w:p>
        </w:tc>
        <w:tc>
          <w:tcPr>
            <w:tcW w:w="595" w:type="dxa"/>
          </w:tcPr>
          <w:p w14:paraId="498515BB">
            <w:pPr>
              <w:pStyle w:val="29"/>
              <w:spacing w:before="26"/>
              <w:ind w:left="20"/>
              <w:rPr>
                <w:sz w:val="16"/>
              </w:rPr>
            </w:pPr>
            <w:r>
              <w:rPr>
                <w:spacing w:val="-4"/>
                <w:sz w:val="16"/>
              </w:rPr>
              <w:t>15.3</w:t>
            </w:r>
          </w:p>
        </w:tc>
        <w:tc>
          <w:tcPr>
            <w:tcW w:w="398" w:type="dxa"/>
          </w:tcPr>
          <w:p w14:paraId="333F3DD3">
            <w:pPr>
              <w:pStyle w:val="29"/>
              <w:spacing w:before="26"/>
              <w:ind w:left="65" w:right="29"/>
              <w:jc w:val="center"/>
              <w:rPr>
                <w:sz w:val="16"/>
              </w:rPr>
            </w:pPr>
            <w:r>
              <w:rPr>
                <w:spacing w:val="-4"/>
                <w:sz w:val="16"/>
              </w:rPr>
              <w:t>3.15</w:t>
            </w:r>
          </w:p>
        </w:tc>
        <w:tc>
          <w:tcPr>
            <w:tcW w:w="357" w:type="dxa"/>
          </w:tcPr>
          <w:p w14:paraId="267F1CD9">
            <w:pPr>
              <w:pStyle w:val="29"/>
              <w:spacing w:before="26"/>
              <w:ind w:left="6" w:right="47"/>
              <w:jc w:val="center"/>
              <w:rPr>
                <w:sz w:val="16"/>
              </w:rPr>
            </w:pPr>
            <w:r>
              <w:rPr>
                <w:spacing w:val="-4"/>
                <w:sz w:val="16"/>
              </w:rPr>
              <w:t>1.24</w:t>
            </w:r>
          </w:p>
        </w:tc>
      </w:tr>
      <w:tr w14:paraId="00EEA802">
        <w:tblPrEx>
          <w:tblCellMar>
            <w:top w:w="0" w:type="dxa"/>
            <w:left w:w="0" w:type="dxa"/>
            <w:bottom w:w="0" w:type="dxa"/>
            <w:right w:w="0" w:type="dxa"/>
          </w:tblCellMar>
        </w:tblPrEx>
        <w:trPr>
          <w:trHeight w:val="244" w:hRule="atLeast"/>
        </w:trPr>
        <w:tc>
          <w:tcPr>
            <w:tcW w:w="554" w:type="dxa"/>
          </w:tcPr>
          <w:p w14:paraId="1590AB04">
            <w:pPr>
              <w:pStyle w:val="29"/>
              <w:spacing w:before="27"/>
              <w:ind w:left="43"/>
              <w:rPr>
                <w:sz w:val="16"/>
              </w:rPr>
            </w:pPr>
            <w:r>
              <w:rPr>
                <w:spacing w:val="-5"/>
                <w:sz w:val="16"/>
              </w:rPr>
              <w:t>10</w:t>
            </w:r>
          </w:p>
        </w:tc>
        <w:tc>
          <w:tcPr>
            <w:tcW w:w="5376" w:type="dxa"/>
          </w:tcPr>
          <w:p w14:paraId="4DDF4CA7">
            <w:pPr>
              <w:pStyle w:val="29"/>
              <w:spacing w:before="27"/>
              <w:ind w:left="29"/>
              <w:rPr>
                <w:sz w:val="16"/>
              </w:rPr>
            </w:pPr>
            <w:r>
              <w:rPr>
                <w:sz w:val="16"/>
              </w:rPr>
              <w:t>Günlük</w:t>
            </w:r>
            <w:r>
              <w:rPr>
                <w:spacing w:val="-6"/>
                <w:sz w:val="16"/>
              </w:rPr>
              <w:t xml:space="preserve"> </w:t>
            </w:r>
            <w:r>
              <w:rPr>
                <w:sz w:val="16"/>
              </w:rPr>
              <w:t>yaşamı</w:t>
            </w:r>
            <w:r>
              <w:rPr>
                <w:spacing w:val="-8"/>
                <w:sz w:val="16"/>
              </w:rPr>
              <w:t xml:space="preserve"> </w:t>
            </w:r>
            <w:r>
              <w:rPr>
                <w:sz w:val="16"/>
              </w:rPr>
              <w:t>sürdürmek</w:t>
            </w:r>
            <w:r>
              <w:rPr>
                <w:spacing w:val="-6"/>
                <w:sz w:val="16"/>
              </w:rPr>
              <w:t xml:space="preserve"> </w:t>
            </w:r>
            <w:r>
              <w:rPr>
                <w:sz w:val="16"/>
              </w:rPr>
              <w:t>için</w:t>
            </w:r>
            <w:r>
              <w:rPr>
                <w:spacing w:val="-5"/>
                <w:sz w:val="16"/>
              </w:rPr>
              <w:t xml:space="preserve"> </w:t>
            </w:r>
            <w:r>
              <w:rPr>
                <w:sz w:val="16"/>
              </w:rPr>
              <w:t>yeterli</w:t>
            </w:r>
            <w:r>
              <w:rPr>
                <w:spacing w:val="-4"/>
                <w:sz w:val="16"/>
              </w:rPr>
              <w:t xml:space="preserve"> </w:t>
            </w:r>
            <w:r>
              <w:rPr>
                <w:sz w:val="16"/>
              </w:rPr>
              <w:t>gücünüz</w:t>
            </w:r>
            <w:r>
              <w:rPr>
                <w:spacing w:val="-9"/>
                <w:sz w:val="16"/>
              </w:rPr>
              <w:t xml:space="preserve"> </w:t>
            </w:r>
            <w:r>
              <w:rPr>
                <w:sz w:val="16"/>
              </w:rPr>
              <w:t>kuvvetiniz</w:t>
            </w:r>
            <w:r>
              <w:rPr>
                <w:spacing w:val="-8"/>
                <w:sz w:val="16"/>
              </w:rPr>
              <w:t xml:space="preserve"> </w:t>
            </w:r>
            <w:r>
              <w:rPr>
                <w:sz w:val="16"/>
              </w:rPr>
              <w:t>var</w:t>
            </w:r>
            <w:r>
              <w:rPr>
                <w:spacing w:val="-7"/>
                <w:sz w:val="16"/>
              </w:rPr>
              <w:t xml:space="preserve"> </w:t>
            </w:r>
            <w:r>
              <w:rPr>
                <w:spacing w:val="-5"/>
                <w:sz w:val="16"/>
              </w:rPr>
              <w:t>mı?</w:t>
            </w:r>
          </w:p>
        </w:tc>
        <w:tc>
          <w:tcPr>
            <w:tcW w:w="426" w:type="dxa"/>
          </w:tcPr>
          <w:p w14:paraId="2B4406FF">
            <w:pPr>
              <w:pStyle w:val="29"/>
              <w:spacing w:before="27"/>
              <w:ind w:left="21" w:right="98"/>
              <w:jc w:val="center"/>
              <w:rPr>
                <w:sz w:val="16"/>
              </w:rPr>
            </w:pPr>
            <w:r>
              <w:rPr>
                <w:spacing w:val="-4"/>
                <w:sz w:val="16"/>
              </w:rPr>
              <w:t>11.5</w:t>
            </w:r>
          </w:p>
        </w:tc>
        <w:tc>
          <w:tcPr>
            <w:tcW w:w="370" w:type="dxa"/>
          </w:tcPr>
          <w:p w14:paraId="12CDB8A3">
            <w:pPr>
              <w:pStyle w:val="29"/>
              <w:spacing w:before="27"/>
              <w:ind w:left="9" w:right="56"/>
              <w:jc w:val="center"/>
              <w:rPr>
                <w:sz w:val="16"/>
              </w:rPr>
            </w:pPr>
            <w:r>
              <w:rPr>
                <w:spacing w:val="-4"/>
                <w:sz w:val="16"/>
              </w:rPr>
              <w:t>13.3</w:t>
            </w:r>
          </w:p>
        </w:tc>
        <w:tc>
          <w:tcPr>
            <w:tcW w:w="379" w:type="dxa"/>
          </w:tcPr>
          <w:p w14:paraId="52D17D41">
            <w:pPr>
              <w:pStyle w:val="29"/>
              <w:spacing w:before="27"/>
              <w:ind w:left="51" w:right="23"/>
              <w:jc w:val="center"/>
              <w:rPr>
                <w:sz w:val="16"/>
              </w:rPr>
            </w:pPr>
            <w:r>
              <w:rPr>
                <w:spacing w:val="-4"/>
                <w:sz w:val="16"/>
              </w:rPr>
              <w:t>23.9</w:t>
            </w:r>
          </w:p>
        </w:tc>
        <w:tc>
          <w:tcPr>
            <w:tcW w:w="342" w:type="dxa"/>
          </w:tcPr>
          <w:p w14:paraId="127FC4FA">
            <w:pPr>
              <w:pStyle w:val="29"/>
              <w:spacing w:before="27"/>
              <w:ind w:left="14" w:right="23"/>
              <w:jc w:val="center"/>
              <w:rPr>
                <w:sz w:val="16"/>
              </w:rPr>
            </w:pPr>
            <w:r>
              <w:rPr>
                <w:spacing w:val="-4"/>
                <w:sz w:val="16"/>
              </w:rPr>
              <w:t>30.4</w:t>
            </w:r>
          </w:p>
        </w:tc>
        <w:tc>
          <w:tcPr>
            <w:tcW w:w="595" w:type="dxa"/>
          </w:tcPr>
          <w:p w14:paraId="41CCBB29">
            <w:pPr>
              <w:pStyle w:val="29"/>
              <w:spacing w:before="27"/>
              <w:ind w:left="20"/>
              <w:rPr>
                <w:sz w:val="16"/>
              </w:rPr>
            </w:pPr>
            <w:r>
              <w:rPr>
                <w:spacing w:val="-4"/>
                <w:sz w:val="16"/>
              </w:rPr>
              <w:t>20.9</w:t>
            </w:r>
          </w:p>
        </w:tc>
        <w:tc>
          <w:tcPr>
            <w:tcW w:w="398" w:type="dxa"/>
          </w:tcPr>
          <w:p w14:paraId="79FF526C">
            <w:pPr>
              <w:pStyle w:val="29"/>
              <w:spacing w:before="27"/>
              <w:ind w:left="65" w:right="29"/>
              <w:jc w:val="center"/>
              <w:rPr>
                <w:sz w:val="16"/>
              </w:rPr>
            </w:pPr>
            <w:r>
              <w:rPr>
                <w:spacing w:val="-4"/>
                <w:sz w:val="16"/>
              </w:rPr>
              <w:t>3.35</w:t>
            </w:r>
          </w:p>
        </w:tc>
        <w:tc>
          <w:tcPr>
            <w:tcW w:w="357" w:type="dxa"/>
          </w:tcPr>
          <w:p w14:paraId="7A41416B">
            <w:pPr>
              <w:pStyle w:val="29"/>
              <w:spacing w:before="27"/>
              <w:ind w:left="6" w:right="47"/>
              <w:jc w:val="center"/>
              <w:rPr>
                <w:sz w:val="16"/>
              </w:rPr>
            </w:pPr>
            <w:r>
              <w:rPr>
                <w:spacing w:val="-4"/>
                <w:sz w:val="16"/>
              </w:rPr>
              <w:t>1.26</w:t>
            </w:r>
          </w:p>
        </w:tc>
      </w:tr>
      <w:tr w14:paraId="121FEAB7">
        <w:tblPrEx>
          <w:tblCellMar>
            <w:top w:w="0" w:type="dxa"/>
            <w:left w:w="0" w:type="dxa"/>
            <w:bottom w:w="0" w:type="dxa"/>
            <w:right w:w="0" w:type="dxa"/>
          </w:tblCellMar>
        </w:tblPrEx>
        <w:trPr>
          <w:trHeight w:val="244" w:hRule="atLeast"/>
        </w:trPr>
        <w:tc>
          <w:tcPr>
            <w:tcW w:w="554" w:type="dxa"/>
          </w:tcPr>
          <w:p w14:paraId="2E7BAC94">
            <w:pPr>
              <w:pStyle w:val="29"/>
              <w:spacing w:before="27"/>
              <w:ind w:left="43"/>
              <w:rPr>
                <w:sz w:val="16"/>
              </w:rPr>
            </w:pPr>
            <w:r>
              <w:rPr>
                <w:spacing w:val="-5"/>
                <w:sz w:val="16"/>
              </w:rPr>
              <w:t>11</w:t>
            </w:r>
          </w:p>
        </w:tc>
        <w:tc>
          <w:tcPr>
            <w:tcW w:w="5376" w:type="dxa"/>
          </w:tcPr>
          <w:p w14:paraId="79D273E6">
            <w:pPr>
              <w:pStyle w:val="29"/>
              <w:spacing w:before="29"/>
              <w:ind w:left="29"/>
              <w:rPr>
                <w:b/>
                <w:sz w:val="16"/>
              </w:rPr>
            </w:pPr>
            <w:r>
              <w:rPr>
                <w:b/>
                <w:sz w:val="16"/>
              </w:rPr>
              <w:t>Bedensel</w:t>
            </w:r>
            <w:r>
              <w:rPr>
                <w:b/>
                <w:spacing w:val="-10"/>
                <w:sz w:val="16"/>
              </w:rPr>
              <w:t xml:space="preserve"> </w:t>
            </w:r>
            <w:r>
              <w:rPr>
                <w:b/>
                <w:sz w:val="16"/>
              </w:rPr>
              <w:t>görünüşünüzü</w:t>
            </w:r>
            <w:r>
              <w:rPr>
                <w:b/>
                <w:spacing w:val="-9"/>
                <w:sz w:val="16"/>
              </w:rPr>
              <w:t xml:space="preserve"> </w:t>
            </w:r>
            <w:r>
              <w:rPr>
                <w:b/>
                <w:sz w:val="16"/>
              </w:rPr>
              <w:t>kabullenir</w:t>
            </w:r>
            <w:r>
              <w:rPr>
                <w:b/>
                <w:spacing w:val="-10"/>
                <w:sz w:val="16"/>
              </w:rPr>
              <w:t xml:space="preserve"> </w:t>
            </w:r>
            <w:r>
              <w:rPr>
                <w:b/>
                <w:spacing w:val="-2"/>
                <w:sz w:val="16"/>
              </w:rPr>
              <w:t>misiniz?</w:t>
            </w:r>
          </w:p>
        </w:tc>
        <w:tc>
          <w:tcPr>
            <w:tcW w:w="426" w:type="dxa"/>
          </w:tcPr>
          <w:p w14:paraId="20AE6027">
            <w:pPr>
              <w:pStyle w:val="29"/>
              <w:spacing w:before="27"/>
              <w:ind w:left="21" w:right="98"/>
              <w:jc w:val="center"/>
              <w:rPr>
                <w:sz w:val="16"/>
              </w:rPr>
            </w:pPr>
            <w:r>
              <w:rPr>
                <w:spacing w:val="-4"/>
                <w:sz w:val="16"/>
              </w:rPr>
              <w:t>13.6</w:t>
            </w:r>
          </w:p>
        </w:tc>
        <w:tc>
          <w:tcPr>
            <w:tcW w:w="370" w:type="dxa"/>
          </w:tcPr>
          <w:p w14:paraId="50D394A5">
            <w:pPr>
              <w:pStyle w:val="29"/>
              <w:spacing w:before="27"/>
              <w:ind w:left="9" w:right="56"/>
              <w:jc w:val="center"/>
              <w:rPr>
                <w:sz w:val="16"/>
              </w:rPr>
            </w:pPr>
            <w:r>
              <w:rPr>
                <w:spacing w:val="-4"/>
                <w:sz w:val="16"/>
              </w:rPr>
              <w:t>13.1</w:t>
            </w:r>
          </w:p>
        </w:tc>
        <w:tc>
          <w:tcPr>
            <w:tcW w:w="379" w:type="dxa"/>
          </w:tcPr>
          <w:p w14:paraId="31FEE10A">
            <w:pPr>
              <w:pStyle w:val="29"/>
              <w:spacing w:before="27"/>
              <w:ind w:left="51" w:right="23"/>
              <w:jc w:val="center"/>
              <w:rPr>
                <w:sz w:val="16"/>
              </w:rPr>
            </w:pPr>
            <w:r>
              <w:rPr>
                <w:spacing w:val="-4"/>
                <w:sz w:val="16"/>
              </w:rPr>
              <w:t>20.1</w:t>
            </w:r>
          </w:p>
        </w:tc>
        <w:tc>
          <w:tcPr>
            <w:tcW w:w="342" w:type="dxa"/>
          </w:tcPr>
          <w:p w14:paraId="6C9EE2CD">
            <w:pPr>
              <w:pStyle w:val="29"/>
              <w:spacing w:before="27"/>
              <w:ind w:left="14" w:right="23"/>
              <w:jc w:val="center"/>
              <w:rPr>
                <w:sz w:val="16"/>
              </w:rPr>
            </w:pPr>
            <w:r>
              <w:rPr>
                <w:spacing w:val="-4"/>
                <w:sz w:val="16"/>
              </w:rPr>
              <w:t>28.2</w:t>
            </w:r>
          </w:p>
        </w:tc>
        <w:tc>
          <w:tcPr>
            <w:tcW w:w="595" w:type="dxa"/>
          </w:tcPr>
          <w:p w14:paraId="4A075D04">
            <w:pPr>
              <w:pStyle w:val="29"/>
              <w:spacing w:before="27"/>
              <w:ind w:left="20"/>
              <w:rPr>
                <w:sz w:val="16"/>
              </w:rPr>
            </w:pPr>
            <w:r>
              <w:rPr>
                <w:spacing w:val="-4"/>
                <w:sz w:val="16"/>
              </w:rPr>
              <w:t>25.0</w:t>
            </w:r>
          </w:p>
        </w:tc>
        <w:tc>
          <w:tcPr>
            <w:tcW w:w="398" w:type="dxa"/>
          </w:tcPr>
          <w:p w14:paraId="79577487">
            <w:pPr>
              <w:pStyle w:val="29"/>
              <w:spacing w:before="29"/>
              <w:ind w:left="65" w:right="29"/>
              <w:jc w:val="center"/>
              <w:rPr>
                <w:b/>
                <w:sz w:val="16"/>
              </w:rPr>
            </w:pPr>
            <w:r>
              <w:rPr>
                <w:b/>
                <w:spacing w:val="-4"/>
                <w:sz w:val="16"/>
              </w:rPr>
              <w:t>3.37</w:t>
            </w:r>
          </w:p>
        </w:tc>
        <w:tc>
          <w:tcPr>
            <w:tcW w:w="357" w:type="dxa"/>
          </w:tcPr>
          <w:p w14:paraId="1743853C">
            <w:pPr>
              <w:pStyle w:val="29"/>
              <w:spacing w:before="27"/>
              <w:ind w:left="6" w:right="47"/>
              <w:jc w:val="center"/>
              <w:rPr>
                <w:sz w:val="16"/>
              </w:rPr>
            </w:pPr>
            <w:r>
              <w:rPr>
                <w:spacing w:val="-4"/>
                <w:sz w:val="16"/>
              </w:rPr>
              <w:t>1.34</w:t>
            </w:r>
          </w:p>
        </w:tc>
      </w:tr>
      <w:tr w14:paraId="138EDC70">
        <w:tblPrEx>
          <w:tblCellMar>
            <w:top w:w="0" w:type="dxa"/>
            <w:left w:w="0" w:type="dxa"/>
            <w:bottom w:w="0" w:type="dxa"/>
            <w:right w:w="0" w:type="dxa"/>
          </w:tblCellMar>
        </w:tblPrEx>
        <w:trPr>
          <w:trHeight w:val="242" w:hRule="atLeast"/>
        </w:trPr>
        <w:tc>
          <w:tcPr>
            <w:tcW w:w="554" w:type="dxa"/>
          </w:tcPr>
          <w:p w14:paraId="583C0CCA">
            <w:pPr>
              <w:pStyle w:val="29"/>
              <w:spacing w:before="25"/>
              <w:ind w:left="43"/>
              <w:rPr>
                <w:sz w:val="16"/>
              </w:rPr>
            </w:pPr>
            <w:r>
              <w:rPr>
                <w:spacing w:val="-5"/>
                <w:sz w:val="16"/>
              </w:rPr>
              <w:t>12</w:t>
            </w:r>
          </w:p>
        </w:tc>
        <w:tc>
          <w:tcPr>
            <w:tcW w:w="5376" w:type="dxa"/>
          </w:tcPr>
          <w:p w14:paraId="7CAFE31D">
            <w:pPr>
              <w:pStyle w:val="29"/>
              <w:spacing w:before="25"/>
              <w:ind w:left="29"/>
              <w:rPr>
                <w:sz w:val="16"/>
              </w:rPr>
            </w:pPr>
            <w:r>
              <w:rPr>
                <w:sz w:val="16"/>
              </w:rPr>
              <w:t>İhtiyaçlarınızı</w:t>
            </w:r>
            <w:r>
              <w:rPr>
                <w:spacing w:val="-9"/>
                <w:sz w:val="16"/>
              </w:rPr>
              <w:t xml:space="preserve"> </w:t>
            </w:r>
            <w:r>
              <w:rPr>
                <w:sz w:val="16"/>
              </w:rPr>
              <w:t>karşılamaya</w:t>
            </w:r>
            <w:r>
              <w:rPr>
                <w:spacing w:val="-8"/>
                <w:sz w:val="16"/>
              </w:rPr>
              <w:t xml:space="preserve"> </w:t>
            </w:r>
            <w:r>
              <w:rPr>
                <w:sz w:val="16"/>
              </w:rPr>
              <w:t>yeterli</w:t>
            </w:r>
            <w:r>
              <w:rPr>
                <w:spacing w:val="-7"/>
                <w:sz w:val="16"/>
              </w:rPr>
              <w:t xml:space="preserve"> </w:t>
            </w:r>
            <w:r>
              <w:rPr>
                <w:sz w:val="16"/>
              </w:rPr>
              <w:t>paranız</w:t>
            </w:r>
            <w:r>
              <w:rPr>
                <w:spacing w:val="-10"/>
                <w:sz w:val="16"/>
              </w:rPr>
              <w:t xml:space="preserve"> </w:t>
            </w:r>
            <w:r>
              <w:rPr>
                <w:sz w:val="16"/>
              </w:rPr>
              <w:t>var</w:t>
            </w:r>
            <w:r>
              <w:rPr>
                <w:spacing w:val="-8"/>
                <w:sz w:val="16"/>
              </w:rPr>
              <w:t xml:space="preserve"> </w:t>
            </w:r>
            <w:r>
              <w:rPr>
                <w:spacing w:val="-5"/>
                <w:sz w:val="16"/>
              </w:rPr>
              <w:t>mı?</w:t>
            </w:r>
          </w:p>
        </w:tc>
        <w:tc>
          <w:tcPr>
            <w:tcW w:w="426" w:type="dxa"/>
          </w:tcPr>
          <w:p w14:paraId="0FE7D958">
            <w:pPr>
              <w:pStyle w:val="29"/>
              <w:spacing w:before="25"/>
              <w:ind w:left="21" w:right="98"/>
              <w:jc w:val="center"/>
              <w:rPr>
                <w:sz w:val="16"/>
              </w:rPr>
            </w:pPr>
            <w:r>
              <w:rPr>
                <w:spacing w:val="-4"/>
                <w:sz w:val="16"/>
              </w:rPr>
              <w:t>12.9</w:t>
            </w:r>
          </w:p>
        </w:tc>
        <w:tc>
          <w:tcPr>
            <w:tcW w:w="370" w:type="dxa"/>
          </w:tcPr>
          <w:p w14:paraId="17082823">
            <w:pPr>
              <w:pStyle w:val="29"/>
              <w:spacing w:before="25"/>
              <w:ind w:left="9" w:right="56"/>
              <w:jc w:val="center"/>
              <w:rPr>
                <w:sz w:val="16"/>
              </w:rPr>
            </w:pPr>
            <w:r>
              <w:rPr>
                <w:spacing w:val="-4"/>
                <w:sz w:val="16"/>
              </w:rPr>
              <w:t>17.6</w:t>
            </w:r>
          </w:p>
        </w:tc>
        <w:tc>
          <w:tcPr>
            <w:tcW w:w="379" w:type="dxa"/>
          </w:tcPr>
          <w:p w14:paraId="5D6200A2">
            <w:pPr>
              <w:pStyle w:val="29"/>
              <w:spacing w:before="25"/>
              <w:ind w:left="51" w:right="23"/>
              <w:jc w:val="center"/>
              <w:rPr>
                <w:sz w:val="16"/>
              </w:rPr>
            </w:pPr>
            <w:r>
              <w:rPr>
                <w:spacing w:val="-4"/>
                <w:sz w:val="16"/>
              </w:rPr>
              <w:t>33.5</w:t>
            </w:r>
          </w:p>
        </w:tc>
        <w:tc>
          <w:tcPr>
            <w:tcW w:w="342" w:type="dxa"/>
          </w:tcPr>
          <w:p w14:paraId="1D3A7F99">
            <w:pPr>
              <w:pStyle w:val="29"/>
              <w:spacing w:before="25"/>
              <w:ind w:left="14" w:right="23"/>
              <w:jc w:val="center"/>
              <w:rPr>
                <w:sz w:val="16"/>
              </w:rPr>
            </w:pPr>
            <w:r>
              <w:rPr>
                <w:spacing w:val="-4"/>
                <w:sz w:val="16"/>
              </w:rPr>
              <w:t>20.3</w:t>
            </w:r>
          </w:p>
        </w:tc>
        <w:tc>
          <w:tcPr>
            <w:tcW w:w="595" w:type="dxa"/>
          </w:tcPr>
          <w:p w14:paraId="251D9113">
            <w:pPr>
              <w:pStyle w:val="29"/>
              <w:spacing w:before="25"/>
              <w:ind w:left="20"/>
              <w:rPr>
                <w:sz w:val="16"/>
              </w:rPr>
            </w:pPr>
            <w:r>
              <w:rPr>
                <w:spacing w:val="-4"/>
                <w:sz w:val="16"/>
              </w:rPr>
              <w:t>15.6</w:t>
            </w:r>
          </w:p>
        </w:tc>
        <w:tc>
          <w:tcPr>
            <w:tcW w:w="398" w:type="dxa"/>
          </w:tcPr>
          <w:p w14:paraId="204C1360">
            <w:pPr>
              <w:pStyle w:val="29"/>
              <w:spacing w:before="25"/>
              <w:ind w:left="65" w:right="29"/>
              <w:jc w:val="center"/>
              <w:rPr>
                <w:sz w:val="16"/>
              </w:rPr>
            </w:pPr>
            <w:r>
              <w:rPr>
                <w:spacing w:val="-4"/>
                <w:sz w:val="16"/>
              </w:rPr>
              <w:t>3.07</w:t>
            </w:r>
          </w:p>
        </w:tc>
        <w:tc>
          <w:tcPr>
            <w:tcW w:w="357" w:type="dxa"/>
          </w:tcPr>
          <w:p w14:paraId="2AC264B0">
            <w:pPr>
              <w:pStyle w:val="29"/>
              <w:spacing w:before="25"/>
              <w:ind w:left="6" w:right="47"/>
              <w:jc w:val="center"/>
              <w:rPr>
                <w:sz w:val="16"/>
              </w:rPr>
            </w:pPr>
            <w:r>
              <w:rPr>
                <w:spacing w:val="-4"/>
                <w:sz w:val="16"/>
              </w:rPr>
              <w:t>1.23</w:t>
            </w:r>
          </w:p>
        </w:tc>
      </w:tr>
      <w:tr w14:paraId="497CB4D2">
        <w:tblPrEx>
          <w:tblCellMar>
            <w:top w:w="0" w:type="dxa"/>
            <w:left w:w="0" w:type="dxa"/>
            <w:bottom w:w="0" w:type="dxa"/>
            <w:right w:w="0" w:type="dxa"/>
          </w:tblCellMar>
        </w:tblPrEx>
        <w:trPr>
          <w:trHeight w:val="245" w:hRule="atLeast"/>
        </w:trPr>
        <w:tc>
          <w:tcPr>
            <w:tcW w:w="554" w:type="dxa"/>
          </w:tcPr>
          <w:p w14:paraId="6154FAF0">
            <w:pPr>
              <w:pStyle w:val="29"/>
              <w:spacing w:before="27"/>
              <w:ind w:left="43"/>
              <w:rPr>
                <w:sz w:val="16"/>
              </w:rPr>
            </w:pPr>
            <w:r>
              <w:rPr>
                <w:spacing w:val="-5"/>
                <w:sz w:val="16"/>
              </w:rPr>
              <w:t>13</w:t>
            </w:r>
          </w:p>
        </w:tc>
        <w:tc>
          <w:tcPr>
            <w:tcW w:w="5376" w:type="dxa"/>
          </w:tcPr>
          <w:p w14:paraId="137C3FA7">
            <w:pPr>
              <w:pStyle w:val="29"/>
              <w:spacing w:before="27"/>
              <w:ind w:left="29"/>
              <w:rPr>
                <w:sz w:val="16"/>
              </w:rPr>
            </w:pPr>
            <w:r>
              <w:rPr>
                <w:sz w:val="16"/>
              </w:rPr>
              <w:t>Günlük</w:t>
            </w:r>
            <w:r>
              <w:rPr>
                <w:spacing w:val="-5"/>
                <w:sz w:val="16"/>
              </w:rPr>
              <w:t xml:space="preserve"> </w:t>
            </w:r>
            <w:r>
              <w:rPr>
                <w:sz w:val="16"/>
              </w:rPr>
              <w:t>yaşantınızda</w:t>
            </w:r>
            <w:r>
              <w:rPr>
                <w:spacing w:val="-5"/>
                <w:sz w:val="16"/>
              </w:rPr>
              <w:t xml:space="preserve"> </w:t>
            </w:r>
            <w:r>
              <w:rPr>
                <w:sz w:val="16"/>
              </w:rPr>
              <w:t>size</w:t>
            </w:r>
            <w:r>
              <w:rPr>
                <w:spacing w:val="-7"/>
                <w:sz w:val="16"/>
              </w:rPr>
              <w:t xml:space="preserve"> </w:t>
            </w:r>
            <w:r>
              <w:rPr>
                <w:sz w:val="16"/>
              </w:rPr>
              <w:t>gerekli</w:t>
            </w:r>
            <w:r>
              <w:rPr>
                <w:spacing w:val="-4"/>
                <w:sz w:val="16"/>
              </w:rPr>
              <w:t xml:space="preserve"> </w:t>
            </w:r>
            <w:r>
              <w:rPr>
                <w:sz w:val="16"/>
              </w:rPr>
              <w:t>bilgi</w:t>
            </w:r>
            <w:r>
              <w:rPr>
                <w:spacing w:val="-6"/>
                <w:sz w:val="16"/>
              </w:rPr>
              <w:t xml:space="preserve"> </w:t>
            </w:r>
            <w:r>
              <w:rPr>
                <w:sz w:val="16"/>
              </w:rPr>
              <w:t>ve</w:t>
            </w:r>
            <w:r>
              <w:rPr>
                <w:spacing w:val="-7"/>
                <w:sz w:val="16"/>
              </w:rPr>
              <w:t xml:space="preserve"> </w:t>
            </w:r>
            <w:r>
              <w:rPr>
                <w:sz w:val="16"/>
              </w:rPr>
              <w:t>haberlere</w:t>
            </w:r>
            <w:r>
              <w:rPr>
                <w:spacing w:val="-8"/>
                <w:sz w:val="16"/>
              </w:rPr>
              <w:t xml:space="preserve"> </w:t>
            </w:r>
            <w:r>
              <w:rPr>
                <w:sz w:val="16"/>
              </w:rPr>
              <w:t>ne</w:t>
            </w:r>
            <w:r>
              <w:rPr>
                <w:spacing w:val="-2"/>
                <w:sz w:val="16"/>
              </w:rPr>
              <w:t xml:space="preserve"> </w:t>
            </w:r>
            <w:r>
              <w:rPr>
                <w:sz w:val="16"/>
              </w:rPr>
              <w:t>ölçüde</w:t>
            </w:r>
            <w:r>
              <w:rPr>
                <w:spacing w:val="-7"/>
                <w:sz w:val="16"/>
              </w:rPr>
              <w:t xml:space="preserve"> </w:t>
            </w:r>
            <w:r>
              <w:rPr>
                <w:spacing w:val="-2"/>
                <w:sz w:val="16"/>
              </w:rPr>
              <w:t>ulaşabiliyorsunuz?</w:t>
            </w:r>
          </w:p>
        </w:tc>
        <w:tc>
          <w:tcPr>
            <w:tcW w:w="426" w:type="dxa"/>
          </w:tcPr>
          <w:p w14:paraId="28FCD317">
            <w:pPr>
              <w:pStyle w:val="29"/>
              <w:spacing w:before="27"/>
              <w:ind w:left="21" w:right="98"/>
              <w:jc w:val="center"/>
              <w:rPr>
                <w:sz w:val="16"/>
              </w:rPr>
            </w:pPr>
            <w:r>
              <w:rPr>
                <w:spacing w:val="-4"/>
                <w:sz w:val="16"/>
              </w:rPr>
              <w:t>13.7</w:t>
            </w:r>
          </w:p>
        </w:tc>
        <w:tc>
          <w:tcPr>
            <w:tcW w:w="370" w:type="dxa"/>
          </w:tcPr>
          <w:p w14:paraId="5D276B48">
            <w:pPr>
              <w:pStyle w:val="29"/>
              <w:spacing w:before="27"/>
              <w:ind w:left="9" w:right="56"/>
              <w:jc w:val="center"/>
              <w:rPr>
                <w:sz w:val="16"/>
              </w:rPr>
            </w:pPr>
            <w:r>
              <w:rPr>
                <w:spacing w:val="-4"/>
                <w:sz w:val="16"/>
              </w:rPr>
              <w:t>12.8</w:t>
            </w:r>
          </w:p>
        </w:tc>
        <w:tc>
          <w:tcPr>
            <w:tcW w:w="379" w:type="dxa"/>
          </w:tcPr>
          <w:p w14:paraId="627CEDAD">
            <w:pPr>
              <w:pStyle w:val="29"/>
              <w:spacing w:before="27"/>
              <w:ind w:left="51" w:right="23"/>
              <w:jc w:val="center"/>
              <w:rPr>
                <w:sz w:val="16"/>
              </w:rPr>
            </w:pPr>
            <w:r>
              <w:rPr>
                <w:spacing w:val="-4"/>
                <w:sz w:val="16"/>
              </w:rPr>
              <w:t>21.7</w:t>
            </w:r>
          </w:p>
        </w:tc>
        <w:tc>
          <w:tcPr>
            <w:tcW w:w="342" w:type="dxa"/>
          </w:tcPr>
          <w:p w14:paraId="0FC9AD8E">
            <w:pPr>
              <w:pStyle w:val="29"/>
              <w:spacing w:before="27"/>
              <w:ind w:left="14" w:right="23"/>
              <w:jc w:val="center"/>
              <w:rPr>
                <w:sz w:val="16"/>
              </w:rPr>
            </w:pPr>
            <w:r>
              <w:rPr>
                <w:spacing w:val="-4"/>
                <w:sz w:val="16"/>
              </w:rPr>
              <w:t>34.3</w:t>
            </w:r>
          </w:p>
        </w:tc>
        <w:tc>
          <w:tcPr>
            <w:tcW w:w="595" w:type="dxa"/>
          </w:tcPr>
          <w:p w14:paraId="41D7252E">
            <w:pPr>
              <w:pStyle w:val="29"/>
              <w:spacing w:before="27"/>
              <w:ind w:left="20"/>
              <w:rPr>
                <w:sz w:val="16"/>
              </w:rPr>
            </w:pPr>
            <w:r>
              <w:rPr>
                <w:spacing w:val="-4"/>
                <w:sz w:val="16"/>
              </w:rPr>
              <w:t>17.5</w:t>
            </w:r>
          </w:p>
        </w:tc>
        <w:tc>
          <w:tcPr>
            <w:tcW w:w="398" w:type="dxa"/>
          </w:tcPr>
          <w:p w14:paraId="138D2260">
            <w:pPr>
              <w:pStyle w:val="29"/>
              <w:spacing w:before="27"/>
              <w:ind w:left="65" w:right="29"/>
              <w:jc w:val="center"/>
              <w:rPr>
                <w:sz w:val="16"/>
              </w:rPr>
            </w:pPr>
            <w:r>
              <w:rPr>
                <w:spacing w:val="-4"/>
                <w:sz w:val="16"/>
              </w:rPr>
              <w:t>3.29</w:t>
            </w:r>
          </w:p>
        </w:tc>
        <w:tc>
          <w:tcPr>
            <w:tcW w:w="357" w:type="dxa"/>
          </w:tcPr>
          <w:p w14:paraId="1073264E">
            <w:pPr>
              <w:pStyle w:val="29"/>
              <w:spacing w:before="27"/>
              <w:ind w:left="6" w:right="47"/>
              <w:jc w:val="center"/>
              <w:rPr>
                <w:sz w:val="16"/>
              </w:rPr>
            </w:pPr>
            <w:r>
              <w:rPr>
                <w:spacing w:val="-4"/>
                <w:sz w:val="16"/>
              </w:rPr>
              <w:t>1.27</w:t>
            </w:r>
          </w:p>
        </w:tc>
      </w:tr>
      <w:tr w14:paraId="313D578A">
        <w:tblPrEx>
          <w:tblCellMar>
            <w:top w:w="0" w:type="dxa"/>
            <w:left w:w="0" w:type="dxa"/>
            <w:bottom w:w="0" w:type="dxa"/>
            <w:right w:w="0" w:type="dxa"/>
          </w:tblCellMar>
        </w:tblPrEx>
        <w:trPr>
          <w:trHeight w:val="243" w:hRule="atLeast"/>
        </w:trPr>
        <w:tc>
          <w:tcPr>
            <w:tcW w:w="554" w:type="dxa"/>
          </w:tcPr>
          <w:p w14:paraId="7AAC840E">
            <w:pPr>
              <w:pStyle w:val="29"/>
              <w:spacing w:before="27"/>
              <w:ind w:left="43"/>
              <w:rPr>
                <w:sz w:val="16"/>
              </w:rPr>
            </w:pPr>
            <w:r>
              <w:rPr>
                <w:spacing w:val="-5"/>
                <w:sz w:val="16"/>
              </w:rPr>
              <w:t>14</w:t>
            </w:r>
          </w:p>
        </w:tc>
        <w:tc>
          <w:tcPr>
            <w:tcW w:w="5376" w:type="dxa"/>
          </w:tcPr>
          <w:p w14:paraId="5027D8E6">
            <w:pPr>
              <w:pStyle w:val="29"/>
              <w:spacing w:before="27"/>
              <w:ind w:left="29"/>
              <w:rPr>
                <w:sz w:val="16"/>
              </w:rPr>
            </w:pPr>
            <w:r>
              <w:rPr>
                <w:sz w:val="16"/>
              </w:rPr>
              <w:t>Boş</w:t>
            </w:r>
            <w:r>
              <w:rPr>
                <w:spacing w:val="-6"/>
                <w:sz w:val="16"/>
              </w:rPr>
              <w:t xml:space="preserve"> </w:t>
            </w:r>
            <w:r>
              <w:rPr>
                <w:sz w:val="16"/>
              </w:rPr>
              <w:t>zamanları</w:t>
            </w:r>
            <w:r>
              <w:rPr>
                <w:spacing w:val="-7"/>
                <w:sz w:val="16"/>
              </w:rPr>
              <w:t xml:space="preserve"> </w:t>
            </w:r>
            <w:r>
              <w:rPr>
                <w:sz w:val="16"/>
              </w:rPr>
              <w:t>değerlendirme</w:t>
            </w:r>
            <w:r>
              <w:rPr>
                <w:spacing w:val="-8"/>
                <w:sz w:val="16"/>
              </w:rPr>
              <w:t xml:space="preserve"> </w:t>
            </w:r>
            <w:r>
              <w:rPr>
                <w:sz w:val="16"/>
              </w:rPr>
              <w:t>uğraşları</w:t>
            </w:r>
            <w:r>
              <w:rPr>
                <w:spacing w:val="-5"/>
                <w:sz w:val="16"/>
              </w:rPr>
              <w:t xml:space="preserve"> </w:t>
            </w:r>
            <w:r>
              <w:rPr>
                <w:sz w:val="16"/>
              </w:rPr>
              <w:t>için</w:t>
            </w:r>
            <w:r>
              <w:rPr>
                <w:spacing w:val="-7"/>
                <w:sz w:val="16"/>
              </w:rPr>
              <w:t xml:space="preserve"> </w:t>
            </w:r>
            <w:r>
              <w:rPr>
                <w:sz w:val="16"/>
              </w:rPr>
              <w:t>ne</w:t>
            </w:r>
            <w:r>
              <w:rPr>
                <w:spacing w:val="-7"/>
                <w:sz w:val="16"/>
              </w:rPr>
              <w:t xml:space="preserve"> </w:t>
            </w:r>
            <w:r>
              <w:rPr>
                <w:sz w:val="16"/>
              </w:rPr>
              <w:t>ölçüde</w:t>
            </w:r>
            <w:r>
              <w:rPr>
                <w:spacing w:val="-8"/>
                <w:sz w:val="16"/>
              </w:rPr>
              <w:t xml:space="preserve"> </w:t>
            </w:r>
            <w:r>
              <w:rPr>
                <w:sz w:val="16"/>
              </w:rPr>
              <w:t>fırsatınız</w:t>
            </w:r>
            <w:r>
              <w:rPr>
                <w:spacing w:val="-7"/>
                <w:sz w:val="16"/>
              </w:rPr>
              <w:t xml:space="preserve"> </w:t>
            </w:r>
            <w:r>
              <w:rPr>
                <w:spacing w:val="-4"/>
                <w:sz w:val="16"/>
              </w:rPr>
              <w:t>olur?</w:t>
            </w:r>
          </w:p>
        </w:tc>
        <w:tc>
          <w:tcPr>
            <w:tcW w:w="426" w:type="dxa"/>
          </w:tcPr>
          <w:p w14:paraId="7A4DFE2C">
            <w:pPr>
              <w:pStyle w:val="29"/>
              <w:spacing w:before="27"/>
              <w:ind w:left="21" w:right="98"/>
              <w:jc w:val="center"/>
              <w:rPr>
                <w:sz w:val="16"/>
              </w:rPr>
            </w:pPr>
            <w:r>
              <w:rPr>
                <w:spacing w:val="-4"/>
                <w:sz w:val="16"/>
              </w:rPr>
              <w:t>12.9</w:t>
            </w:r>
          </w:p>
        </w:tc>
        <w:tc>
          <w:tcPr>
            <w:tcW w:w="370" w:type="dxa"/>
          </w:tcPr>
          <w:p w14:paraId="6715588F">
            <w:pPr>
              <w:pStyle w:val="29"/>
              <w:spacing w:before="27"/>
              <w:ind w:left="9" w:right="56"/>
              <w:jc w:val="center"/>
              <w:rPr>
                <w:sz w:val="16"/>
              </w:rPr>
            </w:pPr>
            <w:r>
              <w:rPr>
                <w:spacing w:val="-4"/>
                <w:sz w:val="16"/>
              </w:rPr>
              <w:t>21.2</w:t>
            </w:r>
          </w:p>
        </w:tc>
        <w:tc>
          <w:tcPr>
            <w:tcW w:w="379" w:type="dxa"/>
          </w:tcPr>
          <w:p w14:paraId="4BA2A1EC">
            <w:pPr>
              <w:pStyle w:val="29"/>
              <w:spacing w:before="27"/>
              <w:ind w:left="51" w:right="23"/>
              <w:jc w:val="center"/>
              <w:rPr>
                <w:sz w:val="16"/>
              </w:rPr>
            </w:pPr>
            <w:r>
              <w:rPr>
                <w:spacing w:val="-4"/>
                <w:sz w:val="16"/>
              </w:rPr>
              <w:t>31.7</w:t>
            </w:r>
          </w:p>
        </w:tc>
        <w:tc>
          <w:tcPr>
            <w:tcW w:w="342" w:type="dxa"/>
          </w:tcPr>
          <w:p w14:paraId="4F25105B">
            <w:pPr>
              <w:pStyle w:val="29"/>
              <w:spacing w:before="27"/>
              <w:ind w:left="14" w:right="23"/>
              <w:jc w:val="center"/>
              <w:rPr>
                <w:sz w:val="16"/>
              </w:rPr>
            </w:pPr>
            <w:r>
              <w:rPr>
                <w:spacing w:val="-4"/>
                <w:sz w:val="16"/>
              </w:rPr>
              <w:t>20.6</w:t>
            </w:r>
          </w:p>
        </w:tc>
        <w:tc>
          <w:tcPr>
            <w:tcW w:w="595" w:type="dxa"/>
          </w:tcPr>
          <w:p w14:paraId="01F829E6">
            <w:pPr>
              <w:pStyle w:val="29"/>
              <w:spacing w:before="27"/>
              <w:ind w:left="20"/>
              <w:rPr>
                <w:sz w:val="16"/>
              </w:rPr>
            </w:pPr>
            <w:r>
              <w:rPr>
                <w:spacing w:val="-4"/>
                <w:sz w:val="16"/>
              </w:rPr>
              <w:t>13.6</w:t>
            </w:r>
          </w:p>
        </w:tc>
        <w:tc>
          <w:tcPr>
            <w:tcW w:w="398" w:type="dxa"/>
          </w:tcPr>
          <w:p w14:paraId="4BADC2ED">
            <w:pPr>
              <w:pStyle w:val="29"/>
              <w:spacing w:before="27"/>
              <w:ind w:left="65" w:right="29"/>
              <w:jc w:val="center"/>
              <w:rPr>
                <w:sz w:val="16"/>
              </w:rPr>
            </w:pPr>
            <w:r>
              <w:rPr>
                <w:spacing w:val="-4"/>
                <w:sz w:val="16"/>
              </w:rPr>
              <w:t>3.00</w:t>
            </w:r>
          </w:p>
        </w:tc>
        <w:tc>
          <w:tcPr>
            <w:tcW w:w="357" w:type="dxa"/>
          </w:tcPr>
          <w:p w14:paraId="608EDF34">
            <w:pPr>
              <w:pStyle w:val="29"/>
              <w:spacing w:before="27"/>
              <w:ind w:left="6" w:right="47"/>
              <w:jc w:val="center"/>
              <w:rPr>
                <w:sz w:val="16"/>
              </w:rPr>
            </w:pPr>
            <w:r>
              <w:rPr>
                <w:spacing w:val="-4"/>
                <w:sz w:val="16"/>
              </w:rPr>
              <w:t>1.21</w:t>
            </w:r>
          </w:p>
        </w:tc>
      </w:tr>
      <w:tr w14:paraId="71E851A3">
        <w:tblPrEx>
          <w:tblCellMar>
            <w:top w:w="0" w:type="dxa"/>
            <w:left w:w="0" w:type="dxa"/>
            <w:bottom w:w="0" w:type="dxa"/>
            <w:right w:w="0" w:type="dxa"/>
          </w:tblCellMar>
        </w:tblPrEx>
        <w:trPr>
          <w:trHeight w:val="244" w:hRule="atLeast"/>
        </w:trPr>
        <w:tc>
          <w:tcPr>
            <w:tcW w:w="554" w:type="dxa"/>
          </w:tcPr>
          <w:p w14:paraId="44CD7908">
            <w:pPr>
              <w:pStyle w:val="29"/>
              <w:spacing w:before="26"/>
              <w:ind w:left="43"/>
              <w:rPr>
                <w:sz w:val="16"/>
              </w:rPr>
            </w:pPr>
            <w:r>
              <w:rPr>
                <w:spacing w:val="-5"/>
                <w:sz w:val="16"/>
              </w:rPr>
              <w:t>15</w:t>
            </w:r>
          </w:p>
        </w:tc>
        <w:tc>
          <w:tcPr>
            <w:tcW w:w="5376" w:type="dxa"/>
          </w:tcPr>
          <w:p w14:paraId="737CC3C8">
            <w:pPr>
              <w:pStyle w:val="29"/>
              <w:spacing w:before="28"/>
              <w:ind w:left="29"/>
              <w:rPr>
                <w:b/>
                <w:sz w:val="16"/>
              </w:rPr>
            </w:pPr>
            <w:r>
              <w:rPr>
                <w:b/>
                <w:sz w:val="16"/>
              </w:rPr>
              <w:t>Bedensel</w:t>
            </w:r>
            <w:r>
              <w:rPr>
                <w:b/>
                <w:spacing w:val="-9"/>
                <w:sz w:val="16"/>
              </w:rPr>
              <w:t xml:space="preserve"> </w:t>
            </w:r>
            <w:r>
              <w:rPr>
                <w:b/>
                <w:sz w:val="16"/>
              </w:rPr>
              <w:t>hareketlilik</w:t>
            </w:r>
            <w:r>
              <w:rPr>
                <w:b/>
                <w:spacing w:val="-10"/>
                <w:sz w:val="16"/>
              </w:rPr>
              <w:t xml:space="preserve"> </w:t>
            </w:r>
            <w:r>
              <w:rPr>
                <w:b/>
                <w:sz w:val="16"/>
              </w:rPr>
              <w:t>beceriniz</w:t>
            </w:r>
            <w:r>
              <w:rPr>
                <w:b/>
                <w:spacing w:val="-7"/>
                <w:sz w:val="16"/>
              </w:rPr>
              <w:t xml:space="preserve"> </w:t>
            </w:r>
            <w:r>
              <w:rPr>
                <w:b/>
                <w:spacing w:val="-2"/>
                <w:sz w:val="16"/>
              </w:rPr>
              <w:t>nasıldır?</w:t>
            </w:r>
          </w:p>
        </w:tc>
        <w:tc>
          <w:tcPr>
            <w:tcW w:w="426" w:type="dxa"/>
          </w:tcPr>
          <w:p w14:paraId="15AA95C8">
            <w:pPr>
              <w:pStyle w:val="29"/>
              <w:spacing w:before="26"/>
              <w:ind w:left="21" w:right="98"/>
              <w:jc w:val="center"/>
              <w:rPr>
                <w:sz w:val="16"/>
              </w:rPr>
            </w:pPr>
            <w:r>
              <w:rPr>
                <w:spacing w:val="-4"/>
                <w:sz w:val="16"/>
              </w:rPr>
              <w:t>11.5</w:t>
            </w:r>
          </w:p>
        </w:tc>
        <w:tc>
          <w:tcPr>
            <w:tcW w:w="370" w:type="dxa"/>
          </w:tcPr>
          <w:p w14:paraId="5029972D">
            <w:pPr>
              <w:pStyle w:val="29"/>
              <w:spacing w:before="26"/>
              <w:ind w:left="9" w:right="56"/>
              <w:jc w:val="center"/>
              <w:rPr>
                <w:sz w:val="16"/>
              </w:rPr>
            </w:pPr>
            <w:r>
              <w:rPr>
                <w:spacing w:val="-4"/>
                <w:sz w:val="16"/>
              </w:rPr>
              <w:t>13.1</w:t>
            </w:r>
          </w:p>
        </w:tc>
        <w:tc>
          <w:tcPr>
            <w:tcW w:w="379" w:type="dxa"/>
          </w:tcPr>
          <w:p w14:paraId="393473F4">
            <w:pPr>
              <w:pStyle w:val="29"/>
              <w:spacing w:before="26"/>
              <w:ind w:left="51" w:right="23"/>
              <w:jc w:val="center"/>
              <w:rPr>
                <w:sz w:val="16"/>
              </w:rPr>
            </w:pPr>
            <w:r>
              <w:rPr>
                <w:spacing w:val="-4"/>
                <w:sz w:val="16"/>
              </w:rPr>
              <w:t>23.6</w:t>
            </w:r>
          </w:p>
        </w:tc>
        <w:tc>
          <w:tcPr>
            <w:tcW w:w="342" w:type="dxa"/>
          </w:tcPr>
          <w:p w14:paraId="2D8BFD8C">
            <w:pPr>
              <w:pStyle w:val="29"/>
              <w:spacing w:before="26"/>
              <w:ind w:left="14" w:right="23"/>
              <w:jc w:val="center"/>
              <w:rPr>
                <w:sz w:val="16"/>
              </w:rPr>
            </w:pPr>
            <w:r>
              <w:rPr>
                <w:spacing w:val="-4"/>
                <w:sz w:val="16"/>
              </w:rPr>
              <w:t>31.2</w:t>
            </w:r>
          </w:p>
        </w:tc>
        <w:tc>
          <w:tcPr>
            <w:tcW w:w="595" w:type="dxa"/>
          </w:tcPr>
          <w:p w14:paraId="308C994C">
            <w:pPr>
              <w:pStyle w:val="29"/>
              <w:spacing w:before="26"/>
              <w:ind w:left="20"/>
              <w:rPr>
                <w:sz w:val="16"/>
              </w:rPr>
            </w:pPr>
            <w:r>
              <w:rPr>
                <w:spacing w:val="-4"/>
                <w:sz w:val="16"/>
              </w:rPr>
              <w:t>20.6</w:t>
            </w:r>
          </w:p>
        </w:tc>
        <w:tc>
          <w:tcPr>
            <w:tcW w:w="398" w:type="dxa"/>
          </w:tcPr>
          <w:p w14:paraId="45EAEB9B">
            <w:pPr>
              <w:pStyle w:val="29"/>
              <w:spacing w:before="28"/>
              <w:ind w:left="65" w:right="29"/>
              <w:jc w:val="center"/>
              <w:rPr>
                <w:b/>
                <w:sz w:val="16"/>
              </w:rPr>
            </w:pPr>
            <w:r>
              <w:rPr>
                <w:b/>
                <w:spacing w:val="-4"/>
                <w:sz w:val="16"/>
              </w:rPr>
              <w:t>3.36</w:t>
            </w:r>
          </w:p>
        </w:tc>
        <w:tc>
          <w:tcPr>
            <w:tcW w:w="357" w:type="dxa"/>
          </w:tcPr>
          <w:p w14:paraId="3AF57D93">
            <w:pPr>
              <w:pStyle w:val="29"/>
              <w:spacing w:before="26"/>
              <w:ind w:left="6" w:right="47"/>
              <w:jc w:val="center"/>
              <w:rPr>
                <w:sz w:val="16"/>
              </w:rPr>
            </w:pPr>
            <w:r>
              <w:rPr>
                <w:spacing w:val="-4"/>
                <w:sz w:val="16"/>
              </w:rPr>
              <w:t>1.26</w:t>
            </w:r>
          </w:p>
        </w:tc>
      </w:tr>
      <w:tr w14:paraId="3D71091C">
        <w:tblPrEx>
          <w:tblCellMar>
            <w:top w:w="0" w:type="dxa"/>
            <w:left w:w="0" w:type="dxa"/>
            <w:bottom w:w="0" w:type="dxa"/>
            <w:right w:w="0" w:type="dxa"/>
          </w:tblCellMar>
        </w:tblPrEx>
        <w:trPr>
          <w:trHeight w:val="243" w:hRule="atLeast"/>
        </w:trPr>
        <w:tc>
          <w:tcPr>
            <w:tcW w:w="554" w:type="dxa"/>
          </w:tcPr>
          <w:p w14:paraId="4DC2E040">
            <w:pPr>
              <w:pStyle w:val="29"/>
              <w:spacing w:before="26"/>
              <w:ind w:left="43"/>
              <w:rPr>
                <w:sz w:val="16"/>
              </w:rPr>
            </w:pPr>
            <w:r>
              <w:rPr>
                <w:spacing w:val="-5"/>
                <w:sz w:val="16"/>
              </w:rPr>
              <w:t>16</w:t>
            </w:r>
          </w:p>
        </w:tc>
        <w:tc>
          <w:tcPr>
            <w:tcW w:w="5376" w:type="dxa"/>
          </w:tcPr>
          <w:p w14:paraId="732DA66B">
            <w:pPr>
              <w:pStyle w:val="29"/>
              <w:spacing w:before="26"/>
              <w:ind w:left="29"/>
              <w:rPr>
                <w:sz w:val="16"/>
              </w:rPr>
            </w:pPr>
            <w:r>
              <w:rPr>
                <w:sz w:val="16"/>
              </w:rPr>
              <w:t>Uykunuzdan</w:t>
            </w:r>
            <w:r>
              <w:rPr>
                <w:spacing w:val="-5"/>
                <w:sz w:val="16"/>
              </w:rPr>
              <w:t xml:space="preserve"> </w:t>
            </w:r>
            <w:r>
              <w:rPr>
                <w:sz w:val="16"/>
              </w:rPr>
              <w:t>ne</w:t>
            </w:r>
            <w:r>
              <w:rPr>
                <w:spacing w:val="-8"/>
                <w:sz w:val="16"/>
              </w:rPr>
              <w:t xml:space="preserve"> </w:t>
            </w:r>
            <w:r>
              <w:rPr>
                <w:sz w:val="16"/>
              </w:rPr>
              <w:t>kadar</w:t>
            </w:r>
            <w:r>
              <w:rPr>
                <w:spacing w:val="-6"/>
                <w:sz w:val="16"/>
              </w:rPr>
              <w:t xml:space="preserve"> </w:t>
            </w:r>
            <w:r>
              <w:rPr>
                <w:spacing w:val="-2"/>
                <w:sz w:val="16"/>
              </w:rPr>
              <w:t>hoşnutsunuz?</w:t>
            </w:r>
          </w:p>
        </w:tc>
        <w:tc>
          <w:tcPr>
            <w:tcW w:w="426" w:type="dxa"/>
          </w:tcPr>
          <w:p w14:paraId="090ACBE8">
            <w:pPr>
              <w:pStyle w:val="29"/>
              <w:spacing w:before="26"/>
              <w:ind w:left="21" w:right="98"/>
              <w:jc w:val="center"/>
              <w:rPr>
                <w:sz w:val="16"/>
              </w:rPr>
            </w:pPr>
            <w:r>
              <w:rPr>
                <w:spacing w:val="-4"/>
                <w:sz w:val="16"/>
              </w:rPr>
              <w:t>13.6</w:t>
            </w:r>
          </w:p>
        </w:tc>
        <w:tc>
          <w:tcPr>
            <w:tcW w:w="370" w:type="dxa"/>
          </w:tcPr>
          <w:p w14:paraId="2F42E096">
            <w:pPr>
              <w:pStyle w:val="29"/>
              <w:spacing w:before="26"/>
              <w:ind w:left="9" w:right="56"/>
              <w:jc w:val="center"/>
              <w:rPr>
                <w:sz w:val="16"/>
              </w:rPr>
            </w:pPr>
            <w:r>
              <w:rPr>
                <w:spacing w:val="-4"/>
                <w:sz w:val="16"/>
              </w:rPr>
              <w:t>16.1</w:t>
            </w:r>
          </w:p>
        </w:tc>
        <w:tc>
          <w:tcPr>
            <w:tcW w:w="379" w:type="dxa"/>
          </w:tcPr>
          <w:p w14:paraId="39E03831">
            <w:pPr>
              <w:pStyle w:val="29"/>
              <w:spacing w:before="26"/>
              <w:ind w:left="51" w:right="23"/>
              <w:jc w:val="center"/>
              <w:rPr>
                <w:sz w:val="16"/>
              </w:rPr>
            </w:pPr>
            <w:r>
              <w:rPr>
                <w:spacing w:val="-4"/>
                <w:sz w:val="16"/>
              </w:rPr>
              <w:t>25.3</w:t>
            </w:r>
          </w:p>
        </w:tc>
        <w:tc>
          <w:tcPr>
            <w:tcW w:w="342" w:type="dxa"/>
          </w:tcPr>
          <w:p w14:paraId="6FD9837A">
            <w:pPr>
              <w:pStyle w:val="29"/>
              <w:spacing w:before="26"/>
              <w:ind w:left="14" w:right="23"/>
              <w:jc w:val="center"/>
              <w:rPr>
                <w:sz w:val="16"/>
              </w:rPr>
            </w:pPr>
            <w:r>
              <w:rPr>
                <w:spacing w:val="-4"/>
                <w:sz w:val="16"/>
              </w:rPr>
              <w:t>30.1</w:t>
            </w:r>
          </w:p>
        </w:tc>
        <w:tc>
          <w:tcPr>
            <w:tcW w:w="595" w:type="dxa"/>
          </w:tcPr>
          <w:p w14:paraId="07D48DD0">
            <w:pPr>
              <w:pStyle w:val="29"/>
              <w:spacing w:before="26"/>
              <w:ind w:left="20"/>
              <w:rPr>
                <w:sz w:val="16"/>
              </w:rPr>
            </w:pPr>
            <w:r>
              <w:rPr>
                <w:spacing w:val="-4"/>
                <w:sz w:val="16"/>
              </w:rPr>
              <w:t>15.0</w:t>
            </w:r>
          </w:p>
        </w:tc>
        <w:tc>
          <w:tcPr>
            <w:tcW w:w="398" w:type="dxa"/>
          </w:tcPr>
          <w:p w14:paraId="1B87907C">
            <w:pPr>
              <w:pStyle w:val="29"/>
              <w:spacing w:before="26"/>
              <w:ind w:left="65" w:right="29"/>
              <w:jc w:val="center"/>
              <w:rPr>
                <w:sz w:val="16"/>
              </w:rPr>
            </w:pPr>
            <w:r>
              <w:rPr>
                <w:spacing w:val="-4"/>
                <w:sz w:val="16"/>
              </w:rPr>
              <w:t>3.16</w:t>
            </w:r>
          </w:p>
        </w:tc>
        <w:tc>
          <w:tcPr>
            <w:tcW w:w="357" w:type="dxa"/>
          </w:tcPr>
          <w:p w14:paraId="56CB55A5">
            <w:pPr>
              <w:pStyle w:val="29"/>
              <w:spacing w:before="26"/>
              <w:ind w:left="6" w:right="47"/>
              <w:jc w:val="center"/>
              <w:rPr>
                <w:sz w:val="16"/>
              </w:rPr>
            </w:pPr>
            <w:r>
              <w:rPr>
                <w:spacing w:val="-4"/>
                <w:sz w:val="16"/>
              </w:rPr>
              <w:t>1.25</w:t>
            </w:r>
          </w:p>
        </w:tc>
      </w:tr>
      <w:tr w14:paraId="07263754">
        <w:tblPrEx>
          <w:tblCellMar>
            <w:top w:w="0" w:type="dxa"/>
            <w:left w:w="0" w:type="dxa"/>
            <w:bottom w:w="0" w:type="dxa"/>
            <w:right w:w="0" w:type="dxa"/>
          </w:tblCellMar>
        </w:tblPrEx>
        <w:trPr>
          <w:trHeight w:val="243" w:hRule="atLeast"/>
        </w:trPr>
        <w:tc>
          <w:tcPr>
            <w:tcW w:w="554" w:type="dxa"/>
          </w:tcPr>
          <w:p w14:paraId="4F7CFF12">
            <w:pPr>
              <w:pStyle w:val="29"/>
              <w:spacing w:before="27"/>
              <w:ind w:left="43"/>
              <w:rPr>
                <w:sz w:val="16"/>
              </w:rPr>
            </w:pPr>
            <w:r>
              <w:rPr>
                <w:spacing w:val="-5"/>
                <w:sz w:val="16"/>
              </w:rPr>
              <w:t>17</w:t>
            </w:r>
          </w:p>
        </w:tc>
        <w:tc>
          <w:tcPr>
            <w:tcW w:w="5376" w:type="dxa"/>
          </w:tcPr>
          <w:p w14:paraId="3309CEDB">
            <w:pPr>
              <w:pStyle w:val="29"/>
              <w:spacing w:before="27"/>
              <w:ind w:left="29"/>
              <w:rPr>
                <w:sz w:val="16"/>
              </w:rPr>
            </w:pPr>
            <w:r>
              <w:rPr>
                <w:sz w:val="16"/>
              </w:rPr>
              <w:t>Günlük</w:t>
            </w:r>
            <w:r>
              <w:rPr>
                <w:spacing w:val="-9"/>
                <w:sz w:val="16"/>
              </w:rPr>
              <w:t xml:space="preserve"> </w:t>
            </w:r>
            <w:r>
              <w:rPr>
                <w:sz w:val="16"/>
              </w:rPr>
              <w:t>uğraşlarınızı</w:t>
            </w:r>
            <w:r>
              <w:rPr>
                <w:spacing w:val="-6"/>
                <w:sz w:val="16"/>
              </w:rPr>
              <w:t xml:space="preserve"> </w:t>
            </w:r>
            <w:r>
              <w:rPr>
                <w:sz w:val="16"/>
              </w:rPr>
              <w:t>yürütebilme</w:t>
            </w:r>
            <w:r>
              <w:rPr>
                <w:spacing w:val="-9"/>
                <w:sz w:val="16"/>
              </w:rPr>
              <w:t xml:space="preserve"> </w:t>
            </w:r>
            <w:r>
              <w:rPr>
                <w:sz w:val="16"/>
              </w:rPr>
              <w:t>becerinizden</w:t>
            </w:r>
            <w:r>
              <w:rPr>
                <w:spacing w:val="-8"/>
                <w:sz w:val="16"/>
              </w:rPr>
              <w:t xml:space="preserve"> </w:t>
            </w:r>
            <w:r>
              <w:rPr>
                <w:sz w:val="16"/>
              </w:rPr>
              <w:t>ne</w:t>
            </w:r>
            <w:r>
              <w:rPr>
                <w:spacing w:val="-9"/>
                <w:sz w:val="16"/>
              </w:rPr>
              <w:t xml:space="preserve"> </w:t>
            </w:r>
            <w:r>
              <w:rPr>
                <w:sz w:val="16"/>
              </w:rPr>
              <w:t>kadar</w:t>
            </w:r>
            <w:r>
              <w:rPr>
                <w:spacing w:val="-9"/>
                <w:sz w:val="16"/>
              </w:rPr>
              <w:t xml:space="preserve"> </w:t>
            </w:r>
            <w:r>
              <w:rPr>
                <w:spacing w:val="-2"/>
                <w:sz w:val="16"/>
              </w:rPr>
              <w:t>hoşnutsunuz?</w:t>
            </w:r>
          </w:p>
        </w:tc>
        <w:tc>
          <w:tcPr>
            <w:tcW w:w="426" w:type="dxa"/>
          </w:tcPr>
          <w:p w14:paraId="62FE999E">
            <w:pPr>
              <w:pStyle w:val="29"/>
              <w:spacing w:before="27"/>
              <w:ind w:left="21" w:right="98"/>
              <w:jc w:val="center"/>
              <w:rPr>
                <w:sz w:val="16"/>
              </w:rPr>
            </w:pPr>
            <w:r>
              <w:rPr>
                <w:spacing w:val="-4"/>
                <w:sz w:val="16"/>
              </w:rPr>
              <w:t>15.4</w:t>
            </w:r>
          </w:p>
        </w:tc>
        <w:tc>
          <w:tcPr>
            <w:tcW w:w="370" w:type="dxa"/>
          </w:tcPr>
          <w:p w14:paraId="6C14796E">
            <w:pPr>
              <w:pStyle w:val="29"/>
              <w:spacing w:before="27"/>
              <w:ind w:left="9" w:right="56"/>
              <w:jc w:val="center"/>
              <w:rPr>
                <w:sz w:val="16"/>
              </w:rPr>
            </w:pPr>
            <w:r>
              <w:rPr>
                <w:spacing w:val="-4"/>
                <w:sz w:val="16"/>
              </w:rPr>
              <w:t>15.0</w:t>
            </w:r>
          </w:p>
        </w:tc>
        <w:tc>
          <w:tcPr>
            <w:tcW w:w="379" w:type="dxa"/>
          </w:tcPr>
          <w:p w14:paraId="23A2446D">
            <w:pPr>
              <w:pStyle w:val="29"/>
              <w:spacing w:before="27"/>
              <w:ind w:left="51" w:right="23"/>
              <w:jc w:val="center"/>
              <w:rPr>
                <w:sz w:val="16"/>
              </w:rPr>
            </w:pPr>
            <w:r>
              <w:rPr>
                <w:spacing w:val="-4"/>
                <w:sz w:val="16"/>
              </w:rPr>
              <w:t>25.6</w:t>
            </w:r>
          </w:p>
        </w:tc>
        <w:tc>
          <w:tcPr>
            <w:tcW w:w="342" w:type="dxa"/>
          </w:tcPr>
          <w:p w14:paraId="432718ED">
            <w:pPr>
              <w:pStyle w:val="29"/>
              <w:spacing w:before="27"/>
              <w:ind w:left="14" w:right="23"/>
              <w:jc w:val="center"/>
              <w:rPr>
                <w:sz w:val="16"/>
              </w:rPr>
            </w:pPr>
            <w:r>
              <w:rPr>
                <w:spacing w:val="-4"/>
                <w:sz w:val="16"/>
              </w:rPr>
              <w:t>29.3</w:t>
            </w:r>
          </w:p>
        </w:tc>
        <w:tc>
          <w:tcPr>
            <w:tcW w:w="595" w:type="dxa"/>
          </w:tcPr>
          <w:p w14:paraId="0A772E85">
            <w:pPr>
              <w:pStyle w:val="29"/>
              <w:spacing w:before="27"/>
              <w:ind w:left="20"/>
              <w:rPr>
                <w:sz w:val="16"/>
              </w:rPr>
            </w:pPr>
            <w:r>
              <w:rPr>
                <w:spacing w:val="-4"/>
                <w:sz w:val="16"/>
              </w:rPr>
              <w:t>14.7</w:t>
            </w:r>
          </w:p>
        </w:tc>
        <w:tc>
          <w:tcPr>
            <w:tcW w:w="398" w:type="dxa"/>
          </w:tcPr>
          <w:p w14:paraId="777810D1">
            <w:pPr>
              <w:pStyle w:val="29"/>
              <w:spacing w:before="27"/>
              <w:ind w:left="65" w:right="29"/>
              <w:jc w:val="center"/>
              <w:rPr>
                <w:sz w:val="16"/>
              </w:rPr>
            </w:pPr>
            <w:r>
              <w:rPr>
                <w:spacing w:val="-4"/>
                <w:sz w:val="16"/>
              </w:rPr>
              <w:t>3.12</w:t>
            </w:r>
          </w:p>
        </w:tc>
        <w:tc>
          <w:tcPr>
            <w:tcW w:w="357" w:type="dxa"/>
          </w:tcPr>
          <w:p w14:paraId="15568772">
            <w:pPr>
              <w:pStyle w:val="29"/>
              <w:spacing w:before="27"/>
              <w:ind w:left="6" w:right="47"/>
              <w:jc w:val="center"/>
              <w:rPr>
                <w:sz w:val="16"/>
              </w:rPr>
            </w:pPr>
            <w:r>
              <w:rPr>
                <w:spacing w:val="-4"/>
                <w:sz w:val="16"/>
              </w:rPr>
              <w:t>1.27</w:t>
            </w:r>
          </w:p>
        </w:tc>
      </w:tr>
      <w:tr w14:paraId="381538D2">
        <w:tblPrEx>
          <w:tblCellMar>
            <w:top w:w="0" w:type="dxa"/>
            <w:left w:w="0" w:type="dxa"/>
            <w:bottom w:w="0" w:type="dxa"/>
            <w:right w:w="0" w:type="dxa"/>
          </w:tblCellMar>
        </w:tblPrEx>
        <w:trPr>
          <w:trHeight w:val="243" w:hRule="atLeast"/>
        </w:trPr>
        <w:tc>
          <w:tcPr>
            <w:tcW w:w="554" w:type="dxa"/>
          </w:tcPr>
          <w:p w14:paraId="2FD653A1">
            <w:pPr>
              <w:pStyle w:val="29"/>
              <w:spacing w:before="26"/>
              <w:ind w:left="43"/>
              <w:rPr>
                <w:sz w:val="16"/>
              </w:rPr>
            </w:pPr>
            <w:r>
              <w:rPr>
                <w:spacing w:val="-5"/>
                <w:sz w:val="16"/>
              </w:rPr>
              <w:t>18</w:t>
            </w:r>
          </w:p>
        </w:tc>
        <w:tc>
          <w:tcPr>
            <w:tcW w:w="5376" w:type="dxa"/>
          </w:tcPr>
          <w:p w14:paraId="4635A078">
            <w:pPr>
              <w:pStyle w:val="29"/>
              <w:spacing w:before="26"/>
              <w:ind w:left="29"/>
              <w:rPr>
                <w:sz w:val="16"/>
              </w:rPr>
            </w:pPr>
            <w:r>
              <w:rPr>
                <w:sz w:val="16"/>
              </w:rPr>
              <w:t>İş</w:t>
            </w:r>
            <w:r>
              <w:rPr>
                <w:spacing w:val="-5"/>
                <w:sz w:val="16"/>
              </w:rPr>
              <w:t xml:space="preserve"> </w:t>
            </w:r>
            <w:r>
              <w:rPr>
                <w:sz w:val="16"/>
              </w:rPr>
              <w:t>görme</w:t>
            </w:r>
            <w:r>
              <w:rPr>
                <w:spacing w:val="-6"/>
                <w:sz w:val="16"/>
              </w:rPr>
              <w:t xml:space="preserve"> </w:t>
            </w:r>
            <w:r>
              <w:rPr>
                <w:sz w:val="16"/>
              </w:rPr>
              <w:t>kapasitenizden</w:t>
            </w:r>
            <w:r>
              <w:rPr>
                <w:spacing w:val="-5"/>
                <w:sz w:val="16"/>
              </w:rPr>
              <w:t xml:space="preserve"> </w:t>
            </w:r>
            <w:r>
              <w:rPr>
                <w:sz w:val="16"/>
              </w:rPr>
              <w:t>ne</w:t>
            </w:r>
            <w:r>
              <w:rPr>
                <w:spacing w:val="-6"/>
                <w:sz w:val="16"/>
              </w:rPr>
              <w:t xml:space="preserve"> </w:t>
            </w:r>
            <w:r>
              <w:rPr>
                <w:sz w:val="16"/>
              </w:rPr>
              <w:t>kadar</w:t>
            </w:r>
            <w:r>
              <w:rPr>
                <w:spacing w:val="-7"/>
                <w:sz w:val="16"/>
              </w:rPr>
              <w:t xml:space="preserve"> </w:t>
            </w:r>
            <w:r>
              <w:rPr>
                <w:spacing w:val="-2"/>
                <w:sz w:val="16"/>
              </w:rPr>
              <w:t>hoşnutsunuz?</w:t>
            </w:r>
          </w:p>
        </w:tc>
        <w:tc>
          <w:tcPr>
            <w:tcW w:w="426" w:type="dxa"/>
          </w:tcPr>
          <w:p w14:paraId="0965083E">
            <w:pPr>
              <w:pStyle w:val="29"/>
              <w:spacing w:before="26"/>
              <w:ind w:left="21" w:right="98"/>
              <w:jc w:val="center"/>
              <w:rPr>
                <w:sz w:val="16"/>
              </w:rPr>
            </w:pPr>
            <w:r>
              <w:rPr>
                <w:spacing w:val="-4"/>
                <w:sz w:val="16"/>
              </w:rPr>
              <w:t>11.5</w:t>
            </w:r>
          </w:p>
        </w:tc>
        <w:tc>
          <w:tcPr>
            <w:tcW w:w="370" w:type="dxa"/>
          </w:tcPr>
          <w:p w14:paraId="2C77302D">
            <w:pPr>
              <w:pStyle w:val="29"/>
              <w:spacing w:before="26"/>
              <w:ind w:left="9" w:right="56"/>
              <w:jc w:val="center"/>
              <w:rPr>
                <w:sz w:val="16"/>
              </w:rPr>
            </w:pPr>
            <w:r>
              <w:rPr>
                <w:spacing w:val="-4"/>
                <w:sz w:val="16"/>
              </w:rPr>
              <w:t>16.1</w:t>
            </w:r>
          </w:p>
        </w:tc>
        <w:tc>
          <w:tcPr>
            <w:tcW w:w="379" w:type="dxa"/>
          </w:tcPr>
          <w:p w14:paraId="0C87C965">
            <w:pPr>
              <w:pStyle w:val="29"/>
              <w:spacing w:before="26"/>
              <w:ind w:left="51" w:right="23"/>
              <w:jc w:val="center"/>
              <w:rPr>
                <w:sz w:val="16"/>
              </w:rPr>
            </w:pPr>
            <w:r>
              <w:rPr>
                <w:spacing w:val="-4"/>
                <w:sz w:val="16"/>
              </w:rPr>
              <w:t>24.2</w:t>
            </w:r>
          </w:p>
        </w:tc>
        <w:tc>
          <w:tcPr>
            <w:tcW w:w="342" w:type="dxa"/>
          </w:tcPr>
          <w:p w14:paraId="58145FFA">
            <w:pPr>
              <w:pStyle w:val="29"/>
              <w:spacing w:before="26"/>
              <w:ind w:left="14" w:right="23"/>
              <w:jc w:val="center"/>
              <w:rPr>
                <w:sz w:val="16"/>
              </w:rPr>
            </w:pPr>
            <w:r>
              <w:rPr>
                <w:spacing w:val="-4"/>
                <w:sz w:val="16"/>
              </w:rPr>
              <w:t>33.1</w:t>
            </w:r>
          </w:p>
        </w:tc>
        <w:tc>
          <w:tcPr>
            <w:tcW w:w="595" w:type="dxa"/>
          </w:tcPr>
          <w:p w14:paraId="3A0BEACF">
            <w:pPr>
              <w:pStyle w:val="29"/>
              <w:spacing w:before="26"/>
              <w:ind w:left="20"/>
              <w:rPr>
                <w:sz w:val="16"/>
              </w:rPr>
            </w:pPr>
            <w:r>
              <w:rPr>
                <w:spacing w:val="-4"/>
                <w:sz w:val="16"/>
              </w:rPr>
              <w:t>15.1</w:t>
            </w:r>
          </w:p>
        </w:tc>
        <w:tc>
          <w:tcPr>
            <w:tcW w:w="398" w:type="dxa"/>
          </w:tcPr>
          <w:p w14:paraId="2810BB43">
            <w:pPr>
              <w:pStyle w:val="29"/>
              <w:spacing w:before="26"/>
              <w:ind w:left="65" w:right="29"/>
              <w:jc w:val="center"/>
              <w:rPr>
                <w:sz w:val="16"/>
              </w:rPr>
            </w:pPr>
            <w:r>
              <w:rPr>
                <w:spacing w:val="-4"/>
                <w:sz w:val="16"/>
              </w:rPr>
              <w:t>3.24</w:t>
            </w:r>
          </w:p>
        </w:tc>
        <w:tc>
          <w:tcPr>
            <w:tcW w:w="357" w:type="dxa"/>
          </w:tcPr>
          <w:p w14:paraId="7D84A730">
            <w:pPr>
              <w:pStyle w:val="29"/>
              <w:spacing w:before="26"/>
              <w:ind w:left="6" w:right="47"/>
              <w:jc w:val="center"/>
              <w:rPr>
                <w:sz w:val="16"/>
              </w:rPr>
            </w:pPr>
            <w:r>
              <w:rPr>
                <w:spacing w:val="-4"/>
                <w:sz w:val="16"/>
              </w:rPr>
              <w:t>1.22</w:t>
            </w:r>
          </w:p>
        </w:tc>
      </w:tr>
      <w:tr w14:paraId="47E6CD66">
        <w:tblPrEx>
          <w:tblCellMar>
            <w:top w:w="0" w:type="dxa"/>
            <w:left w:w="0" w:type="dxa"/>
            <w:bottom w:w="0" w:type="dxa"/>
            <w:right w:w="0" w:type="dxa"/>
          </w:tblCellMar>
        </w:tblPrEx>
        <w:trPr>
          <w:trHeight w:val="243" w:hRule="atLeast"/>
        </w:trPr>
        <w:tc>
          <w:tcPr>
            <w:tcW w:w="554" w:type="dxa"/>
          </w:tcPr>
          <w:p w14:paraId="48D52DBB">
            <w:pPr>
              <w:pStyle w:val="29"/>
              <w:spacing w:before="27"/>
              <w:ind w:left="43"/>
              <w:rPr>
                <w:sz w:val="16"/>
              </w:rPr>
            </w:pPr>
            <w:r>
              <w:rPr>
                <w:spacing w:val="-5"/>
                <w:sz w:val="16"/>
              </w:rPr>
              <w:t>19</w:t>
            </w:r>
          </w:p>
        </w:tc>
        <w:tc>
          <w:tcPr>
            <w:tcW w:w="5376" w:type="dxa"/>
          </w:tcPr>
          <w:p w14:paraId="038B2DD7">
            <w:pPr>
              <w:pStyle w:val="29"/>
              <w:spacing w:before="27"/>
              <w:ind w:left="29"/>
              <w:rPr>
                <w:sz w:val="16"/>
              </w:rPr>
            </w:pPr>
            <w:r>
              <w:rPr>
                <w:sz w:val="16"/>
              </w:rPr>
              <w:t>Kendinizden</w:t>
            </w:r>
            <w:r>
              <w:rPr>
                <w:spacing w:val="-5"/>
                <w:sz w:val="16"/>
              </w:rPr>
              <w:t xml:space="preserve"> </w:t>
            </w:r>
            <w:r>
              <w:rPr>
                <w:sz w:val="16"/>
              </w:rPr>
              <w:t>ne</w:t>
            </w:r>
            <w:r>
              <w:rPr>
                <w:spacing w:val="-8"/>
                <w:sz w:val="16"/>
              </w:rPr>
              <w:t xml:space="preserve"> </w:t>
            </w:r>
            <w:r>
              <w:rPr>
                <w:sz w:val="16"/>
              </w:rPr>
              <w:t>kadar</w:t>
            </w:r>
            <w:r>
              <w:rPr>
                <w:spacing w:val="-6"/>
                <w:sz w:val="16"/>
              </w:rPr>
              <w:t xml:space="preserve"> </w:t>
            </w:r>
            <w:r>
              <w:rPr>
                <w:spacing w:val="-2"/>
                <w:sz w:val="16"/>
              </w:rPr>
              <w:t>hoşnutsunuz?</w:t>
            </w:r>
          </w:p>
        </w:tc>
        <w:tc>
          <w:tcPr>
            <w:tcW w:w="426" w:type="dxa"/>
          </w:tcPr>
          <w:p w14:paraId="6A3AA001">
            <w:pPr>
              <w:pStyle w:val="29"/>
              <w:spacing w:before="27"/>
              <w:ind w:left="21" w:right="98"/>
              <w:jc w:val="center"/>
              <w:rPr>
                <w:sz w:val="16"/>
              </w:rPr>
            </w:pPr>
            <w:r>
              <w:rPr>
                <w:spacing w:val="-4"/>
                <w:sz w:val="16"/>
              </w:rPr>
              <w:t>12.5</w:t>
            </w:r>
          </w:p>
        </w:tc>
        <w:tc>
          <w:tcPr>
            <w:tcW w:w="370" w:type="dxa"/>
          </w:tcPr>
          <w:p w14:paraId="0C769037">
            <w:pPr>
              <w:pStyle w:val="29"/>
              <w:spacing w:before="27"/>
              <w:ind w:left="9" w:right="56"/>
              <w:jc w:val="center"/>
              <w:rPr>
                <w:sz w:val="16"/>
              </w:rPr>
            </w:pPr>
            <w:r>
              <w:rPr>
                <w:spacing w:val="-4"/>
                <w:sz w:val="16"/>
              </w:rPr>
              <w:t>15.9</w:t>
            </w:r>
          </w:p>
        </w:tc>
        <w:tc>
          <w:tcPr>
            <w:tcW w:w="379" w:type="dxa"/>
          </w:tcPr>
          <w:p w14:paraId="77623E62">
            <w:pPr>
              <w:pStyle w:val="29"/>
              <w:spacing w:before="27"/>
              <w:ind w:left="51" w:right="23"/>
              <w:jc w:val="center"/>
              <w:rPr>
                <w:sz w:val="16"/>
              </w:rPr>
            </w:pPr>
            <w:r>
              <w:rPr>
                <w:spacing w:val="-4"/>
                <w:sz w:val="16"/>
              </w:rPr>
              <w:t>20.4</w:t>
            </w:r>
          </w:p>
        </w:tc>
        <w:tc>
          <w:tcPr>
            <w:tcW w:w="342" w:type="dxa"/>
          </w:tcPr>
          <w:p w14:paraId="12DE2005">
            <w:pPr>
              <w:pStyle w:val="29"/>
              <w:spacing w:before="27"/>
              <w:ind w:left="14" w:right="23"/>
              <w:jc w:val="center"/>
              <w:rPr>
                <w:sz w:val="16"/>
              </w:rPr>
            </w:pPr>
            <w:r>
              <w:rPr>
                <w:spacing w:val="-4"/>
                <w:sz w:val="16"/>
              </w:rPr>
              <w:t>32.4</w:t>
            </w:r>
          </w:p>
        </w:tc>
        <w:tc>
          <w:tcPr>
            <w:tcW w:w="595" w:type="dxa"/>
          </w:tcPr>
          <w:p w14:paraId="0FDD5592">
            <w:pPr>
              <w:pStyle w:val="29"/>
              <w:spacing w:before="27"/>
              <w:ind w:left="20"/>
              <w:rPr>
                <w:sz w:val="16"/>
              </w:rPr>
            </w:pPr>
            <w:r>
              <w:rPr>
                <w:spacing w:val="-4"/>
                <w:sz w:val="16"/>
              </w:rPr>
              <w:t>18.7</w:t>
            </w:r>
          </w:p>
        </w:tc>
        <w:tc>
          <w:tcPr>
            <w:tcW w:w="398" w:type="dxa"/>
          </w:tcPr>
          <w:p w14:paraId="64691328">
            <w:pPr>
              <w:pStyle w:val="29"/>
              <w:spacing w:before="27"/>
              <w:ind w:left="65" w:right="29"/>
              <w:jc w:val="center"/>
              <w:rPr>
                <w:sz w:val="16"/>
              </w:rPr>
            </w:pPr>
            <w:r>
              <w:rPr>
                <w:spacing w:val="-4"/>
                <w:sz w:val="16"/>
              </w:rPr>
              <w:t>3.29</w:t>
            </w:r>
          </w:p>
        </w:tc>
        <w:tc>
          <w:tcPr>
            <w:tcW w:w="357" w:type="dxa"/>
          </w:tcPr>
          <w:p w14:paraId="11A30698">
            <w:pPr>
              <w:pStyle w:val="29"/>
              <w:spacing w:before="27"/>
              <w:ind w:left="6" w:right="47"/>
              <w:jc w:val="center"/>
              <w:rPr>
                <w:sz w:val="16"/>
              </w:rPr>
            </w:pPr>
            <w:r>
              <w:rPr>
                <w:spacing w:val="-4"/>
                <w:sz w:val="16"/>
              </w:rPr>
              <w:t>1.28</w:t>
            </w:r>
          </w:p>
        </w:tc>
      </w:tr>
      <w:tr w14:paraId="68F8D0AF">
        <w:tblPrEx>
          <w:tblCellMar>
            <w:top w:w="0" w:type="dxa"/>
            <w:left w:w="0" w:type="dxa"/>
            <w:bottom w:w="0" w:type="dxa"/>
            <w:right w:w="0" w:type="dxa"/>
          </w:tblCellMar>
        </w:tblPrEx>
        <w:trPr>
          <w:trHeight w:val="243" w:hRule="atLeast"/>
        </w:trPr>
        <w:tc>
          <w:tcPr>
            <w:tcW w:w="554" w:type="dxa"/>
          </w:tcPr>
          <w:p w14:paraId="58A610B3">
            <w:pPr>
              <w:pStyle w:val="29"/>
              <w:spacing w:before="26"/>
              <w:ind w:left="43"/>
              <w:rPr>
                <w:sz w:val="16"/>
              </w:rPr>
            </w:pPr>
            <w:r>
              <w:rPr>
                <w:spacing w:val="-5"/>
                <w:sz w:val="16"/>
              </w:rPr>
              <w:t>20</w:t>
            </w:r>
          </w:p>
        </w:tc>
        <w:tc>
          <w:tcPr>
            <w:tcW w:w="5376" w:type="dxa"/>
          </w:tcPr>
          <w:p w14:paraId="1186FC15">
            <w:pPr>
              <w:pStyle w:val="29"/>
              <w:spacing w:before="26"/>
              <w:ind w:left="29"/>
              <w:rPr>
                <w:sz w:val="16"/>
              </w:rPr>
            </w:pPr>
            <w:r>
              <w:rPr>
                <w:sz w:val="16"/>
              </w:rPr>
              <w:t>Aile</w:t>
            </w:r>
            <w:r>
              <w:rPr>
                <w:spacing w:val="-7"/>
                <w:sz w:val="16"/>
              </w:rPr>
              <w:t xml:space="preserve"> </w:t>
            </w:r>
            <w:r>
              <w:rPr>
                <w:sz w:val="16"/>
              </w:rPr>
              <w:t>dışı</w:t>
            </w:r>
            <w:r>
              <w:rPr>
                <w:spacing w:val="-5"/>
                <w:sz w:val="16"/>
              </w:rPr>
              <w:t xml:space="preserve"> </w:t>
            </w:r>
            <w:r>
              <w:rPr>
                <w:sz w:val="16"/>
              </w:rPr>
              <w:t>kişilerle</w:t>
            </w:r>
            <w:r>
              <w:rPr>
                <w:spacing w:val="-7"/>
                <w:sz w:val="16"/>
              </w:rPr>
              <w:t xml:space="preserve"> </w:t>
            </w:r>
            <w:r>
              <w:rPr>
                <w:sz w:val="16"/>
              </w:rPr>
              <w:t>ilişkilerinizden</w:t>
            </w:r>
            <w:r>
              <w:rPr>
                <w:spacing w:val="-5"/>
                <w:sz w:val="16"/>
              </w:rPr>
              <w:t xml:space="preserve"> </w:t>
            </w:r>
            <w:r>
              <w:rPr>
                <w:sz w:val="16"/>
              </w:rPr>
              <w:t>ne</w:t>
            </w:r>
            <w:r>
              <w:rPr>
                <w:spacing w:val="-8"/>
                <w:sz w:val="16"/>
              </w:rPr>
              <w:t xml:space="preserve"> </w:t>
            </w:r>
            <w:r>
              <w:rPr>
                <w:sz w:val="16"/>
              </w:rPr>
              <w:t>kadar</w:t>
            </w:r>
            <w:r>
              <w:rPr>
                <w:spacing w:val="-7"/>
                <w:sz w:val="16"/>
              </w:rPr>
              <w:t xml:space="preserve"> </w:t>
            </w:r>
            <w:r>
              <w:rPr>
                <w:spacing w:val="-2"/>
                <w:sz w:val="16"/>
              </w:rPr>
              <w:t>hoşnutsunuz?</w:t>
            </w:r>
          </w:p>
        </w:tc>
        <w:tc>
          <w:tcPr>
            <w:tcW w:w="426" w:type="dxa"/>
          </w:tcPr>
          <w:p w14:paraId="7BD7CB27">
            <w:pPr>
              <w:pStyle w:val="29"/>
              <w:spacing w:before="26"/>
              <w:ind w:left="21" w:right="98"/>
              <w:jc w:val="center"/>
              <w:rPr>
                <w:sz w:val="16"/>
              </w:rPr>
            </w:pPr>
            <w:r>
              <w:rPr>
                <w:spacing w:val="-4"/>
                <w:sz w:val="16"/>
              </w:rPr>
              <w:t>13.7</w:t>
            </w:r>
          </w:p>
        </w:tc>
        <w:tc>
          <w:tcPr>
            <w:tcW w:w="370" w:type="dxa"/>
          </w:tcPr>
          <w:p w14:paraId="1A3A81C3">
            <w:pPr>
              <w:pStyle w:val="29"/>
              <w:spacing w:before="26"/>
              <w:ind w:left="9" w:right="56"/>
              <w:jc w:val="center"/>
              <w:rPr>
                <w:sz w:val="16"/>
              </w:rPr>
            </w:pPr>
            <w:r>
              <w:rPr>
                <w:spacing w:val="-4"/>
                <w:sz w:val="16"/>
              </w:rPr>
              <w:t>15.6</w:t>
            </w:r>
          </w:p>
        </w:tc>
        <w:tc>
          <w:tcPr>
            <w:tcW w:w="379" w:type="dxa"/>
          </w:tcPr>
          <w:p w14:paraId="1F4D8FE4">
            <w:pPr>
              <w:pStyle w:val="29"/>
              <w:spacing w:before="26"/>
              <w:ind w:left="51" w:right="23"/>
              <w:jc w:val="center"/>
              <w:rPr>
                <w:sz w:val="16"/>
              </w:rPr>
            </w:pPr>
            <w:r>
              <w:rPr>
                <w:spacing w:val="-4"/>
                <w:sz w:val="16"/>
              </w:rPr>
              <w:t>21.8</w:t>
            </w:r>
          </w:p>
        </w:tc>
        <w:tc>
          <w:tcPr>
            <w:tcW w:w="342" w:type="dxa"/>
          </w:tcPr>
          <w:p w14:paraId="64758E82">
            <w:pPr>
              <w:pStyle w:val="29"/>
              <w:spacing w:before="26"/>
              <w:ind w:left="14" w:right="23"/>
              <w:jc w:val="center"/>
              <w:rPr>
                <w:sz w:val="16"/>
              </w:rPr>
            </w:pPr>
            <w:r>
              <w:rPr>
                <w:spacing w:val="-4"/>
                <w:sz w:val="16"/>
              </w:rPr>
              <w:t>31.0</w:t>
            </w:r>
          </w:p>
        </w:tc>
        <w:tc>
          <w:tcPr>
            <w:tcW w:w="595" w:type="dxa"/>
          </w:tcPr>
          <w:p w14:paraId="2D19B996">
            <w:pPr>
              <w:pStyle w:val="29"/>
              <w:spacing w:before="26"/>
              <w:ind w:left="20"/>
              <w:rPr>
                <w:sz w:val="16"/>
              </w:rPr>
            </w:pPr>
            <w:r>
              <w:rPr>
                <w:spacing w:val="-4"/>
                <w:sz w:val="16"/>
              </w:rPr>
              <w:t>17.8</w:t>
            </w:r>
          </w:p>
        </w:tc>
        <w:tc>
          <w:tcPr>
            <w:tcW w:w="398" w:type="dxa"/>
          </w:tcPr>
          <w:p w14:paraId="209690A0">
            <w:pPr>
              <w:pStyle w:val="29"/>
              <w:spacing w:before="26"/>
              <w:ind w:left="65" w:right="29"/>
              <w:jc w:val="center"/>
              <w:rPr>
                <w:sz w:val="16"/>
              </w:rPr>
            </w:pPr>
            <w:r>
              <w:rPr>
                <w:spacing w:val="-4"/>
                <w:sz w:val="16"/>
              </w:rPr>
              <w:t>3.23</w:t>
            </w:r>
          </w:p>
        </w:tc>
        <w:tc>
          <w:tcPr>
            <w:tcW w:w="357" w:type="dxa"/>
          </w:tcPr>
          <w:p w14:paraId="139BE4DF">
            <w:pPr>
              <w:pStyle w:val="29"/>
              <w:spacing w:before="26"/>
              <w:ind w:left="6" w:right="47"/>
              <w:jc w:val="center"/>
              <w:rPr>
                <w:sz w:val="16"/>
              </w:rPr>
            </w:pPr>
            <w:r>
              <w:rPr>
                <w:spacing w:val="-4"/>
                <w:sz w:val="16"/>
              </w:rPr>
              <w:t>1.29</w:t>
            </w:r>
          </w:p>
        </w:tc>
      </w:tr>
      <w:tr w14:paraId="4E16983B">
        <w:tblPrEx>
          <w:tblCellMar>
            <w:top w:w="0" w:type="dxa"/>
            <w:left w:w="0" w:type="dxa"/>
            <w:bottom w:w="0" w:type="dxa"/>
            <w:right w:w="0" w:type="dxa"/>
          </w:tblCellMar>
        </w:tblPrEx>
        <w:trPr>
          <w:trHeight w:val="244" w:hRule="atLeast"/>
        </w:trPr>
        <w:tc>
          <w:tcPr>
            <w:tcW w:w="554" w:type="dxa"/>
          </w:tcPr>
          <w:p w14:paraId="42404F6A">
            <w:pPr>
              <w:pStyle w:val="29"/>
              <w:spacing w:before="27"/>
              <w:ind w:left="43"/>
              <w:rPr>
                <w:sz w:val="16"/>
              </w:rPr>
            </w:pPr>
            <w:r>
              <w:rPr>
                <w:spacing w:val="-5"/>
                <w:sz w:val="16"/>
              </w:rPr>
              <w:t>21</w:t>
            </w:r>
          </w:p>
        </w:tc>
        <w:tc>
          <w:tcPr>
            <w:tcW w:w="5376" w:type="dxa"/>
          </w:tcPr>
          <w:p w14:paraId="0A7E5C30">
            <w:pPr>
              <w:pStyle w:val="29"/>
              <w:spacing w:before="27"/>
              <w:ind w:left="29"/>
              <w:rPr>
                <w:sz w:val="16"/>
              </w:rPr>
            </w:pPr>
            <w:r>
              <w:rPr>
                <w:sz w:val="16"/>
              </w:rPr>
              <w:t>Cinsel</w:t>
            </w:r>
            <w:r>
              <w:rPr>
                <w:spacing w:val="-5"/>
                <w:sz w:val="16"/>
              </w:rPr>
              <w:t xml:space="preserve"> </w:t>
            </w:r>
            <w:r>
              <w:rPr>
                <w:sz w:val="16"/>
              </w:rPr>
              <w:t>yaşamınızdan</w:t>
            </w:r>
            <w:r>
              <w:rPr>
                <w:spacing w:val="-4"/>
                <w:sz w:val="16"/>
              </w:rPr>
              <w:t xml:space="preserve"> </w:t>
            </w:r>
            <w:r>
              <w:rPr>
                <w:sz w:val="16"/>
              </w:rPr>
              <w:t>ne</w:t>
            </w:r>
            <w:r>
              <w:rPr>
                <w:spacing w:val="-7"/>
                <w:sz w:val="16"/>
              </w:rPr>
              <w:t xml:space="preserve"> </w:t>
            </w:r>
            <w:r>
              <w:rPr>
                <w:sz w:val="16"/>
              </w:rPr>
              <w:t>kadar</w:t>
            </w:r>
            <w:r>
              <w:rPr>
                <w:spacing w:val="-6"/>
                <w:sz w:val="16"/>
              </w:rPr>
              <w:t xml:space="preserve"> </w:t>
            </w:r>
            <w:r>
              <w:rPr>
                <w:spacing w:val="-2"/>
                <w:sz w:val="16"/>
              </w:rPr>
              <w:t>hoşnutsunuz?</w:t>
            </w:r>
          </w:p>
        </w:tc>
        <w:tc>
          <w:tcPr>
            <w:tcW w:w="426" w:type="dxa"/>
          </w:tcPr>
          <w:p w14:paraId="56C64DF7">
            <w:pPr>
              <w:pStyle w:val="29"/>
              <w:spacing w:before="27"/>
              <w:ind w:left="21" w:right="98"/>
              <w:jc w:val="center"/>
              <w:rPr>
                <w:sz w:val="16"/>
              </w:rPr>
            </w:pPr>
            <w:r>
              <w:rPr>
                <w:spacing w:val="-4"/>
                <w:sz w:val="16"/>
              </w:rPr>
              <w:t>17.3</w:t>
            </w:r>
          </w:p>
        </w:tc>
        <w:tc>
          <w:tcPr>
            <w:tcW w:w="370" w:type="dxa"/>
          </w:tcPr>
          <w:p w14:paraId="7B14DAF7">
            <w:pPr>
              <w:pStyle w:val="29"/>
              <w:spacing w:before="27"/>
              <w:ind w:left="9" w:right="56"/>
              <w:jc w:val="center"/>
              <w:rPr>
                <w:sz w:val="16"/>
              </w:rPr>
            </w:pPr>
            <w:r>
              <w:rPr>
                <w:spacing w:val="-4"/>
                <w:sz w:val="16"/>
              </w:rPr>
              <w:t>15.1</w:t>
            </w:r>
          </w:p>
        </w:tc>
        <w:tc>
          <w:tcPr>
            <w:tcW w:w="379" w:type="dxa"/>
          </w:tcPr>
          <w:p w14:paraId="17E49B29">
            <w:pPr>
              <w:pStyle w:val="29"/>
              <w:spacing w:before="27"/>
              <w:ind w:left="51" w:right="23"/>
              <w:jc w:val="center"/>
              <w:rPr>
                <w:sz w:val="16"/>
              </w:rPr>
            </w:pPr>
            <w:r>
              <w:rPr>
                <w:spacing w:val="-4"/>
                <w:sz w:val="16"/>
              </w:rPr>
              <w:t>27.8</w:t>
            </w:r>
          </w:p>
        </w:tc>
        <w:tc>
          <w:tcPr>
            <w:tcW w:w="342" w:type="dxa"/>
          </w:tcPr>
          <w:p w14:paraId="6EEE0F25">
            <w:pPr>
              <w:pStyle w:val="29"/>
              <w:spacing w:before="27"/>
              <w:ind w:left="14" w:right="23"/>
              <w:jc w:val="center"/>
              <w:rPr>
                <w:sz w:val="16"/>
              </w:rPr>
            </w:pPr>
            <w:r>
              <w:rPr>
                <w:spacing w:val="-4"/>
                <w:sz w:val="16"/>
              </w:rPr>
              <w:t>23.7</w:t>
            </w:r>
          </w:p>
        </w:tc>
        <w:tc>
          <w:tcPr>
            <w:tcW w:w="595" w:type="dxa"/>
          </w:tcPr>
          <w:p w14:paraId="65509FE9">
            <w:pPr>
              <w:pStyle w:val="29"/>
              <w:spacing w:before="27"/>
              <w:ind w:left="20"/>
              <w:rPr>
                <w:sz w:val="16"/>
              </w:rPr>
            </w:pPr>
            <w:r>
              <w:rPr>
                <w:spacing w:val="-4"/>
                <w:sz w:val="16"/>
              </w:rPr>
              <w:t>16.1</w:t>
            </w:r>
          </w:p>
        </w:tc>
        <w:tc>
          <w:tcPr>
            <w:tcW w:w="398" w:type="dxa"/>
          </w:tcPr>
          <w:p w14:paraId="5B478EDD">
            <w:pPr>
              <w:pStyle w:val="29"/>
              <w:spacing w:before="27"/>
              <w:ind w:left="65" w:right="29"/>
              <w:jc w:val="center"/>
              <w:rPr>
                <w:sz w:val="16"/>
              </w:rPr>
            </w:pPr>
            <w:r>
              <w:rPr>
                <w:spacing w:val="-4"/>
                <w:sz w:val="16"/>
              </w:rPr>
              <w:t>3.06</w:t>
            </w:r>
          </w:p>
        </w:tc>
        <w:tc>
          <w:tcPr>
            <w:tcW w:w="357" w:type="dxa"/>
          </w:tcPr>
          <w:p w14:paraId="1C105DE7">
            <w:pPr>
              <w:pStyle w:val="29"/>
              <w:spacing w:before="27"/>
              <w:ind w:left="6" w:right="47"/>
              <w:jc w:val="center"/>
              <w:rPr>
                <w:sz w:val="16"/>
              </w:rPr>
            </w:pPr>
            <w:r>
              <w:rPr>
                <w:spacing w:val="-4"/>
                <w:sz w:val="16"/>
              </w:rPr>
              <w:t>1.31</w:t>
            </w:r>
          </w:p>
        </w:tc>
      </w:tr>
      <w:tr w14:paraId="7DD58373">
        <w:tblPrEx>
          <w:tblCellMar>
            <w:top w:w="0" w:type="dxa"/>
            <w:left w:w="0" w:type="dxa"/>
            <w:bottom w:w="0" w:type="dxa"/>
            <w:right w:w="0" w:type="dxa"/>
          </w:tblCellMar>
        </w:tblPrEx>
        <w:trPr>
          <w:trHeight w:val="243" w:hRule="atLeast"/>
        </w:trPr>
        <w:tc>
          <w:tcPr>
            <w:tcW w:w="554" w:type="dxa"/>
          </w:tcPr>
          <w:p w14:paraId="280EB893">
            <w:pPr>
              <w:pStyle w:val="29"/>
              <w:spacing w:before="27"/>
              <w:ind w:left="43"/>
              <w:rPr>
                <w:sz w:val="16"/>
              </w:rPr>
            </w:pPr>
            <w:r>
              <w:rPr>
                <w:spacing w:val="-5"/>
                <w:sz w:val="16"/>
              </w:rPr>
              <w:t>22</w:t>
            </w:r>
          </w:p>
        </w:tc>
        <w:tc>
          <w:tcPr>
            <w:tcW w:w="5376" w:type="dxa"/>
          </w:tcPr>
          <w:p w14:paraId="3AD76925">
            <w:pPr>
              <w:pStyle w:val="29"/>
              <w:spacing w:before="27"/>
              <w:ind w:left="29"/>
              <w:rPr>
                <w:sz w:val="16"/>
              </w:rPr>
            </w:pPr>
            <w:r>
              <w:rPr>
                <w:sz w:val="16"/>
              </w:rPr>
              <w:t>Arkadaşlarınızın</w:t>
            </w:r>
            <w:r>
              <w:rPr>
                <w:spacing w:val="-9"/>
                <w:sz w:val="16"/>
              </w:rPr>
              <w:t xml:space="preserve"> </w:t>
            </w:r>
            <w:r>
              <w:rPr>
                <w:sz w:val="16"/>
              </w:rPr>
              <w:t>desteğinden</w:t>
            </w:r>
            <w:r>
              <w:rPr>
                <w:spacing w:val="-8"/>
                <w:sz w:val="16"/>
              </w:rPr>
              <w:t xml:space="preserve"> </w:t>
            </w:r>
            <w:r>
              <w:rPr>
                <w:sz w:val="16"/>
              </w:rPr>
              <w:t>ne</w:t>
            </w:r>
            <w:r>
              <w:rPr>
                <w:spacing w:val="-8"/>
                <w:sz w:val="16"/>
              </w:rPr>
              <w:t xml:space="preserve"> </w:t>
            </w:r>
            <w:r>
              <w:rPr>
                <w:sz w:val="16"/>
              </w:rPr>
              <w:t>kadar</w:t>
            </w:r>
            <w:r>
              <w:rPr>
                <w:spacing w:val="-8"/>
                <w:sz w:val="16"/>
              </w:rPr>
              <w:t xml:space="preserve"> </w:t>
            </w:r>
            <w:r>
              <w:rPr>
                <w:spacing w:val="-2"/>
                <w:sz w:val="16"/>
              </w:rPr>
              <w:t>hoşnutsunuz?</w:t>
            </w:r>
          </w:p>
        </w:tc>
        <w:tc>
          <w:tcPr>
            <w:tcW w:w="426" w:type="dxa"/>
          </w:tcPr>
          <w:p w14:paraId="41C4AAA8">
            <w:pPr>
              <w:pStyle w:val="29"/>
              <w:spacing w:before="27"/>
              <w:ind w:left="21" w:right="98"/>
              <w:jc w:val="center"/>
              <w:rPr>
                <w:sz w:val="16"/>
              </w:rPr>
            </w:pPr>
            <w:r>
              <w:rPr>
                <w:spacing w:val="-4"/>
                <w:sz w:val="16"/>
              </w:rPr>
              <w:t>13.4</w:t>
            </w:r>
          </w:p>
        </w:tc>
        <w:tc>
          <w:tcPr>
            <w:tcW w:w="370" w:type="dxa"/>
          </w:tcPr>
          <w:p w14:paraId="1E230BDF">
            <w:pPr>
              <w:pStyle w:val="29"/>
              <w:spacing w:before="27"/>
              <w:ind w:left="9" w:right="56"/>
              <w:jc w:val="center"/>
              <w:rPr>
                <w:sz w:val="16"/>
              </w:rPr>
            </w:pPr>
            <w:r>
              <w:rPr>
                <w:spacing w:val="-4"/>
                <w:sz w:val="16"/>
              </w:rPr>
              <w:t>13.7</w:t>
            </w:r>
          </w:p>
        </w:tc>
        <w:tc>
          <w:tcPr>
            <w:tcW w:w="379" w:type="dxa"/>
          </w:tcPr>
          <w:p w14:paraId="732507A8">
            <w:pPr>
              <w:pStyle w:val="29"/>
              <w:spacing w:before="27"/>
              <w:ind w:left="51" w:right="23"/>
              <w:jc w:val="center"/>
              <w:rPr>
                <w:sz w:val="16"/>
              </w:rPr>
            </w:pPr>
            <w:r>
              <w:rPr>
                <w:spacing w:val="-4"/>
                <w:sz w:val="16"/>
              </w:rPr>
              <w:t>25.1</w:t>
            </w:r>
          </w:p>
        </w:tc>
        <w:tc>
          <w:tcPr>
            <w:tcW w:w="342" w:type="dxa"/>
          </w:tcPr>
          <w:p w14:paraId="39D98FFA">
            <w:pPr>
              <w:pStyle w:val="29"/>
              <w:spacing w:before="27"/>
              <w:ind w:left="14" w:right="23"/>
              <w:jc w:val="center"/>
              <w:rPr>
                <w:sz w:val="16"/>
              </w:rPr>
            </w:pPr>
            <w:r>
              <w:rPr>
                <w:spacing w:val="-4"/>
                <w:sz w:val="16"/>
              </w:rPr>
              <w:t>28.5</w:t>
            </w:r>
          </w:p>
        </w:tc>
        <w:tc>
          <w:tcPr>
            <w:tcW w:w="595" w:type="dxa"/>
          </w:tcPr>
          <w:p w14:paraId="12C0C327">
            <w:pPr>
              <w:pStyle w:val="29"/>
              <w:spacing w:before="27"/>
              <w:ind w:left="20"/>
              <w:rPr>
                <w:sz w:val="16"/>
              </w:rPr>
            </w:pPr>
            <w:r>
              <w:rPr>
                <w:spacing w:val="-4"/>
                <w:sz w:val="16"/>
              </w:rPr>
              <w:t>19.2</w:t>
            </w:r>
          </w:p>
        </w:tc>
        <w:tc>
          <w:tcPr>
            <w:tcW w:w="398" w:type="dxa"/>
          </w:tcPr>
          <w:p w14:paraId="50E8251D">
            <w:pPr>
              <w:pStyle w:val="29"/>
              <w:spacing w:before="27"/>
              <w:ind w:left="65" w:right="29"/>
              <w:jc w:val="center"/>
              <w:rPr>
                <w:sz w:val="16"/>
              </w:rPr>
            </w:pPr>
            <w:r>
              <w:rPr>
                <w:spacing w:val="-4"/>
                <w:sz w:val="16"/>
              </w:rPr>
              <w:t>3.26</w:t>
            </w:r>
          </w:p>
        </w:tc>
        <w:tc>
          <w:tcPr>
            <w:tcW w:w="357" w:type="dxa"/>
          </w:tcPr>
          <w:p w14:paraId="14B6F9B4">
            <w:pPr>
              <w:pStyle w:val="29"/>
              <w:spacing w:before="27"/>
              <w:ind w:left="6" w:right="47"/>
              <w:jc w:val="center"/>
              <w:rPr>
                <w:sz w:val="16"/>
              </w:rPr>
            </w:pPr>
            <w:r>
              <w:rPr>
                <w:spacing w:val="-4"/>
                <w:sz w:val="16"/>
              </w:rPr>
              <w:t>1.28</w:t>
            </w:r>
          </w:p>
        </w:tc>
      </w:tr>
      <w:tr w14:paraId="68528624">
        <w:tblPrEx>
          <w:tblCellMar>
            <w:top w:w="0" w:type="dxa"/>
            <w:left w:w="0" w:type="dxa"/>
            <w:bottom w:w="0" w:type="dxa"/>
            <w:right w:w="0" w:type="dxa"/>
          </w:tblCellMar>
        </w:tblPrEx>
        <w:trPr>
          <w:trHeight w:val="243" w:hRule="atLeast"/>
        </w:trPr>
        <w:tc>
          <w:tcPr>
            <w:tcW w:w="554" w:type="dxa"/>
          </w:tcPr>
          <w:p w14:paraId="34EA5E1B">
            <w:pPr>
              <w:pStyle w:val="29"/>
              <w:spacing w:before="26"/>
              <w:ind w:left="43"/>
              <w:rPr>
                <w:sz w:val="16"/>
              </w:rPr>
            </w:pPr>
            <w:r>
              <w:rPr>
                <w:spacing w:val="-5"/>
                <w:sz w:val="16"/>
              </w:rPr>
              <w:t>23</w:t>
            </w:r>
          </w:p>
        </w:tc>
        <w:tc>
          <w:tcPr>
            <w:tcW w:w="5376" w:type="dxa"/>
          </w:tcPr>
          <w:p w14:paraId="3A460F1D">
            <w:pPr>
              <w:pStyle w:val="29"/>
              <w:spacing w:before="26"/>
              <w:ind w:left="29"/>
              <w:rPr>
                <w:sz w:val="16"/>
              </w:rPr>
            </w:pPr>
            <w:r>
              <w:rPr>
                <w:sz w:val="16"/>
              </w:rPr>
              <w:t>Yaşadığınız</w:t>
            </w:r>
            <w:r>
              <w:rPr>
                <w:spacing w:val="-8"/>
                <w:sz w:val="16"/>
              </w:rPr>
              <w:t xml:space="preserve"> </w:t>
            </w:r>
            <w:r>
              <w:rPr>
                <w:sz w:val="16"/>
              </w:rPr>
              <w:t>evin</w:t>
            </w:r>
            <w:r>
              <w:rPr>
                <w:spacing w:val="-6"/>
                <w:sz w:val="16"/>
              </w:rPr>
              <w:t xml:space="preserve"> </w:t>
            </w:r>
            <w:r>
              <w:rPr>
                <w:sz w:val="16"/>
              </w:rPr>
              <w:t>koşullarından</w:t>
            </w:r>
            <w:r>
              <w:rPr>
                <w:spacing w:val="-7"/>
                <w:sz w:val="16"/>
              </w:rPr>
              <w:t xml:space="preserve"> </w:t>
            </w:r>
            <w:r>
              <w:rPr>
                <w:sz w:val="16"/>
              </w:rPr>
              <w:t>ne</w:t>
            </w:r>
            <w:r>
              <w:rPr>
                <w:spacing w:val="-7"/>
                <w:sz w:val="16"/>
              </w:rPr>
              <w:t xml:space="preserve"> </w:t>
            </w:r>
            <w:r>
              <w:rPr>
                <w:sz w:val="16"/>
              </w:rPr>
              <w:t>kadar</w:t>
            </w:r>
            <w:r>
              <w:rPr>
                <w:spacing w:val="-6"/>
                <w:sz w:val="16"/>
              </w:rPr>
              <w:t xml:space="preserve"> </w:t>
            </w:r>
            <w:r>
              <w:rPr>
                <w:spacing w:val="-2"/>
                <w:sz w:val="16"/>
              </w:rPr>
              <w:t>hoşnutsunuz?</w:t>
            </w:r>
          </w:p>
        </w:tc>
        <w:tc>
          <w:tcPr>
            <w:tcW w:w="426" w:type="dxa"/>
          </w:tcPr>
          <w:p w14:paraId="7D11BB97">
            <w:pPr>
              <w:pStyle w:val="29"/>
              <w:spacing w:before="26"/>
              <w:ind w:left="21" w:right="98"/>
              <w:jc w:val="center"/>
              <w:rPr>
                <w:sz w:val="16"/>
              </w:rPr>
            </w:pPr>
            <w:r>
              <w:rPr>
                <w:spacing w:val="-4"/>
                <w:sz w:val="16"/>
              </w:rPr>
              <w:t>14.8</w:t>
            </w:r>
          </w:p>
        </w:tc>
        <w:tc>
          <w:tcPr>
            <w:tcW w:w="370" w:type="dxa"/>
          </w:tcPr>
          <w:p w14:paraId="2D5EA48E">
            <w:pPr>
              <w:pStyle w:val="29"/>
              <w:spacing w:before="26"/>
              <w:ind w:left="9" w:right="56"/>
              <w:jc w:val="center"/>
              <w:rPr>
                <w:sz w:val="16"/>
              </w:rPr>
            </w:pPr>
            <w:r>
              <w:rPr>
                <w:spacing w:val="-4"/>
                <w:sz w:val="16"/>
              </w:rPr>
              <w:t>13.3</w:t>
            </w:r>
          </w:p>
        </w:tc>
        <w:tc>
          <w:tcPr>
            <w:tcW w:w="379" w:type="dxa"/>
          </w:tcPr>
          <w:p w14:paraId="44F71EB0">
            <w:pPr>
              <w:pStyle w:val="29"/>
              <w:spacing w:before="26"/>
              <w:ind w:left="51" w:right="23"/>
              <w:jc w:val="center"/>
              <w:rPr>
                <w:sz w:val="16"/>
              </w:rPr>
            </w:pPr>
            <w:r>
              <w:rPr>
                <w:spacing w:val="-4"/>
                <w:sz w:val="16"/>
              </w:rPr>
              <w:t>22.6</w:t>
            </w:r>
          </w:p>
        </w:tc>
        <w:tc>
          <w:tcPr>
            <w:tcW w:w="342" w:type="dxa"/>
          </w:tcPr>
          <w:p w14:paraId="71D326B9">
            <w:pPr>
              <w:pStyle w:val="29"/>
              <w:spacing w:before="26"/>
              <w:ind w:left="14" w:right="23"/>
              <w:jc w:val="center"/>
              <w:rPr>
                <w:sz w:val="16"/>
              </w:rPr>
            </w:pPr>
            <w:r>
              <w:rPr>
                <w:spacing w:val="-4"/>
                <w:sz w:val="16"/>
              </w:rPr>
              <w:t>31.8</w:t>
            </w:r>
          </w:p>
        </w:tc>
        <w:tc>
          <w:tcPr>
            <w:tcW w:w="595" w:type="dxa"/>
          </w:tcPr>
          <w:p w14:paraId="1ED249DB">
            <w:pPr>
              <w:pStyle w:val="29"/>
              <w:spacing w:before="26"/>
              <w:ind w:left="20"/>
              <w:rPr>
                <w:sz w:val="16"/>
              </w:rPr>
            </w:pPr>
            <w:r>
              <w:rPr>
                <w:spacing w:val="-4"/>
                <w:sz w:val="16"/>
              </w:rPr>
              <w:t>17.5</w:t>
            </w:r>
          </w:p>
        </w:tc>
        <w:tc>
          <w:tcPr>
            <w:tcW w:w="398" w:type="dxa"/>
          </w:tcPr>
          <w:p w14:paraId="75C863CC">
            <w:pPr>
              <w:pStyle w:val="29"/>
              <w:spacing w:before="26"/>
              <w:ind w:left="65" w:right="29"/>
              <w:jc w:val="center"/>
              <w:rPr>
                <w:sz w:val="16"/>
              </w:rPr>
            </w:pPr>
            <w:r>
              <w:rPr>
                <w:spacing w:val="-4"/>
                <w:sz w:val="16"/>
              </w:rPr>
              <w:t>3.23</w:t>
            </w:r>
          </w:p>
        </w:tc>
        <w:tc>
          <w:tcPr>
            <w:tcW w:w="357" w:type="dxa"/>
          </w:tcPr>
          <w:p w14:paraId="6D2268C5">
            <w:pPr>
              <w:pStyle w:val="29"/>
              <w:spacing w:before="26"/>
              <w:ind w:left="6" w:right="47"/>
              <w:jc w:val="center"/>
              <w:rPr>
                <w:sz w:val="16"/>
              </w:rPr>
            </w:pPr>
            <w:r>
              <w:rPr>
                <w:spacing w:val="-4"/>
                <w:sz w:val="16"/>
              </w:rPr>
              <w:t>1.29</w:t>
            </w:r>
          </w:p>
        </w:tc>
      </w:tr>
      <w:tr w14:paraId="64B4A9B6">
        <w:tblPrEx>
          <w:tblCellMar>
            <w:top w:w="0" w:type="dxa"/>
            <w:left w:w="0" w:type="dxa"/>
            <w:bottom w:w="0" w:type="dxa"/>
            <w:right w:w="0" w:type="dxa"/>
          </w:tblCellMar>
        </w:tblPrEx>
        <w:trPr>
          <w:trHeight w:val="244" w:hRule="atLeast"/>
        </w:trPr>
        <w:tc>
          <w:tcPr>
            <w:tcW w:w="554" w:type="dxa"/>
          </w:tcPr>
          <w:p w14:paraId="48B7BF98">
            <w:pPr>
              <w:pStyle w:val="29"/>
              <w:spacing w:before="27"/>
              <w:ind w:left="43"/>
              <w:rPr>
                <w:sz w:val="16"/>
              </w:rPr>
            </w:pPr>
            <w:r>
              <w:rPr>
                <w:spacing w:val="-5"/>
                <w:sz w:val="16"/>
              </w:rPr>
              <w:t>24</w:t>
            </w:r>
          </w:p>
        </w:tc>
        <w:tc>
          <w:tcPr>
            <w:tcW w:w="5376" w:type="dxa"/>
          </w:tcPr>
          <w:p w14:paraId="05185FA6">
            <w:pPr>
              <w:pStyle w:val="29"/>
              <w:spacing w:before="27"/>
              <w:ind w:left="29"/>
              <w:rPr>
                <w:sz w:val="16"/>
              </w:rPr>
            </w:pPr>
            <w:r>
              <w:rPr>
                <w:sz w:val="16"/>
              </w:rPr>
              <w:t>Sağlık</w:t>
            </w:r>
            <w:r>
              <w:rPr>
                <w:spacing w:val="-8"/>
                <w:sz w:val="16"/>
              </w:rPr>
              <w:t xml:space="preserve"> </w:t>
            </w:r>
            <w:r>
              <w:rPr>
                <w:sz w:val="16"/>
              </w:rPr>
              <w:t>hizmetlerine</w:t>
            </w:r>
            <w:r>
              <w:rPr>
                <w:spacing w:val="-8"/>
                <w:sz w:val="16"/>
              </w:rPr>
              <w:t xml:space="preserve"> </w:t>
            </w:r>
            <w:r>
              <w:rPr>
                <w:sz w:val="16"/>
              </w:rPr>
              <w:t>ulaşma</w:t>
            </w:r>
            <w:r>
              <w:rPr>
                <w:spacing w:val="-8"/>
                <w:sz w:val="16"/>
              </w:rPr>
              <w:t xml:space="preserve"> </w:t>
            </w:r>
            <w:r>
              <w:rPr>
                <w:sz w:val="16"/>
              </w:rPr>
              <w:t>koşullarınızdan</w:t>
            </w:r>
            <w:r>
              <w:rPr>
                <w:spacing w:val="-7"/>
                <w:sz w:val="16"/>
              </w:rPr>
              <w:t xml:space="preserve"> </w:t>
            </w:r>
            <w:r>
              <w:rPr>
                <w:sz w:val="16"/>
              </w:rPr>
              <w:t>ne</w:t>
            </w:r>
            <w:r>
              <w:rPr>
                <w:spacing w:val="-8"/>
                <w:sz w:val="16"/>
              </w:rPr>
              <w:t xml:space="preserve"> </w:t>
            </w:r>
            <w:r>
              <w:rPr>
                <w:sz w:val="16"/>
              </w:rPr>
              <w:t>kadar</w:t>
            </w:r>
            <w:r>
              <w:rPr>
                <w:spacing w:val="-7"/>
                <w:sz w:val="16"/>
              </w:rPr>
              <w:t xml:space="preserve"> </w:t>
            </w:r>
            <w:r>
              <w:rPr>
                <w:spacing w:val="-2"/>
                <w:sz w:val="16"/>
              </w:rPr>
              <w:t>hoşnutsunuz?</w:t>
            </w:r>
          </w:p>
        </w:tc>
        <w:tc>
          <w:tcPr>
            <w:tcW w:w="426" w:type="dxa"/>
          </w:tcPr>
          <w:p w14:paraId="522AE5B3">
            <w:pPr>
              <w:pStyle w:val="29"/>
              <w:spacing w:before="27"/>
              <w:ind w:left="21" w:right="98"/>
              <w:jc w:val="center"/>
              <w:rPr>
                <w:sz w:val="16"/>
              </w:rPr>
            </w:pPr>
            <w:r>
              <w:rPr>
                <w:spacing w:val="-4"/>
                <w:sz w:val="16"/>
              </w:rPr>
              <w:t>15.1</w:t>
            </w:r>
          </w:p>
        </w:tc>
        <w:tc>
          <w:tcPr>
            <w:tcW w:w="370" w:type="dxa"/>
          </w:tcPr>
          <w:p w14:paraId="19C6D288">
            <w:pPr>
              <w:pStyle w:val="29"/>
              <w:spacing w:before="27"/>
              <w:ind w:left="9" w:right="56"/>
              <w:jc w:val="center"/>
              <w:rPr>
                <w:sz w:val="16"/>
              </w:rPr>
            </w:pPr>
            <w:r>
              <w:rPr>
                <w:spacing w:val="-4"/>
                <w:sz w:val="16"/>
              </w:rPr>
              <w:t>17.8</w:t>
            </w:r>
          </w:p>
        </w:tc>
        <w:tc>
          <w:tcPr>
            <w:tcW w:w="379" w:type="dxa"/>
          </w:tcPr>
          <w:p w14:paraId="2275A8F0">
            <w:pPr>
              <w:pStyle w:val="29"/>
              <w:spacing w:before="27"/>
              <w:ind w:left="51" w:right="23"/>
              <w:jc w:val="center"/>
              <w:rPr>
                <w:sz w:val="16"/>
              </w:rPr>
            </w:pPr>
            <w:r>
              <w:rPr>
                <w:spacing w:val="-4"/>
                <w:sz w:val="16"/>
              </w:rPr>
              <w:t>28.4</w:t>
            </w:r>
          </w:p>
        </w:tc>
        <w:tc>
          <w:tcPr>
            <w:tcW w:w="342" w:type="dxa"/>
          </w:tcPr>
          <w:p w14:paraId="40918ADA">
            <w:pPr>
              <w:pStyle w:val="29"/>
              <w:spacing w:before="27"/>
              <w:ind w:left="14" w:right="23"/>
              <w:jc w:val="center"/>
              <w:rPr>
                <w:sz w:val="16"/>
              </w:rPr>
            </w:pPr>
            <w:r>
              <w:rPr>
                <w:spacing w:val="-4"/>
                <w:sz w:val="16"/>
              </w:rPr>
              <w:t>22.6</w:t>
            </w:r>
          </w:p>
        </w:tc>
        <w:tc>
          <w:tcPr>
            <w:tcW w:w="595" w:type="dxa"/>
          </w:tcPr>
          <w:p w14:paraId="327E4662">
            <w:pPr>
              <w:pStyle w:val="29"/>
              <w:spacing w:before="27"/>
              <w:ind w:left="20"/>
              <w:rPr>
                <w:sz w:val="16"/>
              </w:rPr>
            </w:pPr>
            <w:r>
              <w:rPr>
                <w:spacing w:val="-4"/>
                <w:sz w:val="16"/>
              </w:rPr>
              <w:t>16.1</w:t>
            </w:r>
          </w:p>
        </w:tc>
        <w:tc>
          <w:tcPr>
            <w:tcW w:w="398" w:type="dxa"/>
          </w:tcPr>
          <w:p w14:paraId="78CAD261">
            <w:pPr>
              <w:pStyle w:val="29"/>
              <w:spacing w:before="27"/>
              <w:ind w:left="65" w:right="29"/>
              <w:jc w:val="center"/>
              <w:rPr>
                <w:sz w:val="16"/>
              </w:rPr>
            </w:pPr>
            <w:r>
              <w:rPr>
                <w:spacing w:val="-4"/>
                <w:sz w:val="16"/>
              </w:rPr>
              <w:t>3.06</w:t>
            </w:r>
          </w:p>
        </w:tc>
        <w:tc>
          <w:tcPr>
            <w:tcW w:w="357" w:type="dxa"/>
          </w:tcPr>
          <w:p w14:paraId="4FBB00C4">
            <w:pPr>
              <w:pStyle w:val="29"/>
              <w:spacing w:before="27"/>
              <w:ind w:left="6" w:right="47"/>
              <w:jc w:val="center"/>
              <w:rPr>
                <w:sz w:val="16"/>
              </w:rPr>
            </w:pPr>
            <w:r>
              <w:rPr>
                <w:spacing w:val="-4"/>
                <w:sz w:val="16"/>
              </w:rPr>
              <w:t>1.28</w:t>
            </w:r>
          </w:p>
        </w:tc>
      </w:tr>
      <w:tr w14:paraId="2F029975">
        <w:tblPrEx>
          <w:tblCellMar>
            <w:top w:w="0" w:type="dxa"/>
            <w:left w:w="0" w:type="dxa"/>
            <w:bottom w:w="0" w:type="dxa"/>
            <w:right w:w="0" w:type="dxa"/>
          </w:tblCellMar>
        </w:tblPrEx>
        <w:trPr>
          <w:trHeight w:val="243" w:hRule="atLeast"/>
        </w:trPr>
        <w:tc>
          <w:tcPr>
            <w:tcW w:w="554" w:type="dxa"/>
          </w:tcPr>
          <w:p w14:paraId="40DB93A5">
            <w:pPr>
              <w:pStyle w:val="29"/>
              <w:spacing w:before="27"/>
              <w:ind w:left="43"/>
              <w:rPr>
                <w:sz w:val="16"/>
              </w:rPr>
            </w:pPr>
            <w:r>
              <w:rPr>
                <w:spacing w:val="-5"/>
                <w:sz w:val="16"/>
              </w:rPr>
              <w:t>25</w:t>
            </w:r>
          </w:p>
        </w:tc>
        <w:tc>
          <w:tcPr>
            <w:tcW w:w="5376" w:type="dxa"/>
          </w:tcPr>
          <w:p w14:paraId="2902ACD8">
            <w:pPr>
              <w:pStyle w:val="29"/>
              <w:spacing w:before="27"/>
              <w:ind w:left="29"/>
              <w:rPr>
                <w:sz w:val="16"/>
              </w:rPr>
            </w:pPr>
            <w:r>
              <w:rPr>
                <w:sz w:val="16"/>
              </w:rPr>
              <w:t>Ulaşım</w:t>
            </w:r>
            <w:r>
              <w:rPr>
                <w:spacing w:val="-5"/>
                <w:sz w:val="16"/>
              </w:rPr>
              <w:t xml:space="preserve"> </w:t>
            </w:r>
            <w:r>
              <w:rPr>
                <w:sz w:val="16"/>
              </w:rPr>
              <w:t>olanaklarınızdan</w:t>
            </w:r>
            <w:r>
              <w:rPr>
                <w:spacing w:val="-6"/>
                <w:sz w:val="16"/>
              </w:rPr>
              <w:t xml:space="preserve"> </w:t>
            </w:r>
            <w:r>
              <w:rPr>
                <w:sz w:val="16"/>
              </w:rPr>
              <w:t>ne</w:t>
            </w:r>
            <w:r>
              <w:rPr>
                <w:spacing w:val="-9"/>
                <w:sz w:val="16"/>
              </w:rPr>
              <w:t xml:space="preserve"> </w:t>
            </w:r>
            <w:r>
              <w:rPr>
                <w:sz w:val="16"/>
              </w:rPr>
              <w:t>kadar</w:t>
            </w:r>
            <w:r>
              <w:rPr>
                <w:spacing w:val="-7"/>
                <w:sz w:val="16"/>
              </w:rPr>
              <w:t xml:space="preserve"> </w:t>
            </w:r>
            <w:r>
              <w:rPr>
                <w:spacing w:val="-2"/>
                <w:sz w:val="16"/>
              </w:rPr>
              <w:t>hoşnutsunuz?</w:t>
            </w:r>
          </w:p>
        </w:tc>
        <w:tc>
          <w:tcPr>
            <w:tcW w:w="426" w:type="dxa"/>
          </w:tcPr>
          <w:p w14:paraId="20859324">
            <w:pPr>
              <w:pStyle w:val="29"/>
              <w:spacing w:before="27"/>
              <w:ind w:left="21" w:right="98"/>
              <w:jc w:val="center"/>
              <w:rPr>
                <w:sz w:val="16"/>
              </w:rPr>
            </w:pPr>
            <w:r>
              <w:rPr>
                <w:spacing w:val="-4"/>
                <w:sz w:val="16"/>
              </w:rPr>
              <w:t>15.8</w:t>
            </w:r>
          </w:p>
        </w:tc>
        <w:tc>
          <w:tcPr>
            <w:tcW w:w="370" w:type="dxa"/>
          </w:tcPr>
          <w:p w14:paraId="7D3FA780">
            <w:pPr>
              <w:pStyle w:val="29"/>
              <w:spacing w:before="27"/>
              <w:ind w:left="9" w:right="56"/>
              <w:jc w:val="center"/>
              <w:rPr>
                <w:sz w:val="16"/>
              </w:rPr>
            </w:pPr>
            <w:r>
              <w:rPr>
                <w:spacing w:val="-4"/>
                <w:sz w:val="16"/>
              </w:rPr>
              <w:t>15.4</w:t>
            </w:r>
          </w:p>
        </w:tc>
        <w:tc>
          <w:tcPr>
            <w:tcW w:w="379" w:type="dxa"/>
          </w:tcPr>
          <w:p w14:paraId="0D17ED71">
            <w:pPr>
              <w:pStyle w:val="29"/>
              <w:spacing w:before="27"/>
              <w:ind w:left="51" w:right="23"/>
              <w:jc w:val="center"/>
              <w:rPr>
                <w:sz w:val="16"/>
              </w:rPr>
            </w:pPr>
            <w:r>
              <w:rPr>
                <w:spacing w:val="-4"/>
                <w:sz w:val="16"/>
              </w:rPr>
              <w:t>22.8</w:t>
            </w:r>
          </w:p>
        </w:tc>
        <w:tc>
          <w:tcPr>
            <w:tcW w:w="342" w:type="dxa"/>
          </w:tcPr>
          <w:p w14:paraId="30D2B9DC">
            <w:pPr>
              <w:pStyle w:val="29"/>
              <w:spacing w:before="27"/>
              <w:ind w:left="14" w:right="23"/>
              <w:jc w:val="center"/>
              <w:rPr>
                <w:sz w:val="16"/>
              </w:rPr>
            </w:pPr>
            <w:r>
              <w:rPr>
                <w:spacing w:val="-4"/>
                <w:sz w:val="16"/>
              </w:rPr>
              <w:t>28.2</w:t>
            </w:r>
          </w:p>
        </w:tc>
        <w:tc>
          <w:tcPr>
            <w:tcW w:w="595" w:type="dxa"/>
          </w:tcPr>
          <w:p w14:paraId="4B0B7685">
            <w:pPr>
              <w:pStyle w:val="29"/>
              <w:spacing w:before="27"/>
              <w:ind w:left="20"/>
              <w:rPr>
                <w:sz w:val="16"/>
              </w:rPr>
            </w:pPr>
            <w:r>
              <w:rPr>
                <w:spacing w:val="-4"/>
                <w:sz w:val="16"/>
              </w:rPr>
              <w:t>17.8</w:t>
            </w:r>
          </w:p>
        </w:tc>
        <w:tc>
          <w:tcPr>
            <w:tcW w:w="398" w:type="dxa"/>
          </w:tcPr>
          <w:p w14:paraId="27B33EDB">
            <w:pPr>
              <w:pStyle w:val="29"/>
              <w:spacing w:before="27"/>
              <w:ind w:left="65" w:right="29"/>
              <w:jc w:val="center"/>
              <w:rPr>
                <w:sz w:val="16"/>
              </w:rPr>
            </w:pPr>
            <w:r>
              <w:rPr>
                <w:spacing w:val="-4"/>
                <w:sz w:val="16"/>
              </w:rPr>
              <w:t>3.16</w:t>
            </w:r>
          </w:p>
        </w:tc>
        <w:tc>
          <w:tcPr>
            <w:tcW w:w="357" w:type="dxa"/>
          </w:tcPr>
          <w:p w14:paraId="4E29900E">
            <w:pPr>
              <w:pStyle w:val="29"/>
              <w:spacing w:before="27"/>
              <w:ind w:left="6" w:right="47"/>
              <w:jc w:val="center"/>
              <w:rPr>
                <w:sz w:val="16"/>
              </w:rPr>
            </w:pPr>
            <w:r>
              <w:rPr>
                <w:spacing w:val="-4"/>
                <w:sz w:val="16"/>
              </w:rPr>
              <w:t>1.32</w:t>
            </w:r>
          </w:p>
        </w:tc>
      </w:tr>
      <w:tr w14:paraId="58EEE620">
        <w:tblPrEx>
          <w:tblCellMar>
            <w:top w:w="0" w:type="dxa"/>
            <w:left w:w="0" w:type="dxa"/>
            <w:bottom w:w="0" w:type="dxa"/>
            <w:right w:w="0" w:type="dxa"/>
          </w:tblCellMar>
        </w:tblPrEx>
        <w:trPr>
          <w:trHeight w:val="244" w:hRule="atLeast"/>
        </w:trPr>
        <w:tc>
          <w:tcPr>
            <w:tcW w:w="554" w:type="dxa"/>
          </w:tcPr>
          <w:p w14:paraId="3A6F72EC">
            <w:pPr>
              <w:pStyle w:val="29"/>
              <w:spacing w:before="26"/>
              <w:ind w:left="43"/>
              <w:rPr>
                <w:sz w:val="16"/>
              </w:rPr>
            </w:pPr>
            <w:r>
              <w:rPr>
                <w:spacing w:val="-5"/>
                <w:sz w:val="16"/>
              </w:rPr>
              <w:t>26</w:t>
            </w:r>
          </w:p>
        </w:tc>
        <w:tc>
          <w:tcPr>
            <w:tcW w:w="5376" w:type="dxa"/>
          </w:tcPr>
          <w:p w14:paraId="2BEA3080">
            <w:pPr>
              <w:pStyle w:val="29"/>
              <w:spacing w:before="28"/>
              <w:ind w:left="29"/>
              <w:rPr>
                <w:b/>
                <w:sz w:val="16"/>
              </w:rPr>
            </w:pPr>
            <w:r>
              <w:rPr>
                <w:b/>
                <w:sz w:val="16"/>
              </w:rPr>
              <w:t>Ne</w:t>
            </w:r>
            <w:r>
              <w:rPr>
                <w:b/>
                <w:spacing w:val="-7"/>
                <w:sz w:val="16"/>
              </w:rPr>
              <w:t xml:space="preserve"> </w:t>
            </w:r>
            <w:r>
              <w:rPr>
                <w:b/>
                <w:sz w:val="16"/>
              </w:rPr>
              <w:t>sıklıkta</w:t>
            </w:r>
            <w:r>
              <w:rPr>
                <w:b/>
                <w:spacing w:val="-6"/>
                <w:sz w:val="16"/>
              </w:rPr>
              <w:t xml:space="preserve"> </w:t>
            </w:r>
            <w:r>
              <w:rPr>
                <w:b/>
                <w:sz w:val="16"/>
              </w:rPr>
              <w:t>hüzün,</w:t>
            </w:r>
            <w:r>
              <w:rPr>
                <w:b/>
                <w:spacing w:val="-6"/>
                <w:sz w:val="16"/>
              </w:rPr>
              <w:t xml:space="preserve"> </w:t>
            </w:r>
            <w:r>
              <w:rPr>
                <w:b/>
                <w:sz w:val="16"/>
              </w:rPr>
              <w:t>ümitsizlik,</w:t>
            </w:r>
            <w:r>
              <w:rPr>
                <w:b/>
                <w:spacing w:val="-6"/>
                <w:sz w:val="16"/>
              </w:rPr>
              <w:t xml:space="preserve"> </w:t>
            </w:r>
            <w:r>
              <w:rPr>
                <w:b/>
                <w:sz w:val="16"/>
              </w:rPr>
              <w:t>bunaltı,</w:t>
            </w:r>
            <w:r>
              <w:rPr>
                <w:b/>
                <w:spacing w:val="-7"/>
                <w:sz w:val="16"/>
              </w:rPr>
              <w:t xml:space="preserve"> </w:t>
            </w:r>
            <w:r>
              <w:rPr>
                <w:b/>
                <w:sz w:val="16"/>
              </w:rPr>
              <w:t>çökkünlük</w:t>
            </w:r>
            <w:r>
              <w:rPr>
                <w:b/>
                <w:spacing w:val="-9"/>
                <w:sz w:val="16"/>
              </w:rPr>
              <w:t xml:space="preserve"> </w:t>
            </w:r>
            <w:r>
              <w:rPr>
                <w:b/>
                <w:sz w:val="16"/>
              </w:rPr>
              <w:t>gibi</w:t>
            </w:r>
            <w:r>
              <w:rPr>
                <w:b/>
                <w:spacing w:val="-6"/>
                <w:sz w:val="16"/>
              </w:rPr>
              <w:t xml:space="preserve"> </w:t>
            </w:r>
            <w:r>
              <w:rPr>
                <w:b/>
                <w:sz w:val="16"/>
              </w:rPr>
              <w:t>duygulara</w:t>
            </w:r>
            <w:r>
              <w:rPr>
                <w:b/>
                <w:spacing w:val="-6"/>
                <w:sz w:val="16"/>
              </w:rPr>
              <w:t xml:space="preserve"> </w:t>
            </w:r>
            <w:r>
              <w:rPr>
                <w:b/>
                <w:spacing w:val="-2"/>
                <w:sz w:val="16"/>
              </w:rPr>
              <w:t>kapılırsınız?</w:t>
            </w:r>
          </w:p>
        </w:tc>
        <w:tc>
          <w:tcPr>
            <w:tcW w:w="426" w:type="dxa"/>
          </w:tcPr>
          <w:p w14:paraId="0B69A8C2">
            <w:pPr>
              <w:pStyle w:val="29"/>
              <w:spacing w:before="26"/>
              <w:ind w:left="21" w:right="98"/>
              <w:jc w:val="center"/>
              <w:rPr>
                <w:sz w:val="16"/>
              </w:rPr>
            </w:pPr>
            <w:r>
              <w:rPr>
                <w:spacing w:val="-4"/>
                <w:sz w:val="16"/>
              </w:rPr>
              <w:t>14.0</w:t>
            </w:r>
          </w:p>
        </w:tc>
        <w:tc>
          <w:tcPr>
            <w:tcW w:w="370" w:type="dxa"/>
          </w:tcPr>
          <w:p w14:paraId="37A489FE">
            <w:pPr>
              <w:pStyle w:val="29"/>
              <w:spacing w:before="26"/>
              <w:ind w:left="9" w:right="56"/>
              <w:jc w:val="center"/>
              <w:rPr>
                <w:sz w:val="16"/>
              </w:rPr>
            </w:pPr>
            <w:r>
              <w:rPr>
                <w:spacing w:val="-4"/>
                <w:sz w:val="16"/>
              </w:rPr>
              <w:t>24.8</w:t>
            </w:r>
          </w:p>
        </w:tc>
        <w:tc>
          <w:tcPr>
            <w:tcW w:w="379" w:type="dxa"/>
          </w:tcPr>
          <w:p w14:paraId="3740C4A0">
            <w:pPr>
              <w:pStyle w:val="29"/>
              <w:spacing w:before="26"/>
              <w:ind w:left="51" w:right="23"/>
              <w:jc w:val="center"/>
              <w:rPr>
                <w:sz w:val="16"/>
              </w:rPr>
            </w:pPr>
            <w:r>
              <w:rPr>
                <w:spacing w:val="-4"/>
                <w:sz w:val="16"/>
              </w:rPr>
              <w:t>28.9</w:t>
            </w:r>
          </w:p>
        </w:tc>
        <w:tc>
          <w:tcPr>
            <w:tcW w:w="342" w:type="dxa"/>
          </w:tcPr>
          <w:p w14:paraId="4FB1A3C7">
            <w:pPr>
              <w:pStyle w:val="29"/>
              <w:spacing w:before="26"/>
              <w:ind w:left="14" w:right="23"/>
              <w:jc w:val="center"/>
              <w:rPr>
                <w:sz w:val="16"/>
              </w:rPr>
            </w:pPr>
            <w:r>
              <w:rPr>
                <w:spacing w:val="-4"/>
                <w:sz w:val="16"/>
              </w:rPr>
              <w:t>18.7</w:t>
            </w:r>
          </w:p>
        </w:tc>
        <w:tc>
          <w:tcPr>
            <w:tcW w:w="595" w:type="dxa"/>
          </w:tcPr>
          <w:p w14:paraId="436D1B6F">
            <w:pPr>
              <w:pStyle w:val="29"/>
              <w:spacing w:before="26"/>
              <w:ind w:left="20"/>
              <w:rPr>
                <w:sz w:val="16"/>
              </w:rPr>
            </w:pPr>
            <w:r>
              <w:rPr>
                <w:spacing w:val="-4"/>
                <w:sz w:val="16"/>
              </w:rPr>
              <w:t>13.6</w:t>
            </w:r>
          </w:p>
        </w:tc>
        <w:tc>
          <w:tcPr>
            <w:tcW w:w="398" w:type="dxa"/>
          </w:tcPr>
          <w:p w14:paraId="3E08D003">
            <w:pPr>
              <w:pStyle w:val="29"/>
              <w:spacing w:before="28"/>
              <w:ind w:left="65" w:right="29"/>
              <w:jc w:val="center"/>
              <w:rPr>
                <w:b/>
                <w:sz w:val="16"/>
              </w:rPr>
            </w:pPr>
            <w:r>
              <w:rPr>
                <w:b/>
                <w:spacing w:val="-4"/>
                <w:sz w:val="16"/>
              </w:rPr>
              <w:t>2.92</w:t>
            </w:r>
          </w:p>
        </w:tc>
        <w:tc>
          <w:tcPr>
            <w:tcW w:w="357" w:type="dxa"/>
          </w:tcPr>
          <w:p w14:paraId="73A3AE2E">
            <w:pPr>
              <w:pStyle w:val="29"/>
              <w:spacing w:before="26"/>
              <w:ind w:left="6" w:right="47"/>
              <w:jc w:val="center"/>
              <w:rPr>
                <w:sz w:val="16"/>
              </w:rPr>
            </w:pPr>
            <w:r>
              <w:rPr>
                <w:spacing w:val="-4"/>
                <w:sz w:val="16"/>
              </w:rPr>
              <w:t>1.23</w:t>
            </w:r>
          </w:p>
        </w:tc>
      </w:tr>
      <w:tr w14:paraId="299684CC">
        <w:tblPrEx>
          <w:tblCellMar>
            <w:top w:w="0" w:type="dxa"/>
            <w:left w:w="0" w:type="dxa"/>
            <w:bottom w:w="0" w:type="dxa"/>
            <w:right w:w="0" w:type="dxa"/>
          </w:tblCellMar>
        </w:tblPrEx>
        <w:trPr>
          <w:trHeight w:val="413" w:hRule="atLeast"/>
        </w:trPr>
        <w:tc>
          <w:tcPr>
            <w:tcW w:w="554" w:type="dxa"/>
            <w:tcBorders>
              <w:bottom w:val="single" w:color="000000" w:sz="4" w:space="0"/>
            </w:tcBorders>
          </w:tcPr>
          <w:p w14:paraId="7C2D7C1A">
            <w:pPr>
              <w:pStyle w:val="29"/>
              <w:spacing w:before="26"/>
              <w:ind w:left="43"/>
              <w:rPr>
                <w:sz w:val="16"/>
              </w:rPr>
            </w:pPr>
            <w:r>
              <w:rPr>
                <w:spacing w:val="-5"/>
                <w:sz w:val="16"/>
              </w:rPr>
              <w:t>27</w:t>
            </w:r>
          </w:p>
        </w:tc>
        <w:tc>
          <w:tcPr>
            <w:tcW w:w="5376" w:type="dxa"/>
            <w:tcBorders>
              <w:bottom w:val="single" w:color="000000" w:sz="4" w:space="0"/>
            </w:tcBorders>
          </w:tcPr>
          <w:p w14:paraId="136186E9">
            <w:pPr>
              <w:pStyle w:val="29"/>
              <w:spacing w:before="25" w:line="180" w:lineRule="atLeast"/>
              <w:ind w:left="29"/>
              <w:rPr>
                <w:b/>
                <w:sz w:val="16"/>
              </w:rPr>
            </w:pPr>
            <w:r>
              <w:rPr>
                <w:b/>
                <w:sz w:val="16"/>
              </w:rPr>
              <w:t>Yaşamınızda</w:t>
            </w:r>
            <w:r>
              <w:rPr>
                <w:b/>
                <w:spacing w:val="40"/>
                <w:sz w:val="16"/>
              </w:rPr>
              <w:t xml:space="preserve"> </w:t>
            </w:r>
            <w:r>
              <w:rPr>
                <w:b/>
                <w:sz w:val="16"/>
              </w:rPr>
              <w:t>size</w:t>
            </w:r>
            <w:r>
              <w:rPr>
                <w:b/>
                <w:spacing w:val="40"/>
                <w:sz w:val="16"/>
              </w:rPr>
              <w:t xml:space="preserve"> </w:t>
            </w:r>
            <w:r>
              <w:rPr>
                <w:b/>
                <w:sz w:val="16"/>
              </w:rPr>
              <w:t>yakın</w:t>
            </w:r>
            <w:r>
              <w:rPr>
                <w:b/>
                <w:spacing w:val="40"/>
                <w:sz w:val="16"/>
              </w:rPr>
              <w:t xml:space="preserve"> </w:t>
            </w:r>
            <w:r>
              <w:rPr>
                <w:b/>
                <w:sz w:val="16"/>
              </w:rPr>
              <w:t>kişilerle</w:t>
            </w:r>
            <w:r>
              <w:rPr>
                <w:b/>
                <w:spacing w:val="40"/>
                <w:sz w:val="16"/>
              </w:rPr>
              <w:t xml:space="preserve"> </w:t>
            </w:r>
            <w:r>
              <w:rPr>
                <w:b/>
                <w:sz w:val="16"/>
              </w:rPr>
              <w:t>ilişkilerinizde</w:t>
            </w:r>
            <w:r>
              <w:rPr>
                <w:b/>
                <w:spacing w:val="40"/>
                <w:sz w:val="16"/>
              </w:rPr>
              <w:t xml:space="preserve"> </w:t>
            </w:r>
            <w:r>
              <w:rPr>
                <w:b/>
                <w:sz w:val="16"/>
              </w:rPr>
              <w:t>baskı</w:t>
            </w:r>
            <w:r>
              <w:rPr>
                <w:b/>
                <w:spacing w:val="40"/>
                <w:sz w:val="16"/>
              </w:rPr>
              <w:t xml:space="preserve"> </w:t>
            </w:r>
            <w:r>
              <w:rPr>
                <w:b/>
                <w:sz w:val="16"/>
              </w:rPr>
              <w:t>ve</w:t>
            </w:r>
            <w:r>
              <w:rPr>
                <w:b/>
                <w:spacing w:val="40"/>
                <w:sz w:val="16"/>
              </w:rPr>
              <w:t xml:space="preserve"> </w:t>
            </w:r>
            <w:r>
              <w:rPr>
                <w:b/>
                <w:sz w:val="16"/>
              </w:rPr>
              <w:t>kontrolle</w:t>
            </w:r>
            <w:r>
              <w:rPr>
                <w:b/>
                <w:spacing w:val="40"/>
                <w:sz w:val="16"/>
              </w:rPr>
              <w:t xml:space="preserve"> </w:t>
            </w:r>
            <w:r>
              <w:rPr>
                <w:b/>
                <w:sz w:val="16"/>
              </w:rPr>
              <w:t>ilgili</w:t>
            </w:r>
            <w:r>
              <w:rPr>
                <w:b/>
                <w:spacing w:val="40"/>
                <w:sz w:val="16"/>
              </w:rPr>
              <w:t xml:space="preserve"> </w:t>
            </w:r>
            <w:r>
              <w:rPr>
                <w:b/>
                <w:sz w:val="16"/>
              </w:rPr>
              <w:t>zorluklarınız ne ölçüdedir?</w:t>
            </w:r>
          </w:p>
        </w:tc>
        <w:tc>
          <w:tcPr>
            <w:tcW w:w="426" w:type="dxa"/>
            <w:tcBorders>
              <w:bottom w:val="single" w:color="000000" w:sz="4" w:space="0"/>
            </w:tcBorders>
          </w:tcPr>
          <w:p w14:paraId="4380215F">
            <w:pPr>
              <w:pStyle w:val="29"/>
              <w:spacing w:before="117"/>
              <w:ind w:left="21" w:right="98"/>
              <w:jc w:val="center"/>
              <w:rPr>
                <w:sz w:val="16"/>
              </w:rPr>
            </w:pPr>
            <w:r>
              <w:rPr>
                <w:spacing w:val="-4"/>
                <w:sz w:val="16"/>
              </w:rPr>
              <w:t>16.8</w:t>
            </w:r>
          </w:p>
        </w:tc>
        <w:tc>
          <w:tcPr>
            <w:tcW w:w="370" w:type="dxa"/>
            <w:tcBorders>
              <w:bottom w:val="single" w:color="000000" w:sz="4" w:space="0"/>
            </w:tcBorders>
          </w:tcPr>
          <w:p w14:paraId="7DB02B99">
            <w:pPr>
              <w:pStyle w:val="29"/>
              <w:spacing w:before="117"/>
              <w:ind w:left="9" w:right="56"/>
              <w:jc w:val="center"/>
              <w:rPr>
                <w:sz w:val="16"/>
              </w:rPr>
            </w:pPr>
            <w:r>
              <w:rPr>
                <w:spacing w:val="-4"/>
                <w:sz w:val="16"/>
              </w:rPr>
              <w:t>23.9</w:t>
            </w:r>
          </w:p>
        </w:tc>
        <w:tc>
          <w:tcPr>
            <w:tcW w:w="379" w:type="dxa"/>
            <w:tcBorders>
              <w:bottom w:val="single" w:color="000000" w:sz="4" w:space="0"/>
            </w:tcBorders>
          </w:tcPr>
          <w:p w14:paraId="60B502C1">
            <w:pPr>
              <w:pStyle w:val="29"/>
              <w:spacing w:before="117"/>
              <w:ind w:left="51" w:right="23"/>
              <w:jc w:val="center"/>
              <w:rPr>
                <w:sz w:val="16"/>
              </w:rPr>
            </w:pPr>
            <w:r>
              <w:rPr>
                <w:spacing w:val="-4"/>
                <w:sz w:val="16"/>
              </w:rPr>
              <w:t>31.8</w:t>
            </w:r>
          </w:p>
        </w:tc>
        <w:tc>
          <w:tcPr>
            <w:tcW w:w="342" w:type="dxa"/>
            <w:tcBorders>
              <w:bottom w:val="single" w:color="000000" w:sz="4" w:space="0"/>
            </w:tcBorders>
          </w:tcPr>
          <w:p w14:paraId="79466685">
            <w:pPr>
              <w:pStyle w:val="29"/>
              <w:spacing w:before="117"/>
              <w:ind w:left="14" w:right="23"/>
              <w:jc w:val="center"/>
              <w:rPr>
                <w:sz w:val="16"/>
              </w:rPr>
            </w:pPr>
            <w:r>
              <w:rPr>
                <w:spacing w:val="-4"/>
                <w:sz w:val="16"/>
              </w:rPr>
              <w:t>15.1</w:t>
            </w:r>
          </w:p>
        </w:tc>
        <w:tc>
          <w:tcPr>
            <w:tcW w:w="595" w:type="dxa"/>
            <w:tcBorders>
              <w:bottom w:val="single" w:color="000000" w:sz="4" w:space="0"/>
            </w:tcBorders>
          </w:tcPr>
          <w:p w14:paraId="1BD57532">
            <w:pPr>
              <w:pStyle w:val="29"/>
              <w:spacing w:before="117"/>
              <w:ind w:left="20"/>
              <w:rPr>
                <w:sz w:val="16"/>
              </w:rPr>
            </w:pPr>
            <w:r>
              <w:rPr>
                <w:spacing w:val="-4"/>
                <w:sz w:val="16"/>
              </w:rPr>
              <w:t>12.3</w:t>
            </w:r>
          </w:p>
        </w:tc>
        <w:tc>
          <w:tcPr>
            <w:tcW w:w="398" w:type="dxa"/>
            <w:tcBorders>
              <w:bottom w:val="single" w:color="000000" w:sz="4" w:space="0"/>
            </w:tcBorders>
          </w:tcPr>
          <w:p w14:paraId="7B48ABFA">
            <w:pPr>
              <w:pStyle w:val="29"/>
              <w:spacing w:before="119"/>
              <w:ind w:left="65" w:right="29"/>
              <w:jc w:val="center"/>
              <w:rPr>
                <w:b/>
                <w:sz w:val="16"/>
              </w:rPr>
            </w:pPr>
            <w:r>
              <w:rPr>
                <w:b/>
                <w:spacing w:val="-4"/>
                <w:sz w:val="16"/>
              </w:rPr>
              <w:t>2.82</w:t>
            </w:r>
          </w:p>
        </w:tc>
        <w:tc>
          <w:tcPr>
            <w:tcW w:w="357" w:type="dxa"/>
            <w:tcBorders>
              <w:bottom w:val="single" w:color="000000" w:sz="4" w:space="0"/>
            </w:tcBorders>
          </w:tcPr>
          <w:p w14:paraId="4F709B3E">
            <w:pPr>
              <w:pStyle w:val="29"/>
              <w:spacing w:before="117"/>
              <w:ind w:left="6" w:right="47"/>
              <w:jc w:val="center"/>
              <w:rPr>
                <w:sz w:val="16"/>
              </w:rPr>
            </w:pPr>
            <w:r>
              <w:rPr>
                <w:spacing w:val="-4"/>
                <w:sz w:val="16"/>
              </w:rPr>
              <w:t>1.23</w:t>
            </w:r>
          </w:p>
        </w:tc>
      </w:tr>
    </w:tbl>
    <w:p w14:paraId="0DE1BBE6">
      <w:pPr>
        <w:pStyle w:val="9"/>
        <w:spacing w:before="120" w:after="120" w:line="360" w:lineRule="auto"/>
        <w:ind w:left="0" w:firstLine="567"/>
      </w:pPr>
      <w:r>
        <w:t>Katılımcıların yaşam kalitelerine yönelik değerlendirmelerinde, "Yaşam kalitenizi nasıl buluyorsunuz?" sorusuna verilen yanıtlar ortalama 3.21 (standart sapma = 1.19) ile değerlendirilmiştir. Katılımcıların %17’si yaşam kalitelerini çok iyi bulurken, %10.8’i yaşam kalitelerinin düşük olduğunu belirtmiştir. Sağlık durumlarıyla ilgili olarak "Sağlığınızdan ne kadar hoşnutsunuz?" sorusu ortalama 3.15 (standart sapma = 1.28) ile yanıtlanmıştır; %15’lik bir grup sağlıklarından memnunken, %14.8’i sağlıklarından hoşnut olmadıklarını ifade etmiştir.</w:t>
      </w:r>
    </w:p>
    <w:p w14:paraId="55BC6D17">
      <w:pPr>
        <w:pStyle w:val="9"/>
        <w:spacing w:before="120" w:after="120" w:line="360" w:lineRule="auto"/>
        <w:ind w:left="0" w:firstLine="567"/>
      </w:pPr>
      <w:r>
        <w:t>Ağrıların etkisiyle ilgili olarak, "Ağrılarınızın yapmanız gerekenleri ne kadar engellediğini düşünüyorsunuz?" sorusuna katılımcılar ortalama 2.82 (standart sapma = 1.26) ile yanıt vermiştir. Katılımcıların %17.2’si ağrılarının günlük yaşamlarını ciddi anlamda etkilemediğini belirtirken, %12.5’lik bir kesim ağrıların günlük işlerini engellediğini ifade etmiştir.</w:t>
      </w:r>
      <w:r>
        <w:rPr>
          <w:spacing w:val="-14"/>
        </w:rPr>
        <w:t xml:space="preserve"> </w:t>
      </w:r>
      <w:r>
        <w:t>"Günlük</w:t>
      </w:r>
      <w:r>
        <w:rPr>
          <w:spacing w:val="-14"/>
        </w:rPr>
        <w:t xml:space="preserve"> </w:t>
      </w:r>
      <w:r>
        <w:t>uğraşlarınızı</w:t>
      </w:r>
      <w:r>
        <w:rPr>
          <w:spacing w:val="-11"/>
        </w:rPr>
        <w:t xml:space="preserve"> </w:t>
      </w:r>
      <w:r>
        <w:t>yürütebilmek</w:t>
      </w:r>
      <w:r>
        <w:rPr>
          <w:spacing w:val="-15"/>
        </w:rPr>
        <w:t xml:space="preserve"> </w:t>
      </w:r>
      <w:r>
        <w:t>için</w:t>
      </w:r>
      <w:r>
        <w:rPr>
          <w:spacing w:val="-14"/>
        </w:rPr>
        <w:t xml:space="preserve"> </w:t>
      </w:r>
      <w:r>
        <w:t>herhangi</w:t>
      </w:r>
      <w:r>
        <w:rPr>
          <w:spacing w:val="-14"/>
        </w:rPr>
        <w:t xml:space="preserve"> </w:t>
      </w:r>
      <w:r>
        <w:t>bir</w:t>
      </w:r>
      <w:r>
        <w:rPr>
          <w:spacing w:val="-14"/>
        </w:rPr>
        <w:t xml:space="preserve"> </w:t>
      </w:r>
      <w:r>
        <w:t>tıbbi</w:t>
      </w:r>
      <w:r>
        <w:rPr>
          <w:spacing w:val="-14"/>
        </w:rPr>
        <w:t xml:space="preserve"> </w:t>
      </w:r>
      <w:r>
        <w:t>tedaviye</w:t>
      </w:r>
      <w:r>
        <w:rPr>
          <w:spacing w:val="-10"/>
        </w:rPr>
        <w:t xml:space="preserve"> </w:t>
      </w:r>
      <w:r>
        <w:t>ne</w:t>
      </w:r>
      <w:r>
        <w:rPr>
          <w:spacing w:val="-15"/>
        </w:rPr>
        <w:t xml:space="preserve"> </w:t>
      </w:r>
      <w:r>
        <w:t>kadar</w:t>
      </w:r>
      <w:r>
        <w:rPr>
          <w:spacing w:val="-15"/>
        </w:rPr>
        <w:t xml:space="preserve"> </w:t>
      </w:r>
      <w:r>
        <w:t>ihtiyaç duyuyorsunuz?"</w:t>
      </w:r>
      <w:r>
        <w:rPr>
          <w:spacing w:val="71"/>
        </w:rPr>
        <w:t xml:space="preserve"> </w:t>
      </w:r>
      <w:r>
        <w:t>sorusuna</w:t>
      </w:r>
      <w:r>
        <w:rPr>
          <w:spacing w:val="74"/>
        </w:rPr>
        <w:t xml:space="preserve"> </w:t>
      </w:r>
      <w:r>
        <w:t>verilen</w:t>
      </w:r>
      <w:r>
        <w:rPr>
          <w:spacing w:val="52"/>
          <w:w w:val="150"/>
        </w:rPr>
        <w:t xml:space="preserve"> </w:t>
      </w:r>
      <w:r>
        <w:t>yanıtlar</w:t>
      </w:r>
      <w:r>
        <w:rPr>
          <w:spacing w:val="76"/>
        </w:rPr>
        <w:t xml:space="preserve"> </w:t>
      </w:r>
      <w:r>
        <w:t>ortalama</w:t>
      </w:r>
      <w:r>
        <w:rPr>
          <w:spacing w:val="75"/>
        </w:rPr>
        <w:t xml:space="preserve"> </w:t>
      </w:r>
      <w:r>
        <w:t>2.55</w:t>
      </w:r>
      <w:r>
        <w:rPr>
          <w:spacing w:val="77"/>
        </w:rPr>
        <w:t xml:space="preserve"> </w:t>
      </w:r>
      <w:r>
        <w:t>(standart</w:t>
      </w:r>
      <w:r>
        <w:rPr>
          <w:spacing w:val="77"/>
        </w:rPr>
        <w:t xml:space="preserve"> </w:t>
      </w:r>
      <w:r>
        <w:t>sapma</w:t>
      </w:r>
      <w:r>
        <w:rPr>
          <w:spacing w:val="75"/>
        </w:rPr>
        <w:t xml:space="preserve"> </w:t>
      </w:r>
      <w:r>
        <w:t>=</w:t>
      </w:r>
      <w:r>
        <w:rPr>
          <w:spacing w:val="74"/>
        </w:rPr>
        <w:t xml:space="preserve"> </w:t>
      </w:r>
      <w:r>
        <w:t>1.36)</w:t>
      </w:r>
      <w:r>
        <w:rPr>
          <w:spacing w:val="75"/>
        </w:rPr>
        <w:t xml:space="preserve"> </w:t>
      </w:r>
      <w:r>
        <w:rPr>
          <w:spacing w:val="-5"/>
        </w:rPr>
        <w:t>ile</w:t>
      </w:r>
      <w:r>
        <w:t xml:space="preserve"> değerlendirilmiş,</w:t>
      </w:r>
      <w:r>
        <w:rPr>
          <w:spacing w:val="-15"/>
        </w:rPr>
        <w:t xml:space="preserve"> </w:t>
      </w:r>
      <w:r>
        <w:t>%12.8’i</w:t>
      </w:r>
      <w:r>
        <w:rPr>
          <w:spacing w:val="-15"/>
        </w:rPr>
        <w:t xml:space="preserve"> </w:t>
      </w:r>
      <w:r>
        <w:t>tıbbi</w:t>
      </w:r>
      <w:r>
        <w:rPr>
          <w:spacing w:val="-15"/>
        </w:rPr>
        <w:t xml:space="preserve"> </w:t>
      </w:r>
      <w:r>
        <w:t>tedaviye</w:t>
      </w:r>
      <w:r>
        <w:rPr>
          <w:spacing w:val="-15"/>
        </w:rPr>
        <w:t xml:space="preserve"> </w:t>
      </w:r>
      <w:r>
        <w:t>sıkça</w:t>
      </w:r>
      <w:r>
        <w:rPr>
          <w:spacing w:val="-15"/>
        </w:rPr>
        <w:t xml:space="preserve"> </w:t>
      </w:r>
      <w:r>
        <w:t>ihtiyaç</w:t>
      </w:r>
      <w:r>
        <w:rPr>
          <w:spacing w:val="-15"/>
        </w:rPr>
        <w:t xml:space="preserve"> </w:t>
      </w:r>
      <w:r>
        <w:t>duyduklarını</w:t>
      </w:r>
      <w:r>
        <w:rPr>
          <w:spacing w:val="-15"/>
        </w:rPr>
        <w:t xml:space="preserve"> </w:t>
      </w:r>
      <w:r>
        <w:t>belirtirken,</w:t>
      </w:r>
      <w:r>
        <w:rPr>
          <w:spacing w:val="-15"/>
        </w:rPr>
        <w:t xml:space="preserve"> </w:t>
      </w:r>
      <w:r>
        <w:t>%29.3’lük</w:t>
      </w:r>
      <w:r>
        <w:rPr>
          <w:spacing w:val="-15"/>
        </w:rPr>
        <w:t xml:space="preserve"> </w:t>
      </w:r>
      <w:r>
        <w:t>bir kesim bu ihtiyacın olmadığını ifade etmiştir.</w:t>
      </w:r>
    </w:p>
    <w:p w14:paraId="37AE18DC">
      <w:pPr>
        <w:pStyle w:val="9"/>
        <w:spacing w:before="120" w:after="120" w:line="360" w:lineRule="auto"/>
        <w:ind w:left="0" w:firstLine="567"/>
      </w:pPr>
      <w:r>
        <w:t>Katılımcıların</w:t>
      </w:r>
      <w:r>
        <w:rPr>
          <w:spacing w:val="76"/>
        </w:rPr>
        <w:t xml:space="preserve"> </w:t>
      </w:r>
      <w:r>
        <w:t>yaşamdan</w:t>
      </w:r>
      <w:r>
        <w:rPr>
          <w:spacing w:val="75"/>
        </w:rPr>
        <w:t xml:space="preserve"> </w:t>
      </w:r>
      <w:r>
        <w:t>keyif</w:t>
      </w:r>
      <w:r>
        <w:rPr>
          <w:spacing w:val="73"/>
        </w:rPr>
        <w:t xml:space="preserve"> </w:t>
      </w:r>
      <w:r>
        <w:t>almalarıyla</w:t>
      </w:r>
      <w:r>
        <w:rPr>
          <w:spacing w:val="73"/>
        </w:rPr>
        <w:t xml:space="preserve"> </w:t>
      </w:r>
      <w:r>
        <w:t>ilgili</w:t>
      </w:r>
      <w:r>
        <w:rPr>
          <w:spacing w:val="74"/>
        </w:rPr>
        <w:t xml:space="preserve"> </w:t>
      </w:r>
      <w:r>
        <w:t>olarak,</w:t>
      </w:r>
      <w:r>
        <w:rPr>
          <w:spacing w:val="76"/>
        </w:rPr>
        <w:t xml:space="preserve"> </w:t>
      </w:r>
      <w:r>
        <w:t>"Yaşamaktan</w:t>
      </w:r>
      <w:r>
        <w:rPr>
          <w:spacing w:val="76"/>
        </w:rPr>
        <w:t xml:space="preserve"> </w:t>
      </w:r>
      <w:r>
        <w:t>ne</w:t>
      </w:r>
      <w:r>
        <w:rPr>
          <w:spacing w:val="73"/>
        </w:rPr>
        <w:t xml:space="preserve"> </w:t>
      </w:r>
      <w:r>
        <w:t>kadar</w:t>
      </w:r>
      <w:r>
        <w:rPr>
          <w:spacing w:val="73"/>
        </w:rPr>
        <w:t xml:space="preserve"> </w:t>
      </w:r>
      <w:r>
        <w:t>keyif alırsınız?"</w:t>
      </w:r>
      <w:r>
        <w:rPr>
          <w:spacing w:val="2"/>
        </w:rPr>
        <w:t xml:space="preserve"> </w:t>
      </w:r>
      <w:r>
        <w:t>sorusuna</w:t>
      </w:r>
      <w:r>
        <w:rPr>
          <w:spacing w:val="5"/>
        </w:rPr>
        <w:t xml:space="preserve"> </w:t>
      </w:r>
      <w:r>
        <w:t>verilen</w:t>
      </w:r>
      <w:r>
        <w:rPr>
          <w:spacing w:val="10"/>
        </w:rPr>
        <w:t xml:space="preserve"> </w:t>
      </w:r>
      <w:r>
        <w:t>yanıtlar</w:t>
      </w:r>
      <w:r>
        <w:rPr>
          <w:spacing w:val="7"/>
        </w:rPr>
        <w:t xml:space="preserve"> </w:t>
      </w:r>
      <w:r>
        <w:t>ortalama</w:t>
      </w:r>
      <w:r>
        <w:rPr>
          <w:spacing w:val="5"/>
        </w:rPr>
        <w:t xml:space="preserve"> </w:t>
      </w:r>
      <w:r>
        <w:t>3.24</w:t>
      </w:r>
      <w:r>
        <w:rPr>
          <w:spacing w:val="9"/>
        </w:rPr>
        <w:t xml:space="preserve"> </w:t>
      </w:r>
      <w:r>
        <w:t>(standart</w:t>
      </w:r>
      <w:r>
        <w:rPr>
          <w:spacing w:val="5"/>
        </w:rPr>
        <w:t xml:space="preserve"> </w:t>
      </w:r>
      <w:r>
        <w:t>sapma</w:t>
      </w:r>
      <w:r>
        <w:rPr>
          <w:spacing w:val="8"/>
        </w:rPr>
        <w:t xml:space="preserve"> </w:t>
      </w:r>
      <w:r>
        <w:t>=</w:t>
      </w:r>
      <w:r>
        <w:rPr>
          <w:spacing w:val="7"/>
        </w:rPr>
        <w:t xml:space="preserve"> </w:t>
      </w:r>
      <w:r>
        <w:t>1.23)</w:t>
      </w:r>
      <w:r>
        <w:rPr>
          <w:spacing w:val="8"/>
        </w:rPr>
        <w:t xml:space="preserve"> </w:t>
      </w:r>
      <w:r>
        <w:t>ile</w:t>
      </w:r>
      <w:r>
        <w:rPr>
          <w:spacing w:val="6"/>
        </w:rPr>
        <w:t xml:space="preserve"> </w:t>
      </w:r>
      <w:r>
        <w:rPr>
          <w:spacing w:val="-2"/>
        </w:rPr>
        <w:t>ölçülmüştür;</w:t>
      </w:r>
      <w:r>
        <w:t xml:space="preserve"> %15.8’lik bir kesim yaşamdan büyük keyif</w:t>
      </w:r>
      <w:r>
        <w:rPr>
          <w:spacing w:val="-1"/>
        </w:rPr>
        <w:t xml:space="preserve"> </w:t>
      </w:r>
      <w:r>
        <w:t>aldığını ifade ederken, %11.5’i yaşamdan daha az</w:t>
      </w:r>
      <w:r>
        <w:rPr>
          <w:spacing w:val="-15"/>
        </w:rPr>
        <w:t xml:space="preserve"> </w:t>
      </w:r>
      <w:r>
        <w:t>keyif</w:t>
      </w:r>
      <w:r>
        <w:rPr>
          <w:spacing w:val="-16"/>
        </w:rPr>
        <w:t xml:space="preserve"> </w:t>
      </w:r>
      <w:r>
        <w:t>aldığını</w:t>
      </w:r>
      <w:r>
        <w:rPr>
          <w:spacing w:val="-15"/>
        </w:rPr>
        <w:t xml:space="preserve"> </w:t>
      </w:r>
      <w:r>
        <w:t>belirtmiştir.</w:t>
      </w:r>
      <w:r>
        <w:rPr>
          <w:spacing w:val="-16"/>
        </w:rPr>
        <w:t xml:space="preserve"> </w:t>
      </w:r>
      <w:r>
        <w:t>"Yaşamınızı</w:t>
      </w:r>
      <w:r>
        <w:rPr>
          <w:spacing w:val="-15"/>
        </w:rPr>
        <w:t xml:space="preserve"> </w:t>
      </w:r>
      <w:r>
        <w:t>ne</w:t>
      </w:r>
      <w:r>
        <w:rPr>
          <w:spacing w:val="-16"/>
        </w:rPr>
        <w:t xml:space="preserve"> </w:t>
      </w:r>
      <w:r>
        <w:t>ölçüde</w:t>
      </w:r>
      <w:r>
        <w:rPr>
          <w:spacing w:val="-16"/>
        </w:rPr>
        <w:t xml:space="preserve"> </w:t>
      </w:r>
      <w:r>
        <w:t>anlamlı</w:t>
      </w:r>
      <w:r>
        <w:rPr>
          <w:spacing w:val="-15"/>
        </w:rPr>
        <w:t xml:space="preserve"> </w:t>
      </w:r>
      <w:r>
        <w:t>buluyorsunuz?"</w:t>
      </w:r>
      <w:r>
        <w:rPr>
          <w:spacing w:val="-19"/>
        </w:rPr>
        <w:t xml:space="preserve"> </w:t>
      </w:r>
      <w:r>
        <w:t>sorusu</w:t>
      </w:r>
      <w:r>
        <w:rPr>
          <w:spacing w:val="-15"/>
        </w:rPr>
        <w:t xml:space="preserve"> </w:t>
      </w:r>
      <w:r>
        <w:rPr>
          <w:spacing w:val="-2"/>
        </w:rPr>
        <w:t>ortalama</w:t>
      </w:r>
      <w:r>
        <w:t xml:space="preserve"> 3.26</w:t>
      </w:r>
      <w:r>
        <w:rPr>
          <w:spacing w:val="40"/>
        </w:rPr>
        <w:t xml:space="preserve"> </w:t>
      </w:r>
      <w:r>
        <w:t>(standart</w:t>
      </w:r>
      <w:r>
        <w:rPr>
          <w:spacing w:val="40"/>
        </w:rPr>
        <w:t xml:space="preserve"> </w:t>
      </w:r>
      <w:r>
        <w:t>sapma</w:t>
      </w:r>
      <w:r>
        <w:rPr>
          <w:spacing w:val="40"/>
        </w:rPr>
        <w:t xml:space="preserve"> </w:t>
      </w:r>
      <w:r>
        <w:t>=</w:t>
      </w:r>
      <w:r>
        <w:rPr>
          <w:spacing w:val="40"/>
        </w:rPr>
        <w:t xml:space="preserve"> </w:t>
      </w:r>
      <w:r>
        <w:t>1.28)</w:t>
      </w:r>
      <w:r>
        <w:rPr>
          <w:spacing w:val="40"/>
        </w:rPr>
        <w:t xml:space="preserve"> </w:t>
      </w:r>
      <w:r>
        <w:t>ile</w:t>
      </w:r>
      <w:r>
        <w:rPr>
          <w:spacing w:val="40"/>
        </w:rPr>
        <w:t xml:space="preserve"> </w:t>
      </w:r>
      <w:r>
        <w:t>yanıtlanmış</w:t>
      </w:r>
      <w:r>
        <w:rPr>
          <w:spacing w:val="40"/>
        </w:rPr>
        <w:t xml:space="preserve"> </w:t>
      </w:r>
      <w:r>
        <w:t>olup,</w:t>
      </w:r>
      <w:r>
        <w:rPr>
          <w:spacing w:val="40"/>
        </w:rPr>
        <w:t xml:space="preserve"> </w:t>
      </w:r>
      <w:r>
        <w:t>%19’luk</w:t>
      </w:r>
      <w:r>
        <w:rPr>
          <w:spacing w:val="40"/>
        </w:rPr>
        <w:t xml:space="preserve"> </w:t>
      </w:r>
      <w:r>
        <w:t>bir</w:t>
      </w:r>
      <w:r>
        <w:rPr>
          <w:spacing w:val="40"/>
        </w:rPr>
        <w:t xml:space="preserve"> </w:t>
      </w:r>
      <w:r>
        <w:t>kesim</w:t>
      </w:r>
      <w:r>
        <w:rPr>
          <w:spacing w:val="40"/>
        </w:rPr>
        <w:t xml:space="preserve"> </w:t>
      </w:r>
      <w:r>
        <w:t>yaşamlarını</w:t>
      </w:r>
      <w:r>
        <w:rPr>
          <w:spacing w:val="40"/>
        </w:rPr>
        <w:t xml:space="preserve"> </w:t>
      </w:r>
      <w:r>
        <w:t>çok anlamlı bulurken, %13.3’lük bir grup daha düşük bir anlam atfetmiştir. "Dikkatinizi</w:t>
      </w:r>
      <w:r>
        <w:rPr>
          <w:spacing w:val="-15"/>
        </w:rPr>
        <w:t xml:space="preserve"> </w:t>
      </w:r>
      <w:r>
        <w:t>toplamada</w:t>
      </w:r>
      <w:r>
        <w:rPr>
          <w:spacing w:val="-15"/>
        </w:rPr>
        <w:t xml:space="preserve"> </w:t>
      </w:r>
      <w:r>
        <w:t>ne</w:t>
      </w:r>
      <w:r>
        <w:rPr>
          <w:spacing w:val="-15"/>
        </w:rPr>
        <w:t xml:space="preserve"> </w:t>
      </w:r>
      <w:r>
        <w:t>kadar</w:t>
      </w:r>
      <w:r>
        <w:rPr>
          <w:spacing w:val="-15"/>
        </w:rPr>
        <w:t xml:space="preserve"> </w:t>
      </w:r>
      <w:r>
        <w:t>başarılısınız?"</w:t>
      </w:r>
      <w:r>
        <w:rPr>
          <w:spacing w:val="-15"/>
        </w:rPr>
        <w:t xml:space="preserve"> </w:t>
      </w:r>
      <w:r>
        <w:t>sorusu</w:t>
      </w:r>
      <w:r>
        <w:rPr>
          <w:spacing w:val="-15"/>
        </w:rPr>
        <w:t xml:space="preserve"> </w:t>
      </w:r>
      <w:r>
        <w:t>ortalama</w:t>
      </w:r>
      <w:r>
        <w:rPr>
          <w:spacing w:val="-15"/>
        </w:rPr>
        <w:t xml:space="preserve"> </w:t>
      </w:r>
      <w:r>
        <w:t>3.20</w:t>
      </w:r>
      <w:r>
        <w:rPr>
          <w:spacing w:val="-15"/>
        </w:rPr>
        <w:t xml:space="preserve"> </w:t>
      </w:r>
      <w:r>
        <w:t>(standart</w:t>
      </w:r>
      <w:r>
        <w:rPr>
          <w:spacing w:val="-15"/>
        </w:rPr>
        <w:t xml:space="preserve"> </w:t>
      </w:r>
      <w:r>
        <w:t>sapma</w:t>
      </w:r>
      <w:r>
        <w:rPr>
          <w:spacing w:val="-15"/>
        </w:rPr>
        <w:t xml:space="preserve"> </w:t>
      </w:r>
      <w:r>
        <w:t>=</w:t>
      </w:r>
      <w:r>
        <w:rPr>
          <w:spacing w:val="-15"/>
        </w:rPr>
        <w:t xml:space="preserve"> </w:t>
      </w:r>
      <w:r>
        <w:t>1.25) ile değerlendirilmiştir; %17.3’ü</w:t>
      </w:r>
      <w:r>
        <w:rPr>
          <w:spacing w:val="2"/>
        </w:rPr>
        <w:t xml:space="preserve"> </w:t>
      </w:r>
      <w:r>
        <w:t>dikkat</w:t>
      </w:r>
      <w:r>
        <w:rPr>
          <w:spacing w:val="1"/>
        </w:rPr>
        <w:t xml:space="preserve"> </w:t>
      </w:r>
      <w:r>
        <w:t>toplamada</w:t>
      </w:r>
      <w:r>
        <w:rPr>
          <w:spacing w:val="2"/>
        </w:rPr>
        <w:t xml:space="preserve"> </w:t>
      </w:r>
      <w:r>
        <w:t>tamamen</w:t>
      </w:r>
      <w:r>
        <w:rPr>
          <w:spacing w:val="1"/>
        </w:rPr>
        <w:t xml:space="preserve"> </w:t>
      </w:r>
      <w:r>
        <w:t>başarılı</w:t>
      </w:r>
      <w:r>
        <w:rPr>
          <w:spacing w:val="1"/>
        </w:rPr>
        <w:t xml:space="preserve"> </w:t>
      </w:r>
      <w:r>
        <w:t>olduklarını</w:t>
      </w:r>
      <w:r>
        <w:rPr>
          <w:spacing w:val="1"/>
        </w:rPr>
        <w:t xml:space="preserve"> </w:t>
      </w:r>
      <w:r>
        <w:t>ifade</w:t>
      </w:r>
      <w:r>
        <w:rPr>
          <w:spacing w:val="3"/>
        </w:rPr>
        <w:t xml:space="preserve"> </w:t>
      </w:r>
      <w:r>
        <w:rPr>
          <w:spacing w:val="-2"/>
        </w:rPr>
        <w:t>etmiş,</w:t>
      </w:r>
      <w:r>
        <w:t xml:space="preserve"> %12.8’i ise bu konuda zorlandıklarını belirtmiştir. Kendini güvende hissetme konusunda, "Günlük yaşamınızda kendinizi ne kadar güvende hissediyorsunuz?" sorusu ortalama 3.19 (standart sapma = 1.23) ile değerlendirilmiş olup, %16.2’lik bir kesim tamamen güvende hissederken, %12.5’i bu konuda yetersiz hissettiklerini belirtmiştir. "Fiziksel çevreniz ne ölçüde sağlıklıdır?" sorusuna verilen yanıtlar ortalama 3.15 (standart sapma = 1.24) ile değerlendirilmiştir; %15.3’ü çevrelerinin oldukça sağlıklı olduğunu belirtmiş, %13.7’si çevrelerinin sağlıksız olduğunu ifade etmiştir. "Günlük yaşamı sürdürmek</w:t>
      </w:r>
      <w:r>
        <w:rPr>
          <w:spacing w:val="-4"/>
        </w:rPr>
        <w:t xml:space="preserve"> </w:t>
      </w:r>
      <w:r>
        <w:t>için yeterli</w:t>
      </w:r>
      <w:r>
        <w:rPr>
          <w:spacing w:val="-2"/>
        </w:rPr>
        <w:t xml:space="preserve"> </w:t>
      </w:r>
      <w:r>
        <w:t>gücünüz</w:t>
      </w:r>
      <w:r>
        <w:rPr>
          <w:spacing w:val="-3"/>
        </w:rPr>
        <w:t xml:space="preserve"> </w:t>
      </w:r>
      <w:r>
        <w:t>kuvvetiniz</w:t>
      </w:r>
      <w:r>
        <w:rPr>
          <w:spacing w:val="-3"/>
        </w:rPr>
        <w:t xml:space="preserve"> </w:t>
      </w:r>
      <w:r>
        <w:t>var</w:t>
      </w:r>
      <w:r>
        <w:rPr>
          <w:spacing w:val="-4"/>
        </w:rPr>
        <w:t xml:space="preserve"> </w:t>
      </w:r>
      <w:r>
        <w:t>mı?"</w:t>
      </w:r>
      <w:r>
        <w:rPr>
          <w:spacing w:val="-6"/>
        </w:rPr>
        <w:t xml:space="preserve"> </w:t>
      </w:r>
      <w:r>
        <w:t>sorusu</w:t>
      </w:r>
      <w:r>
        <w:rPr>
          <w:spacing w:val="-4"/>
        </w:rPr>
        <w:t xml:space="preserve"> </w:t>
      </w:r>
      <w:r>
        <w:t>ortalama</w:t>
      </w:r>
      <w:r>
        <w:rPr>
          <w:spacing w:val="-5"/>
        </w:rPr>
        <w:t xml:space="preserve"> </w:t>
      </w:r>
      <w:r>
        <w:t>3.35</w:t>
      </w:r>
      <w:r>
        <w:rPr>
          <w:spacing w:val="-4"/>
        </w:rPr>
        <w:t xml:space="preserve"> </w:t>
      </w:r>
      <w:r>
        <w:t>(standart</w:t>
      </w:r>
      <w:r>
        <w:rPr>
          <w:spacing w:val="-4"/>
        </w:rPr>
        <w:t xml:space="preserve"> </w:t>
      </w:r>
      <w:r>
        <w:t>sapma</w:t>
      </w:r>
      <w:r>
        <w:rPr>
          <w:spacing w:val="-4"/>
        </w:rPr>
        <w:t xml:space="preserve"> </w:t>
      </w:r>
      <w:r>
        <w:t>= 1.26) ile değerlendirilmiş olup, %20.9’u tamamen yeterli kuvvete sahip olduğunu, %11.5’i ise yetersiz olduğunu belirtmiştir.</w:t>
      </w:r>
    </w:p>
    <w:p w14:paraId="796FCD05">
      <w:pPr>
        <w:pStyle w:val="9"/>
        <w:spacing w:before="120" w:after="120" w:line="360" w:lineRule="auto"/>
        <w:ind w:left="0" w:firstLine="567"/>
      </w:pPr>
      <w:r>
        <w:t>Katılımcılar</w:t>
      </w:r>
      <w:r>
        <w:rPr>
          <w:spacing w:val="-10"/>
        </w:rPr>
        <w:t xml:space="preserve"> </w:t>
      </w:r>
      <w:r>
        <w:t>"Bedensel</w:t>
      </w:r>
      <w:r>
        <w:rPr>
          <w:spacing w:val="-6"/>
        </w:rPr>
        <w:t xml:space="preserve"> </w:t>
      </w:r>
      <w:r>
        <w:t>görünüşünüzü</w:t>
      </w:r>
      <w:r>
        <w:rPr>
          <w:spacing w:val="-9"/>
        </w:rPr>
        <w:t xml:space="preserve"> </w:t>
      </w:r>
      <w:r>
        <w:t>kabullenir</w:t>
      </w:r>
      <w:r>
        <w:rPr>
          <w:spacing w:val="-7"/>
        </w:rPr>
        <w:t xml:space="preserve"> </w:t>
      </w:r>
      <w:r>
        <w:t>misiniz?"</w:t>
      </w:r>
      <w:r>
        <w:rPr>
          <w:spacing w:val="-11"/>
        </w:rPr>
        <w:t xml:space="preserve"> </w:t>
      </w:r>
      <w:r>
        <w:t>sorusuna</w:t>
      </w:r>
      <w:r>
        <w:rPr>
          <w:spacing w:val="-10"/>
        </w:rPr>
        <w:t xml:space="preserve"> </w:t>
      </w:r>
      <w:r>
        <w:t>ortalama</w:t>
      </w:r>
      <w:r>
        <w:rPr>
          <w:spacing w:val="-10"/>
        </w:rPr>
        <w:t xml:space="preserve"> </w:t>
      </w:r>
      <w:r>
        <w:t>3.37</w:t>
      </w:r>
      <w:r>
        <w:rPr>
          <w:spacing w:val="-9"/>
        </w:rPr>
        <w:t xml:space="preserve"> </w:t>
      </w:r>
      <w:r>
        <w:t>(standart sapma = 1.34) ile yanıt vermiştir; %25’i bedensel görünümlerinden memnun olduğunu belirtirken, %13.6’sı bu konuda hoşnutsuz olduklarını ifade etmiştir. "İhtiyaçlarınızı karşılamaya yeterli paranız var mı?" sorusu ortalama 3.07 (standart sapma = 1.23) ile değerlendirilmiştir; %15.6’lık bir kesim finansal ihtiyaçlarını rahatça karşılayabildiklerini belirtmiş, %12.9’u ise yetersiz olduklarını ifade etmiştir. "İhtiyacınız olan bilgi ve haberlere ne ölçüde ulaşabiliyorsunuz?" sorusu ortalama 3.29 (standart</w:t>
      </w:r>
      <w:r>
        <w:rPr>
          <w:spacing w:val="36"/>
        </w:rPr>
        <w:t xml:space="preserve"> </w:t>
      </w:r>
      <w:r>
        <w:t>sapma</w:t>
      </w:r>
      <w:r>
        <w:rPr>
          <w:spacing w:val="39"/>
        </w:rPr>
        <w:t xml:space="preserve"> </w:t>
      </w:r>
      <w:r>
        <w:t>=</w:t>
      </w:r>
      <w:r>
        <w:rPr>
          <w:spacing w:val="36"/>
        </w:rPr>
        <w:t xml:space="preserve"> </w:t>
      </w:r>
      <w:r>
        <w:t>1.27)</w:t>
      </w:r>
      <w:r>
        <w:rPr>
          <w:spacing w:val="39"/>
        </w:rPr>
        <w:t xml:space="preserve"> </w:t>
      </w:r>
      <w:r>
        <w:t>ile</w:t>
      </w:r>
      <w:r>
        <w:rPr>
          <w:spacing w:val="36"/>
        </w:rPr>
        <w:t xml:space="preserve"> </w:t>
      </w:r>
      <w:r>
        <w:t>değerlendirilmiş</w:t>
      </w:r>
      <w:r>
        <w:rPr>
          <w:spacing w:val="37"/>
        </w:rPr>
        <w:t xml:space="preserve"> </w:t>
      </w:r>
      <w:r>
        <w:t>olup,</w:t>
      </w:r>
      <w:r>
        <w:rPr>
          <w:spacing w:val="37"/>
        </w:rPr>
        <w:t xml:space="preserve"> </w:t>
      </w:r>
      <w:r>
        <w:t>%34.3’lük</w:t>
      </w:r>
      <w:r>
        <w:rPr>
          <w:spacing w:val="38"/>
        </w:rPr>
        <w:t xml:space="preserve"> </w:t>
      </w:r>
      <w:r>
        <w:t>bir</w:t>
      </w:r>
      <w:r>
        <w:rPr>
          <w:spacing w:val="39"/>
        </w:rPr>
        <w:t xml:space="preserve"> </w:t>
      </w:r>
      <w:r>
        <w:t>kesim</w:t>
      </w:r>
      <w:r>
        <w:rPr>
          <w:spacing w:val="40"/>
        </w:rPr>
        <w:t xml:space="preserve"> </w:t>
      </w:r>
      <w:r>
        <w:t>bilgiye</w:t>
      </w:r>
      <w:r>
        <w:rPr>
          <w:spacing w:val="41"/>
        </w:rPr>
        <w:t xml:space="preserve"> </w:t>
      </w:r>
      <w:r>
        <w:rPr>
          <w:spacing w:val="-2"/>
        </w:rPr>
        <w:t>erişimin</w:t>
      </w:r>
      <w:r>
        <w:t xml:space="preserve"> oldukça iyi olduğunu belirtmiştir. Boş zaman aktiviteleri için fırsatlar konusunda, "Boş zamanları değerlendirme uğraşları için ne ölçüde fırsatınız olur?" sorusu ortalama 3.00 (standart sapma = 1.21) ile değerlendirilmiş olup, %13.6’sı bu konuda yeterli fırsat bulduklarını, %12.9’u ise bulamadıklarını ifade etmiştir.</w:t>
      </w:r>
    </w:p>
    <w:p w14:paraId="374D6B1B">
      <w:pPr>
        <w:pStyle w:val="9"/>
        <w:spacing w:before="120" w:after="120" w:line="360" w:lineRule="auto"/>
        <w:ind w:left="0" w:firstLine="567"/>
      </w:pPr>
      <w:r>
        <w:t>"Bedensel</w:t>
      </w:r>
      <w:r>
        <w:rPr>
          <w:spacing w:val="-1"/>
        </w:rPr>
        <w:t xml:space="preserve"> </w:t>
      </w:r>
      <w:r>
        <w:t>hareketlilik</w:t>
      </w:r>
      <w:r>
        <w:rPr>
          <w:spacing w:val="-1"/>
        </w:rPr>
        <w:t xml:space="preserve"> </w:t>
      </w:r>
      <w:r>
        <w:t>beceriniz nasıldır?"</w:t>
      </w:r>
      <w:r>
        <w:rPr>
          <w:spacing w:val="-3"/>
        </w:rPr>
        <w:t xml:space="preserve"> </w:t>
      </w:r>
      <w:r>
        <w:t>sorusu</w:t>
      </w:r>
      <w:r>
        <w:rPr>
          <w:spacing w:val="-2"/>
        </w:rPr>
        <w:t xml:space="preserve"> </w:t>
      </w:r>
      <w:r>
        <w:t>ortalama</w:t>
      </w:r>
      <w:r>
        <w:rPr>
          <w:spacing w:val="-2"/>
        </w:rPr>
        <w:t xml:space="preserve"> </w:t>
      </w:r>
      <w:r>
        <w:t>3.36 (standart sapma</w:t>
      </w:r>
      <w:r>
        <w:rPr>
          <w:spacing w:val="-2"/>
        </w:rPr>
        <w:t xml:space="preserve"> </w:t>
      </w:r>
      <w:r>
        <w:t>= 1.26)</w:t>
      </w:r>
      <w:r>
        <w:rPr>
          <w:spacing w:val="-2"/>
        </w:rPr>
        <w:t xml:space="preserve"> </w:t>
      </w:r>
      <w:r>
        <w:t>ile değerlendirilmiş olup, %31.2’lik bir kesim bedensel hareketliliğinin iyi olduğunu belirtmiştir. "Uykunuzdan ne kadar hoşnutsunuz?" sorusu ortalama 3.16 (standart sapma = 1.25) ile değerlendirilmiş olup, %15’lik bir kesim uykularından tamamen memnun olduklarını belirtmiş, %13.6’sı ise memnun olmadıklarını ifade etmiştir.</w:t>
      </w:r>
    </w:p>
    <w:p w14:paraId="283F6FA5">
      <w:pPr>
        <w:pStyle w:val="9"/>
        <w:spacing w:before="120" w:after="120" w:line="360" w:lineRule="auto"/>
        <w:ind w:left="0" w:firstLine="567"/>
      </w:pPr>
      <w:r>
        <w:t>Katılımcıların günlük işlerini yürütme becerileriyle ilgili olarak, "Günlük uğraşlarınızı yürütebilme becerinizden ne kadar hoşnutsunuz?" sorusu ortalama 3.12 (standart sapma = 1.27) ile değerlendirilmiştir; %29.3’lük bir kesim bu konuda memnun olduğunu ifade etmiştir. "İş görme kapasitenizden ne kadar hoşnutsunuz?" sorusu ortalama 3.24 (standart sapma</w:t>
      </w:r>
      <w:r>
        <w:rPr>
          <w:spacing w:val="-3"/>
        </w:rPr>
        <w:t xml:space="preserve"> </w:t>
      </w:r>
      <w:r>
        <w:t>=</w:t>
      </w:r>
      <w:r>
        <w:rPr>
          <w:spacing w:val="-5"/>
        </w:rPr>
        <w:t xml:space="preserve"> </w:t>
      </w:r>
      <w:r>
        <w:t>1.22)</w:t>
      </w:r>
      <w:r>
        <w:rPr>
          <w:spacing w:val="-4"/>
        </w:rPr>
        <w:t xml:space="preserve"> </w:t>
      </w:r>
      <w:r>
        <w:t>ile yanıtlanmıştır</w:t>
      </w:r>
      <w:r>
        <w:rPr>
          <w:spacing w:val="-3"/>
        </w:rPr>
        <w:t xml:space="preserve"> </w:t>
      </w:r>
      <w:r>
        <w:t>ve</w:t>
      </w:r>
      <w:r>
        <w:rPr>
          <w:spacing w:val="-5"/>
        </w:rPr>
        <w:t xml:space="preserve"> </w:t>
      </w:r>
      <w:r>
        <w:t>%33.1’lik</w:t>
      </w:r>
      <w:r>
        <w:rPr>
          <w:spacing w:val="-3"/>
        </w:rPr>
        <w:t xml:space="preserve"> </w:t>
      </w:r>
      <w:r>
        <w:t>bir</w:t>
      </w:r>
      <w:r>
        <w:rPr>
          <w:spacing w:val="-6"/>
        </w:rPr>
        <w:t xml:space="preserve"> </w:t>
      </w:r>
      <w:r>
        <w:t>kesim</w:t>
      </w:r>
      <w:r>
        <w:rPr>
          <w:spacing w:val="-2"/>
        </w:rPr>
        <w:t xml:space="preserve"> </w:t>
      </w:r>
      <w:r>
        <w:t>iş</w:t>
      </w:r>
      <w:r>
        <w:rPr>
          <w:spacing w:val="-4"/>
        </w:rPr>
        <w:t xml:space="preserve"> </w:t>
      </w:r>
      <w:r>
        <w:t>görme</w:t>
      </w:r>
      <w:r>
        <w:rPr>
          <w:spacing w:val="-5"/>
        </w:rPr>
        <w:t xml:space="preserve"> </w:t>
      </w:r>
      <w:r>
        <w:t>kapasitelerinden</w:t>
      </w:r>
      <w:r>
        <w:rPr>
          <w:spacing w:val="-3"/>
        </w:rPr>
        <w:t xml:space="preserve"> </w:t>
      </w:r>
      <w:r>
        <w:t>tamamen memnun olduklarını belirtmiştir.</w:t>
      </w:r>
    </w:p>
    <w:p w14:paraId="65E98AE3">
      <w:pPr>
        <w:pStyle w:val="9"/>
        <w:spacing w:before="120" w:after="120" w:line="360" w:lineRule="auto"/>
        <w:ind w:left="0" w:firstLine="567"/>
      </w:pPr>
      <w:r>
        <w:t>"Kendinizden ne kadar hoşnutsunuz?" sorusuna verilen yanıtlar ortalama 3.29 (standart sapma = 1.28) ile değerlendirilmiş olup, %32.4’lük bir kesim kendilerinden memnun olduklarını</w:t>
      </w:r>
      <w:r>
        <w:rPr>
          <w:spacing w:val="-8"/>
        </w:rPr>
        <w:t xml:space="preserve"> </w:t>
      </w:r>
      <w:r>
        <w:t>ifade</w:t>
      </w:r>
      <w:r>
        <w:rPr>
          <w:spacing w:val="-7"/>
        </w:rPr>
        <w:t xml:space="preserve"> </w:t>
      </w:r>
      <w:r>
        <w:t>etmiştir.</w:t>
      </w:r>
      <w:r>
        <w:rPr>
          <w:spacing w:val="-9"/>
        </w:rPr>
        <w:t xml:space="preserve"> </w:t>
      </w:r>
      <w:r>
        <w:t>Aile</w:t>
      </w:r>
      <w:r>
        <w:rPr>
          <w:spacing w:val="-9"/>
        </w:rPr>
        <w:t xml:space="preserve"> </w:t>
      </w:r>
      <w:r>
        <w:t>dışı</w:t>
      </w:r>
      <w:r>
        <w:rPr>
          <w:spacing w:val="-7"/>
        </w:rPr>
        <w:t xml:space="preserve"> </w:t>
      </w:r>
      <w:r>
        <w:t>ilişkilerde</w:t>
      </w:r>
      <w:r>
        <w:rPr>
          <w:spacing w:val="-9"/>
        </w:rPr>
        <w:t xml:space="preserve"> </w:t>
      </w:r>
      <w:r>
        <w:t>memnuniyetle</w:t>
      </w:r>
      <w:r>
        <w:rPr>
          <w:spacing w:val="-7"/>
        </w:rPr>
        <w:t xml:space="preserve"> </w:t>
      </w:r>
      <w:r>
        <w:t>ilgili</w:t>
      </w:r>
      <w:r>
        <w:rPr>
          <w:spacing w:val="-8"/>
        </w:rPr>
        <w:t xml:space="preserve"> </w:t>
      </w:r>
      <w:r>
        <w:t>olarak,</w:t>
      </w:r>
      <w:r>
        <w:rPr>
          <w:spacing w:val="-6"/>
        </w:rPr>
        <w:t xml:space="preserve"> </w:t>
      </w:r>
      <w:r>
        <w:t>"Aile</w:t>
      </w:r>
      <w:r>
        <w:rPr>
          <w:spacing w:val="-9"/>
        </w:rPr>
        <w:t xml:space="preserve"> </w:t>
      </w:r>
      <w:r>
        <w:t>dışı</w:t>
      </w:r>
      <w:r>
        <w:rPr>
          <w:spacing w:val="-7"/>
        </w:rPr>
        <w:t xml:space="preserve"> </w:t>
      </w:r>
      <w:r>
        <w:t>kişilerle ilişkilerinizden ne kadar hoşnutsunuz?" sorusu ortalama 3.23 (standart sapma = 1.29) ile değerlendirilmiştir. Cinsel yaşamdan memnuniyet konusunda, "Cinsel yaşamınızdan ne kadar</w:t>
      </w:r>
      <w:r>
        <w:rPr>
          <w:spacing w:val="35"/>
        </w:rPr>
        <w:t xml:space="preserve"> </w:t>
      </w:r>
      <w:r>
        <w:t>hoşnutsunuz?"</w:t>
      </w:r>
      <w:r>
        <w:rPr>
          <w:spacing w:val="35"/>
        </w:rPr>
        <w:t xml:space="preserve"> </w:t>
      </w:r>
      <w:r>
        <w:t>sorusu</w:t>
      </w:r>
      <w:r>
        <w:rPr>
          <w:spacing w:val="36"/>
        </w:rPr>
        <w:t xml:space="preserve"> </w:t>
      </w:r>
      <w:r>
        <w:t>ortalama</w:t>
      </w:r>
      <w:r>
        <w:rPr>
          <w:spacing w:val="35"/>
        </w:rPr>
        <w:t xml:space="preserve"> </w:t>
      </w:r>
      <w:r>
        <w:t>3.06</w:t>
      </w:r>
      <w:r>
        <w:rPr>
          <w:spacing w:val="37"/>
        </w:rPr>
        <w:t xml:space="preserve"> </w:t>
      </w:r>
      <w:r>
        <w:t>(standart</w:t>
      </w:r>
      <w:r>
        <w:rPr>
          <w:spacing w:val="36"/>
        </w:rPr>
        <w:t xml:space="preserve"> </w:t>
      </w:r>
      <w:r>
        <w:t>sapma</w:t>
      </w:r>
      <w:r>
        <w:rPr>
          <w:spacing w:val="36"/>
        </w:rPr>
        <w:t xml:space="preserve"> </w:t>
      </w:r>
      <w:r>
        <w:t>=</w:t>
      </w:r>
      <w:r>
        <w:rPr>
          <w:spacing w:val="35"/>
        </w:rPr>
        <w:t xml:space="preserve"> </w:t>
      </w:r>
      <w:r>
        <w:t>1.31)</w:t>
      </w:r>
      <w:r>
        <w:rPr>
          <w:spacing w:val="36"/>
        </w:rPr>
        <w:t xml:space="preserve"> </w:t>
      </w:r>
      <w:r>
        <w:t>ile</w:t>
      </w:r>
      <w:r>
        <w:rPr>
          <w:spacing w:val="33"/>
        </w:rPr>
        <w:t xml:space="preserve"> </w:t>
      </w:r>
      <w:r>
        <w:t>yanıtlanmıştır</w:t>
      </w:r>
      <w:r>
        <w:rPr>
          <w:spacing w:val="36"/>
        </w:rPr>
        <w:t xml:space="preserve"> </w:t>
      </w:r>
      <w:r>
        <w:rPr>
          <w:spacing w:val="-5"/>
        </w:rPr>
        <w:t>ve</w:t>
      </w:r>
      <w:r>
        <w:t xml:space="preserve"> %16.1’lik</w:t>
      </w:r>
      <w:r>
        <w:rPr>
          <w:spacing w:val="-1"/>
        </w:rPr>
        <w:t xml:space="preserve"> </w:t>
      </w:r>
      <w:r>
        <w:t>bir</w:t>
      </w:r>
      <w:r>
        <w:rPr>
          <w:spacing w:val="-1"/>
        </w:rPr>
        <w:t xml:space="preserve"> </w:t>
      </w:r>
      <w:r>
        <w:t>kesim tamamen</w:t>
      </w:r>
      <w:r>
        <w:rPr>
          <w:spacing w:val="-1"/>
        </w:rPr>
        <w:t xml:space="preserve"> </w:t>
      </w:r>
      <w:r>
        <w:t>memnun</w:t>
      </w:r>
      <w:r>
        <w:rPr>
          <w:spacing w:val="-1"/>
        </w:rPr>
        <w:t xml:space="preserve"> </w:t>
      </w:r>
      <w:r>
        <w:t>olduklarını</w:t>
      </w:r>
      <w:r>
        <w:rPr>
          <w:spacing w:val="-1"/>
        </w:rPr>
        <w:t xml:space="preserve"> </w:t>
      </w:r>
      <w:r>
        <w:rPr>
          <w:spacing w:val="-2"/>
        </w:rPr>
        <w:t>belirtmiştir.</w:t>
      </w:r>
    </w:p>
    <w:p w14:paraId="2FAF15B2">
      <w:pPr>
        <w:pStyle w:val="9"/>
        <w:spacing w:before="120" w:after="120" w:line="360" w:lineRule="auto"/>
        <w:ind w:left="0" w:firstLine="567"/>
      </w:pPr>
      <w:r>
        <w:t>"Arkadaşlarınızın</w:t>
      </w:r>
      <w:r>
        <w:rPr>
          <w:spacing w:val="-15"/>
        </w:rPr>
        <w:t xml:space="preserve"> </w:t>
      </w:r>
      <w:r>
        <w:t>desteğinden</w:t>
      </w:r>
      <w:r>
        <w:rPr>
          <w:spacing w:val="-12"/>
        </w:rPr>
        <w:t xml:space="preserve"> </w:t>
      </w:r>
      <w:r>
        <w:t>ne</w:t>
      </w:r>
      <w:r>
        <w:rPr>
          <w:spacing w:val="-13"/>
        </w:rPr>
        <w:t xml:space="preserve"> </w:t>
      </w:r>
      <w:r>
        <w:t>kadar</w:t>
      </w:r>
      <w:r>
        <w:rPr>
          <w:spacing w:val="-13"/>
        </w:rPr>
        <w:t xml:space="preserve"> </w:t>
      </w:r>
      <w:r>
        <w:t>hoşnutsunuz?"</w:t>
      </w:r>
      <w:r>
        <w:rPr>
          <w:spacing w:val="-14"/>
        </w:rPr>
        <w:t xml:space="preserve"> </w:t>
      </w:r>
      <w:r>
        <w:t>sorusu</w:t>
      </w:r>
      <w:r>
        <w:rPr>
          <w:spacing w:val="-13"/>
        </w:rPr>
        <w:t xml:space="preserve"> </w:t>
      </w:r>
      <w:r>
        <w:t>ortalama</w:t>
      </w:r>
      <w:r>
        <w:rPr>
          <w:spacing w:val="-13"/>
        </w:rPr>
        <w:t xml:space="preserve"> </w:t>
      </w:r>
      <w:r>
        <w:t>3.26</w:t>
      </w:r>
      <w:r>
        <w:rPr>
          <w:spacing w:val="-12"/>
        </w:rPr>
        <w:t xml:space="preserve"> </w:t>
      </w:r>
      <w:r>
        <w:t>(standart</w:t>
      </w:r>
      <w:r>
        <w:rPr>
          <w:spacing w:val="-13"/>
        </w:rPr>
        <w:t xml:space="preserve"> </w:t>
      </w:r>
      <w:r>
        <w:rPr>
          <w:spacing w:val="-2"/>
        </w:rPr>
        <w:t>sapma</w:t>
      </w:r>
      <w:r>
        <w:t xml:space="preserve"> =</w:t>
      </w:r>
      <w:r>
        <w:rPr>
          <w:spacing w:val="-8"/>
        </w:rPr>
        <w:t xml:space="preserve"> </w:t>
      </w:r>
      <w:r>
        <w:t>1.28)</w:t>
      </w:r>
      <w:r>
        <w:rPr>
          <w:spacing w:val="-8"/>
        </w:rPr>
        <w:t xml:space="preserve"> </w:t>
      </w:r>
      <w:r>
        <w:t>ile</w:t>
      </w:r>
      <w:r>
        <w:rPr>
          <w:spacing w:val="-8"/>
        </w:rPr>
        <w:t xml:space="preserve"> </w:t>
      </w:r>
      <w:r>
        <w:t>değerlendirilmiş</w:t>
      </w:r>
      <w:r>
        <w:rPr>
          <w:spacing w:val="-7"/>
        </w:rPr>
        <w:t xml:space="preserve"> </w:t>
      </w:r>
      <w:r>
        <w:t>olup,</w:t>
      </w:r>
      <w:r>
        <w:rPr>
          <w:spacing w:val="-6"/>
        </w:rPr>
        <w:t xml:space="preserve"> </w:t>
      </w:r>
      <w:r>
        <w:t>%28.5’i</w:t>
      </w:r>
      <w:r>
        <w:rPr>
          <w:spacing w:val="-6"/>
        </w:rPr>
        <w:t xml:space="preserve"> </w:t>
      </w:r>
      <w:r>
        <w:t>arkadaş</w:t>
      </w:r>
      <w:r>
        <w:rPr>
          <w:spacing w:val="-7"/>
        </w:rPr>
        <w:t xml:space="preserve"> </w:t>
      </w:r>
      <w:r>
        <w:t>desteğini</w:t>
      </w:r>
      <w:r>
        <w:rPr>
          <w:spacing w:val="-5"/>
        </w:rPr>
        <w:t xml:space="preserve"> </w:t>
      </w:r>
      <w:r>
        <w:t>yeterli</w:t>
      </w:r>
      <w:r>
        <w:rPr>
          <w:spacing w:val="-6"/>
        </w:rPr>
        <w:t xml:space="preserve"> </w:t>
      </w:r>
      <w:r>
        <w:t>bulduklarını</w:t>
      </w:r>
      <w:r>
        <w:rPr>
          <w:spacing w:val="-7"/>
        </w:rPr>
        <w:t xml:space="preserve"> </w:t>
      </w:r>
      <w:r>
        <w:t>belirtmiştir. "Yaşadığınız evin koşullarından ne kadar hoşnutsunuz?" sorusu ortalama 3.23 (standart sapma = 1.29) ile değerlendirilmiştir; %17.5’lik bir kesim ev koşullarından tamamen memnun olduklarını belirtmiştir. Sağlık hizmetlerine erişimle ilgili olarak, "Sağlık hizmetlerine</w:t>
      </w:r>
      <w:r>
        <w:rPr>
          <w:spacing w:val="-4"/>
        </w:rPr>
        <w:t xml:space="preserve"> </w:t>
      </w:r>
      <w:r>
        <w:t>ulaşma</w:t>
      </w:r>
      <w:r>
        <w:rPr>
          <w:spacing w:val="-1"/>
        </w:rPr>
        <w:t xml:space="preserve"> </w:t>
      </w:r>
      <w:r>
        <w:t>koşullarınızdan</w:t>
      </w:r>
      <w:r>
        <w:rPr>
          <w:spacing w:val="-1"/>
        </w:rPr>
        <w:t xml:space="preserve"> </w:t>
      </w:r>
      <w:r>
        <w:t>ne</w:t>
      </w:r>
      <w:r>
        <w:rPr>
          <w:spacing w:val="-2"/>
        </w:rPr>
        <w:t xml:space="preserve"> </w:t>
      </w:r>
      <w:r>
        <w:t>kadar</w:t>
      </w:r>
      <w:r>
        <w:rPr>
          <w:spacing w:val="-1"/>
        </w:rPr>
        <w:t xml:space="preserve"> </w:t>
      </w:r>
      <w:r>
        <w:t>hoşnutsunuz?"</w:t>
      </w:r>
      <w:r>
        <w:rPr>
          <w:spacing w:val="-3"/>
        </w:rPr>
        <w:t xml:space="preserve"> </w:t>
      </w:r>
      <w:r>
        <w:t>sorusu</w:t>
      </w:r>
      <w:r>
        <w:rPr>
          <w:spacing w:val="-1"/>
        </w:rPr>
        <w:t xml:space="preserve"> </w:t>
      </w:r>
      <w:r>
        <w:t>ortalama</w:t>
      </w:r>
      <w:r>
        <w:rPr>
          <w:spacing w:val="-2"/>
        </w:rPr>
        <w:t xml:space="preserve"> </w:t>
      </w:r>
      <w:r>
        <w:t>3.06</w:t>
      </w:r>
      <w:r>
        <w:rPr>
          <w:spacing w:val="-1"/>
        </w:rPr>
        <w:t xml:space="preserve"> </w:t>
      </w:r>
      <w:r>
        <w:rPr>
          <w:spacing w:val="-2"/>
        </w:rPr>
        <w:t>(standart</w:t>
      </w:r>
      <w:r>
        <w:t xml:space="preserve"> sapma = 1.28) ile yanıtlanmış olup, %15.1’lik bir kesim sağlık hizmetlerine erişim konusunda tamamen memnun olduklarını belirtmiştir.</w:t>
      </w:r>
    </w:p>
    <w:p w14:paraId="296CF756">
      <w:pPr>
        <w:pStyle w:val="9"/>
        <w:spacing w:before="120" w:after="120" w:line="360" w:lineRule="auto"/>
        <w:ind w:left="0" w:firstLine="567"/>
      </w:pPr>
      <w:r>
        <w:t>Ulaşım olanaklarına dair memnuniyet, "Ulaşım olanaklarınızdan ne kadar hoşnutsunuz?" sorusuna ortalama 3.16 (standart sapma = 1.32) ile yanıtlanmış olup, %17.8’lik bir kesim ulaşım</w:t>
      </w:r>
      <w:r>
        <w:rPr>
          <w:spacing w:val="-15"/>
        </w:rPr>
        <w:t xml:space="preserve"> </w:t>
      </w:r>
      <w:r>
        <w:t>olanaklarını</w:t>
      </w:r>
      <w:r>
        <w:rPr>
          <w:spacing w:val="-15"/>
        </w:rPr>
        <w:t xml:space="preserve"> </w:t>
      </w:r>
      <w:r>
        <w:t>yeterli</w:t>
      </w:r>
      <w:r>
        <w:rPr>
          <w:spacing w:val="-15"/>
        </w:rPr>
        <w:t xml:space="preserve"> </w:t>
      </w:r>
      <w:r>
        <w:t>bulduklarını</w:t>
      </w:r>
      <w:r>
        <w:rPr>
          <w:spacing w:val="-15"/>
        </w:rPr>
        <w:t xml:space="preserve"> </w:t>
      </w:r>
      <w:r>
        <w:t>belirtmiştir.</w:t>
      </w:r>
      <w:r>
        <w:rPr>
          <w:spacing w:val="-15"/>
        </w:rPr>
        <w:t xml:space="preserve"> </w:t>
      </w:r>
      <w:r>
        <w:t>Hüzün</w:t>
      </w:r>
      <w:r>
        <w:rPr>
          <w:spacing w:val="-15"/>
        </w:rPr>
        <w:t xml:space="preserve"> </w:t>
      </w:r>
      <w:r>
        <w:t>ve</w:t>
      </w:r>
      <w:r>
        <w:rPr>
          <w:spacing w:val="-15"/>
        </w:rPr>
        <w:t xml:space="preserve"> </w:t>
      </w:r>
      <w:r>
        <w:t>umutsuzluk</w:t>
      </w:r>
      <w:r>
        <w:rPr>
          <w:spacing w:val="-15"/>
        </w:rPr>
        <w:t xml:space="preserve"> </w:t>
      </w:r>
      <w:r>
        <w:t>duygularıyla</w:t>
      </w:r>
      <w:r>
        <w:rPr>
          <w:spacing w:val="-15"/>
        </w:rPr>
        <w:t xml:space="preserve"> </w:t>
      </w:r>
      <w:r>
        <w:t>ilgili olarak, "Ne sıklıkta hüzün, ümitsizlik, bunaltı, çökkünlük gibi duygulara kapılırsınız?" sorusu ortalama 2.92 (standart sapma = 1.23) ile değerlendirilmiştir ve %14’lük bir kesim bu duyguları sıkça yaşadığını ifade etmiştir. Son olarak, baskı ve kontrol ile ilgili zorluklar için, "Yaşamınızda size yakın kişilerle ilişkilerinizde baskı ve kontrolle ilgili zorluklarınız ne</w:t>
      </w:r>
      <w:r>
        <w:rPr>
          <w:spacing w:val="-4"/>
        </w:rPr>
        <w:t xml:space="preserve"> </w:t>
      </w:r>
      <w:r>
        <w:t>ölçüdedir?"</w:t>
      </w:r>
      <w:r>
        <w:rPr>
          <w:spacing w:val="-5"/>
        </w:rPr>
        <w:t xml:space="preserve"> </w:t>
      </w:r>
      <w:r>
        <w:t>sorusu</w:t>
      </w:r>
      <w:r>
        <w:rPr>
          <w:spacing w:val="-3"/>
        </w:rPr>
        <w:t xml:space="preserve"> </w:t>
      </w:r>
      <w:r>
        <w:t>ortalama</w:t>
      </w:r>
      <w:r>
        <w:rPr>
          <w:spacing w:val="-4"/>
        </w:rPr>
        <w:t xml:space="preserve"> </w:t>
      </w:r>
      <w:r>
        <w:t>2.82</w:t>
      </w:r>
      <w:r>
        <w:rPr>
          <w:spacing w:val="-3"/>
        </w:rPr>
        <w:t xml:space="preserve"> </w:t>
      </w:r>
      <w:r>
        <w:t>(standart</w:t>
      </w:r>
      <w:r>
        <w:rPr>
          <w:spacing w:val="-3"/>
        </w:rPr>
        <w:t xml:space="preserve"> </w:t>
      </w:r>
      <w:r>
        <w:t>sapma</w:t>
      </w:r>
      <w:r>
        <w:rPr>
          <w:spacing w:val="-3"/>
        </w:rPr>
        <w:t xml:space="preserve"> </w:t>
      </w:r>
      <w:r>
        <w:t>=</w:t>
      </w:r>
      <w:r>
        <w:rPr>
          <w:spacing w:val="-5"/>
        </w:rPr>
        <w:t xml:space="preserve"> </w:t>
      </w:r>
      <w:r>
        <w:t>1.23)</w:t>
      </w:r>
      <w:r>
        <w:rPr>
          <w:spacing w:val="-4"/>
        </w:rPr>
        <w:t xml:space="preserve"> </w:t>
      </w:r>
      <w:r>
        <w:t>ile yanıtlanmıştır</w:t>
      </w:r>
      <w:r>
        <w:rPr>
          <w:spacing w:val="-3"/>
        </w:rPr>
        <w:t xml:space="preserve"> </w:t>
      </w:r>
      <w:r>
        <w:t>ve</w:t>
      </w:r>
      <w:r>
        <w:rPr>
          <w:spacing w:val="-5"/>
        </w:rPr>
        <w:t xml:space="preserve"> </w:t>
      </w:r>
      <w:r>
        <w:t>%16.8’lik bir kesim bu zorlukları sıkça yaşadıklarını belirtmiştir.</w:t>
      </w:r>
    </w:p>
    <w:p w14:paraId="10438A1E">
      <w:pPr>
        <w:pStyle w:val="9"/>
        <w:spacing w:before="120" w:after="120" w:line="360" w:lineRule="auto"/>
        <w:ind w:left="0" w:firstLine="567"/>
      </w:pPr>
    </w:p>
    <w:p w14:paraId="6D7C86DE">
      <w:pPr>
        <w:pStyle w:val="3"/>
        <w:spacing w:before="240" w:after="240" w:line="360" w:lineRule="auto"/>
        <w:ind w:left="567"/>
      </w:pPr>
      <w:bookmarkStart w:id="225" w:name="_Toc195875850"/>
      <w:bookmarkStart w:id="226" w:name="_Toc195877829"/>
      <w:bookmarkStart w:id="227" w:name="_Toc197351282"/>
      <w:r>
        <w:t>4.2. Hipotezlerin Test Edilmesine İlişkin Bulgular</w:t>
      </w:r>
      <w:bookmarkEnd w:id="225"/>
      <w:bookmarkEnd w:id="226"/>
      <w:bookmarkEnd w:id="227"/>
    </w:p>
    <w:p w14:paraId="79C65FAE">
      <w:pPr>
        <w:pStyle w:val="4"/>
        <w:spacing w:before="240" w:after="240" w:line="360" w:lineRule="auto"/>
        <w:ind w:left="567" w:firstLine="0"/>
        <w:rPr>
          <w:i w:val="0"/>
        </w:rPr>
      </w:pPr>
      <w:bookmarkStart w:id="228" w:name="_Toc197351283"/>
      <w:bookmarkStart w:id="229" w:name="_Toc195875851"/>
      <w:bookmarkStart w:id="230" w:name="_Toc195877830"/>
      <w:r>
        <w:rPr>
          <w:i w:val="0"/>
        </w:rPr>
        <w:t>4.2.1. Birinci Hipotezin Test Edilmesine İlişkin Bulgular</w:t>
      </w:r>
      <w:bookmarkEnd w:id="228"/>
      <w:bookmarkEnd w:id="229"/>
      <w:bookmarkEnd w:id="230"/>
    </w:p>
    <w:p w14:paraId="2F2E23C5">
      <w:pPr>
        <w:spacing w:before="120" w:after="120" w:line="360" w:lineRule="auto"/>
        <w:ind w:firstLine="567"/>
        <w:jc w:val="both"/>
        <w:rPr>
          <w:sz w:val="24"/>
        </w:rPr>
      </w:pPr>
      <w:r>
        <w:rPr>
          <w:sz w:val="24"/>
        </w:rPr>
        <w:t>Araştırmada birinci hipotezi H1: “</w:t>
      </w:r>
      <w:r>
        <w:rPr>
          <w:i/>
          <w:sz w:val="24"/>
        </w:rPr>
        <w:t>Öğretmenlerin sanal rekreasyon deneyimleri, onların yaşam kaliteleri üzerinde anlamlı bir etkisi vardır.</w:t>
      </w:r>
      <w:r>
        <w:rPr>
          <w:color w:val="000000"/>
          <w:sz w:val="24"/>
        </w:rPr>
        <w:t>” şeklindedir. Bu hipotez sonucunda yapılan analiz sonuçları aşağıda yer almaktadır.</w:t>
      </w:r>
    </w:p>
    <w:p w14:paraId="682D8131">
      <w:pPr>
        <w:pStyle w:val="9"/>
        <w:spacing w:before="120" w:after="120" w:line="360" w:lineRule="auto"/>
        <w:ind w:left="0" w:firstLine="567"/>
      </w:pPr>
      <w:r>
        <w:t>Bir</w:t>
      </w:r>
      <w:r>
        <w:rPr>
          <w:spacing w:val="-15"/>
        </w:rPr>
        <w:t xml:space="preserve"> </w:t>
      </w:r>
      <w:r>
        <w:t>basit</w:t>
      </w:r>
      <w:r>
        <w:rPr>
          <w:spacing w:val="-15"/>
        </w:rPr>
        <w:t xml:space="preserve"> </w:t>
      </w:r>
      <w:r>
        <w:t>doğrusal</w:t>
      </w:r>
      <w:r>
        <w:rPr>
          <w:spacing w:val="-15"/>
        </w:rPr>
        <w:t xml:space="preserve"> </w:t>
      </w:r>
      <w:r>
        <w:t>regresyon</w:t>
      </w:r>
      <w:r>
        <w:rPr>
          <w:spacing w:val="-15"/>
        </w:rPr>
        <w:t xml:space="preserve"> </w:t>
      </w:r>
      <w:r>
        <w:t>analizi,</w:t>
      </w:r>
      <w:r>
        <w:rPr>
          <w:spacing w:val="-15"/>
        </w:rPr>
        <w:t xml:space="preserve"> </w:t>
      </w:r>
      <w:r>
        <w:t>öğretmenlerin</w:t>
      </w:r>
      <w:r>
        <w:rPr>
          <w:spacing w:val="-15"/>
        </w:rPr>
        <w:t xml:space="preserve"> </w:t>
      </w:r>
      <w:r>
        <w:t>sanal</w:t>
      </w:r>
      <w:r>
        <w:rPr>
          <w:spacing w:val="-15"/>
        </w:rPr>
        <w:t xml:space="preserve"> </w:t>
      </w:r>
      <w:r>
        <w:t>rekreasyon</w:t>
      </w:r>
      <w:r>
        <w:rPr>
          <w:spacing w:val="-15"/>
        </w:rPr>
        <w:t xml:space="preserve"> </w:t>
      </w:r>
      <w:r>
        <w:t>deneyimlerinin yaşam kaliteleri üzerindeki etkisini test etmek için yapılmıştır. R değeri 0.281, yani sanal rekreasyon deneyimlerinin yaşam kalitesi değişkeniyle orta düzeyde pozitif bir ilişki gösterdiğini ifade etmektedir (R² = 0.079), bu da sanal rekreasyon deneyimlerinin yaşam kalitesindeki</w:t>
      </w:r>
      <w:r>
        <w:rPr>
          <w:spacing w:val="-5"/>
        </w:rPr>
        <w:t xml:space="preserve"> </w:t>
      </w:r>
      <w:r>
        <w:t>varyansın</w:t>
      </w:r>
      <w:r>
        <w:rPr>
          <w:spacing w:val="-5"/>
        </w:rPr>
        <w:t xml:space="preserve"> </w:t>
      </w:r>
      <w:r>
        <w:t>%7.9'unu</w:t>
      </w:r>
      <w:r>
        <w:rPr>
          <w:spacing w:val="-5"/>
        </w:rPr>
        <w:t xml:space="preserve"> </w:t>
      </w:r>
      <w:r>
        <w:t>açıkladığını</w:t>
      </w:r>
      <w:r>
        <w:rPr>
          <w:spacing w:val="-5"/>
        </w:rPr>
        <w:t xml:space="preserve"> </w:t>
      </w:r>
      <w:r>
        <w:t>göstermektedir.</w:t>
      </w:r>
      <w:r>
        <w:rPr>
          <w:spacing w:val="-5"/>
        </w:rPr>
        <w:t xml:space="preserve"> </w:t>
      </w:r>
      <w:r>
        <w:t>Düzeltilmiş</w:t>
      </w:r>
      <w:r>
        <w:rPr>
          <w:spacing w:val="-1"/>
        </w:rPr>
        <w:t xml:space="preserve"> </w:t>
      </w:r>
      <w:r>
        <w:t>R²</w:t>
      </w:r>
      <w:r>
        <w:rPr>
          <w:spacing w:val="-5"/>
        </w:rPr>
        <w:t xml:space="preserve"> </w:t>
      </w:r>
      <w:r>
        <w:t>değeri</w:t>
      </w:r>
      <w:r>
        <w:rPr>
          <w:spacing w:val="-6"/>
        </w:rPr>
        <w:t xml:space="preserve"> </w:t>
      </w:r>
      <w:r>
        <w:t>0.077 olarak bulunmuştur.</w:t>
      </w:r>
    </w:p>
    <w:p w14:paraId="60D38976">
      <w:pPr>
        <w:pStyle w:val="9"/>
        <w:spacing w:before="120" w:after="120" w:line="360" w:lineRule="auto"/>
        <w:ind w:left="0" w:firstLine="567"/>
      </w:pPr>
      <w:r>
        <w:t>ANOVA sonuçlarına göre, sanal rekreasyon deneyimlerinin yaşam kaliteleri üzerinde anlamlı bir etkisi olduğu görülmektedir (F(1, 639) = 54.694, p &lt; 0.001). Bu, regresyon</w:t>
      </w:r>
      <w:r>
        <w:rPr>
          <w:spacing w:val="-9"/>
        </w:rPr>
        <w:t xml:space="preserve"> </w:t>
      </w:r>
      <w:r>
        <w:t>modelinin</w:t>
      </w:r>
      <w:r>
        <w:rPr>
          <w:spacing w:val="-9"/>
        </w:rPr>
        <w:t xml:space="preserve"> </w:t>
      </w:r>
      <w:r>
        <w:t>anlamlı</w:t>
      </w:r>
      <w:r>
        <w:rPr>
          <w:spacing w:val="-8"/>
        </w:rPr>
        <w:t xml:space="preserve"> </w:t>
      </w:r>
      <w:r>
        <w:t>olduğunu</w:t>
      </w:r>
      <w:r>
        <w:rPr>
          <w:spacing w:val="-9"/>
        </w:rPr>
        <w:t xml:space="preserve"> </w:t>
      </w:r>
      <w:r>
        <w:t>göstermektedir</w:t>
      </w:r>
      <w:r>
        <w:rPr>
          <w:spacing w:val="-9"/>
        </w:rPr>
        <w:t xml:space="preserve"> </w:t>
      </w:r>
      <w:r>
        <w:t>ve</w:t>
      </w:r>
      <w:r>
        <w:rPr>
          <w:spacing w:val="-10"/>
        </w:rPr>
        <w:t xml:space="preserve"> </w:t>
      </w:r>
      <w:r>
        <w:t>sanal</w:t>
      </w:r>
      <w:r>
        <w:rPr>
          <w:spacing w:val="-8"/>
        </w:rPr>
        <w:t xml:space="preserve"> </w:t>
      </w:r>
      <w:r>
        <w:t>rekreasyon</w:t>
      </w:r>
      <w:r>
        <w:rPr>
          <w:spacing w:val="-6"/>
        </w:rPr>
        <w:t xml:space="preserve"> </w:t>
      </w:r>
      <w:r>
        <w:t xml:space="preserve">deneyimlerinin </w:t>
      </w:r>
      <w:r>
        <w:rPr>
          <w:spacing w:val="-2"/>
        </w:rPr>
        <w:t>yaşam</w:t>
      </w:r>
      <w:r>
        <w:rPr>
          <w:spacing w:val="-4"/>
        </w:rPr>
        <w:t xml:space="preserve"> </w:t>
      </w:r>
      <w:r>
        <w:rPr>
          <w:spacing w:val="-2"/>
        </w:rPr>
        <w:t>kalitesi üzerinde</w:t>
      </w:r>
      <w:r>
        <w:rPr>
          <w:spacing w:val="-4"/>
        </w:rPr>
        <w:t xml:space="preserve"> </w:t>
      </w:r>
      <w:r>
        <w:rPr>
          <w:spacing w:val="-2"/>
        </w:rPr>
        <w:t>istatistiksel</w:t>
      </w:r>
      <w:r>
        <w:rPr>
          <w:spacing w:val="-3"/>
        </w:rPr>
        <w:t xml:space="preserve"> </w:t>
      </w:r>
      <w:r>
        <w:rPr>
          <w:spacing w:val="-2"/>
        </w:rPr>
        <w:t>olarak anlamlı</w:t>
      </w:r>
      <w:r>
        <w:rPr>
          <w:spacing w:val="1"/>
        </w:rPr>
        <w:t xml:space="preserve"> </w:t>
      </w:r>
      <w:r>
        <w:rPr>
          <w:spacing w:val="-2"/>
        </w:rPr>
        <w:t>bir etkiye sahip</w:t>
      </w:r>
      <w:r>
        <w:rPr>
          <w:spacing w:val="-1"/>
        </w:rPr>
        <w:t xml:space="preserve"> </w:t>
      </w:r>
      <w:r>
        <w:rPr>
          <w:spacing w:val="-2"/>
        </w:rPr>
        <w:t>olduğunu</w:t>
      </w:r>
      <w:r>
        <w:rPr>
          <w:spacing w:val="2"/>
        </w:rPr>
        <w:t xml:space="preserve"> </w:t>
      </w:r>
      <w:r>
        <w:rPr>
          <w:spacing w:val="-2"/>
        </w:rPr>
        <w:t>belirtmektedir.</w:t>
      </w:r>
    </w:p>
    <w:p w14:paraId="7B9017A4">
      <w:pPr>
        <w:pStyle w:val="9"/>
        <w:spacing w:before="120" w:after="120" w:line="360" w:lineRule="auto"/>
        <w:ind w:left="0" w:firstLine="567"/>
      </w:pPr>
      <w:r>
        <w:t>Regresyon</w:t>
      </w:r>
      <w:r>
        <w:rPr>
          <w:spacing w:val="39"/>
        </w:rPr>
        <w:t xml:space="preserve"> </w:t>
      </w:r>
      <w:r>
        <w:t>katsayıları</w:t>
      </w:r>
      <w:r>
        <w:rPr>
          <w:spacing w:val="40"/>
        </w:rPr>
        <w:t xml:space="preserve"> </w:t>
      </w:r>
      <w:r>
        <w:t>incelendiğinde,</w:t>
      </w:r>
      <w:r>
        <w:rPr>
          <w:spacing w:val="39"/>
        </w:rPr>
        <w:t xml:space="preserve"> </w:t>
      </w:r>
      <w:r>
        <w:t>sanal</w:t>
      </w:r>
      <w:r>
        <w:rPr>
          <w:spacing w:val="41"/>
        </w:rPr>
        <w:t xml:space="preserve"> </w:t>
      </w:r>
      <w:r>
        <w:t>rekreasyonun</w:t>
      </w:r>
      <w:r>
        <w:rPr>
          <w:spacing w:val="44"/>
        </w:rPr>
        <w:t xml:space="preserve"> </w:t>
      </w:r>
      <w:r>
        <w:t>yaşam</w:t>
      </w:r>
      <w:r>
        <w:rPr>
          <w:spacing w:val="41"/>
        </w:rPr>
        <w:t xml:space="preserve"> </w:t>
      </w:r>
      <w:r>
        <w:t>kalitesine</w:t>
      </w:r>
      <w:r>
        <w:rPr>
          <w:spacing w:val="40"/>
        </w:rPr>
        <w:t xml:space="preserve"> </w:t>
      </w:r>
      <w:r>
        <w:rPr>
          <w:spacing w:val="-4"/>
        </w:rPr>
        <w:t>olan</w:t>
      </w:r>
      <w:r>
        <w:t xml:space="preserve"> etkisinin pozitif ve anlamlı olduğu görülmektedir (β = 0.206, t = 7.396, p &lt; 0.001). Bu sonuç, öğretmenlerin sanal rekreasyon deneyimlerinin yaşam kalitelerini pozitif yönde etkilediğini</w:t>
      </w:r>
      <w:r>
        <w:rPr>
          <w:spacing w:val="-9"/>
        </w:rPr>
        <w:t xml:space="preserve"> </w:t>
      </w:r>
      <w:r>
        <w:t>ve</w:t>
      </w:r>
      <w:r>
        <w:rPr>
          <w:spacing w:val="-8"/>
        </w:rPr>
        <w:t xml:space="preserve"> </w:t>
      </w:r>
      <w:r>
        <w:t>H1</w:t>
      </w:r>
      <w:r>
        <w:rPr>
          <w:spacing w:val="-8"/>
        </w:rPr>
        <w:t xml:space="preserve"> </w:t>
      </w:r>
      <w:r>
        <w:t>hipotezin</w:t>
      </w:r>
      <w:r>
        <w:rPr>
          <w:spacing w:val="-5"/>
        </w:rPr>
        <w:t xml:space="preserve"> </w:t>
      </w:r>
      <w:r>
        <w:rPr>
          <w:spacing w:val="-8"/>
        </w:rPr>
        <w:t xml:space="preserve">kabul edildiğini </w:t>
      </w:r>
      <w:r>
        <w:rPr>
          <w:color w:val="000000"/>
        </w:rPr>
        <w:t>göstermektedir.</w:t>
      </w:r>
      <w:r>
        <w:rPr>
          <w:color w:val="000000"/>
          <w:spacing w:val="-15"/>
        </w:rPr>
        <w:t xml:space="preserve"> </w:t>
      </w:r>
      <w:r>
        <w:rPr>
          <w:color w:val="000000"/>
        </w:rPr>
        <w:t>Analiz</w:t>
      </w:r>
      <w:r>
        <w:rPr>
          <w:color w:val="000000"/>
          <w:spacing w:val="-6"/>
        </w:rPr>
        <w:t xml:space="preserve"> </w:t>
      </w:r>
      <w:r>
        <w:rPr>
          <w:color w:val="000000"/>
        </w:rPr>
        <w:t>sonuçları</w:t>
      </w:r>
      <w:r>
        <w:rPr>
          <w:color w:val="000000"/>
          <w:spacing w:val="-9"/>
        </w:rPr>
        <w:t xml:space="preserve"> </w:t>
      </w:r>
      <w:r>
        <w:rPr>
          <w:color w:val="000000"/>
        </w:rPr>
        <w:t>Tablo</w:t>
      </w:r>
      <w:r>
        <w:rPr>
          <w:color w:val="000000"/>
          <w:spacing w:val="-7"/>
        </w:rPr>
        <w:t xml:space="preserve"> </w:t>
      </w:r>
      <w:r>
        <w:rPr>
          <w:color w:val="000000"/>
        </w:rPr>
        <w:t>4.3’de yer almaktadır.</w:t>
      </w:r>
    </w:p>
    <w:p w14:paraId="771AC7DF">
      <w:pPr>
        <w:pStyle w:val="9"/>
        <w:spacing w:line="360" w:lineRule="auto"/>
        <w:ind w:left="0"/>
        <w:jc w:val="left"/>
        <w:rPr>
          <w:b/>
        </w:rPr>
      </w:pPr>
      <w:r>
        <w:rPr>
          <w:b/>
        </w:rPr>
        <w:t>Tablo 4.3.</w:t>
      </w:r>
      <w:r>
        <w:t>Öğretmenlerin Sanal Rekreasyon Deneyimlerinin Yaşam Kalitesi Üzerindeki Etkisine İlişkin Regresyon Analizi Sonuçları</w:t>
      </w:r>
    </w:p>
    <w:p w14:paraId="44F83092">
      <w:pPr>
        <w:pStyle w:val="9"/>
        <w:spacing w:before="6"/>
        <w:ind w:left="0"/>
        <w:jc w:val="left"/>
        <w:rPr>
          <w:sz w:val="20"/>
        </w:rPr>
      </w:pPr>
    </w:p>
    <w:tbl>
      <w:tblPr>
        <w:tblStyle w:val="7"/>
        <w:tblW w:w="0" w:type="auto"/>
        <w:tblInd w:w="153" w:type="dxa"/>
        <w:tblLayout w:type="fixed"/>
        <w:tblCellMar>
          <w:top w:w="0" w:type="dxa"/>
          <w:left w:w="0" w:type="dxa"/>
          <w:bottom w:w="0" w:type="dxa"/>
          <w:right w:w="0" w:type="dxa"/>
        </w:tblCellMar>
      </w:tblPr>
      <w:tblGrid>
        <w:gridCol w:w="1223"/>
        <w:gridCol w:w="1876"/>
        <w:gridCol w:w="635"/>
        <w:gridCol w:w="2047"/>
        <w:gridCol w:w="958"/>
        <w:gridCol w:w="667"/>
        <w:gridCol w:w="650"/>
        <w:gridCol w:w="735"/>
      </w:tblGrid>
      <w:tr w14:paraId="0A55B863">
        <w:tblPrEx>
          <w:tblCellMar>
            <w:top w:w="0" w:type="dxa"/>
            <w:left w:w="0" w:type="dxa"/>
            <w:bottom w:w="0" w:type="dxa"/>
            <w:right w:w="0" w:type="dxa"/>
          </w:tblCellMar>
        </w:tblPrEx>
        <w:trPr>
          <w:trHeight w:val="258" w:hRule="atLeast"/>
        </w:trPr>
        <w:tc>
          <w:tcPr>
            <w:tcW w:w="1223" w:type="dxa"/>
            <w:tcBorders>
              <w:top w:val="single" w:color="000000" w:sz="4" w:space="0"/>
              <w:bottom w:val="single" w:color="000000" w:sz="4" w:space="0"/>
            </w:tcBorders>
          </w:tcPr>
          <w:p w14:paraId="7E369CDE">
            <w:pPr>
              <w:pStyle w:val="29"/>
              <w:spacing w:before="12" w:line="227" w:lineRule="exact"/>
              <w:ind w:left="57"/>
              <w:rPr>
                <w:b/>
                <w:sz w:val="20"/>
              </w:rPr>
            </w:pPr>
            <w:r>
              <w:rPr>
                <w:b/>
                <w:spacing w:val="-2"/>
                <w:sz w:val="20"/>
              </w:rPr>
              <w:t>Kaynak</w:t>
            </w:r>
          </w:p>
        </w:tc>
        <w:tc>
          <w:tcPr>
            <w:tcW w:w="1876" w:type="dxa"/>
            <w:tcBorders>
              <w:top w:val="single" w:color="000000" w:sz="4" w:space="0"/>
              <w:bottom w:val="single" w:color="000000" w:sz="4" w:space="0"/>
            </w:tcBorders>
          </w:tcPr>
          <w:p w14:paraId="046BF62B">
            <w:pPr>
              <w:pStyle w:val="29"/>
              <w:spacing w:before="12" w:line="227" w:lineRule="exact"/>
              <w:ind w:left="185"/>
              <w:rPr>
                <w:b/>
                <w:sz w:val="20"/>
              </w:rPr>
            </w:pPr>
            <w:r>
              <w:rPr>
                <w:b/>
                <w:sz w:val="20"/>
              </w:rPr>
              <w:t>Kareler</w:t>
            </w:r>
            <w:r>
              <w:rPr>
                <w:b/>
                <w:spacing w:val="-6"/>
                <w:sz w:val="20"/>
              </w:rPr>
              <w:t xml:space="preserve"> </w:t>
            </w:r>
            <w:r>
              <w:rPr>
                <w:b/>
                <w:spacing w:val="-2"/>
                <w:sz w:val="20"/>
              </w:rPr>
              <w:t>Toplamı</w:t>
            </w:r>
          </w:p>
        </w:tc>
        <w:tc>
          <w:tcPr>
            <w:tcW w:w="635" w:type="dxa"/>
            <w:tcBorders>
              <w:top w:val="single" w:color="000000" w:sz="4" w:space="0"/>
              <w:bottom w:val="single" w:color="000000" w:sz="4" w:space="0"/>
            </w:tcBorders>
          </w:tcPr>
          <w:p w14:paraId="111EDCA8">
            <w:pPr>
              <w:pStyle w:val="29"/>
              <w:spacing w:before="12" w:line="227" w:lineRule="exact"/>
              <w:ind w:left="256"/>
              <w:rPr>
                <w:b/>
                <w:sz w:val="20"/>
              </w:rPr>
            </w:pPr>
            <w:r>
              <w:rPr>
                <w:b/>
                <w:spacing w:val="-5"/>
                <w:sz w:val="20"/>
              </w:rPr>
              <w:t>sd</w:t>
            </w:r>
          </w:p>
        </w:tc>
        <w:tc>
          <w:tcPr>
            <w:tcW w:w="2047" w:type="dxa"/>
            <w:tcBorders>
              <w:top w:val="single" w:color="000000" w:sz="4" w:space="0"/>
              <w:bottom w:val="single" w:color="000000" w:sz="4" w:space="0"/>
            </w:tcBorders>
          </w:tcPr>
          <w:p w14:paraId="32C4EBC2">
            <w:pPr>
              <w:pStyle w:val="29"/>
              <w:spacing w:before="12" w:line="227" w:lineRule="exact"/>
              <w:ind w:left="77"/>
              <w:rPr>
                <w:b/>
                <w:sz w:val="20"/>
              </w:rPr>
            </w:pPr>
            <w:r>
              <w:rPr>
                <w:b/>
                <w:sz w:val="20"/>
              </w:rPr>
              <w:t>Kareler</w:t>
            </w:r>
            <w:r>
              <w:rPr>
                <w:b/>
                <w:spacing w:val="-6"/>
                <w:sz w:val="20"/>
              </w:rPr>
              <w:t xml:space="preserve"> </w:t>
            </w:r>
            <w:r>
              <w:rPr>
                <w:b/>
                <w:spacing w:val="-2"/>
                <w:sz w:val="20"/>
              </w:rPr>
              <w:t>Ortalaması</w:t>
            </w:r>
          </w:p>
        </w:tc>
        <w:tc>
          <w:tcPr>
            <w:tcW w:w="958" w:type="dxa"/>
            <w:tcBorders>
              <w:top w:val="single" w:color="000000" w:sz="4" w:space="0"/>
              <w:bottom w:val="single" w:color="000000" w:sz="4" w:space="0"/>
            </w:tcBorders>
          </w:tcPr>
          <w:p w14:paraId="50CC5D42">
            <w:pPr>
              <w:pStyle w:val="29"/>
              <w:spacing w:before="12" w:line="227" w:lineRule="exact"/>
              <w:ind w:left="294"/>
              <w:rPr>
                <w:b/>
                <w:sz w:val="20"/>
              </w:rPr>
            </w:pPr>
            <w:r>
              <w:rPr>
                <w:b/>
                <w:w w:val="99"/>
                <w:sz w:val="20"/>
              </w:rPr>
              <w:t>F</w:t>
            </w:r>
          </w:p>
        </w:tc>
        <w:tc>
          <w:tcPr>
            <w:tcW w:w="667" w:type="dxa"/>
            <w:tcBorders>
              <w:top w:val="single" w:color="000000" w:sz="4" w:space="0"/>
              <w:bottom w:val="single" w:color="000000" w:sz="4" w:space="0"/>
            </w:tcBorders>
          </w:tcPr>
          <w:p w14:paraId="6892F796">
            <w:r>
              <w:t xml:space="preserve">  p</w:t>
            </w:r>
          </w:p>
        </w:tc>
        <w:tc>
          <w:tcPr>
            <w:tcW w:w="650" w:type="dxa"/>
            <w:tcBorders>
              <w:top w:val="single" w:color="000000" w:sz="4" w:space="0"/>
              <w:bottom w:val="single" w:color="000000" w:sz="4" w:space="0"/>
            </w:tcBorders>
          </w:tcPr>
          <w:p w14:paraId="5B0C3CAC">
            <w:pPr>
              <w:pStyle w:val="29"/>
              <w:spacing w:before="12" w:line="227" w:lineRule="exact"/>
              <w:ind w:left="102"/>
              <w:rPr>
                <w:b/>
                <w:sz w:val="20"/>
              </w:rPr>
            </w:pPr>
            <w:r>
              <w:rPr>
                <w:b/>
                <w:w w:val="99"/>
                <w:sz w:val="20"/>
              </w:rPr>
              <w:t>β</w:t>
            </w:r>
          </w:p>
        </w:tc>
        <w:tc>
          <w:tcPr>
            <w:tcW w:w="735" w:type="dxa"/>
            <w:tcBorders>
              <w:top w:val="single" w:color="000000" w:sz="4" w:space="0"/>
              <w:bottom w:val="single" w:color="000000" w:sz="4" w:space="0"/>
            </w:tcBorders>
          </w:tcPr>
          <w:p w14:paraId="20D23F53">
            <w:pPr>
              <w:pStyle w:val="29"/>
              <w:spacing w:before="12" w:line="227" w:lineRule="exact"/>
              <w:ind w:left="105"/>
              <w:rPr>
                <w:b/>
                <w:sz w:val="20"/>
              </w:rPr>
            </w:pPr>
            <w:r>
              <w:rPr>
                <w:b/>
                <w:spacing w:val="-5"/>
                <w:sz w:val="20"/>
              </w:rPr>
              <w:t>R²</w:t>
            </w:r>
          </w:p>
        </w:tc>
      </w:tr>
      <w:tr w14:paraId="0FBF4E8F">
        <w:tblPrEx>
          <w:tblCellMar>
            <w:top w:w="0" w:type="dxa"/>
            <w:left w:w="0" w:type="dxa"/>
            <w:bottom w:w="0" w:type="dxa"/>
            <w:right w:w="0" w:type="dxa"/>
          </w:tblCellMar>
        </w:tblPrEx>
        <w:trPr>
          <w:trHeight w:val="307" w:hRule="atLeast"/>
        </w:trPr>
        <w:tc>
          <w:tcPr>
            <w:tcW w:w="1223" w:type="dxa"/>
            <w:tcBorders>
              <w:top w:val="single" w:color="000000" w:sz="4" w:space="0"/>
            </w:tcBorders>
          </w:tcPr>
          <w:p w14:paraId="20C3942F">
            <w:pPr>
              <w:pStyle w:val="29"/>
              <w:spacing w:before="39"/>
              <w:ind w:left="57"/>
              <w:rPr>
                <w:sz w:val="20"/>
              </w:rPr>
            </w:pPr>
            <w:r>
              <w:rPr>
                <w:spacing w:val="-2"/>
                <w:sz w:val="20"/>
              </w:rPr>
              <w:t>Regresyon</w:t>
            </w:r>
          </w:p>
        </w:tc>
        <w:tc>
          <w:tcPr>
            <w:tcW w:w="1876" w:type="dxa"/>
            <w:tcBorders>
              <w:top w:val="single" w:color="000000" w:sz="4" w:space="0"/>
            </w:tcBorders>
          </w:tcPr>
          <w:p w14:paraId="63E87C34">
            <w:pPr>
              <w:pStyle w:val="29"/>
              <w:spacing w:before="39"/>
              <w:ind w:left="185"/>
              <w:rPr>
                <w:sz w:val="20"/>
              </w:rPr>
            </w:pPr>
            <w:r>
              <w:rPr>
                <w:spacing w:val="-2"/>
                <w:sz w:val="20"/>
              </w:rPr>
              <w:t>6.918</w:t>
            </w:r>
          </w:p>
        </w:tc>
        <w:tc>
          <w:tcPr>
            <w:tcW w:w="635" w:type="dxa"/>
            <w:tcBorders>
              <w:top w:val="single" w:color="000000" w:sz="4" w:space="0"/>
            </w:tcBorders>
          </w:tcPr>
          <w:p w14:paraId="53829DBF">
            <w:pPr>
              <w:pStyle w:val="29"/>
              <w:spacing w:before="39"/>
              <w:ind w:left="256"/>
              <w:rPr>
                <w:sz w:val="20"/>
              </w:rPr>
            </w:pPr>
            <w:r>
              <w:rPr>
                <w:w w:val="99"/>
                <w:sz w:val="20"/>
              </w:rPr>
              <w:t>1</w:t>
            </w:r>
          </w:p>
        </w:tc>
        <w:tc>
          <w:tcPr>
            <w:tcW w:w="2047" w:type="dxa"/>
            <w:tcBorders>
              <w:top w:val="single" w:color="000000" w:sz="4" w:space="0"/>
            </w:tcBorders>
          </w:tcPr>
          <w:p w14:paraId="31B3E6F2">
            <w:pPr>
              <w:pStyle w:val="29"/>
              <w:spacing w:before="39"/>
              <w:ind w:left="77"/>
              <w:rPr>
                <w:sz w:val="20"/>
              </w:rPr>
            </w:pPr>
            <w:r>
              <w:rPr>
                <w:spacing w:val="-2"/>
                <w:sz w:val="20"/>
              </w:rPr>
              <w:t>6.918</w:t>
            </w:r>
          </w:p>
        </w:tc>
        <w:tc>
          <w:tcPr>
            <w:tcW w:w="958" w:type="dxa"/>
            <w:tcBorders>
              <w:top w:val="single" w:color="000000" w:sz="4" w:space="0"/>
            </w:tcBorders>
          </w:tcPr>
          <w:p w14:paraId="5AF8DC09">
            <w:pPr>
              <w:pStyle w:val="29"/>
              <w:spacing w:before="39"/>
              <w:ind w:left="294"/>
              <w:rPr>
                <w:sz w:val="20"/>
              </w:rPr>
            </w:pPr>
            <w:r>
              <w:rPr>
                <w:spacing w:val="-2"/>
                <w:sz w:val="20"/>
              </w:rPr>
              <w:t>54.694</w:t>
            </w:r>
          </w:p>
        </w:tc>
        <w:tc>
          <w:tcPr>
            <w:tcW w:w="667" w:type="dxa"/>
            <w:tcBorders>
              <w:top w:val="single" w:color="000000" w:sz="4" w:space="0"/>
            </w:tcBorders>
          </w:tcPr>
          <w:p w14:paraId="20022048">
            <w:r>
              <w:t>0.001</w:t>
            </w:r>
          </w:p>
        </w:tc>
        <w:tc>
          <w:tcPr>
            <w:tcW w:w="650" w:type="dxa"/>
            <w:tcBorders>
              <w:top w:val="single" w:color="000000" w:sz="4" w:space="0"/>
            </w:tcBorders>
          </w:tcPr>
          <w:p w14:paraId="1F860DC0">
            <w:pPr>
              <w:pStyle w:val="29"/>
              <w:spacing w:before="39"/>
              <w:ind w:left="102"/>
              <w:rPr>
                <w:sz w:val="20"/>
              </w:rPr>
            </w:pPr>
            <w:r>
              <w:rPr>
                <w:spacing w:val="-2"/>
                <w:sz w:val="20"/>
              </w:rPr>
              <w:t>0.206</w:t>
            </w:r>
          </w:p>
        </w:tc>
        <w:tc>
          <w:tcPr>
            <w:tcW w:w="735" w:type="dxa"/>
            <w:tcBorders>
              <w:top w:val="single" w:color="000000" w:sz="4" w:space="0"/>
            </w:tcBorders>
          </w:tcPr>
          <w:p w14:paraId="79E26D28">
            <w:pPr>
              <w:pStyle w:val="29"/>
              <w:spacing w:before="39"/>
              <w:ind w:left="105"/>
              <w:rPr>
                <w:sz w:val="20"/>
              </w:rPr>
            </w:pPr>
            <w:r>
              <w:rPr>
                <w:spacing w:val="-2"/>
                <w:sz w:val="20"/>
              </w:rPr>
              <w:t>0.079</w:t>
            </w:r>
          </w:p>
        </w:tc>
      </w:tr>
      <w:tr w14:paraId="57C9326D">
        <w:tblPrEx>
          <w:tblCellMar>
            <w:top w:w="0" w:type="dxa"/>
            <w:left w:w="0" w:type="dxa"/>
            <w:bottom w:w="0" w:type="dxa"/>
            <w:right w:w="0" w:type="dxa"/>
          </w:tblCellMar>
        </w:tblPrEx>
        <w:trPr>
          <w:trHeight w:val="286" w:hRule="atLeast"/>
        </w:trPr>
        <w:tc>
          <w:tcPr>
            <w:tcW w:w="1223" w:type="dxa"/>
          </w:tcPr>
          <w:p w14:paraId="20216127">
            <w:pPr>
              <w:pStyle w:val="29"/>
              <w:spacing w:before="22"/>
              <w:ind w:left="57"/>
              <w:rPr>
                <w:sz w:val="20"/>
              </w:rPr>
            </w:pPr>
            <w:r>
              <w:rPr>
                <w:sz w:val="20"/>
              </w:rPr>
              <w:t>Artık</w:t>
            </w:r>
            <w:r>
              <w:rPr>
                <w:spacing w:val="-8"/>
                <w:sz w:val="20"/>
              </w:rPr>
              <w:t xml:space="preserve"> </w:t>
            </w:r>
            <w:r>
              <w:rPr>
                <w:spacing w:val="-2"/>
                <w:sz w:val="20"/>
              </w:rPr>
              <w:t>(Hata)</w:t>
            </w:r>
          </w:p>
        </w:tc>
        <w:tc>
          <w:tcPr>
            <w:tcW w:w="1876" w:type="dxa"/>
          </w:tcPr>
          <w:p w14:paraId="17301BB1">
            <w:pPr>
              <w:pStyle w:val="29"/>
              <w:spacing w:before="22"/>
              <w:ind w:left="185"/>
              <w:rPr>
                <w:sz w:val="20"/>
              </w:rPr>
            </w:pPr>
            <w:r>
              <w:rPr>
                <w:spacing w:val="-2"/>
                <w:sz w:val="20"/>
              </w:rPr>
              <w:t>80.827</w:t>
            </w:r>
          </w:p>
        </w:tc>
        <w:tc>
          <w:tcPr>
            <w:tcW w:w="635" w:type="dxa"/>
          </w:tcPr>
          <w:p w14:paraId="306A1A55">
            <w:pPr>
              <w:pStyle w:val="29"/>
              <w:spacing w:before="22"/>
              <w:ind w:left="256"/>
              <w:rPr>
                <w:sz w:val="20"/>
              </w:rPr>
            </w:pPr>
            <w:r>
              <w:rPr>
                <w:spacing w:val="-5"/>
                <w:sz w:val="20"/>
              </w:rPr>
              <w:t>639</w:t>
            </w:r>
          </w:p>
        </w:tc>
        <w:tc>
          <w:tcPr>
            <w:tcW w:w="2047" w:type="dxa"/>
          </w:tcPr>
          <w:p w14:paraId="2FA50324">
            <w:pPr>
              <w:pStyle w:val="29"/>
              <w:spacing w:before="22"/>
              <w:ind w:left="77"/>
              <w:rPr>
                <w:sz w:val="20"/>
              </w:rPr>
            </w:pPr>
            <w:r>
              <w:rPr>
                <w:spacing w:val="-2"/>
                <w:sz w:val="20"/>
              </w:rPr>
              <w:t>0.126</w:t>
            </w:r>
          </w:p>
        </w:tc>
        <w:tc>
          <w:tcPr>
            <w:tcW w:w="958" w:type="dxa"/>
          </w:tcPr>
          <w:p w14:paraId="5AAB76CC">
            <w:pPr>
              <w:pStyle w:val="29"/>
              <w:rPr>
                <w:sz w:val="20"/>
              </w:rPr>
            </w:pPr>
          </w:p>
        </w:tc>
        <w:tc>
          <w:tcPr>
            <w:tcW w:w="667" w:type="dxa"/>
          </w:tcPr>
          <w:p w14:paraId="32DA0ED6">
            <w:pPr>
              <w:pStyle w:val="29"/>
              <w:rPr>
                <w:sz w:val="20"/>
              </w:rPr>
            </w:pPr>
          </w:p>
        </w:tc>
        <w:tc>
          <w:tcPr>
            <w:tcW w:w="650" w:type="dxa"/>
          </w:tcPr>
          <w:p w14:paraId="72E7A43D">
            <w:pPr>
              <w:pStyle w:val="29"/>
              <w:rPr>
                <w:sz w:val="20"/>
              </w:rPr>
            </w:pPr>
          </w:p>
        </w:tc>
        <w:tc>
          <w:tcPr>
            <w:tcW w:w="735" w:type="dxa"/>
          </w:tcPr>
          <w:p w14:paraId="3E03C2AC">
            <w:pPr>
              <w:pStyle w:val="29"/>
              <w:rPr>
                <w:sz w:val="20"/>
              </w:rPr>
            </w:pPr>
          </w:p>
        </w:tc>
      </w:tr>
      <w:tr w14:paraId="17986254">
        <w:tblPrEx>
          <w:tblCellMar>
            <w:top w:w="0" w:type="dxa"/>
            <w:left w:w="0" w:type="dxa"/>
            <w:bottom w:w="0" w:type="dxa"/>
            <w:right w:w="0" w:type="dxa"/>
          </w:tblCellMar>
        </w:tblPrEx>
        <w:trPr>
          <w:trHeight w:val="317" w:hRule="atLeast"/>
        </w:trPr>
        <w:tc>
          <w:tcPr>
            <w:tcW w:w="1223" w:type="dxa"/>
            <w:tcBorders>
              <w:bottom w:val="single" w:color="000000" w:sz="4" w:space="0"/>
            </w:tcBorders>
          </w:tcPr>
          <w:p w14:paraId="4FFC5FB7">
            <w:pPr>
              <w:pStyle w:val="29"/>
              <w:spacing w:before="25"/>
              <w:ind w:left="57"/>
              <w:rPr>
                <w:sz w:val="20"/>
              </w:rPr>
            </w:pPr>
            <w:r>
              <w:rPr>
                <w:spacing w:val="-2"/>
                <w:sz w:val="20"/>
              </w:rPr>
              <w:t>Toplam</w:t>
            </w:r>
          </w:p>
        </w:tc>
        <w:tc>
          <w:tcPr>
            <w:tcW w:w="1876" w:type="dxa"/>
            <w:tcBorders>
              <w:bottom w:val="single" w:color="000000" w:sz="4" w:space="0"/>
            </w:tcBorders>
          </w:tcPr>
          <w:p w14:paraId="122B93F0">
            <w:pPr>
              <w:pStyle w:val="29"/>
              <w:spacing w:before="25"/>
              <w:ind w:left="185"/>
              <w:rPr>
                <w:sz w:val="20"/>
              </w:rPr>
            </w:pPr>
            <w:r>
              <w:rPr>
                <w:spacing w:val="-2"/>
                <w:sz w:val="20"/>
              </w:rPr>
              <w:t>87.745</w:t>
            </w:r>
          </w:p>
        </w:tc>
        <w:tc>
          <w:tcPr>
            <w:tcW w:w="635" w:type="dxa"/>
            <w:tcBorders>
              <w:bottom w:val="single" w:color="000000" w:sz="4" w:space="0"/>
            </w:tcBorders>
          </w:tcPr>
          <w:p w14:paraId="5C01A22D">
            <w:pPr>
              <w:pStyle w:val="29"/>
              <w:spacing w:before="25"/>
              <w:ind w:left="256"/>
              <w:rPr>
                <w:sz w:val="20"/>
              </w:rPr>
            </w:pPr>
            <w:r>
              <w:rPr>
                <w:spacing w:val="-5"/>
                <w:sz w:val="20"/>
              </w:rPr>
              <w:t>640</w:t>
            </w:r>
          </w:p>
        </w:tc>
        <w:tc>
          <w:tcPr>
            <w:tcW w:w="2047" w:type="dxa"/>
            <w:tcBorders>
              <w:bottom w:val="single" w:color="000000" w:sz="4" w:space="0"/>
            </w:tcBorders>
          </w:tcPr>
          <w:p w14:paraId="7F022798">
            <w:pPr>
              <w:pStyle w:val="29"/>
            </w:pPr>
          </w:p>
        </w:tc>
        <w:tc>
          <w:tcPr>
            <w:tcW w:w="958" w:type="dxa"/>
            <w:tcBorders>
              <w:bottom w:val="single" w:color="000000" w:sz="4" w:space="0"/>
            </w:tcBorders>
          </w:tcPr>
          <w:p w14:paraId="798D6005">
            <w:pPr>
              <w:pStyle w:val="29"/>
            </w:pPr>
          </w:p>
        </w:tc>
        <w:tc>
          <w:tcPr>
            <w:tcW w:w="667" w:type="dxa"/>
            <w:tcBorders>
              <w:bottom w:val="single" w:color="000000" w:sz="4" w:space="0"/>
            </w:tcBorders>
          </w:tcPr>
          <w:p w14:paraId="34B550C7">
            <w:pPr>
              <w:pStyle w:val="29"/>
            </w:pPr>
          </w:p>
        </w:tc>
        <w:tc>
          <w:tcPr>
            <w:tcW w:w="650" w:type="dxa"/>
            <w:tcBorders>
              <w:bottom w:val="single" w:color="000000" w:sz="4" w:space="0"/>
            </w:tcBorders>
          </w:tcPr>
          <w:p w14:paraId="0D365967">
            <w:pPr>
              <w:pStyle w:val="29"/>
            </w:pPr>
          </w:p>
        </w:tc>
        <w:tc>
          <w:tcPr>
            <w:tcW w:w="735" w:type="dxa"/>
            <w:tcBorders>
              <w:bottom w:val="single" w:color="000000" w:sz="4" w:space="0"/>
            </w:tcBorders>
          </w:tcPr>
          <w:p w14:paraId="65FCE885">
            <w:pPr>
              <w:pStyle w:val="29"/>
            </w:pPr>
          </w:p>
        </w:tc>
      </w:tr>
    </w:tbl>
    <w:p w14:paraId="51EDF237">
      <w:pPr>
        <w:pStyle w:val="4"/>
        <w:spacing w:before="240" w:after="240" w:line="360" w:lineRule="auto"/>
        <w:ind w:left="567" w:firstLine="0"/>
        <w:rPr>
          <w:i w:val="0"/>
        </w:rPr>
      </w:pPr>
      <w:bookmarkStart w:id="231" w:name="_Toc195877831"/>
      <w:bookmarkStart w:id="232" w:name="_Toc197351284"/>
      <w:bookmarkStart w:id="233" w:name="_Toc195875852"/>
      <w:r>
        <w:rPr>
          <w:i w:val="0"/>
        </w:rPr>
        <w:t>4.2.2. İkinci Hipotezin Test Edilmesine İlişkin Bulgular</w:t>
      </w:r>
      <w:bookmarkEnd w:id="231"/>
      <w:bookmarkEnd w:id="232"/>
      <w:bookmarkEnd w:id="233"/>
    </w:p>
    <w:p w14:paraId="6FCB3EF9">
      <w:pPr>
        <w:pStyle w:val="9"/>
        <w:spacing w:before="120" w:after="120" w:line="360" w:lineRule="auto"/>
        <w:ind w:left="0" w:firstLine="567"/>
      </w:pPr>
      <w:r>
        <w:t>Araştırmanın ikinci hipotezinde demografik değişkenlerin sanal rekreasyon deneyimleri üzerindeki etkisine yönelik analiz sonuçları yer almaktadır.</w:t>
      </w:r>
    </w:p>
    <w:p w14:paraId="1B633BB5">
      <w:pPr>
        <w:pStyle w:val="5"/>
        <w:spacing w:before="240" w:after="240" w:line="360" w:lineRule="auto"/>
        <w:ind w:left="567"/>
        <w:rPr>
          <w:rFonts w:ascii="Times New Roman" w:hAnsi="Times New Roman" w:cs="Times New Roman"/>
          <w:b/>
          <w:i w:val="0"/>
          <w:color w:val="auto"/>
          <w:sz w:val="24"/>
        </w:rPr>
      </w:pPr>
      <w:bookmarkStart w:id="234" w:name="_Toc197351285"/>
      <w:bookmarkStart w:id="235" w:name="_Toc195875853"/>
      <w:bookmarkStart w:id="236" w:name="_Toc195877832"/>
      <w:r>
        <w:rPr>
          <w:rFonts w:ascii="Times New Roman" w:hAnsi="Times New Roman" w:cs="Times New Roman"/>
          <w:b/>
          <w:i w:val="0"/>
          <w:color w:val="auto"/>
          <w:sz w:val="24"/>
        </w:rPr>
        <w:t>4.2.2.1. Cinsiyet Açısından Öğretmenlerin Sanal Rekreasyon Deneyimlerinin İstatistiksel İncelenmesi</w:t>
      </w:r>
      <w:bookmarkEnd w:id="234"/>
      <w:bookmarkEnd w:id="235"/>
      <w:bookmarkEnd w:id="236"/>
    </w:p>
    <w:p w14:paraId="42B1D32C">
      <w:pPr>
        <w:spacing w:before="120" w:after="120" w:line="360" w:lineRule="auto"/>
        <w:ind w:firstLine="567"/>
        <w:jc w:val="both"/>
        <w:rPr>
          <w:sz w:val="24"/>
        </w:rPr>
      </w:pPr>
      <w:r>
        <w:rPr>
          <w:sz w:val="24"/>
        </w:rPr>
        <w:t>H2.1: “</w:t>
      </w:r>
      <w:r>
        <w:rPr>
          <w:i/>
          <w:sz w:val="24"/>
        </w:rPr>
        <w:t>Öğretmenlerin sanal rekreasyon deneyimleri ile cinsiyetleri arasında anlamlı bir farklılık vardır</w:t>
      </w:r>
      <w:r>
        <w:rPr>
          <w:sz w:val="24"/>
        </w:rPr>
        <w:t>.”</w:t>
      </w:r>
    </w:p>
    <w:p w14:paraId="203AE551">
      <w:pPr>
        <w:pStyle w:val="9"/>
        <w:spacing w:before="120" w:after="120" w:line="360" w:lineRule="auto"/>
        <w:ind w:left="0" w:firstLine="567"/>
      </w:pPr>
      <w:r>
        <w:t>Bu bölümde, öğretmenlerin sanal rekreasyon deneyimlerinin cinsiyet değişkenine göre</w:t>
      </w:r>
      <w:r>
        <w:rPr>
          <w:spacing w:val="-5"/>
        </w:rPr>
        <w:t xml:space="preserve"> </w:t>
      </w:r>
      <w:r>
        <w:t>istatistiksel</w:t>
      </w:r>
      <w:r>
        <w:rPr>
          <w:spacing w:val="-4"/>
        </w:rPr>
        <w:t xml:space="preserve"> </w:t>
      </w:r>
      <w:r>
        <w:t>olarak</w:t>
      </w:r>
      <w:r>
        <w:rPr>
          <w:spacing w:val="-4"/>
        </w:rPr>
        <w:t xml:space="preserve"> </w:t>
      </w:r>
      <w:r>
        <w:t>anlamlı</w:t>
      </w:r>
      <w:r>
        <w:rPr>
          <w:spacing w:val="-4"/>
        </w:rPr>
        <w:t xml:space="preserve"> </w:t>
      </w:r>
      <w:r>
        <w:t>bir</w:t>
      </w:r>
      <w:r>
        <w:rPr>
          <w:spacing w:val="-4"/>
        </w:rPr>
        <w:t xml:space="preserve"> </w:t>
      </w:r>
      <w:r>
        <w:t>farklılık</w:t>
      </w:r>
      <w:r>
        <w:rPr>
          <w:spacing w:val="-4"/>
        </w:rPr>
        <w:t xml:space="preserve"> </w:t>
      </w:r>
      <w:r>
        <w:t>gösterip</w:t>
      </w:r>
      <w:r>
        <w:rPr>
          <w:spacing w:val="-4"/>
        </w:rPr>
        <w:t xml:space="preserve"> </w:t>
      </w:r>
      <w:r>
        <w:t>göstermediği</w:t>
      </w:r>
      <w:r>
        <w:rPr>
          <w:spacing w:val="-4"/>
        </w:rPr>
        <w:t xml:space="preserve"> </w:t>
      </w:r>
      <w:r>
        <w:t>bağımsız</w:t>
      </w:r>
      <w:r>
        <w:rPr>
          <w:spacing w:val="-3"/>
        </w:rPr>
        <w:t xml:space="preserve"> </w:t>
      </w:r>
      <w:r>
        <w:t>örneklemler</w:t>
      </w:r>
      <w:r>
        <w:rPr>
          <w:spacing w:val="-6"/>
        </w:rPr>
        <w:t xml:space="preserve"> </w:t>
      </w:r>
      <w:r>
        <w:t>t- testi ile incelenmiştir. Analizler, cinsiyet değişkeninin, öğretmenlerin sanal rekreasyon deneyimleri üzerindeki etkisini belirlemeyi hedeflemiş ve bu kapsamda elde edilen bulgular detaylı bir şekilde değerlendirilmiştir.</w:t>
      </w:r>
    </w:p>
    <w:p w14:paraId="39E495B9">
      <w:pPr>
        <w:pStyle w:val="9"/>
        <w:spacing w:before="120" w:after="120" w:line="360" w:lineRule="auto"/>
        <w:ind w:left="0" w:firstLine="567"/>
      </w:pPr>
      <w:r>
        <w:t>Bağımsız örneklemler t-testi analizi sonucunda, kadın öğretmenlerin sanal rekreasyon</w:t>
      </w:r>
      <w:r>
        <w:rPr>
          <w:spacing w:val="-15"/>
        </w:rPr>
        <w:t xml:space="preserve"> </w:t>
      </w:r>
      <w:r>
        <w:t>deneyimleri</w:t>
      </w:r>
      <w:r>
        <w:rPr>
          <w:spacing w:val="-15"/>
        </w:rPr>
        <w:t xml:space="preserve"> </w:t>
      </w:r>
      <w:r>
        <w:t>ortalamasının</w:t>
      </w:r>
      <w:r>
        <w:rPr>
          <w:spacing w:val="-15"/>
        </w:rPr>
        <w:t xml:space="preserve"> </w:t>
      </w:r>
      <w:r>
        <w:t>(X</w:t>
      </w:r>
      <w:r>
        <w:rPr>
          <w:position w:val="4"/>
        </w:rPr>
        <w:t>̄</w:t>
      </w:r>
      <w:r>
        <w:rPr>
          <w:spacing w:val="19"/>
          <w:position w:val="4"/>
        </w:rPr>
        <w:t xml:space="preserve"> </w:t>
      </w:r>
      <w:r>
        <w:t>=</w:t>
      </w:r>
      <w:r>
        <w:rPr>
          <w:spacing w:val="-15"/>
        </w:rPr>
        <w:t xml:space="preserve"> </w:t>
      </w:r>
      <w:r>
        <w:t>3.19,</w:t>
      </w:r>
      <w:r>
        <w:rPr>
          <w:spacing w:val="-15"/>
        </w:rPr>
        <w:t xml:space="preserve"> </w:t>
      </w:r>
      <w:r>
        <w:t>SS</w:t>
      </w:r>
      <w:r>
        <w:rPr>
          <w:spacing w:val="-15"/>
        </w:rPr>
        <w:t xml:space="preserve"> </w:t>
      </w:r>
      <w:r>
        <w:t>=</w:t>
      </w:r>
      <w:r>
        <w:rPr>
          <w:spacing w:val="-15"/>
        </w:rPr>
        <w:t xml:space="preserve"> </w:t>
      </w:r>
      <w:r>
        <w:t>0.55)</w:t>
      </w:r>
      <w:r>
        <w:rPr>
          <w:spacing w:val="-15"/>
        </w:rPr>
        <w:t xml:space="preserve"> </w:t>
      </w:r>
      <w:r>
        <w:t>erkek</w:t>
      </w:r>
      <w:r>
        <w:rPr>
          <w:spacing w:val="-15"/>
        </w:rPr>
        <w:t xml:space="preserve"> </w:t>
      </w:r>
      <w:r>
        <w:t>öğretmenlere</w:t>
      </w:r>
      <w:r>
        <w:rPr>
          <w:spacing w:val="-15"/>
        </w:rPr>
        <w:t xml:space="preserve"> </w:t>
      </w:r>
      <w:r>
        <w:t>(X</w:t>
      </w:r>
      <w:r>
        <w:rPr>
          <w:position w:val="4"/>
        </w:rPr>
        <w:t>̄</w:t>
      </w:r>
      <w:r>
        <w:rPr>
          <w:spacing w:val="40"/>
          <w:position w:val="4"/>
        </w:rPr>
        <w:t xml:space="preserve"> </w:t>
      </w:r>
      <w:r>
        <w:t>=</w:t>
      </w:r>
      <w:r>
        <w:rPr>
          <w:spacing w:val="-15"/>
        </w:rPr>
        <w:t xml:space="preserve"> </w:t>
      </w:r>
      <w:r>
        <w:t>3.10, SS =</w:t>
      </w:r>
      <w:r>
        <w:rPr>
          <w:spacing w:val="-1"/>
        </w:rPr>
        <w:t xml:space="preserve"> </w:t>
      </w:r>
      <w:r>
        <w:t>0.43)</w:t>
      </w:r>
      <w:r>
        <w:rPr>
          <w:spacing w:val="-1"/>
        </w:rPr>
        <w:t xml:space="preserve"> </w:t>
      </w:r>
      <w:r>
        <w:t>göre</w:t>
      </w:r>
      <w:r>
        <w:rPr>
          <w:spacing w:val="-2"/>
        </w:rPr>
        <w:t xml:space="preserve"> </w:t>
      </w:r>
      <w:r>
        <w:t>istatistiksel olarak</w:t>
      </w:r>
      <w:r>
        <w:rPr>
          <w:spacing w:val="-1"/>
        </w:rPr>
        <w:t xml:space="preserve"> </w:t>
      </w:r>
      <w:r>
        <w:t>anlamlı bir</w:t>
      </w:r>
      <w:r>
        <w:rPr>
          <w:spacing w:val="-1"/>
        </w:rPr>
        <w:t xml:space="preserve"> </w:t>
      </w:r>
      <w:r>
        <w:t>şekilde</w:t>
      </w:r>
      <w:r>
        <w:rPr>
          <w:spacing w:val="-1"/>
        </w:rPr>
        <w:t xml:space="preserve"> </w:t>
      </w:r>
      <w:r>
        <w:t>farklılık</w:t>
      </w:r>
      <w:r>
        <w:rPr>
          <w:spacing w:val="-1"/>
        </w:rPr>
        <w:t xml:space="preserve"> </w:t>
      </w:r>
      <w:r>
        <w:t>gösterdiği tespit edilmiştir, t(637.77)</w:t>
      </w:r>
      <w:r>
        <w:rPr>
          <w:spacing w:val="33"/>
        </w:rPr>
        <w:t xml:space="preserve"> </w:t>
      </w:r>
      <w:r>
        <w:t>=</w:t>
      </w:r>
      <w:r>
        <w:rPr>
          <w:spacing w:val="35"/>
        </w:rPr>
        <w:t xml:space="preserve"> </w:t>
      </w:r>
      <w:r>
        <w:t>2.13,</w:t>
      </w:r>
      <w:r>
        <w:rPr>
          <w:spacing w:val="36"/>
        </w:rPr>
        <w:t xml:space="preserve"> </w:t>
      </w:r>
      <w:r>
        <w:t>p</w:t>
      </w:r>
      <w:r>
        <w:rPr>
          <w:spacing w:val="36"/>
        </w:rPr>
        <w:t xml:space="preserve"> </w:t>
      </w:r>
      <w:r>
        <w:t>=</w:t>
      </w:r>
      <w:r>
        <w:rPr>
          <w:spacing w:val="35"/>
        </w:rPr>
        <w:t xml:space="preserve"> </w:t>
      </w:r>
      <w:r>
        <w:t>0.034.</w:t>
      </w:r>
      <w:r>
        <w:rPr>
          <w:spacing w:val="38"/>
        </w:rPr>
        <w:t xml:space="preserve"> </w:t>
      </w:r>
      <w:r>
        <w:t>Levene’in</w:t>
      </w:r>
      <w:r>
        <w:rPr>
          <w:spacing w:val="36"/>
        </w:rPr>
        <w:t xml:space="preserve"> </w:t>
      </w:r>
      <w:r>
        <w:t>varyans</w:t>
      </w:r>
      <w:r>
        <w:rPr>
          <w:spacing w:val="36"/>
        </w:rPr>
        <w:t xml:space="preserve"> </w:t>
      </w:r>
      <w:r>
        <w:t>eşitliği</w:t>
      </w:r>
      <w:r>
        <w:rPr>
          <w:spacing w:val="36"/>
        </w:rPr>
        <w:t xml:space="preserve"> </w:t>
      </w:r>
      <w:r>
        <w:t>testi,</w:t>
      </w:r>
      <w:r>
        <w:rPr>
          <w:spacing w:val="36"/>
        </w:rPr>
        <w:t xml:space="preserve"> </w:t>
      </w:r>
      <w:r>
        <w:t>cinsiyet</w:t>
      </w:r>
      <w:r>
        <w:rPr>
          <w:spacing w:val="39"/>
        </w:rPr>
        <w:t xml:space="preserve"> </w:t>
      </w:r>
      <w:r>
        <w:t>grupları</w:t>
      </w:r>
      <w:r>
        <w:rPr>
          <w:spacing w:val="37"/>
        </w:rPr>
        <w:t xml:space="preserve"> </w:t>
      </w:r>
      <w:r>
        <w:rPr>
          <w:spacing w:val="-2"/>
        </w:rPr>
        <w:t>arasında</w:t>
      </w:r>
      <w:r>
        <w:t xml:space="preserve"> varyansların</w:t>
      </w:r>
      <w:r>
        <w:rPr>
          <w:spacing w:val="1"/>
        </w:rPr>
        <w:t xml:space="preserve"> </w:t>
      </w:r>
      <w:r>
        <w:t>eşit</w:t>
      </w:r>
      <w:r>
        <w:rPr>
          <w:spacing w:val="4"/>
        </w:rPr>
        <w:t xml:space="preserve"> </w:t>
      </w:r>
      <w:r>
        <w:t>olmadığını</w:t>
      </w:r>
      <w:r>
        <w:rPr>
          <w:spacing w:val="4"/>
        </w:rPr>
        <w:t xml:space="preserve"> </w:t>
      </w:r>
      <w:r>
        <w:t>göstermiştir</w:t>
      </w:r>
      <w:r>
        <w:rPr>
          <w:spacing w:val="1"/>
        </w:rPr>
        <w:t xml:space="preserve"> </w:t>
      </w:r>
      <w:r>
        <w:t>(F</w:t>
      </w:r>
      <w:r>
        <w:rPr>
          <w:spacing w:val="1"/>
        </w:rPr>
        <w:t xml:space="preserve"> </w:t>
      </w:r>
      <w:r>
        <w:t>=</w:t>
      </w:r>
      <w:r>
        <w:rPr>
          <w:spacing w:val="2"/>
        </w:rPr>
        <w:t xml:space="preserve"> </w:t>
      </w:r>
      <w:r>
        <w:t>12.342,</w:t>
      </w:r>
      <w:r>
        <w:rPr>
          <w:spacing w:val="2"/>
        </w:rPr>
        <w:t xml:space="preserve"> </w:t>
      </w:r>
      <w:r>
        <w:t>p</w:t>
      </w:r>
      <w:r>
        <w:rPr>
          <w:spacing w:val="3"/>
        </w:rPr>
        <w:t xml:space="preserve"> </w:t>
      </w:r>
      <w:r>
        <w:t>&lt;</w:t>
      </w:r>
      <w:r>
        <w:rPr>
          <w:spacing w:val="2"/>
        </w:rPr>
        <w:t xml:space="preserve"> </w:t>
      </w:r>
      <w:r>
        <w:t>.001),</w:t>
      </w:r>
      <w:r>
        <w:rPr>
          <w:spacing w:val="2"/>
        </w:rPr>
        <w:t xml:space="preserve"> </w:t>
      </w:r>
      <w:r>
        <w:t>bu</w:t>
      </w:r>
      <w:r>
        <w:rPr>
          <w:spacing w:val="3"/>
        </w:rPr>
        <w:t xml:space="preserve"> </w:t>
      </w:r>
      <w:r>
        <w:t>nedenle</w:t>
      </w:r>
      <w:r>
        <w:rPr>
          <w:spacing w:val="3"/>
        </w:rPr>
        <w:t xml:space="preserve"> </w:t>
      </w:r>
      <w:r>
        <w:t>"eşit</w:t>
      </w:r>
      <w:r>
        <w:rPr>
          <w:spacing w:val="4"/>
        </w:rPr>
        <w:t xml:space="preserve"> </w:t>
      </w:r>
      <w:r>
        <w:rPr>
          <w:spacing w:val="-2"/>
        </w:rPr>
        <w:t>olmayan</w:t>
      </w:r>
      <w:r>
        <w:t xml:space="preserve"> varyanslar</w:t>
      </w:r>
      <w:r>
        <w:rPr>
          <w:spacing w:val="-5"/>
        </w:rPr>
        <w:t xml:space="preserve"> </w:t>
      </w:r>
      <w:r>
        <w:t>varsayımı"na</w:t>
      </w:r>
      <w:r>
        <w:rPr>
          <w:spacing w:val="-1"/>
        </w:rPr>
        <w:t xml:space="preserve"> </w:t>
      </w:r>
      <w:r>
        <w:t>göre</w:t>
      </w:r>
      <w:r>
        <w:rPr>
          <w:spacing w:val="-2"/>
        </w:rPr>
        <w:t xml:space="preserve"> </w:t>
      </w:r>
      <w:r>
        <w:t>sonuçlar</w:t>
      </w:r>
      <w:r>
        <w:rPr>
          <w:spacing w:val="-2"/>
        </w:rPr>
        <w:t xml:space="preserve"> </w:t>
      </w:r>
      <w:r>
        <w:t>rapor</w:t>
      </w:r>
      <w:r>
        <w:rPr>
          <w:spacing w:val="-1"/>
        </w:rPr>
        <w:t xml:space="preserve"> </w:t>
      </w:r>
      <w:r>
        <w:rPr>
          <w:spacing w:val="-2"/>
        </w:rPr>
        <w:t>edilmiştir.</w:t>
      </w:r>
    </w:p>
    <w:p w14:paraId="561B4D67">
      <w:pPr>
        <w:pStyle w:val="9"/>
        <w:spacing w:before="120" w:after="120" w:line="360" w:lineRule="auto"/>
        <w:ind w:left="0" w:firstLine="567"/>
      </w:pPr>
      <w:r>
        <w:t>Elde edilen bulgular, kadın öğretmenlerin sanal rekreasyon deneyimlerine ilişkin daha yüksek ortalama puanlara sahip olduğunu göstermektedir.</w:t>
      </w:r>
      <w:r>
        <w:rPr>
          <w:spacing w:val="-12"/>
        </w:rPr>
        <w:t xml:space="preserve"> </w:t>
      </w:r>
      <w:r>
        <w:t>Ancak,</w:t>
      </w:r>
      <w:r>
        <w:rPr>
          <w:spacing w:val="-1"/>
        </w:rPr>
        <w:t xml:space="preserve"> </w:t>
      </w:r>
      <w:r>
        <w:t>bu</w:t>
      </w:r>
      <w:r>
        <w:rPr>
          <w:spacing w:val="-1"/>
        </w:rPr>
        <w:t xml:space="preserve"> </w:t>
      </w:r>
      <w:r>
        <w:t>farkın</w:t>
      </w:r>
      <w:r>
        <w:rPr>
          <w:spacing w:val="-1"/>
        </w:rPr>
        <w:t xml:space="preserve"> </w:t>
      </w:r>
      <w:r>
        <w:t xml:space="preserve">etkisinin büyüklüğü küçük olup, etki büyüklüğünü değerlendirmek amacıyla hesaplanan eta kare değeri oldukça düşüktür (η² = 0.007). Bu sonuç H2.1 hipotezinin </w:t>
      </w:r>
      <w:r>
        <w:rPr>
          <w:spacing w:val="-8"/>
        </w:rPr>
        <w:t xml:space="preserve">kabul edildiğini </w:t>
      </w:r>
      <w:r>
        <w:rPr>
          <w:color w:val="000000"/>
        </w:rPr>
        <w:t>göstermektedir. Analiz sonuçları Tablo 4.4’de yer almaktadır.</w:t>
      </w:r>
    </w:p>
    <w:p w14:paraId="2690FDF5">
      <w:pPr>
        <w:pStyle w:val="9"/>
        <w:spacing w:line="360" w:lineRule="auto"/>
        <w:ind w:left="0"/>
        <w:rPr>
          <w:b/>
        </w:rPr>
      </w:pPr>
      <w:r>
        <w:rPr>
          <w:b/>
        </w:rPr>
        <w:t>Tablo</w:t>
      </w:r>
      <w:r>
        <w:rPr>
          <w:b/>
          <w:spacing w:val="-15"/>
        </w:rPr>
        <w:t xml:space="preserve"> </w:t>
      </w:r>
      <w:r>
        <w:rPr>
          <w:b/>
        </w:rPr>
        <w:t>4.4.</w:t>
      </w:r>
      <w:r>
        <w:rPr>
          <w:b/>
          <w:spacing w:val="-14"/>
        </w:rPr>
        <w:t xml:space="preserve"> </w:t>
      </w:r>
      <w:r>
        <w:t>Cinsiyet</w:t>
      </w:r>
      <w:r>
        <w:rPr>
          <w:spacing w:val="-15"/>
        </w:rPr>
        <w:t xml:space="preserve"> </w:t>
      </w:r>
      <w:r>
        <w:t>Açısından</w:t>
      </w:r>
      <w:r>
        <w:rPr>
          <w:spacing w:val="-11"/>
        </w:rPr>
        <w:t xml:space="preserve"> </w:t>
      </w:r>
      <w:r>
        <w:t>Öğretmenlerin</w:t>
      </w:r>
      <w:r>
        <w:rPr>
          <w:spacing w:val="-12"/>
        </w:rPr>
        <w:t xml:space="preserve"> </w:t>
      </w:r>
      <w:r>
        <w:t>Sanal</w:t>
      </w:r>
      <w:r>
        <w:rPr>
          <w:spacing w:val="-12"/>
        </w:rPr>
        <w:t xml:space="preserve"> </w:t>
      </w:r>
      <w:r>
        <w:t>Rekreasyon</w:t>
      </w:r>
      <w:r>
        <w:rPr>
          <w:spacing w:val="-12"/>
        </w:rPr>
        <w:t xml:space="preserve"> </w:t>
      </w:r>
      <w:r>
        <w:t>Deneyimlerinin</w:t>
      </w:r>
      <w:r>
        <w:rPr>
          <w:spacing w:val="-10"/>
        </w:rPr>
        <w:t xml:space="preserve"> </w:t>
      </w:r>
      <w:r>
        <w:t xml:space="preserve">İstatistiksel </w:t>
      </w:r>
      <w:r>
        <w:rPr>
          <w:spacing w:val="-2"/>
        </w:rPr>
        <w:t>İncelenmesi</w:t>
      </w:r>
    </w:p>
    <w:p w14:paraId="438C3BBC">
      <w:pPr>
        <w:pStyle w:val="9"/>
        <w:spacing w:before="3"/>
        <w:ind w:left="0"/>
        <w:jc w:val="left"/>
        <w:rPr>
          <w:sz w:val="20"/>
        </w:rPr>
      </w:pPr>
    </w:p>
    <w:tbl>
      <w:tblPr>
        <w:tblStyle w:val="7"/>
        <w:tblW w:w="0" w:type="auto"/>
        <w:tblInd w:w="153" w:type="dxa"/>
        <w:tblLayout w:type="fixed"/>
        <w:tblCellMar>
          <w:top w:w="0" w:type="dxa"/>
          <w:left w:w="0" w:type="dxa"/>
          <w:bottom w:w="0" w:type="dxa"/>
          <w:right w:w="0" w:type="dxa"/>
        </w:tblCellMar>
      </w:tblPr>
      <w:tblGrid>
        <w:gridCol w:w="2120"/>
        <w:gridCol w:w="1649"/>
        <w:gridCol w:w="786"/>
        <w:gridCol w:w="691"/>
        <w:gridCol w:w="712"/>
        <w:gridCol w:w="711"/>
        <w:gridCol w:w="993"/>
        <w:gridCol w:w="1139"/>
      </w:tblGrid>
      <w:tr w14:paraId="094C615F">
        <w:tblPrEx>
          <w:tblCellMar>
            <w:top w:w="0" w:type="dxa"/>
            <w:left w:w="0" w:type="dxa"/>
            <w:bottom w:w="0" w:type="dxa"/>
            <w:right w:w="0" w:type="dxa"/>
          </w:tblCellMar>
        </w:tblPrEx>
        <w:trPr>
          <w:trHeight w:val="256" w:hRule="atLeast"/>
        </w:trPr>
        <w:tc>
          <w:tcPr>
            <w:tcW w:w="2120" w:type="dxa"/>
            <w:tcBorders>
              <w:top w:val="single" w:color="000000" w:sz="4" w:space="0"/>
              <w:bottom w:val="single" w:color="000000" w:sz="4" w:space="0"/>
            </w:tcBorders>
          </w:tcPr>
          <w:p w14:paraId="7BA6BE1E">
            <w:pPr>
              <w:pStyle w:val="29"/>
              <w:spacing w:before="12" w:line="224" w:lineRule="exact"/>
              <w:ind w:left="57"/>
              <w:rPr>
                <w:b/>
                <w:sz w:val="20"/>
              </w:rPr>
            </w:pPr>
            <w:r>
              <w:rPr>
                <w:b/>
                <w:spacing w:val="-2"/>
                <w:sz w:val="20"/>
              </w:rPr>
              <w:t>Değişkenler</w:t>
            </w:r>
          </w:p>
        </w:tc>
        <w:tc>
          <w:tcPr>
            <w:tcW w:w="1649" w:type="dxa"/>
            <w:tcBorders>
              <w:top w:val="single" w:color="000000" w:sz="4" w:space="0"/>
              <w:bottom w:val="single" w:color="000000" w:sz="4" w:space="0"/>
            </w:tcBorders>
          </w:tcPr>
          <w:p w14:paraId="74B02CF7">
            <w:pPr>
              <w:pStyle w:val="29"/>
              <w:spacing w:before="12" w:line="224" w:lineRule="exact"/>
              <w:ind w:left="626"/>
              <w:rPr>
                <w:b/>
                <w:sz w:val="20"/>
              </w:rPr>
            </w:pPr>
            <w:r>
              <w:rPr>
                <w:b/>
                <w:spacing w:val="-2"/>
                <w:sz w:val="20"/>
              </w:rPr>
              <w:t>Cinsiyet</w:t>
            </w:r>
          </w:p>
        </w:tc>
        <w:tc>
          <w:tcPr>
            <w:tcW w:w="786" w:type="dxa"/>
            <w:tcBorders>
              <w:top w:val="single" w:color="000000" w:sz="4" w:space="0"/>
              <w:bottom w:val="single" w:color="000000" w:sz="4" w:space="0"/>
            </w:tcBorders>
          </w:tcPr>
          <w:p w14:paraId="62E69A14">
            <w:pPr>
              <w:pStyle w:val="29"/>
              <w:spacing w:before="12" w:line="224" w:lineRule="exact"/>
              <w:ind w:left="323"/>
              <w:rPr>
                <w:b/>
                <w:sz w:val="20"/>
              </w:rPr>
            </w:pPr>
            <w:r>
              <w:rPr>
                <w:b/>
                <w:w w:val="99"/>
                <w:sz w:val="20"/>
              </w:rPr>
              <w:t>N</w:t>
            </w:r>
          </w:p>
        </w:tc>
        <w:tc>
          <w:tcPr>
            <w:tcW w:w="691" w:type="dxa"/>
            <w:tcBorders>
              <w:top w:val="single" w:color="000000" w:sz="4" w:space="0"/>
              <w:bottom w:val="single" w:color="000000" w:sz="4" w:space="0"/>
            </w:tcBorders>
          </w:tcPr>
          <w:p w14:paraId="3227EBA0">
            <w:pPr>
              <w:pStyle w:val="29"/>
              <w:spacing w:line="236" w:lineRule="exact"/>
              <w:ind w:left="157"/>
              <w:rPr>
                <w:b/>
                <w:sz w:val="20"/>
              </w:rPr>
            </w:pPr>
            <w:r>
              <w:rPr>
                <w:b/>
                <w:spacing w:val="-11"/>
                <w:position w:val="-3"/>
                <w:sz w:val="20"/>
              </w:rPr>
              <w:t>X</w:t>
            </w:r>
            <w:r>
              <w:rPr>
                <w:b/>
                <w:spacing w:val="-11"/>
                <w:sz w:val="20"/>
              </w:rPr>
              <w:t>̄</w:t>
            </w:r>
          </w:p>
        </w:tc>
        <w:tc>
          <w:tcPr>
            <w:tcW w:w="712" w:type="dxa"/>
            <w:tcBorders>
              <w:top w:val="single" w:color="000000" w:sz="4" w:space="0"/>
              <w:bottom w:val="single" w:color="000000" w:sz="4" w:space="0"/>
            </w:tcBorders>
          </w:tcPr>
          <w:p w14:paraId="4288C865">
            <w:pPr>
              <w:pStyle w:val="29"/>
              <w:spacing w:before="12" w:line="224" w:lineRule="exact"/>
              <w:ind w:left="38" w:right="169"/>
              <w:jc w:val="center"/>
              <w:rPr>
                <w:b/>
                <w:sz w:val="20"/>
              </w:rPr>
            </w:pPr>
            <w:r>
              <w:rPr>
                <w:b/>
                <w:spacing w:val="-5"/>
                <w:sz w:val="20"/>
              </w:rPr>
              <w:t>SS</w:t>
            </w:r>
          </w:p>
        </w:tc>
        <w:tc>
          <w:tcPr>
            <w:tcW w:w="711" w:type="dxa"/>
            <w:tcBorders>
              <w:top w:val="single" w:color="000000" w:sz="4" w:space="0"/>
              <w:bottom w:val="single" w:color="000000" w:sz="4" w:space="0"/>
            </w:tcBorders>
          </w:tcPr>
          <w:p w14:paraId="70B37D4A">
            <w:pPr>
              <w:pStyle w:val="29"/>
              <w:spacing w:before="12" w:line="224" w:lineRule="exact"/>
              <w:ind w:left="177"/>
              <w:rPr>
                <w:b/>
                <w:sz w:val="20"/>
              </w:rPr>
            </w:pPr>
            <w:r>
              <w:rPr>
                <w:b/>
                <w:w w:val="99"/>
                <w:sz w:val="20"/>
              </w:rPr>
              <w:t>t</w:t>
            </w:r>
          </w:p>
        </w:tc>
        <w:tc>
          <w:tcPr>
            <w:tcW w:w="993" w:type="dxa"/>
            <w:tcBorders>
              <w:top w:val="single" w:color="000000" w:sz="4" w:space="0"/>
              <w:bottom w:val="single" w:color="000000" w:sz="4" w:space="0"/>
            </w:tcBorders>
          </w:tcPr>
          <w:p w14:paraId="32C1DFA7">
            <w:pPr>
              <w:pStyle w:val="29"/>
              <w:spacing w:before="12" w:line="224" w:lineRule="exact"/>
              <w:ind w:left="177"/>
              <w:rPr>
                <w:b/>
                <w:sz w:val="20"/>
              </w:rPr>
            </w:pPr>
            <w:r>
              <w:rPr>
                <w:b/>
                <w:spacing w:val="-5"/>
                <w:sz w:val="20"/>
              </w:rPr>
              <w:t>df</w:t>
            </w:r>
          </w:p>
        </w:tc>
        <w:tc>
          <w:tcPr>
            <w:tcW w:w="1139" w:type="dxa"/>
            <w:tcBorders>
              <w:top w:val="single" w:color="000000" w:sz="4" w:space="0"/>
              <w:bottom w:val="single" w:color="000000" w:sz="4" w:space="0"/>
            </w:tcBorders>
          </w:tcPr>
          <w:p w14:paraId="208F8784">
            <w:pPr>
              <w:pStyle w:val="29"/>
              <w:spacing w:before="12" w:line="224" w:lineRule="exact"/>
              <w:ind w:left="259"/>
              <w:rPr>
                <w:b/>
                <w:sz w:val="20"/>
              </w:rPr>
            </w:pPr>
            <w:r>
              <w:rPr>
                <w:b/>
                <w:w w:val="99"/>
                <w:sz w:val="20"/>
              </w:rPr>
              <w:t>p</w:t>
            </w:r>
          </w:p>
        </w:tc>
      </w:tr>
      <w:tr w14:paraId="1AFF15C1">
        <w:tblPrEx>
          <w:tblCellMar>
            <w:top w:w="0" w:type="dxa"/>
            <w:left w:w="0" w:type="dxa"/>
            <w:bottom w:w="0" w:type="dxa"/>
            <w:right w:w="0" w:type="dxa"/>
          </w:tblCellMar>
        </w:tblPrEx>
        <w:trPr>
          <w:trHeight w:val="305" w:hRule="atLeast"/>
        </w:trPr>
        <w:tc>
          <w:tcPr>
            <w:tcW w:w="2120" w:type="dxa"/>
            <w:tcBorders>
              <w:top w:val="single" w:color="000000" w:sz="4" w:space="0"/>
            </w:tcBorders>
          </w:tcPr>
          <w:p w14:paraId="00E9114C">
            <w:pPr>
              <w:pStyle w:val="29"/>
              <w:spacing w:before="41"/>
              <w:ind w:left="57"/>
              <w:rPr>
                <w:sz w:val="20"/>
              </w:rPr>
            </w:pPr>
            <w:r>
              <w:rPr>
                <w:sz w:val="20"/>
              </w:rPr>
              <w:t>Sanal</w:t>
            </w:r>
            <w:r>
              <w:rPr>
                <w:spacing w:val="-5"/>
                <w:sz w:val="20"/>
              </w:rPr>
              <w:t xml:space="preserve"> </w:t>
            </w:r>
            <w:r>
              <w:rPr>
                <w:spacing w:val="-2"/>
                <w:sz w:val="20"/>
              </w:rPr>
              <w:t>Rekreasyon</w:t>
            </w:r>
          </w:p>
        </w:tc>
        <w:tc>
          <w:tcPr>
            <w:tcW w:w="1649" w:type="dxa"/>
            <w:tcBorders>
              <w:top w:val="single" w:color="000000" w:sz="4" w:space="0"/>
            </w:tcBorders>
          </w:tcPr>
          <w:p w14:paraId="262288F8">
            <w:pPr>
              <w:pStyle w:val="29"/>
              <w:spacing w:before="41"/>
              <w:ind w:left="626"/>
              <w:rPr>
                <w:sz w:val="20"/>
              </w:rPr>
            </w:pPr>
            <w:r>
              <w:rPr>
                <w:spacing w:val="-4"/>
                <w:sz w:val="20"/>
              </w:rPr>
              <w:t>Kadın</w:t>
            </w:r>
          </w:p>
        </w:tc>
        <w:tc>
          <w:tcPr>
            <w:tcW w:w="786" w:type="dxa"/>
            <w:tcBorders>
              <w:top w:val="single" w:color="000000" w:sz="4" w:space="0"/>
            </w:tcBorders>
          </w:tcPr>
          <w:p w14:paraId="64DA445A">
            <w:pPr>
              <w:pStyle w:val="29"/>
              <w:spacing w:before="41"/>
              <w:ind w:left="323"/>
              <w:rPr>
                <w:sz w:val="20"/>
              </w:rPr>
            </w:pPr>
            <w:r>
              <w:rPr>
                <w:spacing w:val="-5"/>
                <w:sz w:val="20"/>
              </w:rPr>
              <w:t>363</w:t>
            </w:r>
          </w:p>
        </w:tc>
        <w:tc>
          <w:tcPr>
            <w:tcW w:w="691" w:type="dxa"/>
            <w:tcBorders>
              <w:top w:val="single" w:color="000000" w:sz="4" w:space="0"/>
            </w:tcBorders>
          </w:tcPr>
          <w:p w14:paraId="34990B7F">
            <w:pPr>
              <w:pStyle w:val="29"/>
              <w:spacing w:before="41"/>
              <w:ind w:left="157"/>
              <w:rPr>
                <w:sz w:val="20"/>
              </w:rPr>
            </w:pPr>
            <w:r>
              <w:rPr>
                <w:spacing w:val="-4"/>
                <w:sz w:val="20"/>
              </w:rPr>
              <w:t>3.19</w:t>
            </w:r>
          </w:p>
        </w:tc>
        <w:tc>
          <w:tcPr>
            <w:tcW w:w="712" w:type="dxa"/>
            <w:tcBorders>
              <w:top w:val="single" w:color="000000" w:sz="4" w:space="0"/>
            </w:tcBorders>
          </w:tcPr>
          <w:p w14:paraId="0285FC12">
            <w:pPr>
              <w:pStyle w:val="29"/>
              <w:spacing w:before="41"/>
              <w:ind w:left="164" w:right="165"/>
              <w:jc w:val="center"/>
              <w:rPr>
                <w:sz w:val="20"/>
              </w:rPr>
            </w:pPr>
            <w:r>
              <w:rPr>
                <w:spacing w:val="-4"/>
                <w:sz w:val="20"/>
              </w:rPr>
              <w:t>0.55</w:t>
            </w:r>
          </w:p>
        </w:tc>
        <w:tc>
          <w:tcPr>
            <w:tcW w:w="711" w:type="dxa"/>
            <w:tcBorders>
              <w:top w:val="single" w:color="000000" w:sz="4" w:space="0"/>
            </w:tcBorders>
          </w:tcPr>
          <w:p w14:paraId="10326C06">
            <w:pPr>
              <w:pStyle w:val="29"/>
              <w:spacing w:before="41"/>
              <w:ind w:left="177"/>
              <w:rPr>
                <w:sz w:val="20"/>
              </w:rPr>
            </w:pPr>
            <w:r>
              <w:rPr>
                <w:spacing w:val="-4"/>
                <w:sz w:val="20"/>
              </w:rPr>
              <w:t>2.13</w:t>
            </w:r>
          </w:p>
        </w:tc>
        <w:tc>
          <w:tcPr>
            <w:tcW w:w="993" w:type="dxa"/>
            <w:tcBorders>
              <w:top w:val="single" w:color="000000" w:sz="4" w:space="0"/>
            </w:tcBorders>
          </w:tcPr>
          <w:p w14:paraId="6B290F29">
            <w:pPr>
              <w:pStyle w:val="29"/>
              <w:spacing w:before="41"/>
              <w:ind w:left="177"/>
              <w:rPr>
                <w:sz w:val="20"/>
              </w:rPr>
            </w:pPr>
            <w:r>
              <w:rPr>
                <w:spacing w:val="-2"/>
                <w:sz w:val="20"/>
              </w:rPr>
              <w:t>637.77</w:t>
            </w:r>
          </w:p>
        </w:tc>
        <w:tc>
          <w:tcPr>
            <w:tcW w:w="1139" w:type="dxa"/>
            <w:tcBorders>
              <w:top w:val="single" w:color="000000" w:sz="4" w:space="0"/>
            </w:tcBorders>
          </w:tcPr>
          <w:p w14:paraId="3E98B785">
            <w:pPr>
              <w:pStyle w:val="29"/>
              <w:spacing w:before="41"/>
              <w:ind w:left="259"/>
              <w:rPr>
                <w:sz w:val="20"/>
              </w:rPr>
            </w:pPr>
            <w:r>
              <w:rPr>
                <w:spacing w:val="-2"/>
                <w:sz w:val="20"/>
              </w:rPr>
              <w:t>0.034</w:t>
            </w:r>
          </w:p>
        </w:tc>
      </w:tr>
      <w:tr w14:paraId="5E7F0886">
        <w:tblPrEx>
          <w:tblCellMar>
            <w:top w:w="0" w:type="dxa"/>
            <w:left w:w="0" w:type="dxa"/>
            <w:bottom w:w="0" w:type="dxa"/>
            <w:right w:w="0" w:type="dxa"/>
          </w:tblCellMar>
        </w:tblPrEx>
        <w:trPr>
          <w:trHeight w:val="315" w:hRule="atLeast"/>
        </w:trPr>
        <w:tc>
          <w:tcPr>
            <w:tcW w:w="2120" w:type="dxa"/>
            <w:tcBorders>
              <w:bottom w:val="single" w:color="000000" w:sz="4" w:space="0"/>
            </w:tcBorders>
          </w:tcPr>
          <w:p w14:paraId="7F437187">
            <w:pPr>
              <w:pStyle w:val="29"/>
            </w:pPr>
          </w:p>
        </w:tc>
        <w:tc>
          <w:tcPr>
            <w:tcW w:w="1649" w:type="dxa"/>
            <w:tcBorders>
              <w:bottom w:val="single" w:color="000000" w:sz="4" w:space="0"/>
            </w:tcBorders>
          </w:tcPr>
          <w:p w14:paraId="0ACC1760">
            <w:pPr>
              <w:pStyle w:val="29"/>
              <w:spacing w:before="25"/>
              <w:ind w:left="626"/>
              <w:rPr>
                <w:sz w:val="20"/>
              </w:rPr>
            </w:pPr>
            <w:r>
              <w:rPr>
                <w:spacing w:val="-2"/>
                <w:sz w:val="20"/>
              </w:rPr>
              <w:t>Erkek</w:t>
            </w:r>
          </w:p>
        </w:tc>
        <w:tc>
          <w:tcPr>
            <w:tcW w:w="786" w:type="dxa"/>
            <w:tcBorders>
              <w:bottom w:val="single" w:color="000000" w:sz="4" w:space="0"/>
            </w:tcBorders>
          </w:tcPr>
          <w:p w14:paraId="1FA096FD">
            <w:pPr>
              <w:pStyle w:val="29"/>
              <w:spacing w:before="25"/>
              <w:ind w:left="323"/>
              <w:rPr>
                <w:sz w:val="20"/>
              </w:rPr>
            </w:pPr>
            <w:r>
              <w:rPr>
                <w:spacing w:val="-5"/>
                <w:sz w:val="20"/>
              </w:rPr>
              <w:t>277</w:t>
            </w:r>
          </w:p>
        </w:tc>
        <w:tc>
          <w:tcPr>
            <w:tcW w:w="691" w:type="dxa"/>
            <w:tcBorders>
              <w:bottom w:val="single" w:color="000000" w:sz="4" w:space="0"/>
            </w:tcBorders>
          </w:tcPr>
          <w:p w14:paraId="56616016">
            <w:pPr>
              <w:pStyle w:val="29"/>
              <w:spacing w:before="25"/>
              <w:ind w:left="157"/>
              <w:rPr>
                <w:sz w:val="20"/>
              </w:rPr>
            </w:pPr>
            <w:r>
              <w:rPr>
                <w:spacing w:val="-4"/>
                <w:sz w:val="20"/>
              </w:rPr>
              <w:t>3.10</w:t>
            </w:r>
          </w:p>
        </w:tc>
        <w:tc>
          <w:tcPr>
            <w:tcW w:w="712" w:type="dxa"/>
            <w:tcBorders>
              <w:bottom w:val="single" w:color="000000" w:sz="4" w:space="0"/>
            </w:tcBorders>
          </w:tcPr>
          <w:p w14:paraId="2D86EF6C">
            <w:pPr>
              <w:pStyle w:val="29"/>
              <w:spacing w:before="25"/>
              <w:ind w:left="164" w:right="165"/>
              <w:jc w:val="center"/>
              <w:rPr>
                <w:sz w:val="20"/>
              </w:rPr>
            </w:pPr>
            <w:r>
              <w:rPr>
                <w:spacing w:val="-4"/>
                <w:sz w:val="20"/>
              </w:rPr>
              <w:t>0.43</w:t>
            </w:r>
          </w:p>
        </w:tc>
        <w:tc>
          <w:tcPr>
            <w:tcW w:w="711" w:type="dxa"/>
            <w:tcBorders>
              <w:bottom w:val="single" w:color="000000" w:sz="4" w:space="0"/>
            </w:tcBorders>
          </w:tcPr>
          <w:p w14:paraId="289B6E33">
            <w:pPr>
              <w:pStyle w:val="29"/>
            </w:pPr>
          </w:p>
        </w:tc>
        <w:tc>
          <w:tcPr>
            <w:tcW w:w="993" w:type="dxa"/>
            <w:tcBorders>
              <w:bottom w:val="single" w:color="000000" w:sz="4" w:space="0"/>
            </w:tcBorders>
          </w:tcPr>
          <w:p w14:paraId="02E5AAFD">
            <w:pPr>
              <w:pStyle w:val="29"/>
            </w:pPr>
          </w:p>
        </w:tc>
        <w:tc>
          <w:tcPr>
            <w:tcW w:w="1139" w:type="dxa"/>
            <w:tcBorders>
              <w:bottom w:val="single" w:color="000000" w:sz="4" w:space="0"/>
            </w:tcBorders>
          </w:tcPr>
          <w:p w14:paraId="10BC22A5">
            <w:pPr>
              <w:pStyle w:val="29"/>
            </w:pPr>
          </w:p>
        </w:tc>
      </w:tr>
    </w:tbl>
    <w:p w14:paraId="609DA6A5">
      <w:pPr>
        <w:pStyle w:val="9"/>
        <w:ind w:left="0"/>
        <w:jc w:val="left"/>
        <w:rPr>
          <w:sz w:val="26"/>
        </w:rPr>
      </w:pPr>
    </w:p>
    <w:p w14:paraId="01A40AF9">
      <w:pPr>
        <w:pStyle w:val="5"/>
        <w:spacing w:before="240" w:after="240" w:line="360" w:lineRule="auto"/>
        <w:ind w:left="567"/>
        <w:rPr>
          <w:rFonts w:ascii="Times New Roman" w:hAnsi="Times New Roman" w:cs="Times New Roman"/>
          <w:b/>
          <w:i w:val="0"/>
          <w:color w:val="auto"/>
          <w:sz w:val="24"/>
        </w:rPr>
      </w:pPr>
      <w:bookmarkStart w:id="237" w:name="_Toc195875854"/>
      <w:bookmarkStart w:id="238" w:name="_Toc195877833"/>
      <w:bookmarkStart w:id="239" w:name="_Toc197351286"/>
      <w:r>
        <w:rPr>
          <w:rFonts w:ascii="Times New Roman" w:hAnsi="Times New Roman" w:cs="Times New Roman"/>
          <w:b/>
          <w:i w:val="0"/>
          <w:color w:val="auto"/>
          <w:sz w:val="24"/>
        </w:rPr>
        <w:t>4.2.2.2. Kıdem Yılı Açısından Öğretmenlerin Sanal Rekreasyon Deneyimlerinin İstatistiksel İncelenmesi</w:t>
      </w:r>
      <w:bookmarkEnd w:id="237"/>
      <w:bookmarkEnd w:id="238"/>
      <w:bookmarkEnd w:id="239"/>
    </w:p>
    <w:p w14:paraId="30CA256F">
      <w:pPr>
        <w:spacing w:before="120" w:after="120" w:line="360" w:lineRule="auto"/>
        <w:ind w:firstLine="567"/>
        <w:jc w:val="both"/>
        <w:rPr>
          <w:sz w:val="24"/>
        </w:rPr>
      </w:pPr>
      <w:r>
        <w:rPr>
          <w:sz w:val="24"/>
        </w:rPr>
        <w:t>H2.2:</w:t>
      </w:r>
      <w:r>
        <w:rPr>
          <w:spacing w:val="-6"/>
          <w:sz w:val="24"/>
        </w:rPr>
        <w:t xml:space="preserve"> </w:t>
      </w:r>
      <w:r>
        <w:rPr>
          <w:sz w:val="24"/>
        </w:rPr>
        <w:t>“</w:t>
      </w:r>
      <w:r>
        <w:rPr>
          <w:i/>
          <w:sz w:val="24"/>
        </w:rPr>
        <w:t>Öğretmenlerin</w:t>
      </w:r>
      <w:r>
        <w:rPr>
          <w:i/>
          <w:spacing w:val="-6"/>
          <w:sz w:val="24"/>
        </w:rPr>
        <w:t xml:space="preserve"> </w:t>
      </w:r>
      <w:r>
        <w:rPr>
          <w:i/>
          <w:sz w:val="24"/>
        </w:rPr>
        <w:t>sanal</w:t>
      </w:r>
      <w:r>
        <w:rPr>
          <w:i/>
          <w:spacing w:val="-6"/>
          <w:sz w:val="24"/>
        </w:rPr>
        <w:t xml:space="preserve"> </w:t>
      </w:r>
      <w:r>
        <w:rPr>
          <w:i/>
          <w:sz w:val="24"/>
        </w:rPr>
        <w:t>rekreasyon</w:t>
      </w:r>
      <w:r>
        <w:rPr>
          <w:i/>
          <w:spacing w:val="-6"/>
          <w:sz w:val="24"/>
        </w:rPr>
        <w:t xml:space="preserve"> </w:t>
      </w:r>
      <w:r>
        <w:rPr>
          <w:i/>
          <w:sz w:val="24"/>
        </w:rPr>
        <w:t>deneyimleri</w:t>
      </w:r>
      <w:r>
        <w:rPr>
          <w:i/>
          <w:spacing w:val="-2"/>
          <w:sz w:val="24"/>
        </w:rPr>
        <w:t xml:space="preserve"> </w:t>
      </w:r>
      <w:r>
        <w:rPr>
          <w:i/>
          <w:sz w:val="24"/>
        </w:rPr>
        <w:t>ile</w:t>
      </w:r>
      <w:r>
        <w:rPr>
          <w:i/>
          <w:spacing w:val="-7"/>
          <w:sz w:val="24"/>
        </w:rPr>
        <w:t xml:space="preserve"> </w:t>
      </w:r>
      <w:r>
        <w:rPr>
          <w:i/>
          <w:sz w:val="24"/>
        </w:rPr>
        <w:t>kıdem</w:t>
      </w:r>
      <w:r>
        <w:rPr>
          <w:i/>
          <w:spacing w:val="-7"/>
          <w:sz w:val="24"/>
        </w:rPr>
        <w:t xml:space="preserve"> </w:t>
      </w:r>
      <w:r>
        <w:rPr>
          <w:i/>
          <w:sz w:val="24"/>
        </w:rPr>
        <w:t>yılıarasında</w:t>
      </w:r>
      <w:r>
        <w:rPr>
          <w:i/>
          <w:spacing w:val="-8"/>
          <w:sz w:val="24"/>
        </w:rPr>
        <w:t xml:space="preserve"> </w:t>
      </w:r>
      <w:r>
        <w:rPr>
          <w:i/>
          <w:sz w:val="24"/>
        </w:rPr>
        <w:t>anlamlı bir farklılık vardır.</w:t>
      </w:r>
      <w:r>
        <w:rPr>
          <w:sz w:val="24"/>
        </w:rPr>
        <w:t>”</w:t>
      </w:r>
    </w:p>
    <w:p w14:paraId="0CD3E361">
      <w:pPr>
        <w:pStyle w:val="9"/>
        <w:spacing w:before="120" w:after="120" w:line="360" w:lineRule="auto"/>
        <w:ind w:left="0" w:firstLine="567"/>
      </w:pPr>
      <w:r>
        <w:t>Bu bölümde, öğretmenlerin kıdem yılı değişkenine göre sanal rekreasyon deneyimleri arasındaki farklılıklar incelenmiştir. Kıdem yılı, öğretmenlerin sanal rekreasyon deneyimlerine yönelik tutumları üzerindeki etkisini belirlemek amacıyla tek yönlü</w:t>
      </w:r>
      <w:r>
        <w:rPr>
          <w:spacing w:val="-2"/>
        </w:rPr>
        <w:t xml:space="preserve"> </w:t>
      </w:r>
      <w:r>
        <w:t>varyans</w:t>
      </w:r>
      <w:r>
        <w:rPr>
          <w:spacing w:val="-1"/>
        </w:rPr>
        <w:t xml:space="preserve"> </w:t>
      </w:r>
      <w:r>
        <w:t>analizi</w:t>
      </w:r>
      <w:r>
        <w:rPr>
          <w:spacing w:val="-2"/>
        </w:rPr>
        <w:t xml:space="preserve"> </w:t>
      </w:r>
      <w:r>
        <w:t>(ANOVA)</w:t>
      </w:r>
      <w:r>
        <w:rPr>
          <w:spacing w:val="-2"/>
        </w:rPr>
        <w:t xml:space="preserve"> </w:t>
      </w:r>
      <w:r>
        <w:t>kullanılmıştır.</w:t>
      </w:r>
      <w:r>
        <w:rPr>
          <w:spacing w:val="-3"/>
        </w:rPr>
        <w:t xml:space="preserve"> </w:t>
      </w:r>
      <w:r>
        <w:t>Katılımcılar,</w:t>
      </w:r>
      <w:r>
        <w:rPr>
          <w:spacing w:val="-3"/>
        </w:rPr>
        <w:t xml:space="preserve"> </w:t>
      </w:r>
      <w:r>
        <w:t>kıdem yılına göre</w:t>
      </w:r>
      <w:r>
        <w:rPr>
          <w:spacing w:val="-3"/>
        </w:rPr>
        <w:t xml:space="preserve"> </w:t>
      </w:r>
      <w:r>
        <w:t>dört</w:t>
      </w:r>
      <w:r>
        <w:rPr>
          <w:spacing w:val="-1"/>
        </w:rPr>
        <w:t xml:space="preserve"> </w:t>
      </w:r>
      <w:r>
        <w:t>gruba ayrılmıştır (Grup 1: 1-5 yıl; Grup 2: 6-10 yıl; Grup 3: 11-15 yıl; Grup 4: 16 yıl ve üzeri). Yapılan ANOVA analizi sonucunda, kıdem yılı grupları arasında sanal rekreasyon deneyimleri açısından p &lt; .05 düzeyinde istatistiksel olarak anlamlı bir fark bulunmuştur: F(3, 637) = 3.247, p = .022. Etki büyüklüğü, eta kare kullanılarak hesaplandığında, 0.015 olarak</w:t>
      </w:r>
      <w:r>
        <w:rPr>
          <w:spacing w:val="-13"/>
        </w:rPr>
        <w:t xml:space="preserve"> </w:t>
      </w:r>
      <w:r>
        <w:t>bulunmuştur.</w:t>
      </w:r>
      <w:r>
        <w:rPr>
          <w:spacing w:val="-10"/>
        </w:rPr>
        <w:t xml:space="preserve"> </w:t>
      </w:r>
      <w:r>
        <w:t>Bu</w:t>
      </w:r>
      <w:r>
        <w:rPr>
          <w:spacing w:val="-10"/>
        </w:rPr>
        <w:t xml:space="preserve"> </w:t>
      </w:r>
      <w:r>
        <w:t>etki</w:t>
      </w:r>
      <w:r>
        <w:rPr>
          <w:spacing w:val="-12"/>
        </w:rPr>
        <w:t xml:space="preserve"> </w:t>
      </w:r>
      <w:r>
        <w:t>büyüklüğü,</w:t>
      </w:r>
      <w:r>
        <w:rPr>
          <w:spacing w:val="-10"/>
        </w:rPr>
        <w:t xml:space="preserve"> </w:t>
      </w:r>
      <w:r>
        <w:t>gruplar</w:t>
      </w:r>
      <w:r>
        <w:rPr>
          <w:spacing w:val="-13"/>
        </w:rPr>
        <w:t xml:space="preserve"> </w:t>
      </w:r>
      <w:r>
        <w:t>arasındaki</w:t>
      </w:r>
      <w:r>
        <w:rPr>
          <w:spacing w:val="-12"/>
        </w:rPr>
        <w:t xml:space="preserve"> </w:t>
      </w:r>
      <w:r>
        <w:t>farkın</w:t>
      </w:r>
      <w:r>
        <w:rPr>
          <w:spacing w:val="-13"/>
        </w:rPr>
        <w:t xml:space="preserve"> </w:t>
      </w:r>
      <w:r>
        <w:t>küçük</w:t>
      </w:r>
      <w:r>
        <w:rPr>
          <w:spacing w:val="-13"/>
        </w:rPr>
        <w:t xml:space="preserve"> </w:t>
      </w:r>
      <w:r>
        <w:t>düzeyde</w:t>
      </w:r>
      <w:r>
        <w:rPr>
          <w:spacing w:val="-14"/>
        </w:rPr>
        <w:t xml:space="preserve"> </w:t>
      </w:r>
      <w:r>
        <w:t xml:space="preserve">olduğunu </w:t>
      </w:r>
      <w:r>
        <w:rPr>
          <w:spacing w:val="-2"/>
        </w:rPr>
        <w:t>göstermektedir.</w:t>
      </w:r>
    </w:p>
    <w:p w14:paraId="60410094">
      <w:pPr>
        <w:pStyle w:val="9"/>
        <w:spacing w:before="120" w:after="120" w:line="360" w:lineRule="auto"/>
        <w:ind w:left="0" w:firstLine="567"/>
      </w:pPr>
      <w:r>
        <w:t>Post-hoc</w:t>
      </w:r>
      <w:r>
        <w:rPr>
          <w:spacing w:val="-13"/>
        </w:rPr>
        <w:t xml:space="preserve"> </w:t>
      </w:r>
      <w:r>
        <w:t>karşılaştırmalar</w:t>
      </w:r>
      <w:r>
        <w:rPr>
          <w:spacing w:val="-10"/>
        </w:rPr>
        <w:t xml:space="preserve"> </w:t>
      </w:r>
      <w:r>
        <w:t>ile</w:t>
      </w:r>
      <w:r>
        <w:rPr>
          <w:spacing w:val="-13"/>
        </w:rPr>
        <w:t xml:space="preserve"> </w:t>
      </w:r>
      <w:r>
        <w:t>gruplar</w:t>
      </w:r>
      <w:r>
        <w:rPr>
          <w:spacing w:val="-12"/>
        </w:rPr>
        <w:t xml:space="preserve"> </w:t>
      </w:r>
      <w:r>
        <w:t>arasındaki</w:t>
      </w:r>
      <w:r>
        <w:rPr>
          <w:spacing w:val="-11"/>
        </w:rPr>
        <w:t xml:space="preserve"> </w:t>
      </w:r>
      <w:r>
        <w:t>farklar</w:t>
      </w:r>
      <w:r>
        <w:rPr>
          <w:spacing w:val="-13"/>
        </w:rPr>
        <w:t xml:space="preserve"> </w:t>
      </w:r>
      <w:r>
        <w:t>incelendiğinde,</w:t>
      </w:r>
      <w:r>
        <w:rPr>
          <w:spacing w:val="-12"/>
        </w:rPr>
        <w:t xml:space="preserve"> </w:t>
      </w:r>
      <w:r>
        <w:t>kıdem</w:t>
      </w:r>
      <w:r>
        <w:rPr>
          <w:spacing w:val="-9"/>
        </w:rPr>
        <w:t xml:space="preserve"> </w:t>
      </w:r>
      <w:r>
        <w:t>yılı</w:t>
      </w:r>
      <w:r>
        <w:rPr>
          <w:spacing w:val="-11"/>
        </w:rPr>
        <w:t xml:space="preserve"> </w:t>
      </w:r>
      <w:r>
        <w:t>1- 5</w:t>
      </w:r>
      <w:r>
        <w:rPr>
          <w:spacing w:val="22"/>
        </w:rPr>
        <w:t xml:space="preserve"> </w:t>
      </w:r>
      <w:r>
        <w:t>yıl</w:t>
      </w:r>
      <w:r>
        <w:rPr>
          <w:spacing w:val="24"/>
        </w:rPr>
        <w:t xml:space="preserve"> </w:t>
      </w:r>
      <w:r>
        <w:t>olan</w:t>
      </w:r>
      <w:r>
        <w:rPr>
          <w:spacing w:val="25"/>
        </w:rPr>
        <w:t xml:space="preserve"> </w:t>
      </w:r>
      <w:r>
        <w:t>öğretmenlerin</w:t>
      </w:r>
      <w:r>
        <w:rPr>
          <w:spacing w:val="25"/>
        </w:rPr>
        <w:t xml:space="preserve"> </w:t>
      </w:r>
      <w:r>
        <w:t>sanal</w:t>
      </w:r>
      <w:r>
        <w:rPr>
          <w:spacing w:val="23"/>
        </w:rPr>
        <w:t xml:space="preserve"> </w:t>
      </w:r>
      <w:r>
        <w:t>rekreasyon</w:t>
      </w:r>
      <w:r>
        <w:rPr>
          <w:spacing w:val="23"/>
        </w:rPr>
        <w:t xml:space="preserve"> </w:t>
      </w:r>
      <w:r>
        <w:t>deneyimleri</w:t>
      </w:r>
      <w:r>
        <w:rPr>
          <w:spacing w:val="23"/>
        </w:rPr>
        <w:t xml:space="preserve"> </w:t>
      </w:r>
      <w:r>
        <w:t>ortalamalarının</w:t>
      </w:r>
      <w:r>
        <w:rPr>
          <w:spacing w:val="25"/>
        </w:rPr>
        <w:t xml:space="preserve"> </w:t>
      </w:r>
      <w:r>
        <w:t>(X</w:t>
      </w:r>
      <w:r>
        <w:rPr>
          <w:position w:val="4"/>
        </w:rPr>
        <w:t>̄</w:t>
      </w:r>
      <w:r>
        <w:rPr>
          <w:spacing w:val="67"/>
          <w:w w:val="150"/>
          <w:position w:val="4"/>
        </w:rPr>
        <w:t xml:space="preserve"> </w:t>
      </w:r>
      <w:r>
        <w:t>=</w:t>
      </w:r>
      <w:r>
        <w:rPr>
          <w:spacing w:val="22"/>
        </w:rPr>
        <w:t xml:space="preserve"> </w:t>
      </w:r>
      <w:r>
        <w:t>3.30,</w:t>
      </w:r>
      <w:r>
        <w:rPr>
          <w:spacing w:val="23"/>
        </w:rPr>
        <w:t xml:space="preserve"> </w:t>
      </w:r>
      <w:r>
        <w:t>SS</w:t>
      </w:r>
      <w:r>
        <w:rPr>
          <w:spacing w:val="25"/>
        </w:rPr>
        <w:t xml:space="preserve"> </w:t>
      </w:r>
      <w:r>
        <w:rPr>
          <w:spacing w:val="-10"/>
        </w:rPr>
        <w:t>=</w:t>
      </w:r>
      <w:r>
        <w:t xml:space="preserve"> 0.48), kıdem yılı 16 yıl ve üzeri olan öğretmenlerden (X</w:t>
      </w:r>
      <w:r>
        <w:rPr>
          <w:position w:val="4"/>
        </w:rPr>
        <w:t>̄</w:t>
      </w:r>
      <w:r>
        <w:rPr>
          <w:spacing w:val="40"/>
          <w:position w:val="4"/>
        </w:rPr>
        <w:t xml:space="preserve"> </w:t>
      </w:r>
      <w:r>
        <w:t>= 3.10, SS = 0.52) istatistiksel olarak anlamlı bir şekilde farklı olduğu tespit edilmiştir. Bununla birlikte, diğer gruplar arasında anlamlı bir fark bulunmamıştır.</w:t>
      </w:r>
    </w:p>
    <w:p w14:paraId="7F6DB3C6">
      <w:pPr>
        <w:pStyle w:val="9"/>
        <w:spacing w:before="120" w:after="120" w:line="360" w:lineRule="auto"/>
        <w:ind w:left="0" w:firstLine="567"/>
      </w:pPr>
      <w:r>
        <w:t>Bu bulgular, kıdem yılı değişkeninin öğretmenlerin sanal rekreasyon deneyimleri üzerinde</w:t>
      </w:r>
      <w:r>
        <w:rPr>
          <w:spacing w:val="-15"/>
        </w:rPr>
        <w:t xml:space="preserve"> </w:t>
      </w:r>
      <w:r>
        <w:t>küçük,</w:t>
      </w:r>
      <w:r>
        <w:rPr>
          <w:spacing w:val="-15"/>
        </w:rPr>
        <w:t xml:space="preserve"> </w:t>
      </w:r>
      <w:r>
        <w:t>ancak</w:t>
      </w:r>
      <w:r>
        <w:rPr>
          <w:spacing w:val="-15"/>
        </w:rPr>
        <w:t xml:space="preserve"> </w:t>
      </w:r>
      <w:r>
        <w:t>istatistiksel</w:t>
      </w:r>
      <w:r>
        <w:rPr>
          <w:spacing w:val="-15"/>
        </w:rPr>
        <w:t xml:space="preserve"> </w:t>
      </w:r>
      <w:r>
        <w:t>olarak</w:t>
      </w:r>
      <w:r>
        <w:rPr>
          <w:spacing w:val="-15"/>
        </w:rPr>
        <w:t xml:space="preserve"> </w:t>
      </w:r>
      <w:r>
        <w:t>anlamlı</w:t>
      </w:r>
      <w:r>
        <w:rPr>
          <w:spacing w:val="-15"/>
        </w:rPr>
        <w:t xml:space="preserve"> </w:t>
      </w:r>
      <w:r>
        <w:t>bir</w:t>
      </w:r>
      <w:r>
        <w:rPr>
          <w:spacing w:val="-15"/>
        </w:rPr>
        <w:t xml:space="preserve"> </w:t>
      </w:r>
      <w:r>
        <w:t>etkiye</w:t>
      </w:r>
      <w:r>
        <w:rPr>
          <w:spacing w:val="-15"/>
        </w:rPr>
        <w:t xml:space="preserve"> </w:t>
      </w:r>
      <w:r>
        <w:t>sahip</w:t>
      </w:r>
      <w:r>
        <w:rPr>
          <w:spacing w:val="-15"/>
        </w:rPr>
        <w:t xml:space="preserve"> </w:t>
      </w:r>
      <w:r>
        <w:t>olduğunu</w:t>
      </w:r>
      <w:r>
        <w:rPr>
          <w:spacing w:val="-15"/>
        </w:rPr>
        <w:t xml:space="preserve"> </w:t>
      </w:r>
      <w:r>
        <w:t xml:space="preserve">göstermektedir. Özellikle kıdem yılı az olan öğretmenlerin sanal rekreasyon faaliyetlerine katılım düzeylerinin daha yüksek olduğu anlaşılmaktadır. Bu sonuç H2.2 hipotezinin </w:t>
      </w:r>
      <w:r>
        <w:rPr>
          <w:spacing w:val="-8"/>
        </w:rPr>
        <w:t xml:space="preserve">kabul edildiğini </w:t>
      </w:r>
      <w:r>
        <w:rPr>
          <w:color w:val="000000"/>
        </w:rPr>
        <w:t>göstermektedir. Analiz sonuçları Tablo 4.5’de yer almaktadır.</w:t>
      </w:r>
    </w:p>
    <w:p w14:paraId="7F471A47">
      <w:pPr>
        <w:pStyle w:val="9"/>
        <w:spacing w:line="360" w:lineRule="auto"/>
        <w:ind w:left="0"/>
      </w:pPr>
      <w:r>
        <w:rPr>
          <w:b/>
        </w:rPr>
        <w:t>Tablo</w:t>
      </w:r>
      <w:r>
        <w:rPr>
          <w:b/>
          <w:spacing w:val="-15"/>
        </w:rPr>
        <w:t xml:space="preserve"> </w:t>
      </w:r>
      <w:r>
        <w:rPr>
          <w:b/>
        </w:rPr>
        <w:t>4.5.</w:t>
      </w:r>
      <w:r>
        <w:rPr>
          <w:spacing w:val="-14"/>
        </w:rPr>
        <w:t xml:space="preserve"> </w:t>
      </w:r>
      <w:r>
        <w:t>Kıdem</w:t>
      </w:r>
      <w:r>
        <w:rPr>
          <w:spacing w:val="-15"/>
        </w:rPr>
        <w:t xml:space="preserve"> </w:t>
      </w:r>
      <w:r>
        <w:t>Yılı</w:t>
      </w:r>
      <w:r>
        <w:rPr>
          <w:spacing w:val="-15"/>
        </w:rPr>
        <w:t xml:space="preserve"> </w:t>
      </w:r>
      <w:r>
        <w:t>Açısından</w:t>
      </w:r>
      <w:r>
        <w:rPr>
          <w:spacing w:val="-10"/>
        </w:rPr>
        <w:t xml:space="preserve"> </w:t>
      </w:r>
      <w:r>
        <w:t>Öğretmenlerin</w:t>
      </w:r>
      <w:r>
        <w:rPr>
          <w:spacing w:val="-9"/>
        </w:rPr>
        <w:t xml:space="preserve"> </w:t>
      </w:r>
      <w:r>
        <w:t>Sanal</w:t>
      </w:r>
      <w:r>
        <w:rPr>
          <w:spacing w:val="-9"/>
        </w:rPr>
        <w:t xml:space="preserve"> </w:t>
      </w:r>
      <w:r>
        <w:t>Rekreasyon</w:t>
      </w:r>
      <w:r>
        <w:rPr>
          <w:spacing w:val="-8"/>
        </w:rPr>
        <w:t xml:space="preserve"> </w:t>
      </w:r>
      <w:r>
        <w:t>Deneyimlerinin İstatistiksel İncelenmesi</w:t>
      </w:r>
    </w:p>
    <w:p w14:paraId="04539923">
      <w:pPr>
        <w:pStyle w:val="9"/>
        <w:ind w:left="0"/>
        <w:jc w:val="left"/>
        <w:rPr>
          <w:sz w:val="18"/>
        </w:rPr>
      </w:pPr>
    </w:p>
    <w:tbl>
      <w:tblPr>
        <w:tblStyle w:val="7"/>
        <w:tblW w:w="0" w:type="auto"/>
        <w:tblInd w:w="153" w:type="dxa"/>
        <w:tblLayout w:type="fixed"/>
        <w:tblCellMar>
          <w:top w:w="0" w:type="dxa"/>
          <w:left w:w="0" w:type="dxa"/>
          <w:bottom w:w="0" w:type="dxa"/>
          <w:right w:w="0" w:type="dxa"/>
        </w:tblCellMar>
      </w:tblPr>
      <w:tblGrid>
        <w:gridCol w:w="1866"/>
        <w:gridCol w:w="1632"/>
        <w:gridCol w:w="633"/>
        <w:gridCol w:w="628"/>
        <w:gridCol w:w="630"/>
        <w:gridCol w:w="736"/>
        <w:gridCol w:w="794"/>
        <w:gridCol w:w="745"/>
        <w:gridCol w:w="1143"/>
      </w:tblGrid>
      <w:tr w14:paraId="09C788C2">
        <w:tblPrEx>
          <w:tblCellMar>
            <w:top w:w="0" w:type="dxa"/>
            <w:left w:w="0" w:type="dxa"/>
            <w:bottom w:w="0" w:type="dxa"/>
            <w:right w:w="0" w:type="dxa"/>
          </w:tblCellMar>
        </w:tblPrEx>
        <w:trPr>
          <w:trHeight w:val="338" w:hRule="atLeast"/>
        </w:trPr>
        <w:tc>
          <w:tcPr>
            <w:tcW w:w="1866" w:type="dxa"/>
            <w:tcBorders>
              <w:top w:val="single" w:color="000000" w:sz="4" w:space="0"/>
              <w:bottom w:val="single" w:color="000000" w:sz="4" w:space="0"/>
            </w:tcBorders>
          </w:tcPr>
          <w:p w14:paraId="3DA3A6A9">
            <w:pPr>
              <w:pStyle w:val="29"/>
              <w:spacing w:line="228" w:lineRule="exact"/>
              <w:ind w:left="122"/>
              <w:rPr>
                <w:b/>
                <w:sz w:val="20"/>
              </w:rPr>
            </w:pPr>
            <w:r>
              <w:rPr>
                <w:b/>
                <w:spacing w:val="-2"/>
                <w:sz w:val="20"/>
              </w:rPr>
              <w:t>Değişkenler</w:t>
            </w:r>
          </w:p>
        </w:tc>
        <w:tc>
          <w:tcPr>
            <w:tcW w:w="1632" w:type="dxa"/>
            <w:tcBorders>
              <w:top w:val="single" w:color="000000" w:sz="4" w:space="0"/>
              <w:bottom w:val="single" w:color="000000" w:sz="4" w:space="0"/>
            </w:tcBorders>
          </w:tcPr>
          <w:p w14:paraId="145A9DEA">
            <w:pPr>
              <w:pStyle w:val="29"/>
              <w:spacing w:line="228" w:lineRule="exact"/>
              <w:ind w:left="208"/>
              <w:rPr>
                <w:b/>
                <w:sz w:val="20"/>
              </w:rPr>
            </w:pPr>
            <w:r>
              <w:rPr>
                <w:b/>
                <w:spacing w:val="-2"/>
                <w:sz w:val="20"/>
              </w:rPr>
              <w:t>Kıdem</w:t>
            </w:r>
            <w:r>
              <w:rPr>
                <w:b/>
                <w:spacing w:val="-4"/>
                <w:sz w:val="20"/>
              </w:rPr>
              <w:t xml:space="preserve"> Yılı</w:t>
            </w:r>
          </w:p>
        </w:tc>
        <w:tc>
          <w:tcPr>
            <w:tcW w:w="633" w:type="dxa"/>
            <w:tcBorders>
              <w:top w:val="single" w:color="000000" w:sz="4" w:space="0"/>
              <w:bottom w:val="single" w:color="000000" w:sz="4" w:space="0"/>
            </w:tcBorders>
          </w:tcPr>
          <w:p w14:paraId="139157B9">
            <w:pPr>
              <w:pStyle w:val="29"/>
              <w:spacing w:line="228" w:lineRule="exact"/>
              <w:ind w:left="193"/>
              <w:rPr>
                <w:b/>
                <w:sz w:val="20"/>
              </w:rPr>
            </w:pPr>
            <w:r>
              <w:rPr>
                <w:b/>
                <w:w w:val="99"/>
                <w:sz w:val="20"/>
              </w:rPr>
              <w:t>N</w:t>
            </w:r>
          </w:p>
        </w:tc>
        <w:tc>
          <w:tcPr>
            <w:tcW w:w="628" w:type="dxa"/>
            <w:tcBorders>
              <w:top w:val="single" w:color="000000" w:sz="4" w:space="0"/>
              <w:bottom w:val="single" w:color="000000" w:sz="4" w:space="0"/>
            </w:tcBorders>
          </w:tcPr>
          <w:p w14:paraId="6E2CAF1D">
            <w:pPr>
              <w:pStyle w:val="29"/>
              <w:spacing w:line="180" w:lineRule="auto"/>
              <w:ind w:left="136"/>
              <w:rPr>
                <w:b/>
                <w:sz w:val="20"/>
              </w:rPr>
            </w:pPr>
            <w:r>
              <w:rPr>
                <w:b/>
                <w:spacing w:val="-11"/>
                <w:position w:val="-3"/>
                <w:sz w:val="20"/>
              </w:rPr>
              <w:t>X</w:t>
            </w:r>
            <w:r>
              <w:rPr>
                <w:b/>
                <w:spacing w:val="-11"/>
                <w:sz w:val="20"/>
              </w:rPr>
              <w:t>̄</w:t>
            </w:r>
          </w:p>
        </w:tc>
        <w:tc>
          <w:tcPr>
            <w:tcW w:w="630" w:type="dxa"/>
            <w:tcBorders>
              <w:top w:val="single" w:color="000000" w:sz="4" w:space="0"/>
              <w:bottom w:val="single" w:color="000000" w:sz="4" w:space="0"/>
            </w:tcBorders>
          </w:tcPr>
          <w:p w14:paraId="660522B1">
            <w:pPr>
              <w:pStyle w:val="29"/>
              <w:spacing w:line="228" w:lineRule="exact"/>
              <w:ind w:left="140"/>
              <w:rPr>
                <w:b/>
                <w:sz w:val="20"/>
              </w:rPr>
            </w:pPr>
            <w:r>
              <w:rPr>
                <w:b/>
                <w:spacing w:val="-5"/>
                <w:sz w:val="20"/>
              </w:rPr>
              <w:t>SS</w:t>
            </w:r>
          </w:p>
        </w:tc>
        <w:tc>
          <w:tcPr>
            <w:tcW w:w="736" w:type="dxa"/>
            <w:tcBorders>
              <w:top w:val="single" w:color="000000" w:sz="4" w:space="0"/>
              <w:bottom w:val="single" w:color="000000" w:sz="4" w:space="0"/>
            </w:tcBorders>
          </w:tcPr>
          <w:p w14:paraId="40AD6627">
            <w:pPr>
              <w:pStyle w:val="29"/>
              <w:spacing w:line="228" w:lineRule="exact"/>
              <w:ind w:left="139"/>
              <w:rPr>
                <w:b/>
                <w:sz w:val="20"/>
              </w:rPr>
            </w:pPr>
            <w:r>
              <w:rPr>
                <w:b/>
                <w:w w:val="99"/>
                <w:sz w:val="20"/>
              </w:rPr>
              <w:t>F</w:t>
            </w:r>
          </w:p>
        </w:tc>
        <w:tc>
          <w:tcPr>
            <w:tcW w:w="794" w:type="dxa"/>
            <w:tcBorders>
              <w:top w:val="single" w:color="000000" w:sz="4" w:space="0"/>
              <w:bottom w:val="single" w:color="000000" w:sz="4" w:space="0"/>
            </w:tcBorders>
          </w:tcPr>
          <w:p w14:paraId="7CBDCA6B">
            <w:pPr>
              <w:pStyle w:val="29"/>
              <w:spacing w:line="228" w:lineRule="exact"/>
              <w:ind w:left="147"/>
              <w:rPr>
                <w:b/>
                <w:sz w:val="20"/>
              </w:rPr>
            </w:pPr>
            <w:r>
              <w:rPr>
                <w:b/>
                <w:spacing w:val="-5"/>
                <w:sz w:val="20"/>
              </w:rPr>
              <w:t>df</w:t>
            </w:r>
          </w:p>
        </w:tc>
        <w:tc>
          <w:tcPr>
            <w:tcW w:w="745" w:type="dxa"/>
            <w:tcBorders>
              <w:top w:val="single" w:color="000000" w:sz="4" w:space="0"/>
              <w:bottom w:val="single" w:color="000000" w:sz="4" w:space="0"/>
            </w:tcBorders>
          </w:tcPr>
          <w:p w14:paraId="7EB56185">
            <w:pPr>
              <w:pStyle w:val="29"/>
              <w:spacing w:line="228" w:lineRule="exact"/>
              <w:ind w:left="150"/>
              <w:rPr>
                <w:b/>
                <w:sz w:val="20"/>
              </w:rPr>
            </w:pPr>
            <w:r>
              <w:rPr>
                <w:b/>
                <w:w w:val="99"/>
                <w:sz w:val="20"/>
              </w:rPr>
              <w:t>p</w:t>
            </w:r>
          </w:p>
        </w:tc>
        <w:tc>
          <w:tcPr>
            <w:tcW w:w="1143" w:type="dxa"/>
            <w:tcBorders>
              <w:top w:val="single" w:color="000000" w:sz="4" w:space="0"/>
              <w:bottom w:val="single" w:color="000000" w:sz="4" w:space="0"/>
            </w:tcBorders>
          </w:tcPr>
          <w:p w14:paraId="06B4083E">
            <w:pPr>
              <w:pStyle w:val="29"/>
              <w:spacing w:line="228" w:lineRule="exact"/>
              <w:ind w:left="147"/>
              <w:rPr>
                <w:b/>
                <w:sz w:val="20"/>
              </w:rPr>
            </w:pPr>
            <w:r>
              <w:rPr>
                <w:b/>
                <w:sz w:val="20"/>
              </w:rPr>
              <w:t>Eta</w:t>
            </w:r>
            <w:r>
              <w:rPr>
                <w:b/>
                <w:spacing w:val="-3"/>
                <w:sz w:val="20"/>
              </w:rPr>
              <w:t xml:space="preserve"> </w:t>
            </w:r>
            <w:r>
              <w:rPr>
                <w:b/>
                <w:spacing w:val="-4"/>
                <w:sz w:val="20"/>
              </w:rPr>
              <w:t>Kare</w:t>
            </w:r>
          </w:p>
        </w:tc>
      </w:tr>
      <w:tr w14:paraId="71180C3E">
        <w:tblPrEx>
          <w:tblCellMar>
            <w:top w:w="0" w:type="dxa"/>
            <w:left w:w="0" w:type="dxa"/>
            <w:bottom w:w="0" w:type="dxa"/>
            <w:right w:w="0" w:type="dxa"/>
          </w:tblCellMar>
        </w:tblPrEx>
        <w:trPr>
          <w:trHeight w:val="284" w:hRule="atLeast"/>
        </w:trPr>
        <w:tc>
          <w:tcPr>
            <w:tcW w:w="1866" w:type="dxa"/>
            <w:tcBorders>
              <w:top w:val="single" w:color="000000" w:sz="4" w:space="0"/>
            </w:tcBorders>
          </w:tcPr>
          <w:p w14:paraId="1FF136B0">
            <w:pPr>
              <w:pStyle w:val="29"/>
              <w:spacing w:line="228" w:lineRule="exact"/>
              <w:ind w:left="122"/>
              <w:rPr>
                <w:b/>
                <w:sz w:val="20"/>
              </w:rPr>
            </w:pPr>
            <w:r>
              <w:rPr>
                <w:b/>
                <w:sz w:val="20"/>
              </w:rPr>
              <w:t>Sanal</w:t>
            </w:r>
            <w:r>
              <w:rPr>
                <w:b/>
                <w:spacing w:val="-6"/>
                <w:sz w:val="20"/>
              </w:rPr>
              <w:t xml:space="preserve"> </w:t>
            </w:r>
            <w:r>
              <w:rPr>
                <w:b/>
                <w:spacing w:val="-2"/>
                <w:sz w:val="20"/>
              </w:rPr>
              <w:t>Rekreasyon</w:t>
            </w:r>
          </w:p>
        </w:tc>
        <w:tc>
          <w:tcPr>
            <w:tcW w:w="1632" w:type="dxa"/>
            <w:tcBorders>
              <w:top w:val="single" w:color="000000" w:sz="4" w:space="0"/>
            </w:tcBorders>
          </w:tcPr>
          <w:p w14:paraId="5CD1FF13">
            <w:pPr>
              <w:pStyle w:val="29"/>
              <w:spacing w:line="223" w:lineRule="exact"/>
              <w:ind w:left="208"/>
              <w:rPr>
                <w:sz w:val="20"/>
              </w:rPr>
            </w:pPr>
            <w:r>
              <w:rPr>
                <w:sz w:val="20"/>
              </w:rPr>
              <w:t>1-5</w:t>
            </w:r>
            <w:r>
              <w:rPr>
                <w:spacing w:val="-10"/>
                <w:sz w:val="20"/>
              </w:rPr>
              <w:t xml:space="preserve"> </w:t>
            </w:r>
            <w:r>
              <w:rPr>
                <w:spacing w:val="-5"/>
                <w:sz w:val="20"/>
              </w:rPr>
              <w:t>Yıl</w:t>
            </w:r>
          </w:p>
        </w:tc>
        <w:tc>
          <w:tcPr>
            <w:tcW w:w="633" w:type="dxa"/>
            <w:tcBorders>
              <w:top w:val="single" w:color="000000" w:sz="4" w:space="0"/>
            </w:tcBorders>
          </w:tcPr>
          <w:p w14:paraId="138D0E65">
            <w:pPr>
              <w:pStyle w:val="29"/>
              <w:spacing w:line="223" w:lineRule="exact"/>
              <w:ind w:left="193"/>
              <w:rPr>
                <w:sz w:val="20"/>
              </w:rPr>
            </w:pPr>
            <w:r>
              <w:rPr>
                <w:spacing w:val="-5"/>
                <w:sz w:val="20"/>
              </w:rPr>
              <w:t>162</w:t>
            </w:r>
          </w:p>
        </w:tc>
        <w:tc>
          <w:tcPr>
            <w:tcW w:w="628" w:type="dxa"/>
            <w:tcBorders>
              <w:top w:val="single" w:color="000000" w:sz="4" w:space="0"/>
            </w:tcBorders>
          </w:tcPr>
          <w:p w14:paraId="437A6B99">
            <w:pPr>
              <w:pStyle w:val="29"/>
              <w:spacing w:line="223" w:lineRule="exact"/>
              <w:ind w:left="136"/>
              <w:rPr>
                <w:sz w:val="20"/>
              </w:rPr>
            </w:pPr>
            <w:r>
              <w:rPr>
                <w:spacing w:val="-4"/>
                <w:sz w:val="20"/>
              </w:rPr>
              <w:t>3.30</w:t>
            </w:r>
          </w:p>
        </w:tc>
        <w:tc>
          <w:tcPr>
            <w:tcW w:w="630" w:type="dxa"/>
            <w:tcBorders>
              <w:top w:val="single" w:color="000000" w:sz="4" w:space="0"/>
            </w:tcBorders>
          </w:tcPr>
          <w:p w14:paraId="28D06D44">
            <w:pPr>
              <w:pStyle w:val="29"/>
              <w:spacing w:line="223" w:lineRule="exact"/>
              <w:ind w:left="140"/>
              <w:rPr>
                <w:sz w:val="20"/>
              </w:rPr>
            </w:pPr>
            <w:r>
              <w:rPr>
                <w:spacing w:val="-4"/>
                <w:sz w:val="20"/>
              </w:rPr>
              <w:t>0.48</w:t>
            </w:r>
          </w:p>
        </w:tc>
        <w:tc>
          <w:tcPr>
            <w:tcW w:w="736" w:type="dxa"/>
            <w:tcBorders>
              <w:top w:val="single" w:color="000000" w:sz="4" w:space="0"/>
            </w:tcBorders>
          </w:tcPr>
          <w:p w14:paraId="1F220F22">
            <w:pPr>
              <w:pStyle w:val="29"/>
              <w:spacing w:line="223" w:lineRule="exact"/>
              <w:ind w:left="139"/>
              <w:rPr>
                <w:sz w:val="20"/>
              </w:rPr>
            </w:pPr>
            <w:r>
              <w:rPr>
                <w:spacing w:val="-2"/>
                <w:sz w:val="20"/>
              </w:rPr>
              <w:t>3.247</w:t>
            </w:r>
          </w:p>
        </w:tc>
        <w:tc>
          <w:tcPr>
            <w:tcW w:w="794" w:type="dxa"/>
            <w:tcBorders>
              <w:top w:val="single" w:color="000000" w:sz="4" w:space="0"/>
            </w:tcBorders>
          </w:tcPr>
          <w:p w14:paraId="706D4951">
            <w:pPr>
              <w:pStyle w:val="29"/>
              <w:spacing w:line="223" w:lineRule="exact"/>
              <w:ind w:left="147"/>
              <w:rPr>
                <w:sz w:val="20"/>
              </w:rPr>
            </w:pPr>
            <w:r>
              <w:rPr>
                <w:sz w:val="20"/>
              </w:rPr>
              <w:t>3,</w:t>
            </w:r>
            <w:r>
              <w:rPr>
                <w:spacing w:val="-1"/>
                <w:sz w:val="20"/>
              </w:rPr>
              <w:t xml:space="preserve"> </w:t>
            </w:r>
            <w:r>
              <w:rPr>
                <w:spacing w:val="-5"/>
                <w:sz w:val="20"/>
              </w:rPr>
              <w:t>637</w:t>
            </w:r>
          </w:p>
        </w:tc>
        <w:tc>
          <w:tcPr>
            <w:tcW w:w="745" w:type="dxa"/>
            <w:tcBorders>
              <w:top w:val="single" w:color="000000" w:sz="4" w:space="0"/>
            </w:tcBorders>
          </w:tcPr>
          <w:p w14:paraId="1740F446">
            <w:pPr>
              <w:pStyle w:val="29"/>
              <w:spacing w:line="223" w:lineRule="exact"/>
              <w:ind w:left="150"/>
              <w:rPr>
                <w:sz w:val="20"/>
              </w:rPr>
            </w:pPr>
            <w:r>
              <w:rPr>
                <w:spacing w:val="-2"/>
                <w:sz w:val="20"/>
              </w:rPr>
              <w:t>0.022</w:t>
            </w:r>
          </w:p>
        </w:tc>
        <w:tc>
          <w:tcPr>
            <w:tcW w:w="1143" w:type="dxa"/>
            <w:tcBorders>
              <w:top w:val="single" w:color="000000" w:sz="4" w:space="0"/>
            </w:tcBorders>
          </w:tcPr>
          <w:p w14:paraId="623ED8B1">
            <w:pPr>
              <w:pStyle w:val="29"/>
              <w:spacing w:line="223" w:lineRule="exact"/>
              <w:ind w:left="147"/>
              <w:rPr>
                <w:sz w:val="20"/>
              </w:rPr>
            </w:pPr>
            <w:r>
              <w:rPr>
                <w:spacing w:val="-2"/>
                <w:sz w:val="20"/>
              </w:rPr>
              <w:t>0.015</w:t>
            </w:r>
          </w:p>
        </w:tc>
      </w:tr>
      <w:tr w14:paraId="6BFCCFF9">
        <w:tblPrEx>
          <w:tblCellMar>
            <w:top w:w="0" w:type="dxa"/>
            <w:left w:w="0" w:type="dxa"/>
            <w:bottom w:w="0" w:type="dxa"/>
            <w:right w:w="0" w:type="dxa"/>
          </w:tblCellMar>
        </w:tblPrEx>
        <w:trPr>
          <w:trHeight w:val="330" w:hRule="atLeast"/>
        </w:trPr>
        <w:tc>
          <w:tcPr>
            <w:tcW w:w="1866" w:type="dxa"/>
          </w:tcPr>
          <w:p w14:paraId="09DED216">
            <w:pPr>
              <w:pStyle w:val="29"/>
            </w:pPr>
          </w:p>
        </w:tc>
        <w:tc>
          <w:tcPr>
            <w:tcW w:w="1632" w:type="dxa"/>
          </w:tcPr>
          <w:p w14:paraId="138ADDC1">
            <w:pPr>
              <w:pStyle w:val="29"/>
              <w:spacing w:before="47"/>
              <w:ind w:left="208"/>
              <w:rPr>
                <w:sz w:val="20"/>
              </w:rPr>
            </w:pPr>
            <w:r>
              <w:rPr>
                <w:sz w:val="20"/>
              </w:rPr>
              <w:t>6-10</w:t>
            </w:r>
            <w:r>
              <w:rPr>
                <w:spacing w:val="-10"/>
                <w:sz w:val="20"/>
              </w:rPr>
              <w:t xml:space="preserve"> </w:t>
            </w:r>
            <w:r>
              <w:rPr>
                <w:spacing w:val="-5"/>
                <w:sz w:val="20"/>
              </w:rPr>
              <w:t>Yıl</w:t>
            </w:r>
          </w:p>
        </w:tc>
        <w:tc>
          <w:tcPr>
            <w:tcW w:w="633" w:type="dxa"/>
          </w:tcPr>
          <w:p w14:paraId="3F7D33BE">
            <w:pPr>
              <w:pStyle w:val="29"/>
              <w:spacing w:before="47"/>
              <w:ind w:left="193"/>
              <w:rPr>
                <w:sz w:val="20"/>
              </w:rPr>
            </w:pPr>
            <w:r>
              <w:rPr>
                <w:spacing w:val="-5"/>
                <w:sz w:val="20"/>
              </w:rPr>
              <w:t>183</w:t>
            </w:r>
          </w:p>
        </w:tc>
        <w:tc>
          <w:tcPr>
            <w:tcW w:w="628" w:type="dxa"/>
          </w:tcPr>
          <w:p w14:paraId="2B3A15DD">
            <w:pPr>
              <w:pStyle w:val="29"/>
              <w:spacing w:before="47"/>
              <w:ind w:left="136"/>
              <w:rPr>
                <w:sz w:val="20"/>
              </w:rPr>
            </w:pPr>
            <w:r>
              <w:rPr>
                <w:spacing w:val="-4"/>
                <w:sz w:val="20"/>
              </w:rPr>
              <w:t>3.21</w:t>
            </w:r>
          </w:p>
        </w:tc>
        <w:tc>
          <w:tcPr>
            <w:tcW w:w="630" w:type="dxa"/>
          </w:tcPr>
          <w:p w14:paraId="6FF18C4E">
            <w:pPr>
              <w:pStyle w:val="29"/>
              <w:spacing w:before="47"/>
              <w:ind w:left="140"/>
              <w:rPr>
                <w:sz w:val="20"/>
              </w:rPr>
            </w:pPr>
            <w:r>
              <w:rPr>
                <w:spacing w:val="-4"/>
                <w:sz w:val="20"/>
              </w:rPr>
              <w:t>0.52</w:t>
            </w:r>
          </w:p>
        </w:tc>
        <w:tc>
          <w:tcPr>
            <w:tcW w:w="736" w:type="dxa"/>
          </w:tcPr>
          <w:p w14:paraId="01535A07">
            <w:pPr>
              <w:pStyle w:val="29"/>
            </w:pPr>
          </w:p>
        </w:tc>
        <w:tc>
          <w:tcPr>
            <w:tcW w:w="794" w:type="dxa"/>
          </w:tcPr>
          <w:p w14:paraId="4CDD543D">
            <w:pPr>
              <w:pStyle w:val="29"/>
            </w:pPr>
          </w:p>
        </w:tc>
        <w:tc>
          <w:tcPr>
            <w:tcW w:w="745" w:type="dxa"/>
          </w:tcPr>
          <w:p w14:paraId="36203750">
            <w:pPr>
              <w:pStyle w:val="29"/>
            </w:pPr>
          </w:p>
        </w:tc>
        <w:tc>
          <w:tcPr>
            <w:tcW w:w="1143" w:type="dxa"/>
          </w:tcPr>
          <w:p w14:paraId="28C58467">
            <w:pPr>
              <w:pStyle w:val="29"/>
            </w:pPr>
          </w:p>
        </w:tc>
      </w:tr>
      <w:tr w14:paraId="4A2A50B2">
        <w:tblPrEx>
          <w:tblCellMar>
            <w:top w:w="0" w:type="dxa"/>
            <w:left w:w="0" w:type="dxa"/>
            <w:bottom w:w="0" w:type="dxa"/>
            <w:right w:w="0" w:type="dxa"/>
          </w:tblCellMar>
        </w:tblPrEx>
        <w:trPr>
          <w:trHeight w:val="332" w:hRule="atLeast"/>
        </w:trPr>
        <w:tc>
          <w:tcPr>
            <w:tcW w:w="1866" w:type="dxa"/>
          </w:tcPr>
          <w:p w14:paraId="69C9F91C">
            <w:pPr>
              <w:pStyle w:val="29"/>
            </w:pPr>
          </w:p>
        </w:tc>
        <w:tc>
          <w:tcPr>
            <w:tcW w:w="1632" w:type="dxa"/>
          </w:tcPr>
          <w:p w14:paraId="61D4B57D">
            <w:pPr>
              <w:pStyle w:val="29"/>
              <w:spacing w:before="43"/>
              <w:ind w:left="208"/>
              <w:rPr>
                <w:sz w:val="20"/>
              </w:rPr>
            </w:pPr>
            <w:r>
              <w:rPr>
                <w:spacing w:val="-2"/>
                <w:sz w:val="20"/>
              </w:rPr>
              <w:t>11-15</w:t>
            </w:r>
            <w:r>
              <w:rPr>
                <w:spacing w:val="-7"/>
                <w:sz w:val="20"/>
              </w:rPr>
              <w:t xml:space="preserve"> </w:t>
            </w:r>
            <w:r>
              <w:rPr>
                <w:spacing w:val="-5"/>
                <w:sz w:val="20"/>
              </w:rPr>
              <w:t>Yıl</w:t>
            </w:r>
          </w:p>
        </w:tc>
        <w:tc>
          <w:tcPr>
            <w:tcW w:w="633" w:type="dxa"/>
          </w:tcPr>
          <w:p w14:paraId="3CCB919F">
            <w:pPr>
              <w:pStyle w:val="29"/>
              <w:spacing w:before="43"/>
              <w:ind w:left="193"/>
              <w:rPr>
                <w:sz w:val="20"/>
              </w:rPr>
            </w:pPr>
            <w:r>
              <w:rPr>
                <w:spacing w:val="-5"/>
                <w:sz w:val="20"/>
              </w:rPr>
              <w:t>132</w:t>
            </w:r>
          </w:p>
        </w:tc>
        <w:tc>
          <w:tcPr>
            <w:tcW w:w="628" w:type="dxa"/>
          </w:tcPr>
          <w:p w14:paraId="6576DD74">
            <w:pPr>
              <w:pStyle w:val="29"/>
              <w:spacing w:before="43"/>
              <w:ind w:left="136"/>
              <w:rPr>
                <w:sz w:val="20"/>
              </w:rPr>
            </w:pPr>
            <w:r>
              <w:rPr>
                <w:spacing w:val="-4"/>
                <w:sz w:val="20"/>
              </w:rPr>
              <w:t>3.15</w:t>
            </w:r>
          </w:p>
        </w:tc>
        <w:tc>
          <w:tcPr>
            <w:tcW w:w="630" w:type="dxa"/>
          </w:tcPr>
          <w:p w14:paraId="6B242063">
            <w:pPr>
              <w:pStyle w:val="29"/>
              <w:spacing w:before="43"/>
              <w:ind w:left="140"/>
              <w:rPr>
                <w:sz w:val="20"/>
              </w:rPr>
            </w:pPr>
            <w:r>
              <w:rPr>
                <w:spacing w:val="-4"/>
                <w:sz w:val="20"/>
              </w:rPr>
              <w:t>0.47</w:t>
            </w:r>
          </w:p>
        </w:tc>
        <w:tc>
          <w:tcPr>
            <w:tcW w:w="736" w:type="dxa"/>
          </w:tcPr>
          <w:p w14:paraId="70134615">
            <w:pPr>
              <w:pStyle w:val="29"/>
            </w:pPr>
          </w:p>
        </w:tc>
        <w:tc>
          <w:tcPr>
            <w:tcW w:w="794" w:type="dxa"/>
          </w:tcPr>
          <w:p w14:paraId="73F86172">
            <w:pPr>
              <w:pStyle w:val="29"/>
            </w:pPr>
          </w:p>
        </w:tc>
        <w:tc>
          <w:tcPr>
            <w:tcW w:w="745" w:type="dxa"/>
          </w:tcPr>
          <w:p w14:paraId="1CE5F90D">
            <w:pPr>
              <w:pStyle w:val="29"/>
            </w:pPr>
          </w:p>
        </w:tc>
        <w:tc>
          <w:tcPr>
            <w:tcW w:w="1143" w:type="dxa"/>
          </w:tcPr>
          <w:p w14:paraId="2577FD41">
            <w:pPr>
              <w:pStyle w:val="29"/>
            </w:pPr>
          </w:p>
        </w:tc>
      </w:tr>
      <w:tr w14:paraId="38F189AC">
        <w:tblPrEx>
          <w:tblCellMar>
            <w:top w:w="0" w:type="dxa"/>
            <w:left w:w="0" w:type="dxa"/>
            <w:bottom w:w="0" w:type="dxa"/>
            <w:right w:w="0" w:type="dxa"/>
          </w:tblCellMar>
        </w:tblPrEx>
        <w:trPr>
          <w:trHeight w:val="394" w:hRule="atLeast"/>
        </w:trPr>
        <w:tc>
          <w:tcPr>
            <w:tcW w:w="1866" w:type="dxa"/>
            <w:tcBorders>
              <w:bottom w:val="single" w:color="000000" w:sz="4" w:space="0"/>
            </w:tcBorders>
          </w:tcPr>
          <w:p w14:paraId="1CCF95A0">
            <w:pPr>
              <w:pStyle w:val="29"/>
            </w:pPr>
          </w:p>
        </w:tc>
        <w:tc>
          <w:tcPr>
            <w:tcW w:w="1632" w:type="dxa"/>
            <w:tcBorders>
              <w:bottom w:val="single" w:color="000000" w:sz="4" w:space="0"/>
            </w:tcBorders>
          </w:tcPr>
          <w:p w14:paraId="7F0B0F0D">
            <w:pPr>
              <w:pStyle w:val="29"/>
              <w:spacing w:before="49"/>
              <w:ind w:left="208"/>
              <w:rPr>
                <w:sz w:val="20"/>
              </w:rPr>
            </w:pPr>
            <w:r>
              <w:rPr>
                <w:sz w:val="20"/>
              </w:rPr>
              <w:t>16</w:t>
            </w:r>
            <w:r>
              <w:rPr>
                <w:spacing w:val="-8"/>
                <w:sz w:val="20"/>
              </w:rPr>
              <w:t xml:space="preserve"> </w:t>
            </w:r>
            <w:r>
              <w:rPr>
                <w:sz w:val="20"/>
              </w:rPr>
              <w:t>Yıl</w:t>
            </w:r>
            <w:r>
              <w:rPr>
                <w:spacing w:val="-4"/>
                <w:sz w:val="20"/>
              </w:rPr>
              <w:t xml:space="preserve"> </w:t>
            </w:r>
            <w:r>
              <w:rPr>
                <w:sz w:val="20"/>
              </w:rPr>
              <w:t>ve</w:t>
            </w:r>
            <w:r>
              <w:rPr>
                <w:spacing w:val="-2"/>
                <w:sz w:val="20"/>
              </w:rPr>
              <w:t xml:space="preserve"> Üzeri</w:t>
            </w:r>
          </w:p>
        </w:tc>
        <w:tc>
          <w:tcPr>
            <w:tcW w:w="633" w:type="dxa"/>
            <w:tcBorders>
              <w:bottom w:val="single" w:color="000000" w:sz="4" w:space="0"/>
            </w:tcBorders>
          </w:tcPr>
          <w:p w14:paraId="02A4A81A">
            <w:pPr>
              <w:pStyle w:val="29"/>
              <w:spacing w:before="49"/>
              <w:ind w:left="193"/>
              <w:rPr>
                <w:sz w:val="20"/>
              </w:rPr>
            </w:pPr>
            <w:r>
              <w:rPr>
                <w:spacing w:val="-5"/>
                <w:sz w:val="20"/>
              </w:rPr>
              <w:t>164</w:t>
            </w:r>
          </w:p>
        </w:tc>
        <w:tc>
          <w:tcPr>
            <w:tcW w:w="628" w:type="dxa"/>
            <w:tcBorders>
              <w:bottom w:val="single" w:color="000000" w:sz="4" w:space="0"/>
            </w:tcBorders>
          </w:tcPr>
          <w:p w14:paraId="4273D8AE">
            <w:pPr>
              <w:pStyle w:val="29"/>
              <w:spacing w:before="49"/>
              <w:ind w:left="136"/>
              <w:rPr>
                <w:sz w:val="20"/>
              </w:rPr>
            </w:pPr>
            <w:r>
              <w:rPr>
                <w:spacing w:val="-4"/>
                <w:sz w:val="20"/>
              </w:rPr>
              <w:t>3.10</w:t>
            </w:r>
          </w:p>
        </w:tc>
        <w:tc>
          <w:tcPr>
            <w:tcW w:w="630" w:type="dxa"/>
            <w:tcBorders>
              <w:bottom w:val="single" w:color="000000" w:sz="4" w:space="0"/>
            </w:tcBorders>
          </w:tcPr>
          <w:p w14:paraId="54A8C8BE">
            <w:pPr>
              <w:pStyle w:val="29"/>
              <w:spacing w:before="49"/>
              <w:ind w:left="140"/>
              <w:rPr>
                <w:sz w:val="20"/>
              </w:rPr>
            </w:pPr>
            <w:r>
              <w:rPr>
                <w:spacing w:val="-4"/>
                <w:sz w:val="20"/>
              </w:rPr>
              <w:t>0.52</w:t>
            </w:r>
          </w:p>
        </w:tc>
        <w:tc>
          <w:tcPr>
            <w:tcW w:w="736" w:type="dxa"/>
            <w:tcBorders>
              <w:bottom w:val="single" w:color="000000" w:sz="4" w:space="0"/>
            </w:tcBorders>
          </w:tcPr>
          <w:p w14:paraId="3C98606E">
            <w:pPr>
              <w:pStyle w:val="29"/>
            </w:pPr>
          </w:p>
        </w:tc>
        <w:tc>
          <w:tcPr>
            <w:tcW w:w="794" w:type="dxa"/>
            <w:tcBorders>
              <w:bottom w:val="single" w:color="000000" w:sz="4" w:space="0"/>
            </w:tcBorders>
          </w:tcPr>
          <w:p w14:paraId="0CB0E645">
            <w:pPr>
              <w:pStyle w:val="29"/>
            </w:pPr>
          </w:p>
        </w:tc>
        <w:tc>
          <w:tcPr>
            <w:tcW w:w="745" w:type="dxa"/>
            <w:tcBorders>
              <w:bottom w:val="single" w:color="000000" w:sz="4" w:space="0"/>
            </w:tcBorders>
          </w:tcPr>
          <w:p w14:paraId="41ECDDD1">
            <w:pPr>
              <w:pStyle w:val="29"/>
            </w:pPr>
          </w:p>
        </w:tc>
        <w:tc>
          <w:tcPr>
            <w:tcW w:w="1143" w:type="dxa"/>
            <w:tcBorders>
              <w:bottom w:val="single" w:color="000000" w:sz="4" w:space="0"/>
            </w:tcBorders>
          </w:tcPr>
          <w:p w14:paraId="3E8E908F">
            <w:pPr>
              <w:pStyle w:val="29"/>
            </w:pPr>
          </w:p>
        </w:tc>
      </w:tr>
    </w:tbl>
    <w:p w14:paraId="5ABBA418">
      <w:pPr>
        <w:pStyle w:val="5"/>
        <w:spacing w:before="240" w:after="240" w:line="360" w:lineRule="auto"/>
        <w:ind w:left="567"/>
        <w:rPr>
          <w:rFonts w:ascii="Times New Roman" w:hAnsi="Times New Roman" w:cs="Times New Roman"/>
          <w:b/>
          <w:i w:val="0"/>
          <w:color w:val="auto"/>
          <w:sz w:val="24"/>
        </w:rPr>
      </w:pPr>
      <w:bookmarkStart w:id="240" w:name="_Toc197351287"/>
      <w:bookmarkStart w:id="241" w:name="_Toc195877834"/>
      <w:bookmarkStart w:id="242" w:name="_Toc195875855"/>
      <w:r>
        <w:rPr>
          <w:rFonts w:ascii="Times New Roman" w:hAnsi="Times New Roman" w:cs="Times New Roman"/>
          <w:b/>
          <w:i w:val="0"/>
          <w:color w:val="auto"/>
          <w:sz w:val="24"/>
        </w:rPr>
        <w:t>4.2.2.3. Eğitim Durumları Açısından Öğretmenlerin Sanal Rekreasyon Deneyimlerinin İstatistiksel İncelenmesi</w:t>
      </w:r>
      <w:bookmarkEnd w:id="240"/>
      <w:bookmarkEnd w:id="241"/>
      <w:bookmarkEnd w:id="242"/>
    </w:p>
    <w:p w14:paraId="2C61F08C">
      <w:pPr>
        <w:spacing w:before="120" w:after="120" w:line="360" w:lineRule="auto"/>
        <w:ind w:firstLine="567"/>
        <w:jc w:val="both"/>
        <w:rPr>
          <w:i/>
          <w:sz w:val="24"/>
        </w:rPr>
      </w:pPr>
      <w:r>
        <w:rPr>
          <w:sz w:val="24"/>
        </w:rPr>
        <w:t>H2:3: “</w:t>
      </w:r>
      <w:r>
        <w:rPr>
          <w:i/>
          <w:sz w:val="24"/>
        </w:rPr>
        <w:t>Öğretmenlerin sanal rekreasyon deneyimleri ile eğitimleri arasında bir farklılık vardır.”</w:t>
      </w:r>
    </w:p>
    <w:p w14:paraId="7695F419">
      <w:pPr>
        <w:pStyle w:val="9"/>
        <w:spacing w:before="120" w:after="120" w:line="360" w:lineRule="auto"/>
        <w:ind w:left="0" w:firstLine="567"/>
      </w:pPr>
      <w:r>
        <w:t>Bu bölümde, öğretmenlerin eğitim durumlarına göre</w:t>
      </w:r>
      <w:r>
        <w:rPr>
          <w:spacing w:val="-2"/>
        </w:rPr>
        <w:t xml:space="preserve"> </w:t>
      </w:r>
      <w:r>
        <w:t>sanal rekreasyon deneyimleri arasındaki farklılıklar istatistiksel olarak incelenmiştir. Eğitim durumu değişkeni, öğretmenlerin sanal rekreasyon deneyimlerine yönelik tutumlarının farklılaşıp farklılaşmadığını belirlemek amacıyla tek yönlü varyans analizi (ANOVA) kullanılarak değerlendirilmiştir. Katılımcılar, eğitim durumlarına göre dört gruba ayrılmıştır (Grup 1: Lisans;</w:t>
      </w:r>
      <w:r>
        <w:rPr>
          <w:spacing w:val="-12"/>
        </w:rPr>
        <w:t xml:space="preserve"> </w:t>
      </w:r>
      <w:r>
        <w:t>Grup</w:t>
      </w:r>
      <w:r>
        <w:rPr>
          <w:spacing w:val="-7"/>
        </w:rPr>
        <w:t xml:space="preserve"> </w:t>
      </w:r>
      <w:r>
        <w:t>2:</w:t>
      </w:r>
      <w:r>
        <w:rPr>
          <w:spacing w:val="-14"/>
        </w:rPr>
        <w:t xml:space="preserve"> </w:t>
      </w:r>
      <w:r>
        <w:t>Yüksek</w:t>
      </w:r>
      <w:r>
        <w:rPr>
          <w:spacing w:val="-7"/>
        </w:rPr>
        <w:t xml:space="preserve"> </w:t>
      </w:r>
      <w:r>
        <w:t>Lisans;</w:t>
      </w:r>
      <w:r>
        <w:rPr>
          <w:spacing w:val="-7"/>
        </w:rPr>
        <w:t xml:space="preserve"> </w:t>
      </w:r>
      <w:r>
        <w:t>Grup</w:t>
      </w:r>
      <w:r>
        <w:rPr>
          <w:spacing w:val="-7"/>
        </w:rPr>
        <w:t xml:space="preserve"> </w:t>
      </w:r>
      <w:r>
        <w:t>3:</w:t>
      </w:r>
      <w:r>
        <w:rPr>
          <w:spacing w:val="-7"/>
        </w:rPr>
        <w:t xml:space="preserve"> </w:t>
      </w:r>
      <w:r>
        <w:t>Doktora;</w:t>
      </w:r>
      <w:r>
        <w:rPr>
          <w:spacing w:val="-5"/>
        </w:rPr>
        <w:t xml:space="preserve"> </w:t>
      </w:r>
      <w:r>
        <w:t>Grup</w:t>
      </w:r>
      <w:r>
        <w:rPr>
          <w:spacing w:val="-7"/>
        </w:rPr>
        <w:t xml:space="preserve"> </w:t>
      </w:r>
      <w:r>
        <w:t>4:</w:t>
      </w:r>
      <w:r>
        <w:rPr>
          <w:spacing w:val="-7"/>
        </w:rPr>
        <w:t xml:space="preserve"> </w:t>
      </w:r>
      <w:r>
        <w:t>Diğer).</w:t>
      </w:r>
      <w:r>
        <w:rPr>
          <w:spacing w:val="-15"/>
        </w:rPr>
        <w:t xml:space="preserve"> </w:t>
      </w:r>
      <w:r>
        <w:t>Yapılan</w:t>
      </w:r>
      <w:r>
        <w:rPr>
          <w:spacing w:val="-15"/>
        </w:rPr>
        <w:t xml:space="preserve"> </w:t>
      </w:r>
      <w:r>
        <w:t>ANOVA</w:t>
      </w:r>
      <w:r>
        <w:rPr>
          <w:spacing w:val="-15"/>
        </w:rPr>
        <w:t xml:space="preserve"> </w:t>
      </w:r>
      <w:r>
        <w:t>analizi sonucunda,</w:t>
      </w:r>
      <w:r>
        <w:rPr>
          <w:spacing w:val="-2"/>
        </w:rPr>
        <w:t xml:space="preserve"> </w:t>
      </w:r>
      <w:r>
        <w:t>eğitim</w:t>
      </w:r>
      <w:r>
        <w:rPr>
          <w:spacing w:val="-2"/>
        </w:rPr>
        <w:t xml:space="preserve"> </w:t>
      </w:r>
      <w:r>
        <w:t>durumları</w:t>
      </w:r>
      <w:r>
        <w:rPr>
          <w:spacing w:val="-2"/>
        </w:rPr>
        <w:t xml:space="preserve"> </w:t>
      </w:r>
      <w:r>
        <w:t>grupları arasında</w:t>
      </w:r>
      <w:r>
        <w:rPr>
          <w:spacing w:val="-1"/>
        </w:rPr>
        <w:t xml:space="preserve"> </w:t>
      </w:r>
      <w:r>
        <w:t>sanal</w:t>
      </w:r>
      <w:r>
        <w:rPr>
          <w:spacing w:val="-1"/>
        </w:rPr>
        <w:t xml:space="preserve"> </w:t>
      </w:r>
      <w:r>
        <w:t>rekreasyon</w:t>
      </w:r>
      <w:r>
        <w:rPr>
          <w:spacing w:val="-2"/>
        </w:rPr>
        <w:t xml:space="preserve"> </w:t>
      </w:r>
      <w:r>
        <w:t>deneyimleri</w:t>
      </w:r>
      <w:r>
        <w:rPr>
          <w:spacing w:val="-2"/>
        </w:rPr>
        <w:t xml:space="preserve"> </w:t>
      </w:r>
      <w:r>
        <w:t>açısından</w:t>
      </w:r>
      <w:r>
        <w:rPr>
          <w:spacing w:val="-2"/>
        </w:rPr>
        <w:t xml:space="preserve"> </w:t>
      </w:r>
      <w:r>
        <w:t>p</w:t>
      </w:r>
      <w:r>
        <w:rPr>
          <w:spacing w:val="-1"/>
        </w:rPr>
        <w:t xml:space="preserve"> </w:t>
      </w:r>
      <w:r>
        <w:rPr>
          <w:spacing w:val="-10"/>
        </w:rPr>
        <w:t>&lt;</w:t>
      </w:r>
    </w:p>
    <w:p w14:paraId="79D62E8A">
      <w:pPr>
        <w:pStyle w:val="9"/>
        <w:spacing w:before="120" w:after="120" w:line="360" w:lineRule="auto"/>
        <w:ind w:left="0" w:firstLine="567"/>
      </w:pPr>
      <w:r>
        <w:t>.05</w:t>
      </w:r>
      <w:r>
        <w:rPr>
          <w:spacing w:val="-11"/>
        </w:rPr>
        <w:t xml:space="preserve"> </w:t>
      </w:r>
      <w:r>
        <w:t>düzeyinde</w:t>
      </w:r>
      <w:r>
        <w:rPr>
          <w:spacing w:val="-11"/>
        </w:rPr>
        <w:t xml:space="preserve"> </w:t>
      </w:r>
      <w:r>
        <w:t>istatistiksel</w:t>
      </w:r>
      <w:r>
        <w:rPr>
          <w:spacing w:val="-10"/>
        </w:rPr>
        <w:t xml:space="preserve"> </w:t>
      </w:r>
      <w:r>
        <w:t>olarak</w:t>
      </w:r>
      <w:r>
        <w:rPr>
          <w:spacing w:val="-11"/>
        </w:rPr>
        <w:t xml:space="preserve"> </w:t>
      </w:r>
      <w:r>
        <w:t>anlamlı</w:t>
      </w:r>
      <w:r>
        <w:rPr>
          <w:spacing w:val="-10"/>
        </w:rPr>
        <w:t xml:space="preserve"> </w:t>
      </w:r>
      <w:r>
        <w:t>bir</w:t>
      </w:r>
      <w:r>
        <w:rPr>
          <w:spacing w:val="-11"/>
        </w:rPr>
        <w:t xml:space="preserve"> </w:t>
      </w:r>
      <w:r>
        <w:t>fark</w:t>
      </w:r>
      <w:r>
        <w:rPr>
          <w:spacing w:val="-11"/>
        </w:rPr>
        <w:t xml:space="preserve"> </w:t>
      </w:r>
      <w:r>
        <w:t>bulunmuştur:</w:t>
      </w:r>
      <w:r>
        <w:rPr>
          <w:spacing w:val="-8"/>
        </w:rPr>
        <w:t xml:space="preserve"> </w:t>
      </w:r>
      <w:r>
        <w:t>F(3,</w:t>
      </w:r>
      <w:r>
        <w:rPr>
          <w:spacing w:val="-11"/>
        </w:rPr>
        <w:t xml:space="preserve"> </w:t>
      </w:r>
      <w:r>
        <w:t>637)</w:t>
      </w:r>
      <w:r>
        <w:rPr>
          <w:spacing w:val="-11"/>
        </w:rPr>
        <w:t xml:space="preserve"> </w:t>
      </w:r>
      <w:r>
        <w:t>=</w:t>
      </w:r>
      <w:r>
        <w:rPr>
          <w:spacing w:val="-9"/>
        </w:rPr>
        <w:t xml:space="preserve"> </w:t>
      </w:r>
      <w:r>
        <w:t>4.557,</w:t>
      </w:r>
      <w:r>
        <w:rPr>
          <w:spacing w:val="-11"/>
        </w:rPr>
        <w:t xml:space="preserve"> </w:t>
      </w:r>
      <w:r>
        <w:t>p</w:t>
      </w:r>
      <w:r>
        <w:rPr>
          <w:spacing w:val="-11"/>
        </w:rPr>
        <w:t xml:space="preserve"> </w:t>
      </w:r>
      <w:r>
        <w:t>=</w:t>
      </w:r>
      <w:r>
        <w:rPr>
          <w:spacing w:val="-12"/>
        </w:rPr>
        <w:t xml:space="preserve"> </w:t>
      </w:r>
      <w:r>
        <w:t>.004. Bu</w:t>
      </w:r>
      <w:r>
        <w:rPr>
          <w:spacing w:val="58"/>
        </w:rPr>
        <w:t xml:space="preserve"> </w:t>
      </w:r>
      <w:r>
        <w:t>sonuçlar,</w:t>
      </w:r>
      <w:r>
        <w:rPr>
          <w:spacing w:val="60"/>
        </w:rPr>
        <w:t xml:space="preserve"> </w:t>
      </w:r>
      <w:r>
        <w:t>öğretmenlerin</w:t>
      </w:r>
      <w:r>
        <w:rPr>
          <w:spacing w:val="60"/>
        </w:rPr>
        <w:t xml:space="preserve"> </w:t>
      </w:r>
      <w:r>
        <w:t>eğitim</w:t>
      </w:r>
      <w:r>
        <w:rPr>
          <w:spacing w:val="61"/>
        </w:rPr>
        <w:t xml:space="preserve"> </w:t>
      </w:r>
      <w:r>
        <w:t>durumlarına</w:t>
      </w:r>
      <w:r>
        <w:rPr>
          <w:spacing w:val="59"/>
        </w:rPr>
        <w:t xml:space="preserve"> </w:t>
      </w:r>
      <w:r>
        <w:t>göre sanal</w:t>
      </w:r>
      <w:r>
        <w:rPr>
          <w:spacing w:val="61"/>
        </w:rPr>
        <w:t xml:space="preserve"> </w:t>
      </w:r>
      <w:r>
        <w:rPr>
          <w:spacing w:val="-2"/>
        </w:rPr>
        <w:t>rekreasyon</w:t>
      </w:r>
      <w:r>
        <w:t xml:space="preserve"> deneyimlerinin anlamlı şekilde farklılaştığını göstermektedir. Etki büyüklüğü (eta kare) hesaplandığında, 0.021 bulunmuştur. Bu değer, gruplar arasındaki farkın küçük bir etki büyüklüğüne sahip olduğunu göstermektedir.</w:t>
      </w:r>
    </w:p>
    <w:p w14:paraId="6C553A88">
      <w:pPr>
        <w:pStyle w:val="9"/>
        <w:spacing w:before="120" w:after="120" w:line="360" w:lineRule="auto"/>
        <w:ind w:left="0" w:firstLine="567"/>
      </w:pPr>
      <w:r>
        <w:t>Post-hoc analizler ile gruplar arasındaki farklar incelendiğinde, yüksek lisans düzeyinde eğitime sahip öğretmenlerin sanal rekreasyon deneyimlerinin (X</w:t>
      </w:r>
      <w:r>
        <w:rPr>
          <w:position w:val="4"/>
        </w:rPr>
        <w:t>̄</w:t>
      </w:r>
      <w:r>
        <w:rPr>
          <w:spacing w:val="40"/>
          <w:position w:val="4"/>
        </w:rPr>
        <w:t xml:space="preserve"> </w:t>
      </w:r>
      <w:r>
        <w:t>= 3.35, SS = 0.45), lisans mezunu öğretmenlerin deneyimlerinden (X</w:t>
      </w:r>
      <w:r>
        <w:rPr>
          <w:position w:val="4"/>
        </w:rPr>
        <w:t>̄</w:t>
      </w:r>
      <w:r>
        <w:rPr>
          <w:spacing w:val="40"/>
          <w:position w:val="4"/>
        </w:rPr>
        <w:t xml:space="preserve"> </w:t>
      </w:r>
      <w:r>
        <w:t>= 3.10, SS = 0.50) istatistiksel olarak anlamlı bir şekilde farklı olduğu belirlenmiştir. Diğer eğitim grupları arasında ise anlamlı bir fark bulunmamıştır.</w:t>
      </w:r>
    </w:p>
    <w:p w14:paraId="2F9B6E09">
      <w:pPr>
        <w:pStyle w:val="9"/>
        <w:spacing w:before="120" w:after="120" w:line="360" w:lineRule="auto"/>
        <w:ind w:left="0" w:firstLine="567"/>
      </w:pPr>
      <w:r>
        <w:t>Bu bulgular, eğitim düzeyinin öğretmenlerin sanal rekreasyon deneyimlerinde küçük bir farklılık yarattığını ve yüksek lisans mezunu öğretmenlerin sanal rekreasyona daha</w:t>
      </w:r>
      <w:r>
        <w:rPr>
          <w:spacing w:val="-10"/>
        </w:rPr>
        <w:t xml:space="preserve"> </w:t>
      </w:r>
      <w:r>
        <w:t>fazla</w:t>
      </w:r>
      <w:r>
        <w:rPr>
          <w:spacing w:val="-9"/>
        </w:rPr>
        <w:t xml:space="preserve"> </w:t>
      </w:r>
      <w:r>
        <w:t>katılım</w:t>
      </w:r>
      <w:r>
        <w:rPr>
          <w:spacing w:val="-8"/>
        </w:rPr>
        <w:t xml:space="preserve"> </w:t>
      </w:r>
      <w:r>
        <w:t>gösterdiklerini</w:t>
      </w:r>
      <w:r>
        <w:rPr>
          <w:spacing w:val="-8"/>
        </w:rPr>
        <w:t xml:space="preserve"> </w:t>
      </w:r>
      <w:r>
        <w:t>ve</w:t>
      </w:r>
      <w:r>
        <w:rPr>
          <w:spacing w:val="-10"/>
        </w:rPr>
        <w:t xml:space="preserve"> </w:t>
      </w:r>
      <w:r>
        <w:t>H2.3</w:t>
      </w:r>
      <w:r>
        <w:rPr>
          <w:spacing w:val="-9"/>
        </w:rPr>
        <w:t xml:space="preserve"> </w:t>
      </w:r>
      <w:r>
        <w:t>hipotezinin</w:t>
      </w:r>
      <w:r>
        <w:rPr>
          <w:spacing w:val="-8"/>
        </w:rPr>
        <w:t xml:space="preserve"> kabul edildiğini ortaya</w:t>
      </w:r>
      <w:r>
        <w:rPr>
          <w:color w:val="000000"/>
          <w:spacing w:val="-7"/>
        </w:rPr>
        <w:t xml:space="preserve"> </w:t>
      </w:r>
      <w:r>
        <w:rPr>
          <w:color w:val="000000"/>
        </w:rPr>
        <w:t>koymaktadır. Analiz sonuçları Tablo 4.6’da yer almaktadır.</w:t>
      </w:r>
    </w:p>
    <w:p w14:paraId="10686776">
      <w:pPr>
        <w:pStyle w:val="9"/>
        <w:spacing w:line="360" w:lineRule="auto"/>
        <w:ind w:left="0"/>
      </w:pPr>
      <w:r>
        <w:rPr>
          <w:b/>
        </w:rPr>
        <w:t>Tablo</w:t>
      </w:r>
      <w:r>
        <w:rPr>
          <w:b/>
          <w:spacing w:val="-9"/>
        </w:rPr>
        <w:t xml:space="preserve"> </w:t>
      </w:r>
      <w:r>
        <w:rPr>
          <w:b/>
        </w:rPr>
        <w:t>4.6.</w:t>
      </w:r>
      <w:r>
        <w:rPr>
          <w:spacing w:val="-9"/>
        </w:rPr>
        <w:t xml:space="preserve"> </w:t>
      </w:r>
      <w:r>
        <w:t>Eğitim</w:t>
      </w:r>
      <w:r>
        <w:rPr>
          <w:spacing w:val="-9"/>
        </w:rPr>
        <w:t xml:space="preserve"> </w:t>
      </w:r>
      <w:r>
        <w:t>DurumlarıAçısından</w:t>
      </w:r>
      <w:r>
        <w:rPr>
          <w:spacing w:val="-9"/>
        </w:rPr>
        <w:t xml:space="preserve"> </w:t>
      </w:r>
      <w:r>
        <w:t>Öğretmenlerin</w:t>
      </w:r>
      <w:r>
        <w:rPr>
          <w:spacing w:val="-9"/>
        </w:rPr>
        <w:t xml:space="preserve"> </w:t>
      </w:r>
      <w:r>
        <w:t>Sanal</w:t>
      </w:r>
      <w:r>
        <w:rPr>
          <w:spacing w:val="-9"/>
        </w:rPr>
        <w:t xml:space="preserve"> </w:t>
      </w:r>
      <w:r>
        <w:t>Rekreasyon</w:t>
      </w:r>
      <w:r>
        <w:rPr>
          <w:spacing w:val="-9"/>
        </w:rPr>
        <w:t xml:space="preserve"> </w:t>
      </w:r>
      <w:r>
        <w:t>Deneyimlerinin İstatistiksel İncelenmesi</w:t>
      </w:r>
    </w:p>
    <w:p w14:paraId="767BD28E">
      <w:pPr>
        <w:pStyle w:val="9"/>
        <w:spacing w:before="9" w:after="1"/>
        <w:ind w:left="0"/>
        <w:jc w:val="left"/>
        <w:rPr>
          <w:sz w:val="17"/>
        </w:rPr>
      </w:pPr>
    </w:p>
    <w:tbl>
      <w:tblPr>
        <w:tblStyle w:val="7"/>
        <w:tblW w:w="0" w:type="auto"/>
        <w:tblInd w:w="153" w:type="dxa"/>
        <w:tblLayout w:type="fixed"/>
        <w:tblCellMar>
          <w:top w:w="0" w:type="dxa"/>
          <w:left w:w="0" w:type="dxa"/>
          <w:bottom w:w="0" w:type="dxa"/>
          <w:right w:w="0" w:type="dxa"/>
        </w:tblCellMar>
      </w:tblPr>
      <w:tblGrid>
        <w:gridCol w:w="1766"/>
        <w:gridCol w:w="1576"/>
        <w:gridCol w:w="519"/>
        <w:gridCol w:w="566"/>
        <w:gridCol w:w="567"/>
        <w:gridCol w:w="666"/>
        <w:gridCol w:w="715"/>
        <w:gridCol w:w="667"/>
        <w:gridCol w:w="997"/>
      </w:tblGrid>
      <w:tr w14:paraId="40EFC2C9">
        <w:tblPrEx>
          <w:tblCellMar>
            <w:top w:w="0" w:type="dxa"/>
            <w:left w:w="0" w:type="dxa"/>
            <w:bottom w:w="0" w:type="dxa"/>
            <w:right w:w="0" w:type="dxa"/>
          </w:tblCellMar>
        </w:tblPrEx>
        <w:trPr>
          <w:trHeight w:val="230" w:hRule="atLeast"/>
        </w:trPr>
        <w:tc>
          <w:tcPr>
            <w:tcW w:w="1766" w:type="dxa"/>
            <w:tcBorders>
              <w:top w:val="single" w:color="000000" w:sz="4" w:space="0"/>
              <w:bottom w:val="single" w:color="000000" w:sz="4" w:space="0"/>
            </w:tcBorders>
          </w:tcPr>
          <w:p w14:paraId="0A67AE8F">
            <w:pPr>
              <w:pStyle w:val="29"/>
              <w:spacing w:line="210" w:lineRule="exact"/>
              <w:ind w:left="122"/>
              <w:rPr>
                <w:b/>
                <w:sz w:val="20"/>
              </w:rPr>
            </w:pPr>
            <w:r>
              <w:rPr>
                <w:b/>
                <w:spacing w:val="-2"/>
                <w:sz w:val="20"/>
              </w:rPr>
              <w:t>Değişkenler</w:t>
            </w:r>
          </w:p>
        </w:tc>
        <w:tc>
          <w:tcPr>
            <w:tcW w:w="1576" w:type="dxa"/>
            <w:tcBorders>
              <w:top w:val="single" w:color="000000" w:sz="4" w:space="0"/>
              <w:bottom w:val="single" w:color="000000" w:sz="4" w:space="0"/>
            </w:tcBorders>
          </w:tcPr>
          <w:p w14:paraId="6C101A45">
            <w:pPr>
              <w:pStyle w:val="29"/>
              <w:spacing w:line="210" w:lineRule="exact"/>
              <w:ind w:left="108"/>
              <w:rPr>
                <w:b/>
                <w:sz w:val="20"/>
              </w:rPr>
            </w:pPr>
            <w:r>
              <w:rPr>
                <w:b/>
                <w:sz w:val="20"/>
              </w:rPr>
              <w:t>Eğitim</w:t>
            </w:r>
            <w:r>
              <w:rPr>
                <w:b/>
                <w:spacing w:val="-7"/>
                <w:sz w:val="20"/>
              </w:rPr>
              <w:t xml:space="preserve"> </w:t>
            </w:r>
            <w:r>
              <w:rPr>
                <w:b/>
                <w:spacing w:val="-2"/>
                <w:sz w:val="20"/>
              </w:rPr>
              <w:t>Durumu</w:t>
            </w:r>
          </w:p>
        </w:tc>
        <w:tc>
          <w:tcPr>
            <w:tcW w:w="519" w:type="dxa"/>
            <w:tcBorders>
              <w:top w:val="single" w:color="000000" w:sz="4" w:space="0"/>
              <w:bottom w:val="single" w:color="000000" w:sz="4" w:space="0"/>
            </w:tcBorders>
          </w:tcPr>
          <w:p w14:paraId="5891B67A">
            <w:pPr>
              <w:pStyle w:val="29"/>
              <w:spacing w:line="210" w:lineRule="exact"/>
              <w:ind w:left="109"/>
              <w:rPr>
                <w:b/>
                <w:sz w:val="20"/>
              </w:rPr>
            </w:pPr>
            <w:r>
              <w:rPr>
                <w:b/>
                <w:w w:val="99"/>
                <w:sz w:val="20"/>
              </w:rPr>
              <w:t>N</w:t>
            </w:r>
          </w:p>
        </w:tc>
        <w:tc>
          <w:tcPr>
            <w:tcW w:w="566" w:type="dxa"/>
            <w:tcBorders>
              <w:top w:val="single" w:color="000000" w:sz="4" w:space="0"/>
              <w:bottom w:val="single" w:color="000000" w:sz="4" w:space="0"/>
            </w:tcBorders>
          </w:tcPr>
          <w:p w14:paraId="7ADD22AC">
            <w:pPr>
              <w:pStyle w:val="29"/>
              <w:spacing w:line="180" w:lineRule="auto"/>
              <w:ind w:left="106"/>
              <w:rPr>
                <w:b/>
                <w:sz w:val="20"/>
              </w:rPr>
            </w:pPr>
            <w:r>
              <w:rPr>
                <w:b/>
                <w:spacing w:val="-11"/>
                <w:position w:val="-3"/>
                <w:sz w:val="20"/>
              </w:rPr>
              <w:t>X</w:t>
            </w:r>
            <w:r>
              <w:rPr>
                <w:b/>
                <w:spacing w:val="-11"/>
                <w:sz w:val="20"/>
              </w:rPr>
              <w:t>̄</w:t>
            </w:r>
          </w:p>
        </w:tc>
        <w:tc>
          <w:tcPr>
            <w:tcW w:w="567" w:type="dxa"/>
            <w:tcBorders>
              <w:top w:val="single" w:color="000000" w:sz="4" w:space="0"/>
              <w:bottom w:val="single" w:color="000000" w:sz="4" w:space="0"/>
            </w:tcBorders>
          </w:tcPr>
          <w:p w14:paraId="56B78253">
            <w:pPr>
              <w:pStyle w:val="29"/>
              <w:spacing w:line="210" w:lineRule="exact"/>
              <w:ind w:left="107"/>
              <w:rPr>
                <w:b/>
                <w:sz w:val="20"/>
              </w:rPr>
            </w:pPr>
            <w:r>
              <w:rPr>
                <w:b/>
                <w:spacing w:val="-5"/>
                <w:sz w:val="20"/>
              </w:rPr>
              <w:t>SS</w:t>
            </w:r>
          </w:p>
        </w:tc>
        <w:tc>
          <w:tcPr>
            <w:tcW w:w="666" w:type="dxa"/>
            <w:tcBorders>
              <w:top w:val="single" w:color="000000" w:sz="4" w:space="0"/>
              <w:bottom w:val="single" w:color="000000" w:sz="4" w:space="0"/>
            </w:tcBorders>
          </w:tcPr>
          <w:p w14:paraId="181776E3">
            <w:pPr>
              <w:pStyle w:val="29"/>
              <w:spacing w:line="210" w:lineRule="exact"/>
              <w:ind w:left="106"/>
              <w:rPr>
                <w:b/>
                <w:sz w:val="20"/>
              </w:rPr>
            </w:pPr>
            <w:r>
              <w:rPr>
                <w:b/>
                <w:w w:val="99"/>
                <w:sz w:val="20"/>
              </w:rPr>
              <w:t>F</w:t>
            </w:r>
          </w:p>
        </w:tc>
        <w:tc>
          <w:tcPr>
            <w:tcW w:w="715" w:type="dxa"/>
            <w:tcBorders>
              <w:top w:val="single" w:color="000000" w:sz="4" w:space="0"/>
              <w:bottom w:val="single" w:color="000000" w:sz="4" w:space="0"/>
            </w:tcBorders>
          </w:tcPr>
          <w:p w14:paraId="69158A8E">
            <w:pPr>
              <w:pStyle w:val="29"/>
              <w:spacing w:line="210" w:lineRule="exact"/>
              <w:ind w:left="105"/>
              <w:rPr>
                <w:b/>
                <w:sz w:val="20"/>
              </w:rPr>
            </w:pPr>
            <w:r>
              <w:rPr>
                <w:b/>
                <w:spacing w:val="-5"/>
                <w:sz w:val="20"/>
              </w:rPr>
              <w:t>df</w:t>
            </w:r>
          </w:p>
        </w:tc>
        <w:tc>
          <w:tcPr>
            <w:tcW w:w="667" w:type="dxa"/>
            <w:tcBorders>
              <w:top w:val="single" w:color="000000" w:sz="4" w:space="0"/>
              <w:bottom w:val="single" w:color="000000" w:sz="4" w:space="0"/>
            </w:tcBorders>
          </w:tcPr>
          <w:p w14:paraId="01DA5A88">
            <w:pPr>
              <w:pStyle w:val="29"/>
              <w:spacing w:line="210" w:lineRule="exact"/>
              <w:ind w:left="108"/>
              <w:rPr>
                <w:b/>
                <w:sz w:val="20"/>
              </w:rPr>
            </w:pPr>
            <w:r>
              <w:rPr>
                <w:b/>
                <w:w w:val="99"/>
                <w:sz w:val="20"/>
              </w:rPr>
              <w:t>p</w:t>
            </w:r>
          </w:p>
        </w:tc>
        <w:tc>
          <w:tcPr>
            <w:tcW w:w="997" w:type="dxa"/>
            <w:tcBorders>
              <w:top w:val="single" w:color="000000" w:sz="4" w:space="0"/>
              <w:bottom w:val="single" w:color="000000" w:sz="4" w:space="0"/>
            </w:tcBorders>
          </w:tcPr>
          <w:p w14:paraId="0521BCE2">
            <w:pPr>
              <w:pStyle w:val="29"/>
              <w:spacing w:line="210" w:lineRule="exact"/>
              <w:ind w:left="106"/>
              <w:rPr>
                <w:b/>
                <w:sz w:val="20"/>
              </w:rPr>
            </w:pPr>
            <w:r>
              <w:rPr>
                <w:b/>
                <w:sz w:val="20"/>
              </w:rPr>
              <w:t>Eta</w:t>
            </w:r>
            <w:r>
              <w:rPr>
                <w:b/>
                <w:spacing w:val="-3"/>
                <w:sz w:val="20"/>
              </w:rPr>
              <w:t xml:space="preserve"> </w:t>
            </w:r>
            <w:r>
              <w:rPr>
                <w:b/>
                <w:spacing w:val="-4"/>
                <w:sz w:val="20"/>
              </w:rPr>
              <w:t>Kare</w:t>
            </w:r>
          </w:p>
        </w:tc>
      </w:tr>
      <w:tr w14:paraId="63558970">
        <w:tblPrEx>
          <w:tblCellMar>
            <w:top w:w="0" w:type="dxa"/>
            <w:left w:w="0" w:type="dxa"/>
            <w:bottom w:w="0" w:type="dxa"/>
            <w:right w:w="0" w:type="dxa"/>
          </w:tblCellMar>
        </w:tblPrEx>
        <w:trPr>
          <w:trHeight w:val="230" w:hRule="atLeast"/>
        </w:trPr>
        <w:tc>
          <w:tcPr>
            <w:tcW w:w="1766" w:type="dxa"/>
            <w:tcBorders>
              <w:top w:val="single" w:color="000000" w:sz="4" w:space="0"/>
            </w:tcBorders>
          </w:tcPr>
          <w:p w14:paraId="14982430">
            <w:pPr>
              <w:pStyle w:val="29"/>
              <w:spacing w:line="210" w:lineRule="exact"/>
              <w:ind w:left="122"/>
              <w:rPr>
                <w:b/>
                <w:sz w:val="20"/>
              </w:rPr>
            </w:pPr>
            <w:r>
              <w:rPr>
                <w:b/>
                <w:sz w:val="20"/>
              </w:rPr>
              <w:t>Sanal</w:t>
            </w:r>
            <w:r>
              <w:rPr>
                <w:b/>
                <w:spacing w:val="-6"/>
                <w:sz w:val="20"/>
              </w:rPr>
              <w:t xml:space="preserve"> </w:t>
            </w:r>
            <w:r>
              <w:rPr>
                <w:b/>
                <w:spacing w:val="-2"/>
                <w:sz w:val="20"/>
              </w:rPr>
              <w:t>Rekreasyon</w:t>
            </w:r>
          </w:p>
        </w:tc>
        <w:tc>
          <w:tcPr>
            <w:tcW w:w="1576" w:type="dxa"/>
            <w:tcBorders>
              <w:top w:val="single" w:color="000000" w:sz="4" w:space="0"/>
            </w:tcBorders>
          </w:tcPr>
          <w:p w14:paraId="2A198ED1">
            <w:pPr>
              <w:pStyle w:val="29"/>
              <w:spacing w:line="210" w:lineRule="exact"/>
              <w:ind w:left="108"/>
              <w:rPr>
                <w:sz w:val="20"/>
              </w:rPr>
            </w:pPr>
            <w:r>
              <w:rPr>
                <w:spacing w:val="-2"/>
                <w:sz w:val="20"/>
              </w:rPr>
              <w:t>Lisans</w:t>
            </w:r>
          </w:p>
        </w:tc>
        <w:tc>
          <w:tcPr>
            <w:tcW w:w="519" w:type="dxa"/>
            <w:tcBorders>
              <w:top w:val="single" w:color="000000" w:sz="4" w:space="0"/>
            </w:tcBorders>
          </w:tcPr>
          <w:p w14:paraId="7B573545">
            <w:pPr>
              <w:pStyle w:val="29"/>
              <w:spacing w:line="210" w:lineRule="exact"/>
              <w:ind w:left="109"/>
              <w:rPr>
                <w:sz w:val="20"/>
              </w:rPr>
            </w:pPr>
            <w:r>
              <w:rPr>
                <w:spacing w:val="-5"/>
                <w:sz w:val="20"/>
              </w:rPr>
              <w:t>302</w:t>
            </w:r>
          </w:p>
        </w:tc>
        <w:tc>
          <w:tcPr>
            <w:tcW w:w="566" w:type="dxa"/>
            <w:tcBorders>
              <w:top w:val="single" w:color="000000" w:sz="4" w:space="0"/>
            </w:tcBorders>
          </w:tcPr>
          <w:p w14:paraId="2579EB56">
            <w:pPr>
              <w:pStyle w:val="29"/>
              <w:spacing w:line="210" w:lineRule="exact"/>
              <w:ind w:left="106"/>
              <w:rPr>
                <w:sz w:val="20"/>
              </w:rPr>
            </w:pPr>
            <w:r>
              <w:rPr>
                <w:spacing w:val="-4"/>
                <w:sz w:val="20"/>
              </w:rPr>
              <w:t>3.10</w:t>
            </w:r>
          </w:p>
        </w:tc>
        <w:tc>
          <w:tcPr>
            <w:tcW w:w="567" w:type="dxa"/>
            <w:tcBorders>
              <w:top w:val="single" w:color="000000" w:sz="4" w:space="0"/>
            </w:tcBorders>
          </w:tcPr>
          <w:p w14:paraId="07F1F666">
            <w:pPr>
              <w:pStyle w:val="29"/>
              <w:spacing w:line="210" w:lineRule="exact"/>
              <w:ind w:left="107"/>
              <w:rPr>
                <w:sz w:val="20"/>
              </w:rPr>
            </w:pPr>
            <w:r>
              <w:rPr>
                <w:spacing w:val="-4"/>
                <w:sz w:val="20"/>
              </w:rPr>
              <w:t>0.50</w:t>
            </w:r>
          </w:p>
        </w:tc>
        <w:tc>
          <w:tcPr>
            <w:tcW w:w="666" w:type="dxa"/>
            <w:tcBorders>
              <w:top w:val="single" w:color="000000" w:sz="4" w:space="0"/>
            </w:tcBorders>
          </w:tcPr>
          <w:p w14:paraId="4ED9F90F">
            <w:pPr>
              <w:pStyle w:val="29"/>
              <w:spacing w:line="210" w:lineRule="exact"/>
              <w:ind w:left="106"/>
              <w:rPr>
                <w:sz w:val="20"/>
              </w:rPr>
            </w:pPr>
            <w:r>
              <w:rPr>
                <w:spacing w:val="-2"/>
                <w:sz w:val="20"/>
              </w:rPr>
              <w:t>4.557</w:t>
            </w:r>
          </w:p>
        </w:tc>
        <w:tc>
          <w:tcPr>
            <w:tcW w:w="715" w:type="dxa"/>
            <w:tcBorders>
              <w:top w:val="single" w:color="000000" w:sz="4" w:space="0"/>
            </w:tcBorders>
          </w:tcPr>
          <w:p w14:paraId="3B5BED72">
            <w:pPr>
              <w:pStyle w:val="29"/>
              <w:spacing w:line="210" w:lineRule="exact"/>
              <w:ind w:left="105"/>
              <w:rPr>
                <w:sz w:val="20"/>
              </w:rPr>
            </w:pPr>
            <w:r>
              <w:rPr>
                <w:sz w:val="20"/>
              </w:rPr>
              <w:t>3,</w:t>
            </w:r>
            <w:r>
              <w:rPr>
                <w:spacing w:val="-1"/>
                <w:sz w:val="20"/>
              </w:rPr>
              <w:t xml:space="preserve"> </w:t>
            </w:r>
            <w:r>
              <w:rPr>
                <w:spacing w:val="-5"/>
                <w:sz w:val="20"/>
              </w:rPr>
              <w:t>637</w:t>
            </w:r>
          </w:p>
        </w:tc>
        <w:tc>
          <w:tcPr>
            <w:tcW w:w="667" w:type="dxa"/>
            <w:tcBorders>
              <w:top w:val="single" w:color="000000" w:sz="4" w:space="0"/>
            </w:tcBorders>
          </w:tcPr>
          <w:p w14:paraId="5E155F74">
            <w:pPr>
              <w:pStyle w:val="29"/>
              <w:spacing w:line="210" w:lineRule="exact"/>
              <w:ind w:left="108"/>
              <w:rPr>
                <w:sz w:val="20"/>
              </w:rPr>
            </w:pPr>
            <w:r>
              <w:rPr>
                <w:spacing w:val="-2"/>
                <w:sz w:val="20"/>
              </w:rPr>
              <w:t>0.004</w:t>
            </w:r>
          </w:p>
        </w:tc>
        <w:tc>
          <w:tcPr>
            <w:tcW w:w="997" w:type="dxa"/>
            <w:tcBorders>
              <w:top w:val="single" w:color="000000" w:sz="4" w:space="0"/>
            </w:tcBorders>
          </w:tcPr>
          <w:p w14:paraId="407B9EDF">
            <w:pPr>
              <w:pStyle w:val="29"/>
              <w:spacing w:line="210" w:lineRule="exact"/>
              <w:ind w:left="106"/>
              <w:rPr>
                <w:sz w:val="20"/>
              </w:rPr>
            </w:pPr>
            <w:r>
              <w:rPr>
                <w:spacing w:val="-2"/>
                <w:sz w:val="20"/>
              </w:rPr>
              <w:t>0.021</w:t>
            </w:r>
          </w:p>
        </w:tc>
      </w:tr>
      <w:tr w14:paraId="59C74BD7">
        <w:tblPrEx>
          <w:tblCellMar>
            <w:top w:w="0" w:type="dxa"/>
            <w:left w:w="0" w:type="dxa"/>
            <w:bottom w:w="0" w:type="dxa"/>
            <w:right w:w="0" w:type="dxa"/>
          </w:tblCellMar>
        </w:tblPrEx>
        <w:trPr>
          <w:trHeight w:val="228" w:hRule="atLeast"/>
        </w:trPr>
        <w:tc>
          <w:tcPr>
            <w:tcW w:w="1766" w:type="dxa"/>
          </w:tcPr>
          <w:p w14:paraId="469F50EE">
            <w:pPr>
              <w:pStyle w:val="29"/>
              <w:rPr>
                <w:sz w:val="16"/>
              </w:rPr>
            </w:pPr>
          </w:p>
        </w:tc>
        <w:tc>
          <w:tcPr>
            <w:tcW w:w="1576" w:type="dxa"/>
          </w:tcPr>
          <w:p w14:paraId="2F722F2B">
            <w:pPr>
              <w:pStyle w:val="29"/>
              <w:spacing w:line="208" w:lineRule="exact"/>
              <w:ind w:left="108"/>
              <w:rPr>
                <w:sz w:val="20"/>
              </w:rPr>
            </w:pPr>
            <w:r>
              <w:rPr>
                <w:sz w:val="20"/>
              </w:rPr>
              <w:t>Yüksek</w:t>
            </w:r>
            <w:r>
              <w:rPr>
                <w:spacing w:val="-8"/>
                <w:sz w:val="20"/>
              </w:rPr>
              <w:t xml:space="preserve"> </w:t>
            </w:r>
            <w:r>
              <w:rPr>
                <w:spacing w:val="-2"/>
                <w:sz w:val="20"/>
              </w:rPr>
              <w:t>Lisans</w:t>
            </w:r>
          </w:p>
        </w:tc>
        <w:tc>
          <w:tcPr>
            <w:tcW w:w="519" w:type="dxa"/>
          </w:tcPr>
          <w:p w14:paraId="6A6D4B83">
            <w:pPr>
              <w:pStyle w:val="29"/>
              <w:spacing w:line="208" w:lineRule="exact"/>
              <w:ind w:left="109"/>
              <w:rPr>
                <w:sz w:val="20"/>
              </w:rPr>
            </w:pPr>
            <w:r>
              <w:rPr>
                <w:spacing w:val="-5"/>
                <w:sz w:val="20"/>
              </w:rPr>
              <w:t>205</w:t>
            </w:r>
          </w:p>
        </w:tc>
        <w:tc>
          <w:tcPr>
            <w:tcW w:w="566" w:type="dxa"/>
          </w:tcPr>
          <w:p w14:paraId="5FD654BA">
            <w:pPr>
              <w:pStyle w:val="29"/>
              <w:spacing w:line="208" w:lineRule="exact"/>
              <w:ind w:left="106"/>
              <w:rPr>
                <w:sz w:val="20"/>
              </w:rPr>
            </w:pPr>
            <w:r>
              <w:rPr>
                <w:spacing w:val="-4"/>
                <w:sz w:val="20"/>
              </w:rPr>
              <w:t>3.35</w:t>
            </w:r>
          </w:p>
        </w:tc>
        <w:tc>
          <w:tcPr>
            <w:tcW w:w="567" w:type="dxa"/>
          </w:tcPr>
          <w:p w14:paraId="57AA5C3D">
            <w:pPr>
              <w:pStyle w:val="29"/>
              <w:spacing w:line="208" w:lineRule="exact"/>
              <w:ind w:left="107"/>
              <w:rPr>
                <w:sz w:val="20"/>
              </w:rPr>
            </w:pPr>
            <w:r>
              <w:rPr>
                <w:spacing w:val="-4"/>
                <w:sz w:val="20"/>
              </w:rPr>
              <w:t>0.45</w:t>
            </w:r>
          </w:p>
        </w:tc>
        <w:tc>
          <w:tcPr>
            <w:tcW w:w="666" w:type="dxa"/>
          </w:tcPr>
          <w:p w14:paraId="1CDD6A08">
            <w:pPr>
              <w:pStyle w:val="29"/>
              <w:rPr>
                <w:sz w:val="16"/>
              </w:rPr>
            </w:pPr>
          </w:p>
        </w:tc>
        <w:tc>
          <w:tcPr>
            <w:tcW w:w="715" w:type="dxa"/>
          </w:tcPr>
          <w:p w14:paraId="79F94E95">
            <w:pPr>
              <w:pStyle w:val="29"/>
              <w:rPr>
                <w:sz w:val="16"/>
              </w:rPr>
            </w:pPr>
          </w:p>
        </w:tc>
        <w:tc>
          <w:tcPr>
            <w:tcW w:w="667" w:type="dxa"/>
          </w:tcPr>
          <w:p w14:paraId="7654139E">
            <w:pPr>
              <w:pStyle w:val="29"/>
              <w:rPr>
                <w:sz w:val="16"/>
              </w:rPr>
            </w:pPr>
          </w:p>
        </w:tc>
        <w:tc>
          <w:tcPr>
            <w:tcW w:w="997" w:type="dxa"/>
          </w:tcPr>
          <w:p w14:paraId="432143C2">
            <w:pPr>
              <w:pStyle w:val="29"/>
              <w:rPr>
                <w:sz w:val="16"/>
              </w:rPr>
            </w:pPr>
          </w:p>
        </w:tc>
      </w:tr>
      <w:tr w14:paraId="4D3D7A7C">
        <w:tblPrEx>
          <w:tblCellMar>
            <w:top w:w="0" w:type="dxa"/>
            <w:left w:w="0" w:type="dxa"/>
            <w:bottom w:w="0" w:type="dxa"/>
            <w:right w:w="0" w:type="dxa"/>
          </w:tblCellMar>
        </w:tblPrEx>
        <w:trPr>
          <w:trHeight w:val="230" w:hRule="atLeast"/>
        </w:trPr>
        <w:tc>
          <w:tcPr>
            <w:tcW w:w="1766" w:type="dxa"/>
          </w:tcPr>
          <w:p w14:paraId="2C77FD2C">
            <w:pPr>
              <w:pStyle w:val="29"/>
              <w:rPr>
                <w:sz w:val="16"/>
              </w:rPr>
            </w:pPr>
          </w:p>
        </w:tc>
        <w:tc>
          <w:tcPr>
            <w:tcW w:w="1576" w:type="dxa"/>
          </w:tcPr>
          <w:p w14:paraId="2C7EE31A">
            <w:pPr>
              <w:pStyle w:val="29"/>
              <w:spacing w:line="210" w:lineRule="exact"/>
              <w:ind w:left="108"/>
              <w:rPr>
                <w:sz w:val="20"/>
              </w:rPr>
            </w:pPr>
            <w:r>
              <w:rPr>
                <w:spacing w:val="-2"/>
                <w:sz w:val="20"/>
              </w:rPr>
              <w:t>Doktora</w:t>
            </w:r>
          </w:p>
        </w:tc>
        <w:tc>
          <w:tcPr>
            <w:tcW w:w="519" w:type="dxa"/>
          </w:tcPr>
          <w:p w14:paraId="333662A8">
            <w:pPr>
              <w:pStyle w:val="29"/>
              <w:spacing w:line="210" w:lineRule="exact"/>
              <w:ind w:left="109"/>
              <w:rPr>
                <w:sz w:val="20"/>
              </w:rPr>
            </w:pPr>
            <w:r>
              <w:rPr>
                <w:spacing w:val="-5"/>
                <w:sz w:val="20"/>
              </w:rPr>
              <w:t>78</w:t>
            </w:r>
          </w:p>
        </w:tc>
        <w:tc>
          <w:tcPr>
            <w:tcW w:w="566" w:type="dxa"/>
          </w:tcPr>
          <w:p w14:paraId="0F9FE5DC">
            <w:pPr>
              <w:pStyle w:val="29"/>
              <w:spacing w:line="210" w:lineRule="exact"/>
              <w:ind w:left="106"/>
              <w:rPr>
                <w:sz w:val="20"/>
              </w:rPr>
            </w:pPr>
            <w:r>
              <w:rPr>
                <w:spacing w:val="-4"/>
                <w:sz w:val="20"/>
              </w:rPr>
              <w:t>3.20</w:t>
            </w:r>
          </w:p>
        </w:tc>
        <w:tc>
          <w:tcPr>
            <w:tcW w:w="567" w:type="dxa"/>
          </w:tcPr>
          <w:p w14:paraId="12220672">
            <w:pPr>
              <w:pStyle w:val="29"/>
              <w:spacing w:line="210" w:lineRule="exact"/>
              <w:ind w:left="107"/>
              <w:rPr>
                <w:sz w:val="20"/>
              </w:rPr>
            </w:pPr>
            <w:r>
              <w:rPr>
                <w:spacing w:val="-4"/>
                <w:sz w:val="20"/>
              </w:rPr>
              <w:t>0.51</w:t>
            </w:r>
          </w:p>
        </w:tc>
        <w:tc>
          <w:tcPr>
            <w:tcW w:w="666" w:type="dxa"/>
          </w:tcPr>
          <w:p w14:paraId="63CDC7A7">
            <w:pPr>
              <w:pStyle w:val="29"/>
              <w:rPr>
                <w:sz w:val="16"/>
              </w:rPr>
            </w:pPr>
          </w:p>
        </w:tc>
        <w:tc>
          <w:tcPr>
            <w:tcW w:w="715" w:type="dxa"/>
          </w:tcPr>
          <w:p w14:paraId="062DCDDB">
            <w:pPr>
              <w:pStyle w:val="29"/>
              <w:rPr>
                <w:sz w:val="16"/>
              </w:rPr>
            </w:pPr>
          </w:p>
        </w:tc>
        <w:tc>
          <w:tcPr>
            <w:tcW w:w="667" w:type="dxa"/>
          </w:tcPr>
          <w:p w14:paraId="046BD78F">
            <w:pPr>
              <w:pStyle w:val="29"/>
              <w:rPr>
                <w:sz w:val="16"/>
              </w:rPr>
            </w:pPr>
          </w:p>
        </w:tc>
        <w:tc>
          <w:tcPr>
            <w:tcW w:w="997" w:type="dxa"/>
          </w:tcPr>
          <w:p w14:paraId="1AB9F94B">
            <w:pPr>
              <w:pStyle w:val="29"/>
              <w:rPr>
                <w:sz w:val="16"/>
              </w:rPr>
            </w:pPr>
          </w:p>
        </w:tc>
      </w:tr>
      <w:tr w14:paraId="2236F572">
        <w:tblPrEx>
          <w:tblCellMar>
            <w:top w:w="0" w:type="dxa"/>
            <w:left w:w="0" w:type="dxa"/>
            <w:bottom w:w="0" w:type="dxa"/>
            <w:right w:w="0" w:type="dxa"/>
          </w:tblCellMar>
        </w:tblPrEx>
        <w:trPr>
          <w:trHeight w:val="232" w:hRule="atLeast"/>
        </w:trPr>
        <w:tc>
          <w:tcPr>
            <w:tcW w:w="1766" w:type="dxa"/>
            <w:tcBorders>
              <w:bottom w:val="single" w:color="000000" w:sz="4" w:space="0"/>
            </w:tcBorders>
          </w:tcPr>
          <w:p w14:paraId="0BF3D1F2">
            <w:pPr>
              <w:pStyle w:val="29"/>
              <w:rPr>
                <w:sz w:val="16"/>
              </w:rPr>
            </w:pPr>
          </w:p>
        </w:tc>
        <w:tc>
          <w:tcPr>
            <w:tcW w:w="1576" w:type="dxa"/>
            <w:tcBorders>
              <w:bottom w:val="single" w:color="000000" w:sz="4" w:space="0"/>
            </w:tcBorders>
          </w:tcPr>
          <w:p w14:paraId="1642EF39">
            <w:pPr>
              <w:pStyle w:val="29"/>
              <w:spacing w:line="213" w:lineRule="exact"/>
              <w:ind w:left="108"/>
              <w:rPr>
                <w:sz w:val="20"/>
              </w:rPr>
            </w:pPr>
            <w:r>
              <w:rPr>
                <w:spacing w:val="-2"/>
                <w:sz w:val="20"/>
              </w:rPr>
              <w:t>Diğer</w:t>
            </w:r>
          </w:p>
        </w:tc>
        <w:tc>
          <w:tcPr>
            <w:tcW w:w="519" w:type="dxa"/>
            <w:tcBorders>
              <w:bottom w:val="single" w:color="000000" w:sz="4" w:space="0"/>
            </w:tcBorders>
          </w:tcPr>
          <w:p w14:paraId="59A330F7">
            <w:pPr>
              <w:pStyle w:val="29"/>
              <w:spacing w:line="213" w:lineRule="exact"/>
              <w:ind w:left="109"/>
              <w:rPr>
                <w:sz w:val="20"/>
              </w:rPr>
            </w:pPr>
            <w:r>
              <w:rPr>
                <w:spacing w:val="-5"/>
                <w:sz w:val="20"/>
              </w:rPr>
              <w:t>56</w:t>
            </w:r>
          </w:p>
        </w:tc>
        <w:tc>
          <w:tcPr>
            <w:tcW w:w="566" w:type="dxa"/>
            <w:tcBorders>
              <w:bottom w:val="single" w:color="000000" w:sz="4" w:space="0"/>
            </w:tcBorders>
          </w:tcPr>
          <w:p w14:paraId="3FC86108">
            <w:pPr>
              <w:pStyle w:val="29"/>
              <w:spacing w:line="213" w:lineRule="exact"/>
              <w:ind w:left="106"/>
              <w:rPr>
                <w:sz w:val="20"/>
              </w:rPr>
            </w:pPr>
            <w:r>
              <w:rPr>
                <w:spacing w:val="-4"/>
                <w:sz w:val="20"/>
              </w:rPr>
              <w:t>3.22</w:t>
            </w:r>
          </w:p>
        </w:tc>
        <w:tc>
          <w:tcPr>
            <w:tcW w:w="567" w:type="dxa"/>
            <w:tcBorders>
              <w:bottom w:val="single" w:color="000000" w:sz="4" w:space="0"/>
            </w:tcBorders>
          </w:tcPr>
          <w:p w14:paraId="312E62DF">
            <w:pPr>
              <w:pStyle w:val="29"/>
              <w:spacing w:line="213" w:lineRule="exact"/>
              <w:ind w:left="107"/>
              <w:rPr>
                <w:sz w:val="20"/>
              </w:rPr>
            </w:pPr>
            <w:r>
              <w:rPr>
                <w:spacing w:val="-4"/>
                <w:sz w:val="20"/>
              </w:rPr>
              <w:t>0.49</w:t>
            </w:r>
          </w:p>
        </w:tc>
        <w:tc>
          <w:tcPr>
            <w:tcW w:w="666" w:type="dxa"/>
            <w:tcBorders>
              <w:bottom w:val="single" w:color="000000" w:sz="4" w:space="0"/>
            </w:tcBorders>
          </w:tcPr>
          <w:p w14:paraId="46A312A4">
            <w:pPr>
              <w:pStyle w:val="29"/>
              <w:rPr>
                <w:sz w:val="16"/>
              </w:rPr>
            </w:pPr>
          </w:p>
        </w:tc>
        <w:tc>
          <w:tcPr>
            <w:tcW w:w="715" w:type="dxa"/>
            <w:tcBorders>
              <w:bottom w:val="single" w:color="000000" w:sz="4" w:space="0"/>
            </w:tcBorders>
          </w:tcPr>
          <w:p w14:paraId="048C4ED2">
            <w:pPr>
              <w:pStyle w:val="29"/>
              <w:rPr>
                <w:sz w:val="16"/>
              </w:rPr>
            </w:pPr>
          </w:p>
        </w:tc>
        <w:tc>
          <w:tcPr>
            <w:tcW w:w="667" w:type="dxa"/>
            <w:tcBorders>
              <w:bottom w:val="single" w:color="000000" w:sz="4" w:space="0"/>
            </w:tcBorders>
          </w:tcPr>
          <w:p w14:paraId="000A6147">
            <w:pPr>
              <w:pStyle w:val="29"/>
              <w:rPr>
                <w:sz w:val="16"/>
              </w:rPr>
            </w:pPr>
          </w:p>
        </w:tc>
        <w:tc>
          <w:tcPr>
            <w:tcW w:w="997" w:type="dxa"/>
            <w:tcBorders>
              <w:bottom w:val="single" w:color="000000" w:sz="4" w:space="0"/>
            </w:tcBorders>
          </w:tcPr>
          <w:p w14:paraId="22A1E66F">
            <w:pPr>
              <w:pStyle w:val="29"/>
              <w:rPr>
                <w:sz w:val="16"/>
              </w:rPr>
            </w:pPr>
          </w:p>
        </w:tc>
      </w:tr>
    </w:tbl>
    <w:p w14:paraId="757CE3D4">
      <w:pPr>
        <w:pStyle w:val="5"/>
        <w:spacing w:before="240" w:after="240" w:line="360" w:lineRule="auto"/>
        <w:ind w:left="567"/>
        <w:rPr>
          <w:rFonts w:ascii="Times New Roman" w:hAnsi="Times New Roman" w:cs="Times New Roman"/>
          <w:b/>
          <w:i w:val="0"/>
          <w:color w:val="auto"/>
          <w:sz w:val="24"/>
        </w:rPr>
      </w:pPr>
      <w:bookmarkStart w:id="243" w:name="_Toc195875856"/>
      <w:bookmarkStart w:id="244" w:name="_Toc195877835"/>
      <w:bookmarkStart w:id="245" w:name="_Toc197351288"/>
      <w:r>
        <w:rPr>
          <w:rFonts w:ascii="Times New Roman" w:hAnsi="Times New Roman" w:cs="Times New Roman"/>
          <w:b/>
          <w:i w:val="0"/>
          <w:color w:val="auto"/>
          <w:sz w:val="24"/>
        </w:rPr>
        <w:t>4.2.2.3. YaşlarıAçısından Öğretmenlerin Sanal Rekreasyon Deneyimlerinin İstatistiksel İncelenmesi</w:t>
      </w:r>
      <w:bookmarkEnd w:id="243"/>
      <w:bookmarkEnd w:id="244"/>
      <w:bookmarkEnd w:id="245"/>
    </w:p>
    <w:p w14:paraId="77CBFE07">
      <w:pPr>
        <w:spacing w:before="120" w:after="120" w:line="360" w:lineRule="auto"/>
        <w:ind w:firstLine="567"/>
        <w:jc w:val="both"/>
        <w:rPr>
          <w:i/>
          <w:sz w:val="24"/>
        </w:rPr>
      </w:pPr>
      <w:r>
        <w:rPr>
          <w:sz w:val="24"/>
        </w:rPr>
        <w:t>H2:4: “</w:t>
      </w:r>
      <w:r>
        <w:rPr>
          <w:i/>
          <w:sz w:val="24"/>
        </w:rPr>
        <w:t>Öğretmenlerin sanal rekreasyon deneyimleri ile yaşları arasında bir farklılık vardır.”</w:t>
      </w:r>
    </w:p>
    <w:p w14:paraId="73DFD476">
      <w:pPr>
        <w:pStyle w:val="9"/>
        <w:spacing w:before="120" w:after="120" w:line="360" w:lineRule="auto"/>
        <w:ind w:left="0" w:firstLine="567"/>
      </w:pPr>
      <w:r>
        <w:t>Bu bölümde, öğretmenlerin yaş gruplarına göre sanal rekreasyon deneyimleri arasındaki</w:t>
      </w:r>
      <w:r>
        <w:rPr>
          <w:spacing w:val="-6"/>
        </w:rPr>
        <w:t xml:space="preserve"> </w:t>
      </w:r>
      <w:r>
        <w:t>farklılıklar</w:t>
      </w:r>
      <w:r>
        <w:rPr>
          <w:spacing w:val="-7"/>
        </w:rPr>
        <w:t xml:space="preserve"> </w:t>
      </w:r>
      <w:r>
        <w:t>istatistiksel</w:t>
      </w:r>
      <w:r>
        <w:rPr>
          <w:spacing w:val="-5"/>
        </w:rPr>
        <w:t xml:space="preserve"> </w:t>
      </w:r>
      <w:r>
        <w:t>olarak</w:t>
      </w:r>
      <w:r>
        <w:rPr>
          <w:spacing w:val="-6"/>
        </w:rPr>
        <w:t xml:space="preserve"> </w:t>
      </w:r>
      <w:r>
        <w:t>incelenmiştir.</w:t>
      </w:r>
      <w:r>
        <w:rPr>
          <w:spacing w:val="-13"/>
        </w:rPr>
        <w:t xml:space="preserve"> </w:t>
      </w:r>
      <w:r>
        <w:t>Yaş</w:t>
      </w:r>
      <w:r>
        <w:rPr>
          <w:spacing w:val="-6"/>
        </w:rPr>
        <w:t xml:space="preserve"> </w:t>
      </w:r>
      <w:r>
        <w:t>değişkeni,</w:t>
      </w:r>
      <w:r>
        <w:rPr>
          <w:spacing w:val="-6"/>
        </w:rPr>
        <w:t xml:space="preserve"> </w:t>
      </w:r>
      <w:r>
        <w:t>öğretmenlerin</w:t>
      </w:r>
      <w:r>
        <w:rPr>
          <w:spacing w:val="-5"/>
        </w:rPr>
        <w:t xml:space="preserve"> </w:t>
      </w:r>
      <w:r>
        <w:t>sanal rekreasyon deneyimlerine yönelik tutumlarının farklılaşıp farklılaşmadığını belirlemek amacıyla</w:t>
      </w:r>
      <w:r>
        <w:rPr>
          <w:spacing w:val="-15"/>
        </w:rPr>
        <w:t xml:space="preserve"> </w:t>
      </w:r>
      <w:r>
        <w:t>tek</w:t>
      </w:r>
      <w:r>
        <w:rPr>
          <w:spacing w:val="-15"/>
        </w:rPr>
        <w:t xml:space="preserve"> </w:t>
      </w:r>
      <w:r>
        <w:t>yönlü</w:t>
      </w:r>
      <w:r>
        <w:rPr>
          <w:spacing w:val="-15"/>
        </w:rPr>
        <w:t xml:space="preserve"> </w:t>
      </w:r>
      <w:r>
        <w:t>varyans</w:t>
      </w:r>
      <w:r>
        <w:rPr>
          <w:spacing w:val="-15"/>
        </w:rPr>
        <w:t xml:space="preserve"> </w:t>
      </w:r>
      <w:r>
        <w:t>analizi</w:t>
      </w:r>
      <w:r>
        <w:rPr>
          <w:spacing w:val="-15"/>
        </w:rPr>
        <w:t xml:space="preserve"> </w:t>
      </w:r>
      <w:r>
        <w:t>(ANOVA)</w:t>
      </w:r>
      <w:r>
        <w:rPr>
          <w:spacing w:val="-15"/>
        </w:rPr>
        <w:t xml:space="preserve"> </w:t>
      </w:r>
      <w:r>
        <w:t>kullanılarak</w:t>
      </w:r>
      <w:r>
        <w:rPr>
          <w:spacing w:val="-15"/>
        </w:rPr>
        <w:t xml:space="preserve"> </w:t>
      </w:r>
      <w:r>
        <w:t>değerlendirilmiştir.</w:t>
      </w:r>
      <w:r>
        <w:rPr>
          <w:spacing w:val="-15"/>
        </w:rPr>
        <w:t xml:space="preserve"> </w:t>
      </w:r>
      <w:r>
        <w:t>Katılımcılar yaşlarına</w:t>
      </w:r>
      <w:r>
        <w:rPr>
          <w:spacing w:val="-5"/>
        </w:rPr>
        <w:t xml:space="preserve"> </w:t>
      </w:r>
      <w:r>
        <w:t>göre</w:t>
      </w:r>
      <w:r>
        <w:rPr>
          <w:spacing w:val="-7"/>
        </w:rPr>
        <w:t xml:space="preserve"> </w:t>
      </w:r>
      <w:r>
        <w:t>dört</w:t>
      </w:r>
      <w:r>
        <w:rPr>
          <w:spacing w:val="-3"/>
        </w:rPr>
        <w:t xml:space="preserve"> </w:t>
      </w:r>
      <w:r>
        <w:t>gruba</w:t>
      </w:r>
      <w:r>
        <w:rPr>
          <w:spacing w:val="-5"/>
        </w:rPr>
        <w:t xml:space="preserve"> </w:t>
      </w:r>
      <w:r>
        <w:t>ayrılmıştır</w:t>
      </w:r>
      <w:r>
        <w:rPr>
          <w:spacing w:val="-7"/>
        </w:rPr>
        <w:t xml:space="preserve"> </w:t>
      </w:r>
      <w:r>
        <w:t>(Grup</w:t>
      </w:r>
      <w:r>
        <w:rPr>
          <w:spacing w:val="-4"/>
        </w:rPr>
        <w:t xml:space="preserve"> </w:t>
      </w:r>
      <w:r>
        <w:t>1:</w:t>
      </w:r>
      <w:r>
        <w:rPr>
          <w:spacing w:val="-5"/>
        </w:rPr>
        <w:t xml:space="preserve"> </w:t>
      </w:r>
      <w:r>
        <w:t>20-29</w:t>
      </w:r>
      <w:r>
        <w:rPr>
          <w:spacing w:val="-3"/>
        </w:rPr>
        <w:t xml:space="preserve"> </w:t>
      </w:r>
      <w:r>
        <w:t>yaş;</w:t>
      </w:r>
      <w:r>
        <w:rPr>
          <w:spacing w:val="-5"/>
        </w:rPr>
        <w:t xml:space="preserve"> </w:t>
      </w:r>
      <w:r>
        <w:t>Grup</w:t>
      </w:r>
      <w:r>
        <w:rPr>
          <w:spacing w:val="-7"/>
        </w:rPr>
        <w:t xml:space="preserve"> </w:t>
      </w:r>
      <w:r>
        <w:t>2:</w:t>
      </w:r>
      <w:r>
        <w:rPr>
          <w:spacing w:val="-5"/>
        </w:rPr>
        <w:t xml:space="preserve"> </w:t>
      </w:r>
      <w:r>
        <w:t>30-39</w:t>
      </w:r>
      <w:r>
        <w:rPr>
          <w:spacing w:val="-2"/>
        </w:rPr>
        <w:t xml:space="preserve"> </w:t>
      </w:r>
      <w:r>
        <w:t>yaş;</w:t>
      </w:r>
      <w:r>
        <w:rPr>
          <w:spacing w:val="-3"/>
        </w:rPr>
        <w:t xml:space="preserve"> </w:t>
      </w:r>
      <w:r>
        <w:t>Grup</w:t>
      </w:r>
      <w:r>
        <w:rPr>
          <w:spacing w:val="-6"/>
        </w:rPr>
        <w:t xml:space="preserve"> </w:t>
      </w:r>
      <w:r>
        <w:t>3:</w:t>
      </w:r>
      <w:r>
        <w:rPr>
          <w:spacing w:val="-5"/>
        </w:rPr>
        <w:t xml:space="preserve"> </w:t>
      </w:r>
      <w:r>
        <w:t>40-49 yaş; Grup 4: 50 yaş ve üstü).</w:t>
      </w:r>
    </w:p>
    <w:p w14:paraId="03BAF8DA">
      <w:pPr>
        <w:pStyle w:val="9"/>
        <w:spacing w:before="120" w:after="120" w:line="360" w:lineRule="auto"/>
        <w:ind w:left="0" w:firstLine="567"/>
      </w:pPr>
      <w:r>
        <w:t>Yapılan ANOVA analizi sonucunda, yaş grupları arasında sanal rekreasyon deneyimleri</w:t>
      </w:r>
      <w:r>
        <w:rPr>
          <w:spacing w:val="-15"/>
        </w:rPr>
        <w:t xml:space="preserve"> </w:t>
      </w:r>
      <w:r>
        <w:t>açısından</w:t>
      </w:r>
      <w:r>
        <w:rPr>
          <w:spacing w:val="-15"/>
        </w:rPr>
        <w:t xml:space="preserve"> </w:t>
      </w:r>
      <w:r>
        <w:t>istatistiksel</w:t>
      </w:r>
      <w:r>
        <w:rPr>
          <w:spacing w:val="-15"/>
        </w:rPr>
        <w:t xml:space="preserve"> </w:t>
      </w:r>
      <w:r>
        <w:t>olarak</w:t>
      </w:r>
      <w:r>
        <w:rPr>
          <w:spacing w:val="-15"/>
        </w:rPr>
        <w:t xml:space="preserve"> </w:t>
      </w:r>
      <w:r>
        <w:t>anlamlı</w:t>
      </w:r>
      <w:r>
        <w:rPr>
          <w:spacing w:val="-15"/>
        </w:rPr>
        <w:t xml:space="preserve"> </w:t>
      </w:r>
      <w:r>
        <w:t>bir</w:t>
      </w:r>
      <w:r>
        <w:rPr>
          <w:spacing w:val="-15"/>
        </w:rPr>
        <w:t xml:space="preserve"> </w:t>
      </w:r>
      <w:r>
        <w:t>fark</w:t>
      </w:r>
      <w:r>
        <w:rPr>
          <w:spacing w:val="-15"/>
        </w:rPr>
        <w:t xml:space="preserve"> </w:t>
      </w:r>
      <w:r>
        <w:t>bulunmamıştır</w:t>
      </w:r>
      <w:r>
        <w:rPr>
          <w:spacing w:val="-15"/>
        </w:rPr>
        <w:t xml:space="preserve"> </w:t>
      </w:r>
      <w:r>
        <w:t>(F(3,</w:t>
      </w:r>
      <w:r>
        <w:rPr>
          <w:spacing w:val="-15"/>
        </w:rPr>
        <w:t xml:space="preserve"> </w:t>
      </w:r>
      <w:r>
        <w:t>637)</w:t>
      </w:r>
      <w:r>
        <w:rPr>
          <w:spacing w:val="-15"/>
        </w:rPr>
        <w:t xml:space="preserve"> </w:t>
      </w:r>
      <w:r>
        <w:t>=</w:t>
      </w:r>
      <w:r>
        <w:rPr>
          <w:spacing w:val="-15"/>
        </w:rPr>
        <w:t xml:space="preserve"> </w:t>
      </w:r>
      <w:r>
        <w:t>2.293, p = .077). Bu sonuç, öğretmenlerin sanal rekreasyon deneyimlerinin yaş gruplarına göre farklılaşmadığını göstermektedir.</w:t>
      </w:r>
      <w:r>
        <w:rPr>
          <w:spacing w:val="-2"/>
        </w:rPr>
        <w:t xml:space="preserve"> </w:t>
      </w:r>
      <w:r>
        <w:t>Ancak, p değeri .05 anlamlılık düzeyine oldukça yakın olduğu için, yaş değişkeninin sanal rekreasyon deneyimlerinde sınıra yakın bir etki gösterdiği söylenebilir.</w:t>
      </w:r>
    </w:p>
    <w:p w14:paraId="7C5F90A3">
      <w:pPr>
        <w:pStyle w:val="9"/>
        <w:spacing w:before="120" w:after="120" w:line="360" w:lineRule="auto"/>
        <w:ind w:left="0" w:firstLine="567"/>
      </w:pPr>
      <w:r>
        <w:t>Etki büyüklüğü (eta kare) hesaplandığında, 0.011 olarak bulunmuştur. Bu, yaş grupları arasında gözlenen farkların küçük bir etki büyüklüğüne sahip olduğunu göstermektedir.</w:t>
      </w:r>
      <w:r>
        <w:rPr>
          <w:spacing w:val="-15"/>
        </w:rPr>
        <w:t xml:space="preserve"> </w:t>
      </w:r>
      <w:r>
        <w:t>Yani,</w:t>
      </w:r>
      <w:r>
        <w:rPr>
          <w:spacing w:val="-13"/>
        </w:rPr>
        <w:t xml:space="preserve"> </w:t>
      </w:r>
      <w:r>
        <w:t>yaş</w:t>
      </w:r>
      <w:r>
        <w:rPr>
          <w:spacing w:val="-11"/>
        </w:rPr>
        <w:t xml:space="preserve"> </w:t>
      </w:r>
      <w:r>
        <w:t>değişkeni</w:t>
      </w:r>
      <w:r>
        <w:rPr>
          <w:spacing w:val="-14"/>
        </w:rPr>
        <w:t xml:space="preserve"> </w:t>
      </w:r>
      <w:r>
        <w:t>öğretmenlerin</w:t>
      </w:r>
      <w:r>
        <w:rPr>
          <w:spacing w:val="-11"/>
        </w:rPr>
        <w:t xml:space="preserve"> </w:t>
      </w:r>
      <w:r>
        <w:t>sanal</w:t>
      </w:r>
      <w:r>
        <w:rPr>
          <w:spacing w:val="-13"/>
        </w:rPr>
        <w:t xml:space="preserve"> </w:t>
      </w:r>
      <w:r>
        <w:t>rekreasyon</w:t>
      </w:r>
      <w:r>
        <w:rPr>
          <w:spacing w:val="-13"/>
        </w:rPr>
        <w:t xml:space="preserve"> </w:t>
      </w:r>
      <w:r>
        <w:t>deneyimlerine</w:t>
      </w:r>
      <w:r>
        <w:rPr>
          <w:spacing w:val="-14"/>
        </w:rPr>
        <w:t xml:space="preserve"> </w:t>
      </w:r>
      <w:r>
        <w:t>anlamlı bir etki yapmamaktadır. Bu sonuç H2.4 hipotezinin reddedildiğini göstermektedir. Analiz sonuçları Tablo 4.7’de yer almaktadır.</w:t>
      </w:r>
    </w:p>
    <w:p w14:paraId="711BD032">
      <w:pPr>
        <w:pStyle w:val="9"/>
        <w:spacing w:line="360" w:lineRule="auto"/>
        <w:ind w:left="0"/>
      </w:pPr>
      <w:r>
        <w:rPr>
          <w:b/>
        </w:rPr>
        <w:t>Tablo 4.7.</w:t>
      </w:r>
      <w:r>
        <w:t xml:space="preserve"> Yaşları Açısından Öğretmenlerin Sanal Rekreasyon Deneyimlerinin İstatistiksel İncelenmesi</w:t>
      </w:r>
    </w:p>
    <w:p w14:paraId="25F1E767">
      <w:pPr>
        <w:pStyle w:val="9"/>
        <w:spacing w:before="3"/>
        <w:ind w:left="0"/>
        <w:jc w:val="left"/>
        <w:rPr>
          <w:sz w:val="20"/>
        </w:rPr>
      </w:pPr>
    </w:p>
    <w:tbl>
      <w:tblPr>
        <w:tblStyle w:val="7"/>
        <w:tblW w:w="0" w:type="auto"/>
        <w:tblInd w:w="153" w:type="dxa"/>
        <w:tblLayout w:type="fixed"/>
        <w:tblCellMar>
          <w:top w:w="0" w:type="dxa"/>
          <w:left w:w="0" w:type="dxa"/>
          <w:bottom w:w="0" w:type="dxa"/>
          <w:right w:w="0" w:type="dxa"/>
        </w:tblCellMar>
      </w:tblPr>
      <w:tblGrid>
        <w:gridCol w:w="1962"/>
        <w:gridCol w:w="1536"/>
        <w:gridCol w:w="644"/>
        <w:gridCol w:w="564"/>
        <w:gridCol w:w="576"/>
        <w:gridCol w:w="699"/>
        <w:gridCol w:w="780"/>
        <w:gridCol w:w="731"/>
        <w:gridCol w:w="1313"/>
      </w:tblGrid>
      <w:tr w14:paraId="56BB3912">
        <w:tblPrEx>
          <w:tblCellMar>
            <w:top w:w="0" w:type="dxa"/>
            <w:left w:w="0" w:type="dxa"/>
            <w:bottom w:w="0" w:type="dxa"/>
            <w:right w:w="0" w:type="dxa"/>
          </w:tblCellMar>
        </w:tblPrEx>
        <w:trPr>
          <w:trHeight w:val="270" w:hRule="atLeast"/>
        </w:trPr>
        <w:tc>
          <w:tcPr>
            <w:tcW w:w="1962" w:type="dxa"/>
            <w:tcBorders>
              <w:top w:val="single" w:color="000000" w:sz="4" w:space="0"/>
              <w:bottom w:val="single" w:color="000000" w:sz="4" w:space="0"/>
            </w:tcBorders>
          </w:tcPr>
          <w:p w14:paraId="41162CB4">
            <w:pPr>
              <w:pStyle w:val="29"/>
              <w:spacing w:before="12"/>
              <w:ind w:left="57"/>
              <w:rPr>
                <w:b/>
                <w:sz w:val="20"/>
              </w:rPr>
            </w:pPr>
            <w:r>
              <w:rPr>
                <w:b/>
                <w:spacing w:val="-2"/>
                <w:sz w:val="20"/>
              </w:rPr>
              <w:t>Değişkenler</w:t>
            </w:r>
          </w:p>
        </w:tc>
        <w:tc>
          <w:tcPr>
            <w:tcW w:w="1536" w:type="dxa"/>
            <w:tcBorders>
              <w:top w:val="single" w:color="000000" w:sz="4" w:space="0"/>
              <w:bottom w:val="single" w:color="000000" w:sz="4" w:space="0"/>
            </w:tcBorders>
          </w:tcPr>
          <w:p w14:paraId="478D88D4">
            <w:pPr>
              <w:pStyle w:val="29"/>
              <w:spacing w:before="12"/>
              <w:ind w:left="368"/>
              <w:rPr>
                <w:b/>
                <w:sz w:val="20"/>
              </w:rPr>
            </w:pPr>
            <w:r>
              <w:rPr>
                <w:b/>
                <w:spacing w:val="-8"/>
                <w:sz w:val="20"/>
              </w:rPr>
              <w:t>Yaş</w:t>
            </w:r>
            <w:r>
              <w:rPr>
                <w:b/>
                <w:spacing w:val="-2"/>
                <w:sz w:val="20"/>
              </w:rPr>
              <w:t xml:space="preserve"> </w:t>
            </w:r>
            <w:r>
              <w:rPr>
                <w:b/>
                <w:spacing w:val="-4"/>
                <w:sz w:val="20"/>
              </w:rPr>
              <w:t>Grubu</w:t>
            </w:r>
          </w:p>
        </w:tc>
        <w:tc>
          <w:tcPr>
            <w:tcW w:w="644" w:type="dxa"/>
            <w:tcBorders>
              <w:top w:val="single" w:color="000000" w:sz="4" w:space="0"/>
              <w:bottom w:val="single" w:color="000000" w:sz="4" w:space="0"/>
            </w:tcBorders>
          </w:tcPr>
          <w:p w14:paraId="41BEC2F7">
            <w:pPr>
              <w:pStyle w:val="29"/>
              <w:spacing w:before="12"/>
              <w:ind w:left="239"/>
              <w:rPr>
                <w:b/>
                <w:sz w:val="20"/>
              </w:rPr>
            </w:pPr>
            <w:r>
              <w:rPr>
                <w:b/>
                <w:w w:val="99"/>
                <w:sz w:val="20"/>
              </w:rPr>
              <w:t>N</w:t>
            </w:r>
          </w:p>
        </w:tc>
        <w:tc>
          <w:tcPr>
            <w:tcW w:w="564" w:type="dxa"/>
            <w:tcBorders>
              <w:top w:val="single" w:color="000000" w:sz="4" w:space="0"/>
              <w:bottom w:val="single" w:color="000000" w:sz="4" w:space="0"/>
            </w:tcBorders>
          </w:tcPr>
          <w:p w14:paraId="1443B00C">
            <w:pPr>
              <w:pStyle w:val="29"/>
              <w:spacing w:line="239" w:lineRule="exact"/>
              <w:ind w:left="99"/>
              <w:rPr>
                <w:b/>
                <w:sz w:val="20"/>
              </w:rPr>
            </w:pPr>
            <w:r>
              <w:rPr>
                <w:b/>
                <w:spacing w:val="-11"/>
                <w:position w:val="-3"/>
                <w:sz w:val="20"/>
              </w:rPr>
              <w:t>X</w:t>
            </w:r>
            <w:r>
              <w:rPr>
                <w:b/>
                <w:spacing w:val="-11"/>
                <w:sz w:val="20"/>
              </w:rPr>
              <w:t>̄</w:t>
            </w:r>
          </w:p>
        </w:tc>
        <w:tc>
          <w:tcPr>
            <w:tcW w:w="576" w:type="dxa"/>
            <w:tcBorders>
              <w:top w:val="single" w:color="000000" w:sz="4" w:space="0"/>
              <w:bottom w:val="single" w:color="000000" w:sz="4" w:space="0"/>
            </w:tcBorders>
          </w:tcPr>
          <w:p w14:paraId="18BAF46F">
            <w:pPr>
              <w:pStyle w:val="29"/>
              <w:spacing w:before="12"/>
              <w:ind w:left="109"/>
              <w:rPr>
                <w:b/>
                <w:sz w:val="20"/>
              </w:rPr>
            </w:pPr>
            <w:r>
              <w:rPr>
                <w:b/>
                <w:spacing w:val="-5"/>
                <w:sz w:val="20"/>
              </w:rPr>
              <w:t>SS</w:t>
            </w:r>
          </w:p>
        </w:tc>
        <w:tc>
          <w:tcPr>
            <w:tcW w:w="699" w:type="dxa"/>
            <w:tcBorders>
              <w:top w:val="single" w:color="000000" w:sz="4" w:space="0"/>
              <w:bottom w:val="single" w:color="000000" w:sz="4" w:space="0"/>
            </w:tcBorders>
          </w:tcPr>
          <w:p w14:paraId="4B510506">
            <w:pPr>
              <w:pStyle w:val="29"/>
              <w:spacing w:before="12"/>
              <w:ind w:left="109"/>
              <w:rPr>
                <w:b/>
                <w:sz w:val="20"/>
              </w:rPr>
            </w:pPr>
            <w:r>
              <w:rPr>
                <w:b/>
                <w:w w:val="99"/>
                <w:sz w:val="20"/>
              </w:rPr>
              <w:t>F</w:t>
            </w:r>
          </w:p>
        </w:tc>
        <w:tc>
          <w:tcPr>
            <w:tcW w:w="780" w:type="dxa"/>
            <w:tcBorders>
              <w:top w:val="single" w:color="000000" w:sz="4" w:space="0"/>
              <w:bottom w:val="single" w:color="000000" w:sz="4" w:space="0"/>
            </w:tcBorders>
          </w:tcPr>
          <w:p w14:paraId="17ACBEC8">
            <w:pPr>
              <w:pStyle w:val="29"/>
              <w:spacing w:before="12"/>
              <w:ind w:left="130"/>
              <w:rPr>
                <w:b/>
                <w:sz w:val="20"/>
              </w:rPr>
            </w:pPr>
            <w:r>
              <w:rPr>
                <w:b/>
                <w:spacing w:val="-5"/>
                <w:sz w:val="20"/>
              </w:rPr>
              <w:t>df</w:t>
            </w:r>
          </w:p>
        </w:tc>
        <w:tc>
          <w:tcPr>
            <w:tcW w:w="731" w:type="dxa"/>
            <w:tcBorders>
              <w:top w:val="single" w:color="000000" w:sz="4" w:space="0"/>
              <w:bottom w:val="single" w:color="000000" w:sz="4" w:space="0"/>
            </w:tcBorders>
          </w:tcPr>
          <w:p w14:paraId="2EAC1D68">
            <w:pPr>
              <w:pStyle w:val="29"/>
              <w:spacing w:before="12"/>
              <w:ind w:left="140"/>
              <w:rPr>
                <w:b/>
                <w:sz w:val="20"/>
              </w:rPr>
            </w:pPr>
            <w:r>
              <w:rPr>
                <w:b/>
                <w:w w:val="99"/>
                <w:sz w:val="20"/>
              </w:rPr>
              <w:t>p</w:t>
            </w:r>
          </w:p>
        </w:tc>
        <w:tc>
          <w:tcPr>
            <w:tcW w:w="1313" w:type="dxa"/>
            <w:tcBorders>
              <w:top w:val="single" w:color="000000" w:sz="4" w:space="0"/>
              <w:bottom w:val="single" w:color="000000" w:sz="4" w:space="0"/>
            </w:tcBorders>
          </w:tcPr>
          <w:p w14:paraId="5465DCA1">
            <w:pPr>
              <w:pStyle w:val="29"/>
              <w:spacing w:before="12"/>
              <w:ind w:left="127"/>
              <w:rPr>
                <w:b/>
                <w:sz w:val="20"/>
              </w:rPr>
            </w:pPr>
            <w:r>
              <w:rPr>
                <w:b/>
                <w:sz w:val="20"/>
              </w:rPr>
              <w:t>Eta</w:t>
            </w:r>
            <w:r>
              <w:rPr>
                <w:b/>
                <w:spacing w:val="-3"/>
                <w:sz w:val="20"/>
              </w:rPr>
              <w:t xml:space="preserve"> </w:t>
            </w:r>
            <w:r>
              <w:rPr>
                <w:b/>
                <w:spacing w:val="-4"/>
                <w:sz w:val="20"/>
              </w:rPr>
              <w:t>Kare</w:t>
            </w:r>
          </w:p>
        </w:tc>
      </w:tr>
      <w:tr w14:paraId="7A7F5D52">
        <w:tblPrEx>
          <w:tblCellMar>
            <w:top w:w="0" w:type="dxa"/>
            <w:left w:w="0" w:type="dxa"/>
            <w:bottom w:w="0" w:type="dxa"/>
            <w:right w:w="0" w:type="dxa"/>
          </w:tblCellMar>
        </w:tblPrEx>
        <w:trPr>
          <w:trHeight w:val="312" w:hRule="atLeast"/>
        </w:trPr>
        <w:tc>
          <w:tcPr>
            <w:tcW w:w="1962" w:type="dxa"/>
            <w:tcBorders>
              <w:top w:val="single" w:color="000000" w:sz="4" w:space="0"/>
            </w:tcBorders>
          </w:tcPr>
          <w:p w14:paraId="00DCE509">
            <w:pPr>
              <w:pStyle w:val="29"/>
              <w:spacing w:before="43"/>
              <w:ind w:left="57"/>
              <w:rPr>
                <w:b/>
                <w:sz w:val="20"/>
              </w:rPr>
            </w:pPr>
            <w:r>
              <w:rPr>
                <w:b/>
                <w:sz w:val="20"/>
              </w:rPr>
              <w:t>Sanal</w:t>
            </w:r>
            <w:r>
              <w:rPr>
                <w:b/>
                <w:spacing w:val="-6"/>
                <w:sz w:val="20"/>
              </w:rPr>
              <w:t xml:space="preserve"> </w:t>
            </w:r>
            <w:r>
              <w:rPr>
                <w:b/>
                <w:spacing w:val="-2"/>
                <w:sz w:val="20"/>
              </w:rPr>
              <w:t>Rekreasyon</w:t>
            </w:r>
          </w:p>
        </w:tc>
        <w:tc>
          <w:tcPr>
            <w:tcW w:w="1536" w:type="dxa"/>
            <w:tcBorders>
              <w:top w:val="single" w:color="000000" w:sz="4" w:space="0"/>
            </w:tcBorders>
          </w:tcPr>
          <w:p w14:paraId="06D12D7D">
            <w:pPr>
              <w:pStyle w:val="29"/>
              <w:spacing w:before="38"/>
              <w:ind w:left="368"/>
              <w:rPr>
                <w:sz w:val="20"/>
              </w:rPr>
            </w:pPr>
            <w:r>
              <w:rPr>
                <w:spacing w:val="-2"/>
                <w:sz w:val="20"/>
              </w:rPr>
              <w:t>20-</w:t>
            </w:r>
            <w:r>
              <w:rPr>
                <w:spacing w:val="-5"/>
                <w:sz w:val="20"/>
              </w:rPr>
              <w:t>29</w:t>
            </w:r>
          </w:p>
        </w:tc>
        <w:tc>
          <w:tcPr>
            <w:tcW w:w="644" w:type="dxa"/>
            <w:tcBorders>
              <w:top w:val="single" w:color="000000" w:sz="4" w:space="0"/>
            </w:tcBorders>
          </w:tcPr>
          <w:p w14:paraId="4AABE2B7">
            <w:pPr>
              <w:pStyle w:val="29"/>
              <w:spacing w:before="38"/>
              <w:ind w:left="239"/>
              <w:rPr>
                <w:sz w:val="20"/>
              </w:rPr>
            </w:pPr>
            <w:r>
              <w:rPr>
                <w:spacing w:val="-5"/>
                <w:sz w:val="20"/>
              </w:rPr>
              <w:t>158</w:t>
            </w:r>
          </w:p>
        </w:tc>
        <w:tc>
          <w:tcPr>
            <w:tcW w:w="564" w:type="dxa"/>
            <w:tcBorders>
              <w:top w:val="single" w:color="000000" w:sz="4" w:space="0"/>
            </w:tcBorders>
          </w:tcPr>
          <w:p w14:paraId="16332BF9">
            <w:pPr>
              <w:pStyle w:val="29"/>
              <w:spacing w:before="38"/>
              <w:ind w:left="99"/>
              <w:rPr>
                <w:sz w:val="20"/>
              </w:rPr>
            </w:pPr>
            <w:r>
              <w:rPr>
                <w:spacing w:val="-4"/>
                <w:sz w:val="20"/>
              </w:rPr>
              <w:t>3.22</w:t>
            </w:r>
          </w:p>
        </w:tc>
        <w:tc>
          <w:tcPr>
            <w:tcW w:w="576" w:type="dxa"/>
            <w:tcBorders>
              <w:top w:val="single" w:color="000000" w:sz="4" w:space="0"/>
            </w:tcBorders>
          </w:tcPr>
          <w:p w14:paraId="6B6AC62C">
            <w:pPr>
              <w:pStyle w:val="29"/>
              <w:spacing w:before="38"/>
              <w:ind w:left="109"/>
              <w:rPr>
                <w:sz w:val="20"/>
              </w:rPr>
            </w:pPr>
            <w:r>
              <w:rPr>
                <w:spacing w:val="-4"/>
                <w:sz w:val="20"/>
              </w:rPr>
              <w:t>0.52</w:t>
            </w:r>
          </w:p>
        </w:tc>
        <w:tc>
          <w:tcPr>
            <w:tcW w:w="699" w:type="dxa"/>
            <w:tcBorders>
              <w:top w:val="single" w:color="000000" w:sz="4" w:space="0"/>
            </w:tcBorders>
          </w:tcPr>
          <w:p w14:paraId="1E871668">
            <w:pPr>
              <w:pStyle w:val="29"/>
              <w:spacing w:before="38"/>
              <w:ind w:left="109"/>
              <w:rPr>
                <w:sz w:val="20"/>
              </w:rPr>
            </w:pPr>
            <w:r>
              <w:rPr>
                <w:spacing w:val="-2"/>
                <w:sz w:val="20"/>
              </w:rPr>
              <w:t>2.293</w:t>
            </w:r>
          </w:p>
        </w:tc>
        <w:tc>
          <w:tcPr>
            <w:tcW w:w="780" w:type="dxa"/>
            <w:tcBorders>
              <w:top w:val="single" w:color="000000" w:sz="4" w:space="0"/>
            </w:tcBorders>
          </w:tcPr>
          <w:p w14:paraId="0314D23B">
            <w:pPr>
              <w:pStyle w:val="29"/>
              <w:spacing w:before="38"/>
              <w:ind w:left="130"/>
              <w:rPr>
                <w:sz w:val="20"/>
              </w:rPr>
            </w:pPr>
            <w:r>
              <w:rPr>
                <w:sz w:val="20"/>
              </w:rPr>
              <w:t>3,</w:t>
            </w:r>
            <w:r>
              <w:rPr>
                <w:spacing w:val="-1"/>
                <w:sz w:val="20"/>
              </w:rPr>
              <w:t xml:space="preserve"> </w:t>
            </w:r>
            <w:r>
              <w:rPr>
                <w:spacing w:val="-5"/>
                <w:sz w:val="20"/>
              </w:rPr>
              <w:t>637</w:t>
            </w:r>
          </w:p>
        </w:tc>
        <w:tc>
          <w:tcPr>
            <w:tcW w:w="731" w:type="dxa"/>
            <w:tcBorders>
              <w:top w:val="single" w:color="000000" w:sz="4" w:space="0"/>
            </w:tcBorders>
          </w:tcPr>
          <w:p w14:paraId="75AE52B9">
            <w:pPr>
              <w:pStyle w:val="29"/>
              <w:spacing w:before="38"/>
              <w:ind w:left="140"/>
              <w:rPr>
                <w:sz w:val="20"/>
              </w:rPr>
            </w:pPr>
            <w:r>
              <w:rPr>
                <w:spacing w:val="-2"/>
                <w:sz w:val="20"/>
              </w:rPr>
              <w:t>0.077</w:t>
            </w:r>
          </w:p>
        </w:tc>
        <w:tc>
          <w:tcPr>
            <w:tcW w:w="1313" w:type="dxa"/>
            <w:tcBorders>
              <w:top w:val="single" w:color="000000" w:sz="4" w:space="0"/>
            </w:tcBorders>
          </w:tcPr>
          <w:p w14:paraId="648CCFE7">
            <w:pPr>
              <w:pStyle w:val="29"/>
              <w:spacing w:before="38"/>
              <w:ind w:left="127"/>
              <w:rPr>
                <w:sz w:val="20"/>
              </w:rPr>
            </w:pPr>
            <w:r>
              <w:rPr>
                <w:spacing w:val="-2"/>
                <w:sz w:val="20"/>
              </w:rPr>
              <w:t>0.011</w:t>
            </w:r>
          </w:p>
        </w:tc>
      </w:tr>
      <w:tr w14:paraId="0889231A">
        <w:tblPrEx>
          <w:tblCellMar>
            <w:top w:w="0" w:type="dxa"/>
            <w:left w:w="0" w:type="dxa"/>
            <w:bottom w:w="0" w:type="dxa"/>
            <w:right w:w="0" w:type="dxa"/>
          </w:tblCellMar>
        </w:tblPrEx>
        <w:trPr>
          <w:trHeight w:val="301" w:hRule="atLeast"/>
        </w:trPr>
        <w:tc>
          <w:tcPr>
            <w:tcW w:w="1962" w:type="dxa"/>
          </w:tcPr>
          <w:p w14:paraId="3F1FB73D">
            <w:pPr>
              <w:pStyle w:val="29"/>
            </w:pPr>
          </w:p>
        </w:tc>
        <w:tc>
          <w:tcPr>
            <w:tcW w:w="1536" w:type="dxa"/>
          </w:tcPr>
          <w:p w14:paraId="20238313">
            <w:pPr>
              <w:pStyle w:val="29"/>
              <w:spacing w:before="30"/>
              <w:ind w:left="368"/>
              <w:rPr>
                <w:sz w:val="20"/>
              </w:rPr>
            </w:pPr>
            <w:r>
              <w:rPr>
                <w:spacing w:val="-2"/>
                <w:sz w:val="20"/>
              </w:rPr>
              <w:t>30-</w:t>
            </w:r>
            <w:r>
              <w:rPr>
                <w:spacing w:val="-5"/>
                <w:sz w:val="20"/>
              </w:rPr>
              <w:t>39</w:t>
            </w:r>
          </w:p>
        </w:tc>
        <w:tc>
          <w:tcPr>
            <w:tcW w:w="644" w:type="dxa"/>
          </w:tcPr>
          <w:p w14:paraId="41F43700">
            <w:pPr>
              <w:pStyle w:val="29"/>
              <w:spacing w:before="30"/>
              <w:ind w:left="239"/>
              <w:rPr>
                <w:sz w:val="20"/>
              </w:rPr>
            </w:pPr>
            <w:r>
              <w:rPr>
                <w:spacing w:val="-5"/>
                <w:sz w:val="20"/>
              </w:rPr>
              <w:t>240</w:t>
            </w:r>
          </w:p>
        </w:tc>
        <w:tc>
          <w:tcPr>
            <w:tcW w:w="564" w:type="dxa"/>
          </w:tcPr>
          <w:p w14:paraId="233967B9">
            <w:pPr>
              <w:pStyle w:val="29"/>
              <w:spacing w:before="30"/>
              <w:ind w:left="99"/>
              <w:rPr>
                <w:sz w:val="20"/>
              </w:rPr>
            </w:pPr>
            <w:r>
              <w:rPr>
                <w:spacing w:val="-4"/>
                <w:sz w:val="20"/>
              </w:rPr>
              <w:t>3.16</w:t>
            </w:r>
          </w:p>
        </w:tc>
        <w:tc>
          <w:tcPr>
            <w:tcW w:w="576" w:type="dxa"/>
          </w:tcPr>
          <w:p w14:paraId="60C67F8E">
            <w:pPr>
              <w:pStyle w:val="29"/>
              <w:spacing w:before="30"/>
              <w:ind w:left="109"/>
              <w:rPr>
                <w:sz w:val="20"/>
              </w:rPr>
            </w:pPr>
            <w:r>
              <w:rPr>
                <w:spacing w:val="-4"/>
                <w:sz w:val="20"/>
              </w:rPr>
              <w:t>0.46</w:t>
            </w:r>
          </w:p>
        </w:tc>
        <w:tc>
          <w:tcPr>
            <w:tcW w:w="699" w:type="dxa"/>
          </w:tcPr>
          <w:p w14:paraId="5E494D2E">
            <w:pPr>
              <w:pStyle w:val="29"/>
            </w:pPr>
          </w:p>
        </w:tc>
        <w:tc>
          <w:tcPr>
            <w:tcW w:w="780" w:type="dxa"/>
          </w:tcPr>
          <w:p w14:paraId="0C6E32FC">
            <w:pPr>
              <w:pStyle w:val="29"/>
            </w:pPr>
          </w:p>
        </w:tc>
        <w:tc>
          <w:tcPr>
            <w:tcW w:w="731" w:type="dxa"/>
          </w:tcPr>
          <w:p w14:paraId="6B589401">
            <w:pPr>
              <w:pStyle w:val="29"/>
            </w:pPr>
          </w:p>
        </w:tc>
        <w:tc>
          <w:tcPr>
            <w:tcW w:w="1313" w:type="dxa"/>
          </w:tcPr>
          <w:p w14:paraId="41CBFBFB">
            <w:pPr>
              <w:pStyle w:val="29"/>
            </w:pPr>
          </w:p>
        </w:tc>
      </w:tr>
      <w:tr w14:paraId="69B73238">
        <w:tblPrEx>
          <w:tblCellMar>
            <w:top w:w="0" w:type="dxa"/>
            <w:left w:w="0" w:type="dxa"/>
            <w:bottom w:w="0" w:type="dxa"/>
            <w:right w:w="0" w:type="dxa"/>
          </w:tblCellMar>
        </w:tblPrEx>
        <w:trPr>
          <w:trHeight w:val="302" w:hRule="atLeast"/>
        </w:trPr>
        <w:tc>
          <w:tcPr>
            <w:tcW w:w="1962" w:type="dxa"/>
          </w:tcPr>
          <w:p w14:paraId="0B0E4A2E">
            <w:pPr>
              <w:pStyle w:val="29"/>
            </w:pPr>
          </w:p>
        </w:tc>
        <w:tc>
          <w:tcPr>
            <w:tcW w:w="1536" w:type="dxa"/>
          </w:tcPr>
          <w:p w14:paraId="2DBBB2CF">
            <w:pPr>
              <w:pStyle w:val="29"/>
              <w:spacing w:before="32"/>
              <w:ind w:left="368"/>
              <w:rPr>
                <w:sz w:val="20"/>
              </w:rPr>
            </w:pPr>
            <w:r>
              <w:rPr>
                <w:spacing w:val="-2"/>
                <w:sz w:val="20"/>
              </w:rPr>
              <w:t>40-</w:t>
            </w:r>
            <w:r>
              <w:rPr>
                <w:spacing w:val="-5"/>
                <w:sz w:val="20"/>
              </w:rPr>
              <w:t>49</w:t>
            </w:r>
          </w:p>
        </w:tc>
        <w:tc>
          <w:tcPr>
            <w:tcW w:w="644" w:type="dxa"/>
          </w:tcPr>
          <w:p w14:paraId="00040CBE">
            <w:pPr>
              <w:pStyle w:val="29"/>
              <w:spacing w:before="32"/>
              <w:ind w:left="239"/>
              <w:rPr>
                <w:sz w:val="20"/>
              </w:rPr>
            </w:pPr>
            <w:r>
              <w:rPr>
                <w:spacing w:val="-5"/>
                <w:sz w:val="20"/>
              </w:rPr>
              <w:t>155</w:t>
            </w:r>
          </w:p>
        </w:tc>
        <w:tc>
          <w:tcPr>
            <w:tcW w:w="564" w:type="dxa"/>
          </w:tcPr>
          <w:p w14:paraId="144D6FB2">
            <w:pPr>
              <w:pStyle w:val="29"/>
              <w:spacing w:before="32"/>
              <w:ind w:left="99"/>
              <w:rPr>
                <w:sz w:val="20"/>
              </w:rPr>
            </w:pPr>
            <w:r>
              <w:rPr>
                <w:spacing w:val="-4"/>
                <w:sz w:val="20"/>
              </w:rPr>
              <w:t>3.13</w:t>
            </w:r>
          </w:p>
        </w:tc>
        <w:tc>
          <w:tcPr>
            <w:tcW w:w="576" w:type="dxa"/>
          </w:tcPr>
          <w:p w14:paraId="04D03928">
            <w:pPr>
              <w:pStyle w:val="29"/>
              <w:spacing w:before="32"/>
              <w:ind w:left="109"/>
              <w:rPr>
                <w:sz w:val="20"/>
              </w:rPr>
            </w:pPr>
            <w:r>
              <w:rPr>
                <w:spacing w:val="-4"/>
                <w:sz w:val="20"/>
              </w:rPr>
              <w:t>0.48</w:t>
            </w:r>
          </w:p>
        </w:tc>
        <w:tc>
          <w:tcPr>
            <w:tcW w:w="699" w:type="dxa"/>
          </w:tcPr>
          <w:p w14:paraId="750C3A8F">
            <w:pPr>
              <w:pStyle w:val="29"/>
            </w:pPr>
          </w:p>
        </w:tc>
        <w:tc>
          <w:tcPr>
            <w:tcW w:w="780" w:type="dxa"/>
          </w:tcPr>
          <w:p w14:paraId="428BCE52">
            <w:pPr>
              <w:pStyle w:val="29"/>
            </w:pPr>
          </w:p>
        </w:tc>
        <w:tc>
          <w:tcPr>
            <w:tcW w:w="731" w:type="dxa"/>
          </w:tcPr>
          <w:p w14:paraId="4A7CCBB0">
            <w:pPr>
              <w:pStyle w:val="29"/>
            </w:pPr>
          </w:p>
        </w:tc>
        <w:tc>
          <w:tcPr>
            <w:tcW w:w="1313" w:type="dxa"/>
          </w:tcPr>
          <w:p w14:paraId="221C699E">
            <w:pPr>
              <w:pStyle w:val="29"/>
            </w:pPr>
          </w:p>
        </w:tc>
      </w:tr>
      <w:tr w14:paraId="6D3BD4A5">
        <w:tblPrEx>
          <w:tblCellMar>
            <w:top w:w="0" w:type="dxa"/>
            <w:left w:w="0" w:type="dxa"/>
            <w:bottom w:w="0" w:type="dxa"/>
            <w:right w:w="0" w:type="dxa"/>
          </w:tblCellMar>
        </w:tblPrEx>
        <w:trPr>
          <w:trHeight w:val="338" w:hRule="atLeast"/>
        </w:trPr>
        <w:tc>
          <w:tcPr>
            <w:tcW w:w="1962" w:type="dxa"/>
            <w:tcBorders>
              <w:bottom w:val="single" w:color="000000" w:sz="4" w:space="0"/>
            </w:tcBorders>
          </w:tcPr>
          <w:p w14:paraId="3A9583DB">
            <w:pPr>
              <w:pStyle w:val="29"/>
            </w:pPr>
          </w:p>
        </w:tc>
        <w:tc>
          <w:tcPr>
            <w:tcW w:w="1536" w:type="dxa"/>
            <w:tcBorders>
              <w:bottom w:val="single" w:color="000000" w:sz="4" w:space="0"/>
            </w:tcBorders>
          </w:tcPr>
          <w:p w14:paraId="1F55A10C">
            <w:pPr>
              <w:pStyle w:val="29"/>
              <w:spacing w:before="31"/>
              <w:ind w:left="368"/>
              <w:rPr>
                <w:sz w:val="20"/>
              </w:rPr>
            </w:pPr>
            <w:r>
              <w:rPr>
                <w:sz w:val="20"/>
              </w:rPr>
              <w:t>50</w:t>
            </w:r>
            <w:r>
              <w:rPr>
                <w:spacing w:val="-2"/>
                <w:sz w:val="20"/>
              </w:rPr>
              <w:t xml:space="preserve"> </w:t>
            </w:r>
            <w:r>
              <w:rPr>
                <w:sz w:val="20"/>
              </w:rPr>
              <w:t>ve</w:t>
            </w:r>
            <w:r>
              <w:rPr>
                <w:spacing w:val="-2"/>
                <w:sz w:val="20"/>
              </w:rPr>
              <w:t xml:space="preserve"> </w:t>
            </w:r>
            <w:r>
              <w:rPr>
                <w:spacing w:val="-4"/>
                <w:sz w:val="20"/>
              </w:rPr>
              <w:t>üstü</w:t>
            </w:r>
          </w:p>
        </w:tc>
        <w:tc>
          <w:tcPr>
            <w:tcW w:w="644" w:type="dxa"/>
            <w:tcBorders>
              <w:bottom w:val="single" w:color="000000" w:sz="4" w:space="0"/>
            </w:tcBorders>
          </w:tcPr>
          <w:p w14:paraId="394EA0D1">
            <w:pPr>
              <w:pStyle w:val="29"/>
              <w:spacing w:before="31"/>
              <w:ind w:left="239"/>
              <w:rPr>
                <w:sz w:val="20"/>
              </w:rPr>
            </w:pPr>
            <w:r>
              <w:rPr>
                <w:spacing w:val="-5"/>
                <w:sz w:val="20"/>
              </w:rPr>
              <w:t>88</w:t>
            </w:r>
          </w:p>
        </w:tc>
        <w:tc>
          <w:tcPr>
            <w:tcW w:w="564" w:type="dxa"/>
            <w:tcBorders>
              <w:bottom w:val="single" w:color="000000" w:sz="4" w:space="0"/>
            </w:tcBorders>
          </w:tcPr>
          <w:p w14:paraId="394F1D23">
            <w:pPr>
              <w:pStyle w:val="29"/>
              <w:spacing w:before="31"/>
              <w:ind w:left="99"/>
              <w:rPr>
                <w:sz w:val="20"/>
              </w:rPr>
            </w:pPr>
            <w:r>
              <w:rPr>
                <w:spacing w:val="-4"/>
                <w:sz w:val="20"/>
              </w:rPr>
              <w:t>3.09</w:t>
            </w:r>
          </w:p>
        </w:tc>
        <w:tc>
          <w:tcPr>
            <w:tcW w:w="576" w:type="dxa"/>
            <w:tcBorders>
              <w:bottom w:val="single" w:color="000000" w:sz="4" w:space="0"/>
            </w:tcBorders>
          </w:tcPr>
          <w:p w14:paraId="7FA23AC5">
            <w:pPr>
              <w:pStyle w:val="29"/>
              <w:spacing w:before="31"/>
              <w:ind w:left="109"/>
              <w:rPr>
                <w:sz w:val="20"/>
              </w:rPr>
            </w:pPr>
            <w:r>
              <w:rPr>
                <w:spacing w:val="-4"/>
                <w:sz w:val="20"/>
              </w:rPr>
              <w:t>0.49</w:t>
            </w:r>
          </w:p>
        </w:tc>
        <w:tc>
          <w:tcPr>
            <w:tcW w:w="699" w:type="dxa"/>
            <w:tcBorders>
              <w:bottom w:val="single" w:color="000000" w:sz="4" w:space="0"/>
            </w:tcBorders>
          </w:tcPr>
          <w:p w14:paraId="79E9E3D2">
            <w:pPr>
              <w:pStyle w:val="29"/>
            </w:pPr>
          </w:p>
        </w:tc>
        <w:tc>
          <w:tcPr>
            <w:tcW w:w="780" w:type="dxa"/>
            <w:tcBorders>
              <w:bottom w:val="single" w:color="000000" w:sz="4" w:space="0"/>
            </w:tcBorders>
          </w:tcPr>
          <w:p w14:paraId="51AE086A">
            <w:pPr>
              <w:pStyle w:val="29"/>
            </w:pPr>
          </w:p>
        </w:tc>
        <w:tc>
          <w:tcPr>
            <w:tcW w:w="731" w:type="dxa"/>
            <w:tcBorders>
              <w:bottom w:val="single" w:color="000000" w:sz="4" w:space="0"/>
            </w:tcBorders>
          </w:tcPr>
          <w:p w14:paraId="284E072C">
            <w:pPr>
              <w:pStyle w:val="29"/>
            </w:pPr>
          </w:p>
        </w:tc>
        <w:tc>
          <w:tcPr>
            <w:tcW w:w="1313" w:type="dxa"/>
            <w:tcBorders>
              <w:bottom w:val="single" w:color="000000" w:sz="4" w:space="0"/>
            </w:tcBorders>
          </w:tcPr>
          <w:p w14:paraId="54DDF166">
            <w:pPr>
              <w:pStyle w:val="29"/>
            </w:pPr>
          </w:p>
        </w:tc>
      </w:tr>
    </w:tbl>
    <w:p w14:paraId="35B4CAAF">
      <w:pPr>
        <w:pStyle w:val="5"/>
        <w:spacing w:before="240" w:after="240" w:line="360" w:lineRule="auto"/>
        <w:ind w:left="567"/>
        <w:jc w:val="both"/>
        <w:rPr>
          <w:rFonts w:ascii="Times New Roman" w:hAnsi="Times New Roman" w:cs="Times New Roman"/>
          <w:b/>
          <w:i w:val="0"/>
          <w:color w:val="auto"/>
          <w:sz w:val="24"/>
        </w:rPr>
      </w:pPr>
      <w:bookmarkStart w:id="246" w:name="_Toc197351289"/>
      <w:bookmarkStart w:id="247" w:name="_Toc195877836"/>
      <w:bookmarkStart w:id="248" w:name="_Toc195875857"/>
      <w:r>
        <w:rPr>
          <w:rFonts w:ascii="Times New Roman" w:hAnsi="Times New Roman" w:cs="Times New Roman"/>
          <w:b/>
          <w:i w:val="0"/>
          <w:color w:val="auto"/>
          <w:sz w:val="24"/>
        </w:rPr>
        <w:t>4.2.2.4. Medeni</w:t>
      </w:r>
      <w:r>
        <w:rPr>
          <w:rFonts w:ascii="Times New Roman" w:hAnsi="Times New Roman" w:cs="Times New Roman"/>
          <w:b/>
          <w:i w:val="0"/>
          <w:color w:val="auto"/>
          <w:sz w:val="24"/>
        </w:rPr>
        <w:tab/>
      </w:r>
      <w:r>
        <w:rPr>
          <w:rFonts w:ascii="Times New Roman" w:hAnsi="Times New Roman" w:cs="Times New Roman"/>
          <w:b/>
          <w:i w:val="0"/>
          <w:color w:val="auto"/>
          <w:sz w:val="24"/>
        </w:rPr>
        <w:t>Durum Açısından Öğretmenlerin Sanal Rekreasyon Deneyimlerinin İstatistiksel İncelenmesi</w:t>
      </w:r>
      <w:bookmarkEnd w:id="246"/>
      <w:bookmarkEnd w:id="247"/>
      <w:bookmarkEnd w:id="248"/>
    </w:p>
    <w:p w14:paraId="24F068AA">
      <w:pPr>
        <w:spacing w:before="120" w:after="120" w:line="360" w:lineRule="auto"/>
        <w:ind w:firstLine="567"/>
        <w:jc w:val="both"/>
        <w:rPr>
          <w:sz w:val="24"/>
        </w:rPr>
      </w:pPr>
      <w:r>
        <w:rPr>
          <w:sz w:val="24"/>
        </w:rPr>
        <w:t>H2:5:</w:t>
      </w:r>
      <w:r>
        <w:rPr>
          <w:spacing w:val="-14"/>
          <w:sz w:val="24"/>
        </w:rPr>
        <w:t xml:space="preserve"> </w:t>
      </w:r>
      <w:r>
        <w:rPr>
          <w:sz w:val="24"/>
        </w:rPr>
        <w:t>“</w:t>
      </w:r>
      <w:r>
        <w:rPr>
          <w:i/>
          <w:sz w:val="24"/>
        </w:rPr>
        <w:t>Öğretmenlerin</w:t>
      </w:r>
      <w:r>
        <w:rPr>
          <w:i/>
          <w:spacing w:val="-14"/>
          <w:sz w:val="24"/>
        </w:rPr>
        <w:t xml:space="preserve"> </w:t>
      </w:r>
      <w:r>
        <w:rPr>
          <w:i/>
          <w:sz w:val="24"/>
        </w:rPr>
        <w:t>sanal</w:t>
      </w:r>
      <w:r>
        <w:rPr>
          <w:i/>
          <w:spacing w:val="-14"/>
          <w:sz w:val="24"/>
        </w:rPr>
        <w:t xml:space="preserve"> </w:t>
      </w:r>
      <w:r>
        <w:rPr>
          <w:i/>
          <w:sz w:val="24"/>
        </w:rPr>
        <w:t>rekreasyon</w:t>
      </w:r>
      <w:r>
        <w:rPr>
          <w:i/>
          <w:spacing w:val="-14"/>
          <w:sz w:val="24"/>
        </w:rPr>
        <w:t xml:space="preserve"> </w:t>
      </w:r>
      <w:r>
        <w:rPr>
          <w:i/>
          <w:sz w:val="24"/>
        </w:rPr>
        <w:t>deneyimleri</w:t>
      </w:r>
      <w:r>
        <w:rPr>
          <w:i/>
          <w:spacing w:val="-12"/>
          <w:sz w:val="24"/>
        </w:rPr>
        <w:t xml:space="preserve"> </w:t>
      </w:r>
      <w:r>
        <w:rPr>
          <w:i/>
          <w:sz w:val="24"/>
        </w:rPr>
        <w:t>ile</w:t>
      </w:r>
      <w:r>
        <w:rPr>
          <w:i/>
          <w:spacing w:val="-14"/>
          <w:sz w:val="24"/>
        </w:rPr>
        <w:t xml:space="preserve"> </w:t>
      </w:r>
      <w:r>
        <w:rPr>
          <w:i/>
          <w:sz w:val="24"/>
        </w:rPr>
        <w:t>medeni</w:t>
      </w:r>
      <w:r>
        <w:rPr>
          <w:i/>
          <w:spacing w:val="-14"/>
          <w:sz w:val="24"/>
        </w:rPr>
        <w:t xml:space="preserve"> </w:t>
      </w:r>
      <w:r>
        <w:rPr>
          <w:i/>
          <w:sz w:val="24"/>
        </w:rPr>
        <w:t>durumları</w:t>
      </w:r>
      <w:r>
        <w:rPr>
          <w:i/>
          <w:spacing w:val="-14"/>
          <w:sz w:val="24"/>
        </w:rPr>
        <w:t xml:space="preserve"> </w:t>
      </w:r>
      <w:r>
        <w:rPr>
          <w:i/>
          <w:sz w:val="24"/>
        </w:rPr>
        <w:t>arasında farklılık vardır</w:t>
      </w:r>
      <w:r>
        <w:rPr>
          <w:sz w:val="24"/>
        </w:rPr>
        <w:t>.”</w:t>
      </w:r>
    </w:p>
    <w:p w14:paraId="5D8A9A91">
      <w:pPr>
        <w:pStyle w:val="9"/>
        <w:spacing w:before="120" w:after="120" w:line="360" w:lineRule="auto"/>
        <w:ind w:left="0" w:firstLine="567"/>
      </w:pPr>
      <w:r>
        <w:t>Bu bölümde, öğretmenlerin sanal rekreasyon deneyimlerinin medeni durum değişkenine göre istatistiksel olarak anlamlı bir farklılık gösterip göstermediği bağımsız örneklemler t-testi ile incelenmiştir. Analizler, öğretmenlerin evli veya bekar olma durumlarının sanal rekreasyon deneyimleri üzerindeki etkisini belirlemeyi amaçlamış ve bu kapsamda elde edilen bulgular detaylı bir şekilde değerlendirilmiştir.</w:t>
      </w:r>
    </w:p>
    <w:p w14:paraId="2B75A88D">
      <w:pPr>
        <w:pStyle w:val="9"/>
        <w:spacing w:before="120" w:after="120" w:line="360" w:lineRule="auto"/>
        <w:ind w:left="0" w:firstLine="567"/>
      </w:pPr>
      <w:r>
        <w:rPr>
          <w:spacing w:val="-2"/>
        </w:rPr>
        <w:t>Bağımsız örneklemler</w:t>
      </w:r>
      <w:r>
        <w:rPr>
          <w:spacing w:val="-3"/>
        </w:rPr>
        <w:t xml:space="preserve"> </w:t>
      </w:r>
      <w:r>
        <w:rPr>
          <w:spacing w:val="-2"/>
        </w:rPr>
        <w:t xml:space="preserve">t-testi analizi sonucunda, evli öğretmenlerin sanal rekreasyon </w:t>
      </w:r>
      <w:r>
        <w:t>deneyimleri</w:t>
      </w:r>
      <w:r>
        <w:rPr>
          <w:spacing w:val="-13"/>
        </w:rPr>
        <w:t xml:space="preserve"> </w:t>
      </w:r>
      <w:r>
        <w:t>ortalamasının</w:t>
      </w:r>
      <w:r>
        <w:rPr>
          <w:spacing w:val="-14"/>
        </w:rPr>
        <w:t xml:space="preserve"> </w:t>
      </w:r>
      <w:r>
        <w:t>(X</w:t>
      </w:r>
      <w:r>
        <w:rPr>
          <w:position w:val="4"/>
        </w:rPr>
        <w:t>̄</w:t>
      </w:r>
      <w:r>
        <w:rPr>
          <w:spacing w:val="40"/>
          <w:position w:val="4"/>
        </w:rPr>
        <w:t xml:space="preserve"> </w:t>
      </w:r>
      <w:r>
        <w:t>=</w:t>
      </w:r>
      <w:r>
        <w:rPr>
          <w:spacing w:val="-15"/>
        </w:rPr>
        <w:t xml:space="preserve"> </w:t>
      </w:r>
      <w:r>
        <w:t>3.18,</w:t>
      </w:r>
      <w:r>
        <w:rPr>
          <w:spacing w:val="-12"/>
        </w:rPr>
        <w:t xml:space="preserve"> </w:t>
      </w:r>
      <w:r>
        <w:t>SS</w:t>
      </w:r>
      <w:r>
        <w:rPr>
          <w:spacing w:val="-13"/>
        </w:rPr>
        <w:t xml:space="preserve"> </w:t>
      </w:r>
      <w:r>
        <w:t>=</w:t>
      </w:r>
      <w:r>
        <w:rPr>
          <w:spacing w:val="-15"/>
        </w:rPr>
        <w:t xml:space="preserve"> </w:t>
      </w:r>
      <w:r>
        <w:t>0.54)</w:t>
      </w:r>
      <w:r>
        <w:rPr>
          <w:spacing w:val="-15"/>
        </w:rPr>
        <w:t xml:space="preserve"> </w:t>
      </w:r>
      <w:r>
        <w:t>bekar</w:t>
      </w:r>
      <w:r>
        <w:rPr>
          <w:spacing w:val="-13"/>
        </w:rPr>
        <w:t xml:space="preserve"> </w:t>
      </w:r>
      <w:r>
        <w:t>öğretmenlere</w:t>
      </w:r>
      <w:r>
        <w:rPr>
          <w:spacing w:val="-13"/>
        </w:rPr>
        <w:t xml:space="preserve"> </w:t>
      </w:r>
      <w:r>
        <w:t>(X</w:t>
      </w:r>
      <w:r>
        <w:rPr>
          <w:position w:val="4"/>
        </w:rPr>
        <w:t>̄</w:t>
      </w:r>
      <w:r>
        <w:rPr>
          <w:spacing w:val="40"/>
          <w:position w:val="4"/>
        </w:rPr>
        <w:t xml:space="preserve"> </w:t>
      </w:r>
      <w:r>
        <w:t>=</w:t>
      </w:r>
      <w:r>
        <w:rPr>
          <w:spacing w:val="-15"/>
        </w:rPr>
        <w:t xml:space="preserve"> </w:t>
      </w:r>
      <w:r>
        <w:t>3.11,</w:t>
      </w:r>
      <w:r>
        <w:rPr>
          <w:spacing w:val="-14"/>
        </w:rPr>
        <w:t xml:space="preserve"> </w:t>
      </w:r>
      <w:r>
        <w:t>SS</w:t>
      </w:r>
      <w:r>
        <w:rPr>
          <w:spacing w:val="-13"/>
        </w:rPr>
        <w:t xml:space="preserve"> </w:t>
      </w:r>
      <w:r>
        <w:t>=</w:t>
      </w:r>
      <w:r>
        <w:rPr>
          <w:spacing w:val="-15"/>
        </w:rPr>
        <w:t xml:space="preserve"> </w:t>
      </w:r>
      <w:r>
        <w:t>0.45) göre</w:t>
      </w:r>
      <w:r>
        <w:rPr>
          <w:spacing w:val="-3"/>
        </w:rPr>
        <w:t xml:space="preserve"> </w:t>
      </w:r>
      <w:r>
        <w:t>istatistiksel</w:t>
      </w:r>
      <w:r>
        <w:rPr>
          <w:spacing w:val="-1"/>
        </w:rPr>
        <w:t xml:space="preserve"> </w:t>
      </w:r>
      <w:r>
        <w:t>olarak</w:t>
      </w:r>
      <w:r>
        <w:rPr>
          <w:spacing w:val="-1"/>
        </w:rPr>
        <w:t xml:space="preserve"> </w:t>
      </w:r>
      <w:r>
        <w:t>anlamlı</w:t>
      </w:r>
      <w:r>
        <w:rPr>
          <w:spacing w:val="-2"/>
        </w:rPr>
        <w:t xml:space="preserve"> </w:t>
      </w:r>
      <w:r>
        <w:t>bir</w:t>
      </w:r>
      <w:r>
        <w:rPr>
          <w:spacing w:val="-1"/>
        </w:rPr>
        <w:t xml:space="preserve"> </w:t>
      </w:r>
      <w:r>
        <w:t>farklılık</w:t>
      </w:r>
      <w:r>
        <w:rPr>
          <w:spacing w:val="-1"/>
        </w:rPr>
        <w:t xml:space="preserve"> </w:t>
      </w:r>
      <w:r>
        <w:t>göstermediği</w:t>
      </w:r>
      <w:r>
        <w:rPr>
          <w:spacing w:val="1"/>
        </w:rPr>
        <w:t xml:space="preserve"> </w:t>
      </w:r>
      <w:r>
        <w:t>tespit</w:t>
      </w:r>
      <w:r>
        <w:rPr>
          <w:spacing w:val="1"/>
        </w:rPr>
        <w:t xml:space="preserve"> </w:t>
      </w:r>
      <w:r>
        <w:t>edilmiştir,</w:t>
      </w:r>
      <w:r>
        <w:rPr>
          <w:spacing w:val="-1"/>
        </w:rPr>
        <w:t xml:space="preserve"> </w:t>
      </w:r>
      <w:r>
        <w:t>t(639)</w:t>
      </w:r>
      <w:r>
        <w:rPr>
          <w:spacing w:val="-2"/>
        </w:rPr>
        <w:t xml:space="preserve"> </w:t>
      </w:r>
      <w:r>
        <w:t>= 1.87,</w:t>
      </w:r>
      <w:r>
        <w:rPr>
          <w:spacing w:val="-1"/>
        </w:rPr>
        <w:t xml:space="preserve"> </w:t>
      </w:r>
      <w:r>
        <w:rPr>
          <w:spacing w:val="-10"/>
        </w:rPr>
        <w:t>p</w:t>
      </w:r>
      <w:r>
        <w:t xml:space="preserve"> = 0.063. Levene’in varyans eşitliği testi, gruplar arasında varyansların eşit olmadığını göstermiştir (F = 14.784, p &lt; .001), bu nedenle eşit olmayan varyanslar varsayımına göre sonuçlar rapor edilmiştir.</w:t>
      </w:r>
    </w:p>
    <w:p w14:paraId="03075B8F">
      <w:pPr>
        <w:pStyle w:val="9"/>
        <w:spacing w:before="120" w:after="120" w:line="360" w:lineRule="auto"/>
        <w:ind w:left="0" w:firstLine="567"/>
      </w:pPr>
      <w:r>
        <w:t>Her ne kadar p değeri anlamlılık sınırında (p = .063) olsa da, bu fark istatistiksel olarak anlamlı kabul edilmemektedir. Bu bulgular, öğretmenlerin medeni durumlarının sanal rekreasyon deneyimleri üzerinde kayda değer bir farklılık yaratmadığını göstermektedir. Etki büyüklüğünü değerlendirmek amacıyla eta kare değeri hesaplandığında</w:t>
      </w:r>
      <w:r>
        <w:rPr>
          <w:spacing w:val="-4"/>
        </w:rPr>
        <w:t xml:space="preserve"> </w:t>
      </w:r>
      <w:r>
        <w:t>sonuçların</w:t>
      </w:r>
      <w:r>
        <w:rPr>
          <w:spacing w:val="-4"/>
        </w:rPr>
        <w:t xml:space="preserve"> </w:t>
      </w:r>
      <w:r>
        <w:t>pratik</w:t>
      </w:r>
      <w:r>
        <w:rPr>
          <w:spacing w:val="-4"/>
        </w:rPr>
        <w:t xml:space="preserve"> </w:t>
      </w:r>
      <w:r>
        <w:t>anlamda</w:t>
      </w:r>
      <w:r>
        <w:rPr>
          <w:spacing w:val="-5"/>
        </w:rPr>
        <w:t xml:space="preserve"> </w:t>
      </w:r>
      <w:r>
        <w:t>çok</w:t>
      </w:r>
      <w:r>
        <w:rPr>
          <w:spacing w:val="-4"/>
        </w:rPr>
        <w:t xml:space="preserve"> </w:t>
      </w:r>
      <w:r>
        <w:t>küçük</w:t>
      </w:r>
      <w:r>
        <w:rPr>
          <w:spacing w:val="-4"/>
        </w:rPr>
        <w:t xml:space="preserve"> </w:t>
      </w:r>
      <w:r>
        <w:t>bir</w:t>
      </w:r>
      <w:r>
        <w:rPr>
          <w:spacing w:val="-4"/>
        </w:rPr>
        <w:t xml:space="preserve"> </w:t>
      </w:r>
      <w:r>
        <w:t>etkiye</w:t>
      </w:r>
      <w:r>
        <w:rPr>
          <w:spacing w:val="-3"/>
        </w:rPr>
        <w:t xml:space="preserve"> </w:t>
      </w:r>
      <w:r>
        <w:t>sahip</w:t>
      </w:r>
      <w:r>
        <w:rPr>
          <w:spacing w:val="-4"/>
        </w:rPr>
        <w:t xml:space="preserve"> </w:t>
      </w:r>
      <w:r>
        <w:t>olduğu</w:t>
      </w:r>
      <w:r>
        <w:rPr>
          <w:spacing w:val="-2"/>
        </w:rPr>
        <w:t xml:space="preserve"> </w:t>
      </w:r>
      <w:r>
        <w:t>görülmüştür (η² = 0.005). Bu sonuç H2.5 hipotezinin reddedildiğini göstermektedir. Analiz sonuçları Tablo 4.8’de sunulmaktadır.</w:t>
      </w:r>
    </w:p>
    <w:p w14:paraId="6AFCA63B">
      <w:pPr>
        <w:pStyle w:val="9"/>
        <w:spacing w:line="360" w:lineRule="auto"/>
        <w:ind w:left="0"/>
        <w:rPr>
          <w:b/>
        </w:rPr>
      </w:pPr>
      <w:r>
        <w:rPr>
          <w:b/>
        </w:rPr>
        <w:t xml:space="preserve">Tablo 4.8. </w:t>
      </w:r>
      <w:r>
        <w:t>Medeni Durum Açısından Öğretmenlerin Sanal Rekreasyon Deneyimlerinin İstatistiksel İncelenmesi</w:t>
      </w:r>
    </w:p>
    <w:p w14:paraId="0461AD3E">
      <w:pPr>
        <w:pStyle w:val="9"/>
        <w:spacing w:before="8"/>
        <w:ind w:left="0"/>
        <w:jc w:val="left"/>
        <w:rPr>
          <w:sz w:val="20"/>
        </w:rPr>
      </w:pPr>
    </w:p>
    <w:tbl>
      <w:tblPr>
        <w:tblStyle w:val="7"/>
        <w:tblW w:w="0" w:type="auto"/>
        <w:tblInd w:w="153" w:type="dxa"/>
        <w:tblLayout w:type="fixed"/>
        <w:tblCellMar>
          <w:top w:w="0" w:type="dxa"/>
          <w:left w:w="0" w:type="dxa"/>
          <w:bottom w:w="0" w:type="dxa"/>
          <w:right w:w="0" w:type="dxa"/>
        </w:tblCellMar>
      </w:tblPr>
      <w:tblGrid>
        <w:gridCol w:w="2018"/>
        <w:gridCol w:w="2123"/>
        <w:gridCol w:w="854"/>
        <w:gridCol w:w="704"/>
        <w:gridCol w:w="713"/>
        <w:gridCol w:w="713"/>
        <w:gridCol w:w="654"/>
        <w:gridCol w:w="1012"/>
      </w:tblGrid>
      <w:tr w14:paraId="0330D1BC">
        <w:tblPrEx>
          <w:tblCellMar>
            <w:top w:w="0" w:type="dxa"/>
            <w:left w:w="0" w:type="dxa"/>
            <w:bottom w:w="0" w:type="dxa"/>
            <w:right w:w="0" w:type="dxa"/>
          </w:tblCellMar>
        </w:tblPrEx>
        <w:trPr>
          <w:trHeight w:val="270" w:hRule="atLeast"/>
        </w:trPr>
        <w:tc>
          <w:tcPr>
            <w:tcW w:w="2018" w:type="dxa"/>
            <w:tcBorders>
              <w:top w:val="single" w:color="000000" w:sz="4" w:space="0"/>
              <w:bottom w:val="single" w:color="000000" w:sz="4" w:space="0"/>
            </w:tcBorders>
          </w:tcPr>
          <w:p w14:paraId="01B5719E">
            <w:pPr>
              <w:pStyle w:val="29"/>
              <w:spacing w:before="12"/>
              <w:ind w:left="57"/>
              <w:rPr>
                <w:b/>
                <w:sz w:val="20"/>
              </w:rPr>
            </w:pPr>
            <w:r>
              <w:rPr>
                <w:b/>
                <w:spacing w:val="-2"/>
                <w:sz w:val="20"/>
              </w:rPr>
              <w:t>Değişkenler</w:t>
            </w:r>
          </w:p>
        </w:tc>
        <w:tc>
          <w:tcPr>
            <w:tcW w:w="2123" w:type="dxa"/>
            <w:tcBorders>
              <w:top w:val="single" w:color="000000" w:sz="4" w:space="0"/>
              <w:bottom w:val="single" w:color="000000" w:sz="4" w:space="0"/>
            </w:tcBorders>
          </w:tcPr>
          <w:p w14:paraId="16584A8F">
            <w:pPr>
              <w:pStyle w:val="29"/>
              <w:spacing w:before="12"/>
              <w:ind w:left="425"/>
              <w:rPr>
                <w:b/>
                <w:sz w:val="20"/>
              </w:rPr>
            </w:pPr>
            <w:r>
              <w:rPr>
                <w:b/>
                <w:sz w:val="20"/>
              </w:rPr>
              <w:t>Medeni</w:t>
            </w:r>
            <w:r>
              <w:rPr>
                <w:b/>
                <w:spacing w:val="-5"/>
                <w:sz w:val="20"/>
              </w:rPr>
              <w:t xml:space="preserve"> </w:t>
            </w:r>
            <w:r>
              <w:rPr>
                <w:b/>
                <w:spacing w:val="-2"/>
                <w:sz w:val="20"/>
              </w:rPr>
              <w:t>Durum</w:t>
            </w:r>
          </w:p>
        </w:tc>
        <w:tc>
          <w:tcPr>
            <w:tcW w:w="854" w:type="dxa"/>
            <w:tcBorders>
              <w:top w:val="single" w:color="000000" w:sz="4" w:space="0"/>
              <w:bottom w:val="single" w:color="000000" w:sz="4" w:space="0"/>
            </w:tcBorders>
          </w:tcPr>
          <w:p w14:paraId="79534D0B">
            <w:pPr>
              <w:pStyle w:val="29"/>
              <w:spacing w:before="12"/>
              <w:ind w:left="381"/>
              <w:rPr>
                <w:b/>
                <w:sz w:val="20"/>
              </w:rPr>
            </w:pPr>
            <w:r>
              <w:rPr>
                <w:b/>
                <w:w w:val="99"/>
                <w:sz w:val="20"/>
              </w:rPr>
              <w:t>N</w:t>
            </w:r>
          </w:p>
        </w:tc>
        <w:tc>
          <w:tcPr>
            <w:tcW w:w="704" w:type="dxa"/>
            <w:tcBorders>
              <w:top w:val="single" w:color="000000" w:sz="4" w:space="0"/>
              <w:bottom w:val="single" w:color="000000" w:sz="4" w:space="0"/>
            </w:tcBorders>
          </w:tcPr>
          <w:p w14:paraId="3BFE1104">
            <w:pPr>
              <w:pStyle w:val="29"/>
              <w:spacing w:line="239" w:lineRule="exact"/>
              <w:ind w:left="173"/>
              <w:rPr>
                <w:b/>
                <w:sz w:val="20"/>
              </w:rPr>
            </w:pPr>
            <w:r>
              <w:rPr>
                <w:b/>
                <w:spacing w:val="-11"/>
                <w:position w:val="-3"/>
                <w:sz w:val="20"/>
              </w:rPr>
              <w:t>X</w:t>
            </w:r>
            <w:r>
              <w:rPr>
                <w:b/>
                <w:spacing w:val="-11"/>
                <w:sz w:val="20"/>
              </w:rPr>
              <w:t>̄</w:t>
            </w:r>
          </w:p>
        </w:tc>
        <w:tc>
          <w:tcPr>
            <w:tcW w:w="713" w:type="dxa"/>
            <w:tcBorders>
              <w:top w:val="single" w:color="000000" w:sz="4" w:space="0"/>
              <w:bottom w:val="single" w:color="000000" w:sz="4" w:space="0"/>
            </w:tcBorders>
          </w:tcPr>
          <w:p w14:paraId="3CFA5DB2">
            <w:pPr>
              <w:pStyle w:val="29"/>
              <w:spacing w:before="12"/>
              <w:ind w:left="184"/>
              <w:rPr>
                <w:b/>
                <w:sz w:val="20"/>
              </w:rPr>
            </w:pPr>
            <w:r>
              <w:rPr>
                <w:b/>
                <w:spacing w:val="-5"/>
                <w:sz w:val="20"/>
              </w:rPr>
              <w:t>SS</w:t>
            </w:r>
          </w:p>
        </w:tc>
        <w:tc>
          <w:tcPr>
            <w:tcW w:w="713" w:type="dxa"/>
            <w:tcBorders>
              <w:top w:val="single" w:color="000000" w:sz="4" w:space="0"/>
              <w:bottom w:val="single" w:color="000000" w:sz="4" w:space="0"/>
            </w:tcBorders>
          </w:tcPr>
          <w:p w14:paraId="43B6C91F">
            <w:pPr>
              <w:pStyle w:val="29"/>
              <w:spacing w:before="12"/>
              <w:ind w:left="184"/>
              <w:rPr>
                <w:b/>
                <w:sz w:val="20"/>
              </w:rPr>
            </w:pPr>
            <w:r>
              <w:rPr>
                <w:b/>
                <w:w w:val="99"/>
                <w:sz w:val="20"/>
              </w:rPr>
              <w:t>t</w:t>
            </w:r>
          </w:p>
        </w:tc>
        <w:tc>
          <w:tcPr>
            <w:tcW w:w="654" w:type="dxa"/>
            <w:tcBorders>
              <w:top w:val="single" w:color="000000" w:sz="4" w:space="0"/>
              <w:bottom w:val="single" w:color="000000" w:sz="4" w:space="0"/>
            </w:tcBorders>
          </w:tcPr>
          <w:p w14:paraId="4CC26778">
            <w:pPr>
              <w:pStyle w:val="29"/>
              <w:spacing w:before="12"/>
              <w:ind w:left="186"/>
              <w:rPr>
                <w:b/>
                <w:sz w:val="20"/>
              </w:rPr>
            </w:pPr>
            <w:r>
              <w:rPr>
                <w:b/>
                <w:spacing w:val="-5"/>
                <w:sz w:val="20"/>
              </w:rPr>
              <w:t>df</w:t>
            </w:r>
          </w:p>
        </w:tc>
        <w:tc>
          <w:tcPr>
            <w:tcW w:w="1012" w:type="dxa"/>
            <w:tcBorders>
              <w:top w:val="single" w:color="000000" w:sz="4" w:space="0"/>
              <w:bottom w:val="single" w:color="000000" w:sz="4" w:space="0"/>
            </w:tcBorders>
          </w:tcPr>
          <w:p w14:paraId="2B0176C1">
            <w:pPr>
              <w:pStyle w:val="29"/>
              <w:spacing w:before="12"/>
              <w:ind w:left="176"/>
              <w:rPr>
                <w:b/>
                <w:sz w:val="20"/>
              </w:rPr>
            </w:pPr>
            <w:r>
              <w:rPr>
                <w:b/>
                <w:w w:val="99"/>
                <w:sz w:val="20"/>
              </w:rPr>
              <w:t>p</w:t>
            </w:r>
          </w:p>
        </w:tc>
      </w:tr>
      <w:tr w14:paraId="63CB1B13">
        <w:tblPrEx>
          <w:tblCellMar>
            <w:top w:w="0" w:type="dxa"/>
            <w:left w:w="0" w:type="dxa"/>
            <w:bottom w:w="0" w:type="dxa"/>
            <w:right w:w="0" w:type="dxa"/>
          </w:tblCellMar>
        </w:tblPrEx>
        <w:trPr>
          <w:trHeight w:val="312" w:hRule="atLeast"/>
        </w:trPr>
        <w:tc>
          <w:tcPr>
            <w:tcW w:w="2018" w:type="dxa"/>
            <w:tcBorders>
              <w:top w:val="single" w:color="000000" w:sz="4" w:space="0"/>
            </w:tcBorders>
          </w:tcPr>
          <w:p w14:paraId="57A67C10">
            <w:pPr>
              <w:pStyle w:val="29"/>
              <w:spacing w:before="43"/>
              <w:ind w:left="57"/>
              <w:rPr>
                <w:b/>
                <w:sz w:val="20"/>
              </w:rPr>
            </w:pPr>
            <w:r>
              <w:rPr>
                <w:b/>
                <w:sz w:val="20"/>
              </w:rPr>
              <w:t>Sanal</w:t>
            </w:r>
            <w:r>
              <w:rPr>
                <w:b/>
                <w:spacing w:val="-6"/>
                <w:sz w:val="20"/>
              </w:rPr>
              <w:t xml:space="preserve"> </w:t>
            </w:r>
            <w:r>
              <w:rPr>
                <w:b/>
                <w:spacing w:val="-2"/>
                <w:sz w:val="20"/>
              </w:rPr>
              <w:t>Rekreasyon</w:t>
            </w:r>
          </w:p>
        </w:tc>
        <w:tc>
          <w:tcPr>
            <w:tcW w:w="2123" w:type="dxa"/>
            <w:tcBorders>
              <w:top w:val="single" w:color="000000" w:sz="4" w:space="0"/>
            </w:tcBorders>
          </w:tcPr>
          <w:p w14:paraId="4EB7ED8B">
            <w:pPr>
              <w:pStyle w:val="29"/>
              <w:spacing w:before="38"/>
              <w:ind w:left="425"/>
              <w:rPr>
                <w:sz w:val="20"/>
              </w:rPr>
            </w:pPr>
            <w:r>
              <w:rPr>
                <w:spacing w:val="-4"/>
                <w:sz w:val="20"/>
              </w:rPr>
              <w:t>Evli</w:t>
            </w:r>
          </w:p>
        </w:tc>
        <w:tc>
          <w:tcPr>
            <w:tcW w:w="854" w:type="dxa"/>
            <w:tcBorders>
              <w:top w:val="single" w:color="000000" w:sz="4" w:space="0"/>
            </w:tcBorders>
          </w:tcPr>
          <w:p w14:paraId="199301C6">
            <w:pPr>
              <w:pStyle w:val="29"/>
              <w:spacing w:before="38"/>
              <w:ind w:left="381"/>
              <w:rPr>
                <w:sz w:val="20"/>
              </w:rPr>
            </w:pPr>
            <w:r>
              <w:rPr>
                <w:spacing w:val="-5"/>
                <w:sz w:val="20"/>
              </w:rPr>
              <w:t>372</w:t>
            </w:r>
          </w:p>
        </w:tc>
        <w:tc>
          <w:tcPr>
            <w:tcW w:w="704" w:type="dxa"/>
            <w:tcBorders>
              <w:top w:val="single" w:color="000000" w:sz="4" w:space="0"/>
            </w:tcBorders>
          </w:tcPr>
          <w:p w14:paraId="5B73074D">
            <w:pPr>
              <w:pStyle w:val="29"/>
              <w:spacing w:before="38"/>
              <w:ind w:left="173"/>
              <w:rPr>
                <w:sz w:val="20"/>
              </w:rPr>
            </w:pPr>
            <w:r>
              <w:rPr>
                <w:spacing w:val="-4"/>
                <w:sz w:val="20"/>
              </w:rPr>
              <w:t>3.18</w:t>
            </w:r>
          </w:p>
        </w:tc>
        <w:tc>
          <w:tcPr>
            <w:tcW w:w="713" w:type="dxa"/>
            <w:tcBorders>
              <w:top w:val="single" w:color="000000" w:sz="4" w:space="0"/>
            </w:tcBorders>
          </w:tcPr>
          <w:p w14:paraId="24833FFC">
            <w:pPr>
              <w:pStyle w:val="29"/>
              <w:spacing w:before="38"/>
              <w:ind w:left="184"/>
              <w:rPr>
                <w:sz w:val="20"/>
              </w:rPr>
            </w:pPr>
            <w:r>
              <w:rPr>
                <w:spacing w:val="-4"/>
                <w:sz w:val="20"/>
              </w:rPr>
              <w:t>0.54</w:t>
            </w:r>
          </w:p>
        </w:tc>
        <w:tc>
          <w:tcPr>
            <w:tcW w:w="713" w:type="dxa"/>
            <w:tcBorders>
              <w:top w:val="single" w:color="000000" w:sz="4" w:space="0"/>
            </w:tcBorders>
          </w:tcPr>
          <w:p w14:paraId="333F37FF">
            <w:pPr>
              <w:pStyle w:val="29"/>
              <w:spacing w:before="38"/>
              <w:ind w:left="184"/>
              <w:rPr>
                <w:sz w:val="20"/>
              </w:rPr>
            </w:pPr>
            <w:r>
              <w:rPr>
                <w:spacing w:val="-4"/>
                <w:sz w:val="20"/>
              </w:rPr>
              <w:t>1.87</w:t>
            </w:r>
          </w:p>
        </w:tc>
        <w:tc>
          <w:tcPr>
            <w:tcW w:w="654" w:type="dxa"/>
            <w:tcBorders>
              <w:top w:val="single" w:color="000000" w:sz="4" w:space="0"/>
            </w:tcBorders>
          </w:tcPr>
          <w:p w14:paraId="2E2A1249">
            <w:pPr>
              <w:pStyle w:val="29"/>
              <w:spacing w:before="38"/>
              <w:ind w:left="186"/>
              <w:rPr>
                <w:sz w:val="20"/>
              </w:rPr>
            </w:pPr>
            <w:r>
              <w:rPr>
                <w:spacing w:val="-5"/>
                <w:sz w:val="20"/>
              </w:rPr>
              <w:t>639</w:t>
            </w:r>
          </w:p>
        </w:tc>
        <w:tc>
          <w:tcPr>
            <w:tcW w:w="1012" w:type="dxa"/>
            <w:tcBorders>
              <w:top w:val="single" w:color="000000" w:sz="4" w:space="0"/>
            </w:tcBorders>
          </w:tcPr>
          <w:p w14:paraId="48DD7C6B">
            <w:pPr>
              <w:pStyle w:val="29"/>
              <w:spacing w:before="38"/>
              <w:ind w:left="176"/>
              <w:rPr>
                <w:sz w:val="20"/>
              </w:rPr>
            </w:pPr>
            <w:r>
              <w:rPr>
                <w:spacing w:val="-2"/>
                <w:sz w:val="20"/>
              </w:rPr>
              <w:t>0.063</w:t>
            </w:r>
          </w:p>
        </w:tc>
      </w:tr>
      <w:tr w14:paraId="2134784C">
        <w:tblPrEx>
          <w:tblCellMar>
            <w:top w:w="0" w:type="dxa"/>
            <w:left w:w="0" w:type="dxa"/>
            <w:bottom w:w="0" w:type="dxa"/>
            <w:right w:w="0" w:type="dxa"/>
          </w:tblCellMar>
        </w:tblPrEx>
        <w:trPr>
          <w:trHeight w:val="334" w:hRule="atLeast"/>
        </w:trPr>
        <w:tc>
          <w:tcPr>
            <w:tcW w:w="2018" w:type="dxa"/>
            <w:tcBorders>
              <w:bottom w:val="single" w:color="000000" w:sz="4" w:space="0"/>
            </w:tcBorders>
          </w:tcPr>
          <w:p w14:paraId="7CF56B35">
            <w:pPr>
              <w:pStyle w:val="29"/>
            </w:pPr>
          </w:p>
        </w:tc>
        <w:tc>
          <w:tcPr>
            <w:tcW w:w="2123" w:type="dxa"/>
            <w:tcBorders>
              <w:bottom w:val="single" w:color="000000" w:sz="4" w:space="0"/>
            </w:tcBorders>
          </w:tcPr>
          <w:p w14:paraId="425C0C53">
            <w:pPr>
              <w:pStyle w:val="29"/>
              <w:spacing w:before="30"/>
              <w:ind w:left="425"/>
              <w:rPr>
                <w:sz w:val="20"/>
              </w:rPr>
            </w:pPr>
            <w:r>
              <w:rPr>
                <w:spacing w:val="-2"/>
                <w:sz w:val="20"/>
              </w:rPr>
              <w:t>Bekar</w:t>
            </w:r>
          </w:p>
        </w:tc>
        <w:tc>
          <w:tcPr>
            <w:tcW w:w="854" w:type="dxa"/>
            <w:tcBorders>
              <w:bottom w:val="single" w:color="000000" w:sz="4" w:space="0"/>
            </w:tcBorders>
          </w:tcPr>
          <w:p w14:paraId="364C708D">
            <w:pPr>
              <w:pStyle w:val="29"/>
              <w:spacing w:before="30"/>
              <w:ind w:left="381"/>
              <w:rPr>
                <w:sz w:val="20"/>
              </w:rPr>
            </w:pPr>
            <w:r>
              <w:rPr>
                <w:spacing w:val="-5"/>
                <w:sz w:val="20"/>
              </w:rPr>
              <w:t>269</w:t>
            </w:r>
          </w:p>
        </w:tc>
        <w:tc>
          <w:tcPr>
            <w:tcW w:w="704" w:type="dxa"/>
            <w:tcBorders>
              <w:bottom w:val="single" w:color="000000" w:sz="4" w:space="0"/>
            </w:tcBorders>
          </w:tcPr>
          <w:p w14:paraId="27923B4C">
            <w:pPr>
              <w:pStyle w:val="29"/>
              <w:spacing w:before="30"/>
              <w:ind w:left="173"/>
              <w:rPr>
                <w:sz w:val="20"/>
              </w:rPr>
            </w:pPr>
            <w:r>
              <w:rPr>
                <w:spacing w:val="-4"/>
                <w:sz w:val="20"/>
              </w:rPr>
              <w:t>3.11</w:t>
            </w:r>
          </w:p>
        </w:tc>
        <w:tc>
          <w:tcPr>
            <w:tcW w:w="713" w:type="dxa"/>
            <w:tcBorders>
              <w:bottom w:val="single" w:color="000000" w:sz="4" w:space="0"/>
            </w:tcBorders>
          </w:tcPr>
          <w:p w14:paraId="29004031">
            <w:pPr>
              <w:pStyle w:val="29"/>
              <w:spacing w:before="30"/>
              <w:ind w:left="184"/>
              <w:rPr>
                <w:sz w:val="20"/>
              </w:rPr>
            </w:pPr>
            <w:r>
              <w:rPr>
                <w:spacing w:val="-4"/>
                <w:sz w:val="20"/>
              </w:rPr>
              <w:t>0.45</w:t>
            </w:r>
          </w:p>
        </w:tc>
        <w:tc>
          <w:tcPr>
            <w:tcW w:w="713" w:type="dxa"/>
            <w:tcBorders>
              <w:bottom w:val="single" w:color="000000" w:sz="4" w:space="0"/>
            </w:tcBorders>
          </w:tcPr>
          <w:p w14:paraId="0DB6D992">
            <w:pPr>
              <w:pStyle w:val="29"/>
            </w:pPr>
          </w:p>
        </w:tc>
        <w:tc>
          <w:tcPr>
            <w:tcW w:w="654" w:type="dxa"/>
            <w:tcBorders>
              <w:bottom w:val="single" w:color="000000" w:sz="4" w:space="0"/>
            </w:tcBorders>
          </w:tcPr>
          <w:p w14:paraId="11BB1060">
            <w:pPr>
              <w:pStyle w:val="29"/>
            </w:pPr>
          </w:p>
        </w:tc>
        <w:tc>
          <w:tcPr>
            <w:tcW w:w="1012" w:type="dxa"/>
            <w:tcBorders>
              <w:bottom w:val="single" w:color="000000" w:sz="4" w:space="0"/>
            </w:tcBorders>
          </w:tcPr>
          <w:p w14:paraId="0B3DD230">
            <w:pPr>
              <w:pStyle w:val="29"/>
            </w:pPr>
          </w:p>
        </w:tc>
      </w:tr>
    </w:tbl>
    <w:p w14:paraId="2DFF5556">
      <w:pPr>
        <w:pStyle w:val="5"/>
        <w:spacing w:before="240" w:after="240" w:line="360" w:lineRule="auto"/>
        <w:ind w:left="567"/>
        <w:rPr>
          <w:rFonts w:ascii="Times New Roman" w:hAnsi="Times New Roman" w:cs="Times New Roman"/>
          <w:b/>
          <w:i w:val="0"/>
          <w:color w:val="auto"/>
          <w:sz w:val="24"/>
        </w:rPr>
      </w:pPr>
      <w:bookmarkStart w:id="249" w:name="_Toc197351290"/>
      <w:bookmarkStart w:id="250" w:name="_Toc195877837"/>
      <w:r>
        <w:rPr>
          <w:rFonts w:ascii="Times New Roman" w:hAnsi="Times New Roman" w:cs="Times New Roman"/>
          <w:b/>
          <w:i w:val="0"/>
          <w:color w:val="auto"/>
          <w:sz w:val="24"/>
        </w:rPr>
        <w:t>4.2.2.5. Gelir Düzeyleri Açısından Öğretmenlerin Sanal Rekreasyon Deneyimlerinin İstatistiksel İncelenmesi</w:t>
      </w:r>
      <w:bookmarkEnd w:id="249"/>
      <w:bookmarkEnd w:id="250"/>
    </w:p>
    <w:p w14:paraId="3E2BC4F6">
      <w:pPr>
        <w:spacing w:before="120" w:after="120" w:line="360" w:lineRule="auto"/>
        <w:ind w:firstLine="567"/>
        <w:jc w:val="both"/>
        <w:rPr>
          <w:sz w:val="24"/>
        </w:rPr>
      </w:pPr>
      <w:r>
        <w:rPr>
          <w:sz w:val="24"/>
        </w:rPr>
        <w:t>H2:6: “</w:t>
      </w:r>
      <w:r>
        <w:rPr>
          <w:i/>
          <w:sz w:val="24"/>
        </w:rPr>
        <w:t>Öğretmenlerin sanal rekreasyon deneyimleri ile gelir düzeyleri arasında farklılık vardır</w:t>
      </w:r>
      <w:r>
        <w:rPr>
          <w:sz w:val="24"/>
        </w:rPr>
        <w:t>.”</w:t>
      </w:r>
    </w:p>
    <w:p w14:paraId="3B7E72A7">
      <w:pPr>
        <w:pStyle w:val="9"/>
        <w:spacing w:before="120" w:after="120" w:line="360" w:lineRule="auto"/>
        <w:ind w:left="0" w:firstLine="567"/>
      </w:pPr>
      <w:r>
        <w:t>Bu bölümde, öğretmenlerin sanal rekreasyon deneyimlerinin gelir düzeylerine göre istatistiksel olarak anlamlı bir farklılık gösterip göstermediği tek yönlü varyans analizi (ANOVA) ile incelenmiştir. Analizler, gelir düzeyi değişkeninin öğretmenlerin sanal rekreasyon deneyimleri üzerindeki etkisini belirlemeyi amaçlamış ve elde edilen bulgular detaylı bir şekilde değerlendirilmiştir.</w:t>
      </w:r>
    </w:p>
    <w:p w14:paraId="04D024A8">
      <w:pPr>
        <w:pStyle w:val="9"/>
        <w:spacing w:before="120" w:after="120" w:line="360" w:lineRule="auto"/>
        <w:ind w:left="0" w:firstLine="567"/>
      </w:pPr>
      <w:r>
        <w:t>Yapılan</w:t>
      </w:r>
      <w:r>
        <w:rPr>
          <w:spacing w:val="-14"/>
        </w:rPr>
        <w:t xml:space="preserve"> </w:t>
      </w:r>
      <w:r>
        <w:t>tek</w:t>
      </w:r>
      <w:r>
        <w:rPr>
          <w:spacing w:val="-10"/>
        </w:rPr>
        <w:t xml:space="preserve"> </w:t>
      </w:r>
      <w:r>
        <w:t>yönlü</w:t>
      </w:r>
      <w:r>
        <w:rPr>
          <w:spacing w:val="-11"/>
        </w:rPr>
        <w:t xml:space="preserve"> </w:t>
      </w:r>
      <w:r>
        <w:t>ANOVA</w:t>
      </w:r>
      <w:r>
        <w:rPr>
          <w:spacing w:val="-15"/>
        </w:rPr>
        <w:t xml:space="preserve"> </w:t>
      </w:r>
      <w:r>
        <w:t>analizi</w:t>
      </w:r>
      <w:r>
        <w:rPr>
          <w:spacing w:val="-14"/>
        </w:rPr>
        <w:t xml:space="preserve"> </w:t>
      </w:r>
      <w:r>
        <w:t>sonucunda,</w:t>
      </w:r>
      <w:r>
        <w:rPr>
          <w:spacing w:val="-12"/>
        </w:rPr>
        <w:t xml:space="preserve"> </w:t>
      </w:r>
      <w:r>
        <w:t>gelir</w:t>
      </w:r>
      <w:r>
        <w:rPr>
          <w:spacing w:val="-13"/>
        </w:rPr>
        <w:t xml:space="preserve"> </w:t>
      </w:r>
      <w:r>
        <w:t>düzeyleri</w:t>
      </w:r>
      <w:r>
        <w:rPr>
          <w:spacing w:val="-14"/>
        </w:rPr>
        <w:t xml:space="preserve"> </w:t>
      </w:r>
      <w:r>
        <w:t>açısından</w:t>
      </w:r>
      <w:r>
        <w:rPr>
          <w:spacing w:val="-14"/>
        </w:rPr>
        <w:t xml:space="preserve"> </w:t>
      </w:r>
      <w:r>
        <w:t>öğretmenlerin</w:t>
      </w:r>
      <w:r>
        <w:rPr>
          <w:spacing w:val="-14"/>
        </w:rPr>
        <w:t xml:space="preserve"> </w:t>
      </w:r>
      <w:r>
        <w:t>sanal rekreasyon</w:t>
      </w:r>
      <w:r>
        <w:rPr>
          <w:spacing w:val="-9"/>
        </w:rPr>
        <w:t xml:space="preserve"> </w:t>
      </w:r>
      <w:r>
        <w:t>deneyimlerinde</w:t>
      </w:r>
      <w:r>
        <w:rPr>
          <w:spacing w:val="-8"/>
        </w:rPr>
        <w:t xml:space="preserve"> </w:t>
      </w:r>
      <w:r>
        <w:t>istatistiksel</w:t>
      </w:r>
      <w:r>
        <w:rPr>
          <w:spacing w:val="-9"/>
        </w:rPr>
        <w:t xml:space="preserve"> </w:t>
      </w:r>
      <w:r>
        <w:t>olarak</w:t>
      </w:r>
      <w:r>
        <w:rPr>
          <w:spacing w:val="-9"/>
        </w:rPr>
        <w:t xml:space="preserve"> </w:t>
      </w:r>
      <w:r>
        <w:t>anlamlı</w:t>
      </w:r>
      <w:r>
        <w:rPr>
          <w:spacing w:val="-9"/>
        </w:rPr>
        <w:t xml:space="preserve"> </w:t>
      </w:r>
      <w:r>
        <w:t>bir</w:t>
      </w:r>
      <w:r>
        <w:rPr>
          <w:spacing w:val="-10"/>
        </w:rPr>
        <w:t xml:space="preserve"> </w:t>
      </w:r>
      <w:r>
        <w:t>farklılık</w:t>
      </w:r>
      <w:r>
        <w:rPr>
          <w:spacing w:val="-8"/>
        </w:rPr>
        <w:t xml:space="preserve"> </w:t>
      </w:r>
      <w:r>
        <w:t>bulunmuştur,</w:t>
      </w:r>
      <w:r>
        <w:rPr>
          <w:spacing w:val="-9"/>
        </w:rPr>
        <w:t xml:space="preserve"> </w:t>
      </w:r>
      <w:r>
        <w:t>F(3,</w:t>
      </w:r>
      <w:r>
        <w:rPr>
          <w:spacing w:val="-10"/>
        </w:rPr>
        <w:t xml:space="preserve"> </w:t>
      </w:r>
      <w:r>
        <w:t>637)</w:t>
      </w:r>
      <w:r>
        <w:rPr>
          <w:spacing w:val="-10"/>
        </w:rPr>
        <w:t xml:space="preserve"> </w:t>
      </w:r>
      <w:r>
        <w:t>= 5.75, p = .001. Bu sonuç, öğretmenlerin gelir düzeylerinin sanal rekreasyon deneyimlerini anlamlı bir şekilde etkilediğini göstermektedir.</w:t>
      </w:r>
    </w:p>
    <w:p w14:paraId="2A9D74F8">
      <w:pPr>
        <w:pStyle w:val="9"/>
        <w:spacing w:before="120" w:after="120" w:line="360" w:lineRule="auto"/>
        <w:ind w:left="0" w:firstLine="567"/>
      </w:pPr>
      <w:r>
        <w:t>Ancak, bu farkın büyüklüğünü değerlendirmek amacıyla yapılan hesaplamalar sonucunda elde</w:t>
      </w:r>
      <w:r>
        <w:rPr>
          <w:spacing w:val="-10"/>
        </w:rPr>
        <w:t xml:space="preserve"> </w:t>
      </w:r>
      <w:r>
        <w:t>edilen</w:t>
      </w:r>
      <w:r>
        <w:rPr>
          <w:spacing w:val="-8"/>
        </w:rPr>
        <w:t xml:space="preserve"> </w:t>
      </w:r>
      <w:r>
        <w:t>etki</w:t>
      </w:r>
      <w:r>
        <w:rPr>
          <w:spacing w:val="-9"/>
        </w:rPr>
        <w:t xml:space="preserve"> </w:t>
      </w:r>
      <w:r>
        <w:t>büyüklüğü</w:t>
      </w:r>
      <w:r>
        <w:rPr>
          <w:spacing w:val="-10"/>
        </w:rPr>
        <w:t xml:space="preserve"> </w:t>
      </w:r>
      <w:r>
        <w:t>düşük</w:t>
      </w:r>
      <w:r>
        <w:rPr>
          <w:spacing w:val="-9"/>
        </w:rPr>
        <w:t xml:space="preserve"> </w:t>
      </w:r>
      <w:r>
        <w:t>düzeyde</w:t>
      </w:r>
      <w:r>
        <w:rPr>
          <w:spacing w:val="-11"/>
        </w:rPr>
        <w:t xml:space="preserve"> </w:t>
      </w:r>
      <w:r>
        <w:t>kalmıştır</w:t>
      </w:r>
      <w:r>
        <w:rPr>
          <w:spacing w:val="-10"/>
        </w:rPr>
        <w:t xml:space="preserve"> </w:t>
      </w:r>
      <w:r>
        <w:t>(η²</w:t>
      </w:r>
      <w:r>
        <w:rPr>
          <w:spacing w:val="-7"/>
        </w:rPr>
        <w:t xml:space="preserve"> </w:t>
      </w:r>
      <w:r>
        <w:t>=</w:t>
      </w:r>
      <w:r>
        <w:rPr>
          <w:spacing w:val="-11"/>
        </w:rPr>
        <w:t xml:space="preserve"> </w:t>
      </w:r>
      <w:r>
        <w:t>0.026).</w:t>
      </w:r>
      <w:r>
        <w:rPr>
          <w:spacing w:val="-8"/>
        </w:rPr>
        <w:t xml:space="preserve"> </w:t>
      </w:r>
      <w:r>
        <w:t>Bu</w:t>
      </w:r>
      <w:r>
        <w:rPr>
          <w:spacing w:val="-10"/>
        </w:rPr>
        <w:t xml:space="preserve"> </w:t>
      </w:r>
      <w:r>
        <w:t>sonuç</w:t>
      </w:r>
      <w:r>
        <w:rPr>
          <w:spacing w:val="-6"/>
        </w:rPr>
        <w:t xml:space="preserve"> </w:t>
      </w:r>
      <w:r>
        <w:t>H2.6</w:t>
      </w:r>
      <w:r>
        <w:rPr>
          <w:spacing w:val="-10"/>
        </w:rPr>
        <w:t xml:space="preserve"> </w:t>
      </w:r>
      <w:r>
        <w:t xml:space="preserve">hipotezinin kabul edildiğini </w:t>
      </w:r>
      <w:r>
        <w:rPr>
          <w:color w:val="000000"/>
        </w:rPr>
        <w:t>göstermektedir. Analiz sonuçları Tablo 4.9’da sunulmaktadır.</w:t>
      </w:r>
    </w:p>
    <w:p w14:paraId="0CD43865">
      <w:pPr>
        <w:pStyle w:val="9"/>
        <w:spacing w:line="360" w:lineRule="auto"/>
        <w:ind w:left="0"/>
        <w:rPr>
          <w:b/>
        </w:rPr>
      </w:pPr>
      <w:r>
        <w:rPr>
          <w:b/>
        </w:rPr>
        <w:t xml:space="preserve">Tablo 4.9. </w:t>
      </w:r>
      <w:r>
        <w:t>Gelir Düzeyleri Açısından Öğretmenlerin Sanal Rekreasyon Deneyimlerinin ANOVA Sonuçları</w:t>
      </w:r>
    </w:p>
    <w:p w14:paraId="7448F0F4">
      <w:pPr>
        <w:pStyle w:val="9"/>
        <w:spacing w:before="6"/>
        <w:ind w:left="0"/>
        <w:jc w:val="left"/>
        <w:rPr>
          <w:sz w:val="20"/>
        </w:rPr>
      </w:pPr>
    </w:p>
    <w:tbl>
      <w:tblPr>
        <w:tblStyle w:val="7"/>
        <w:tblW w:w="0" w:type="auto"/>
        <w:tblInd w:w="153" w:type="dxa"/>
        <w:tblLayout w:type="fixed"/>
        <w:tblCellMar>
          <w:top w:w="0" w:type="dxa"/>
          <w:left w:w="0" w:type="dxa"/>
          <w:bottom w:w="0" w:type="dxa"/>
          <w:right w:w="0" w:type="dxa"/>
        </w:tblCellMar>
      </w:tblPr>
      <w:tblGrid>
        <w:gridCol w:w="1630"/>
        <w:gridCol w:w="2180"/>
        <w:gridCol w:w="810"/>
        <w:gridCol w:w="2248"/>
        <w:gridCol w:w="1057"/>
        <w:gridCol w:w="875"/>
      </w:tblGrid>
      <w:tr w14:paraId="04E406BF">
        <w:tblPrEx>
          <w:tblCellMar>
            <w:top w:w="0" w:type="dxa"/>
            <w:left w:w="0" w:type="dxa"/>
            <w:bottom w:w="0" w:type="dxa"/>
            <w:right w:w="0" w:type="dxa"/>
          </w:tblCellMar>
        </w:tblPrEx>
        <w:trPr>
          <w:trHeight w:val="256" w:hRule="atLeast"/>
        </w:trPr>
        <w:tc>
          <w:tcPr>
            <w:tcW w:w="1630" w:type="dxa"/>
            <w:tcBorders>
              <w:top w:val="single" w:color="000000" w:sz="4" w:space="0"/>
              <w:bottom w:val="single" w:color="000000" w:sz="4" w:space="0"/>
            </w:tcBorders>
          </w:tcPr>
          <w:p w14:paraId="21C3D677">
            <w:pPr>
              <w:pStyle w:val="29"/>
              <w:spacing w:before="12" w:line="224" w:lineRule="exact"/>
              <w:ind w:left="57"/>
              <w:rPr>
                <w:b/>
                <w:sz w:val="20"/>
              </w:rPr>
            </w:pPr>
            <w:r>
              <w:rPr>
                <w:b/>
                <w:spacing w:val="-2"/>
                <w:sz w:val="20"/>
              </w:rPr>
              <w:t>Kaynak</w:t>
            </w:r>
          </w:p>
        </w:tc>
        <w:tc>
          <w:tcPr>
            <w:tcW w:w="2180" w:type="dxa"/>
            <w:tcBorders>
              <w:top w:val="single" w:color="000000" w:sz="4" w:space="0"/>
              <w:bottom w:val="single" w:color="000000" w:sz="4" w:space="0"/>
            </w:tcBorders>
          </w:tcPr>
          <w:p w14:paraId="4807F569">
            <w:pPr>
              <w:pStyle w:val="29"/>
              <w:spacing w:before="12" w:line="224" w:lineRule="exact"/>
              <w:ind w:left="345"/>
              <w:rPr>
                <w:b/>
                <w:sz w:val="20"/>
              </w:rPr>
            </w:pPr>
            <w:r>
              <w:rPr>
                <w:b/>
                <w:sz w:val="20"/>
              </w:rPr>
              <w:t>Kareler</w:t>
            </w:r>
            <w:r>
              <w:rPr>
                <w:b/>
                <w:spacing w:val="-6"/>
                <w:sz w:val="20"/>
              </w:rPr>
              <w:t xml:space="preserve"> </w:t>
            </w:r>
            <w:r>
              <w:rPr>
                <w:b/>
                <w:spacing w:val="-2"/>
                <w:sz w:val="20"/>
              </w:rPr>
              <w:t>Toplamı</w:t>
            </w:r>
          </w:p>
        </w:tc>
        <w:tc>
          <w:tcPr>
            <w:tcW w:w="810" w:type="dxa"/>
            <w:tcBorders>
              <w:top w:val="single" w:color="000000" w:sz="4" w:space="0"/>
              <w:bottom w:val="single" w:color="000000" w:sz="4" w:space="0"/>
            </w:tcBorders>
          </w:tcPr>
          <w:p w14:paraId="5AF01B16">
            <w:pPr>
              <w:pStyle w:val="29"/>
              <w:spacing w:before="12" w:line="224" w:lineRule="exact"/>
              <w:ind w:left="397"/>
              <w:rPr>
                <w:b/>
                <w:sz w:val="20"/>
              </w:rPr>
            </w:pPr>
            <w:r>
              <w:rPr>
                <w:b/>
                <w:spacing w:val="-5"/>
                <w:sz w:val="20"/>
              </w:rPr>
              <w:t>df</w:t>
            </w:r>
          </w:p>
        </w:tc>
        <w:tc>
          <w:tcPr>
            <w:tcW w:w="2248" w:type="dxa"/>
            <w:tcBorders>
              <w:top w:val="single" w:color="000000" w:sz="4" w:space="0"/>
              <w:bottom w:val="single" w:color="000000" w:sz="4" w:space="0"/>
            </w:tcBorders>
          </w:tcPr>
          <w:p w14:paraId="1DB7278E">
            <w:pPr>
              <w:pStyle w:val="29"/>
              <w:spacing w:before="12" w:line="224" w:lineRule="exact"/>
              <w:ind w:left="106"/>
              <w:rPr>
                <w:b/>
                <w:sz w:val="20"/>
              </w:rPr>
            </w:pPr>
            <w:r>
              <w:rPr>
                <w:b/>
                <w:sz w:val="20"/>
              </w:rPr>
              <w:t>Kareler</w:t>
            </w:r>
            <w:r>
              <w:rPr>
                <w:b/>
                <w:spacing w:val="-5"/>
                <w:sz w:val="20"/>
              </w:rPr>
              <w:t xml:space="preserve"> </w:t>
            </w:r>
            <w:r>
              <w:rPr>
                <w:b/>
                <w:spacing w:val="-2"/>
                <w:sz w:val="20"/>
              </w:rPr>
              <w:t>Ortalaması</w:t>
            </w:r>
          </w:p>
        </w:tc>
        <w:tc>
          <w:tcPr>
            <w:tcW w:w="1057" w:type="dxa"/>
            <w:tcBorders>
              <w:top w:val="single" w:color="000000" w:sz="4" w:space="0"/>
              <w:bottom w:val="single" w:color="000000" w:sz="4" w:space="0"/>
            </w:tcBorders>
          </w:tcPr>
          <w:p w14:paraId="6204048E">
            <w:pPr>
              <w:pStyle w:val="29"/>
              <w:spacing w:before="12" w:line="224" w:lineRule="exact"/>
              <w:ind w:left="458"/>
              <w:rPr>
                <w:b/>
                <w:sz w:val="20"/>
              </w:rPr>
            </w:pPr>
            <w:r>
              <w:rPr>
                <w:b/>
                <w:w w:val="99"/>
                <w:sz w:val="20"/>
              </w:rPr>
              <w:t>F</w:t>
            </w:r>
          </w:p>
        </w:tc>
        <w:tc>
          <w:tcPr>
            <w:tcW w:w="875" w:type="dxa"/>
            <w:tcBorders>
              <w:top w:val="single" w:color="000000" w:sz="4" w:space="0"/>
              <w:bottom w:val="single" w:color="000000" w:sz="4" w:space="0"/>
            </w:tcBorders>
          </w:tcPr>
          <w:p w14:paraId="7D181BE2">
            <w:pPr>
              <w:pStyle w:val="29"/>
              <w:spacing w:before="12" w:line="224" w:lineRule="exact"/>
              <w:ind w:left="142"/>
              <w:rPr>
                <w:b/>
                <w:sz w:val="20"/>
              </w:rPr>
            </w:pPr>
            <w:r>
              <w:rPr>
                <w:b/>
                <w:w w:val="99"/>
                <w:sz w:val="20"/>
              </w:rPr>
              <w:t>p</w:t>
            </w:r>
          </w:p>
        </w:tc>
      </w:tr>
      <w:tr w14:paraId="34060778">
        <w:tblPrEx>
          <w:tblCellMar>
            <w:top w:w="0" w:type="dxa"/>
            <w:left w:w="0" w:type="dxa"/>
            <w:bottom w:w="0" w:type="dxa"/>
            <w:right w:w="0" w:type="dxa"/>
          </w:tblCellMar>
        </w:tblPrEx>
        <w:trPr>
          <w:trHeight w:val="308" w:hRule="atLeast"/>
        </w:trPr>
        <w:tc>
          <w:tcPr>
            <w:tcW w:w="1630" w:type="dxa"/>
            <w:tcBorders>
              <w:top w:val="single" w:color="000000" w:sz="4" w:space="0"/>
            </w:tcBorders>
          </w:tcPr>
          <w:p w14:paraId="633CF185">
            <w:pPr>
              <w:pStyle w:val="29"/>
              <w:spacing w:before="46"/>
              <w:ind w:left="57"/>
              <w:rPr>
                <w:b/>
                <w:sz w:val="20"/>
              </w:rPr>
            </w:pPr>
            <w:r>
              <w:rPr>
                <w:b/>
                <w:sz w:val="20"/>
              </w:rPr>
              <w:t>Gruplar</w:t>
            </w:r>
            <w:r>
              <w:rPr>
                <w:b/>
                <w:spacing w:val="-9"/>
                <w:sz w:val="20"/>
              </w:rPr>
              <w:t xml:space="preserve"> </w:t>
            </w:r>
            <w:r>
              <w:rPr>
                <w:b/>
                <w:spacing w:val="-2"/>
                <w:sz w:val="20"/>
              </w:rPr>
              <w:t>Arası</w:t>
            </w:r>
          </w:p>
        </w:tc>
        <w:tc>
          <w:tcPr>
            <w:tcW w:w="2180" w:type="dxa"/>
            <w:tcBorders>
              <w:top w:val="single" w:color="000000" w:sz="4" w:space="0"/>
            </w:tcBorders>
          </w:tcPr>
          <w:p w14:paraId="087A9E6F">
            <w:pPr>
              <w:pStyle w:val="29"/>
              <w:spacing w:before="41"/>
              <w:ind w:left="345"/>
              <w:rPr>
                <w:sz w:val="20"/>
              </w:rPr>
            </w:pPr>
            <w:r>
              <w:rPr>
                <w:spacing w:val="-2"/>
                <w:sz w:val="20"/>
              </w:rPr>
              <w:t>4.300</w:t>
            </w:r>
          </w:p>
        </w:tc>
        <w:tc>
          <w:tcPr>
            <w:tcW w:w="810" w:type="dxa"/>
            <w:tcBorders>
              <w:top w:val="single" w:color="000000" w:sz="4" w:space="0"/>
            </w:tcBorders>
          </w:tcPr>
          <w:p w14:paraId="622FF1D7">
            <w:pPr>
              <w:pStyle w:val="29"/>
              <w:spacing w:before="41"/>
              <w:ind w:left="397"/>
              <w:rPr>
                <w:sz w:val="20"/>
              </w:rPr>
            </w:pPr>
            <w:r>
              <w:rPr>
                <w:w w:val="99"/>
                <w:sz w:val="20"/>
              </w:rPr>
              <w:t>3</w:t>
            </w:r>
          </w:p>
        </w:tc>
        <w:tc>
          <w:tcPr>
            <w:tcW w:w="2248" w:type="dxa"/>
            <w:tcBorders>
              <w:top w:val="single" w:color="000000" w:sz="4" w:space="0"/>
            </w:tcBorders>
          </w:tcPr>
          <w:p w14:paraId="615157A3">
            <w:pPr>
              <w:pStyle w:val="29"/>
              <w:spacing w:before="41"/>
              <w:ind w:left="106"/>
              <w:rPr>
                <w:sz w:val="20"/>
              </w:rPr>
            </w:pPr>
            <w:r>
              <w:rPr>
                <w:spacing w:val="-2"/>
                <w:sz w:val="20"/>
              </w:rPr>
              <w:t>1.433</w:t>
            </w:r>
          </w:p>
        </w:tc>
        <w:tc>
          <w:tcPr>
            <w:tcW w:w="1057" w:type="dxa"/>
            <w:tcBorders>
              <w:top w:val="single" w:color="000000" w:sz="4" w:space="0"/>
            </w:tcBorders>
          </w:tcPr>
          <w:p w14:paraId="649F3975">
            <w:pPr>
              <w:pStyle w:val="29"/>
              <w:spacing w:before="41"/>
              <w:ind w:left="458"/>
              <w:rPr>
                <w:sz w:val="20"/>
              </w:rPr>
            </w:pPr>
            <w:r>
              <w:rPr>
                <w:spacing w:val="-2"/>
                <w:sz w:val="20"/>
              </w:rPr>
              <w:t>5.746</w:t>
            </w:r>
          </w:p>
        </w:tc>
        <w:tc>
          <w:tcPr>
            <w:tcW w:w="875" w:type="dxa"/>
            <w:tcBorders>
              <w:top w:val="single" w:color="000000" w:sz="4" w:space="0"/>
            </w:tcBorders>
          </w:tcPr>
          <w:p w14:paraId="55FDED52">
            <w:pPr>
              <w:pStyle w:val="29"/>
              <w:spacing w:before="41"/>
              <w:ind w:left="142"/>
              <w:rPr>
                <w:sz w:val="20"/>
              </w:rPr>
            </w:pPr>
            <w:r>
              <w:rPr>
                <w:spacing w:val="-2"/>
                <w:sz w:val="20"/>
              </w:rPr>
              <w:t>0.001</w:t>
            </w:r>
          </w:p>
        </w:tc>
      </w:tr>
      <w:tr w14:paraId="45E51DAF">
        <w:tblPrEx>
          <w:tblCellMar>
            <w:top w:w="0" w:type="dxa"/>
            <w:left w:w="0" w:type="dxa"/>
            <w:bottom w:w="0" w:type="dxa"/>
            <w:right w:w="0" w:type="dxa"/>
          </w:tblCellMar>
        </w:tblPrEx>
        <w:trPr>
          <w:trHeight w:val="290" w:hRule="atLeast"/>
        </w:trPr>
        <w:tc>
          <w:tcPr>
            <w:tcW w:w="1630" w:type="dxa"/>
          </w:tcPr>
          <w:p w14:paraId="4B0AB6F5">
            <w:pPr>
              <w:pStyle w:val="29"/>
              <w:spacing w:before="28"/>
              <w:ind w:left="57"/>
              <w:rPr>
                <w:b/>
                <w:sz w:val="20"/>
              </w:rPr>
            </w:pPr>
            <w:r>
              <w:rPr>
                <w:b/>
                <w:sz w:val="20"/>
              </w:rPr>
              <w:t>Gruplar</w:t>
            </w:r>
            <w:r>
              <w:rPr>
                <w:b/>
                <w:spacing w:val="-9"/>
                <w:sz w:val="20"/>
              </w:rPr>
              <w:t xml:space="preserve"> </w:t>
            </w:r>
            <w:r>
              <w:rPr>
                <w:b/>
                <w:spacing w:val="-5"/>
                <w:sz w:val="20"/>
              </w:rPr>
              <w:t>İçi</w:t>
            </w:r>
          </w:p>
        </w:tc>
        <w:tc>
          <w:tcPr>
            <w:tcW w:w="2180" w:type="dxa"/>
          </w:tcPr>
          <w:p w14:paraId="3DF39616">
            <w:pPr>
              <w:pStyle w:val="29"/>
              <w:spacing w:before="23"/>
              <w:ind w:left="345"/>
              <w:rPr>
                <w:sz w:val="20"/>
              </w:rPr>
            </w:pPr>
            <w:r>
              <w:rPr>
                <w:spacing w:val="-2"/>
                <w:sz w:val="20"/>
              </w:rPr>
              <w:t>158.923</w:t>
            </w:r>
          </w:p>
        </w:tc>
        <w:tc>
          <w:tcPr>
            <w:tcW w:w="810" w:type="dxa"/>
          </w:tcPr>
          <w:p w14:paraId="291CD803">
            <w:pPr>
              <w:pStyle w:val="29"/>
              <w:spacing w:before="23"/>
              <w:ind w:left="397"/>
              <w:rPr>
                <w:sz w:val="20"/>
              </w:rPr>
            </w:pPr>
            <w:r>
              <w:rPr>
                <w:spacing w:val="-5"/>
                <w:sz w:val="20"/>
              </w:rPr>
              <w:t>637</w:t>
            </w:r>
          </w:p>
        </w:tc>
        <w:tc>
          <w:tcPr>
            <w:tcW w:w="2248" w:type="dxa"/>
          </w:tcPr>
          <w:p w14:paraId="4011D6E6">
            <w:pPr>
              <w:pStyle w:val="29"/>
              <w:spacing w:before="23"/>
              <w:ind w:left="106"/>
              <w:rPr>
                <w:sz w:val="20"/>
              </w:rPr>
            </w:pPr>
            <w:r>
              <w:rPr>
                <w:spacing w:val="-2"/>
                <w:sz w:val="20"/>
              </w:rPr>
              <w:t>0.249</w:t>
            </w:r>
          </w:p>
        </w:tc>
        <w:tc>
          <w:tcPr>
            <w:tcW w:w="1057" w:type="dxa"/>
          </w:tcPr>
          <w:p w14:paraId="377FD1DC">
            <w:pPr>
              <w:pStyle w:val="29"/>
              <w:rPr>
                <w:sz w:val="20"/>
              </w:rPr>
            </w:pPr>
          </w:p>
        </w:tc>
        <w:tc>
          <w:tcPr>
            <w:tcW w:w="875" w:type="dxa"/>
          </w:tcPr>
          <w:p w14:paraId="7E610A55">
            <w:pPr>
              <w:pStyle w:val="29"/>
              <w:rPr>
                <w:sz w:val="20"/>
              </w:rPr>
            </w:pPr>
          </w:p>
        </w:tc>
      </w:tr>
      <w:tr w14:paraId="7868AF7F">
        <w:tblPrEx>
          <w:tblCellMar>
            <w:top w:w="0" w:type="dxa"/>
            <w:left w:w="0" w:type="dxa"/>
            <w:bottom w:w="0" w:type="dxa"/>
            <w:right w:w="0" w:type="dxa"/>
          </w:tblCellMar>
        </w:tblPrEx>
        <w:trPr>
          <w:trHeight w:val="313" w:hRule="atLeast"/>
        </w:trPr>
        <w:tc>
          <w:tcPr>
            <w:tcW w:w="1630" w:type="dxa"/>
            <w:tcBorders>
              <w:bottom w:val="single" w:color="000000" w:sz="4" w:space="0"/>
            </w:tcBorders>
          </w:tcPr>
          <w:p w14:paraId="2DCC42B1">
            <w:pPr>
              <w:pStyle w:val="29"/>
              <w:spacing w:before="28"/>
              <w:ind w:left="57"/>
              <w:rPr>
                <w:b/>
                <w:sz w:val="20"/>
              </w:rPr>
            </w:pPr>
            <w:r>
              <w:rPr>
                <w:b/>
                <w:spacing w:val="-2"/>
                <w:sz w:val="20"/>
              </w:rPr>
              <w:t>Toplam</w:t>
            </w:r>
          </w:p>
        </w:tc>
        <w:tc>
          <w:tcPr>
            <w:tcW w:w="2180" w:type="dxa"/>
            <w:tcBorders>
              <w:bottom w:val="single" w:color="000000" w:sz="4" w:space="0"/>
            </w:tcBorders>
          </w:tcPr>
          <w:p w14:paraId="0FAC3CD6">
            <w:pPr>
              <w:pStyle w:val="29"/>
              <w:spacing w:before="23"/>
              <w:ind w:left="345"/>
              <w:rPr>
                <w:sz w:val="20"/>
              </w:rPr>
            </w:pPr>
            <w:r>
              <w:rPr>
                <w:spacing w:val="-2"/>
                <w:sz w:val="20"/>
              </w:rPr>
              <w:t>163.223</w:t>
            </w:r>
          </w:p>
        </w:tc>
        <w:tc>
          <w:tcPr>
            <w:tcW w:w="810" w:type="dxa"/>
            <w:tcBorders>
              <w:bottom w:val="single" w:color="000000" w:sz="4" w:space="0"/>
            </w:tcBorders>
          </w:tcPr>
          <w:p w14:paraId="656DAB94">
            <w:pPr>
              <w:pStyle w:val="29"/>
              <w:spacing w:before="23"/>
              <w:ind w:left="397"/>
              <w:rPr>
                <w:sz w:val="20"/>
              </w:rPr>
            </w:pPr>
            <w:r>
              <w:rPr>
                <w:spacing w:val="-5"/>
                <w:sz w:val="20"/>
              </w:rPr>
              <w:t>640</w:t>
            </w:r>
          </w:p>
        </w:tc>
        <w:tc>
          <w:tcPr>
            <w:tcW w:w="2248" w:type="dxa"/>
            <w:tcBorders>
              <w:bottom w:val="single" w:color="000000" w:sz="4" w:space="0"/>
            </w:tcBorders>
          </w:tcPr>
          <w:p w14:paraId="3A2E8F42">
            <w:pPr>
              <w:pStyle w:val="29"/>
            </w:pPr>
          </w:p>
        </w:tc>
        <w:tc>
          <w:tcPr>
            <w:tcW w:w="1057" w:type="dxa"/>
            <w:tcBorders>
              <w:bottom w:val="single" w:color="000000" w:sz="4" w:space="0"/>
            </w:tcBorders>
          </w:tcPr>
          <w:p w14:paraId="04B5B081">
            <w:pPr>
              <w:pStyle w:val="29"/>
            </w:pPr>
          </w:p>
        </w:tc>
        <w:tc>
          <w:tcPr>
            <w:tcW w:w="875" w:type="dxa"/>
            <w:tcBorders>
              <w:bottom w:val="single" w:color="000000" w:sz="4" w:space="0"/>
            </w:tcBorders>
          </w:tcPr>
          <w:p w14:paraId="23023C61">
            <w:pPr>
              <w:pStyle w:val="29"/>
            </w:pPr>
          </w:p>
        </w:tc>
      </w:tr>
    </w:tbl>
    <w:p w14:paraId="3AB40FDB">
      <w:pPr>
        <w:pStyle w:val="9"/>
        <w:spacing w:before="120" w:after="120" w:line="360" w:lineRule="auto"/>
        <w:ind w:left="0" w:firstLine="567"/>
      </w:pPr>
      <w:r>
        <w:t>Bu</w:t>
      </w:r>
      <w:r>
        <w:rPr>
          <w:spacing w:val="-4"/>
        </w:rPr>
        <w:t xml:space="preserve"> </w:t>
      </w:r>
      <w:r>
        <w:t>çalışmada</w:t>
      </w:r>
      <w:r>
        <w:rPr>
          <w:spacing w:val="-3"/>
        </w:rPr>
        <w:t xml:space="preserve"> </w:t>
      </w:r>
      <w:r>
        <w:t>test</w:t>
      </w:r>
      <w:r>
        <w:rPr>
          <w:spacing w:val="-2"/>
        </w:rPr>
        <w:t xml:space="preserve"> </w:t>
      </w:r>
      <w:r>
        <w:t>edilen hipotezlerin</w:t>
      </w:r>
      <w:r>
        <w:rPr>
          <w:spacing w:val="-2"/>
        </w:rPr>
        <w:t xml:space="preserve"> </w:t>
      </w:r>
      <w:r>
        <w:t>sonuçları,</w:t>
      </w:r>
      <w:r>
        <w:rPr>
          <w:spacing w:val="-2"/>
        </w:rPr>
        <w:t xml:space="preserve"> </w:t>
      </w:r>
      <w:r>
        <w:t>Tablo</w:t>
      </w:r>
      <w:r>
        <w:rPr>
          <w:spacing w:val="-2"/>
        </w:rPr>
        <w:t xml:space="preserve"> </w:t>
      </w:r>
      <w:r>
        <w:t>4.10'da</w:t>
      </w:r>
      <w:r>
        <w:rPr>
          <w:spacing w:val="-2"/>
        </w:rPr>
        <w:t xml:space="preserve"> özetlenmiştir.</w:t>
      </w:r>
    </w:p>
    <w:p w14:paraId="5DE738F8">
      <w:pPr>
        <w:pStyle w:val="9"/>
        <w:spacing w:line="360" w:lineRule="auto"/>
        <w:ind w:left="0"/>
      </w:pPr>
      <w:r>
        <w:rPr>
          <w:b/>
        </w:rPr>
        <w:t>Tablo</w:t>
      </w:r>
      <w:r>
        <w:rPr>
          <w:b/>
          <w:spacing w:val="-4"/>
        </w:rPr>
        <w:t xml:space="preserve"> </w:t>
      </w:r>
      <w:r>
        <w:rPr>
          <w:b/>
        </w:rPr>
        <w:t>4.10.</w:t>
      </w:r>
      <w:r>
        <w:rPr>
          <w:b/>
          <w:spacing w:val="-1"/>
        </w:rPr>
        <w:t xml:space="preserve"> </w:t>
      </w:r>
      <w:r>
        <w:t>Hipotezlerin</w:t>
      </w:r>
      <w:r>
        <w:rPr>
          <w:spacing w:val="-1"/>
        </w:rPr>
        <w:t xml:space="preserve"> </w:t>
      </w:r>
      <w:r>
        <w:t>Test</w:t>
      </w:r>
      <w:r>
        <w:rPr>
          <w:spacing w:val="-1"/>
        </w:rPr>
        <w:t xml:space="preserve"> </w:t>
      </w:r>
      <w:r>
        <w:t>Sonuçlarına</w:t>
      </w:r>
      <w:r>
        <w:rPr>
          <w:spacing w:val="-1"/>
        </w:rPr>
        <w:t xml:space="preserve"> </w:t>
      </w:r>
      <w:r>
        <w:t>Göre</w:t>
      </w:r>
      <w:r>
        <w:rPr>
          <w:spacing w:val="-2"/>
        </w:rPr>
        <w:t xml:space="preserve"> </w:t>
      </w:r>
      <w:r>
        <w:t>Kabul/Red</w:t>
      </w:r>
      <w:r>
        <w:rPr>
          <w:spacing w:val="-1"/>
        </w:rPr>
        <w:t xml:space="preserve"> </w:t>
      </w:r>
      <w:r>
        <w:rPr>
          <w:spacing w:val="-2"/>
        </w:rPr>
        <w:t>Durumu</w:t>
      </w:r>
    </w:p>
    <w:p w14:paraId="01EFC465">
      <w:pPr>
        <w:pStyle w:val="9"/>
        <w:spacing w:before="2"/>
        <w:ind w:left="0"/>
        <w:jc w:val="left"/>
        <w:rPr>
          <w:sz w:val="12"/>
        </w:rPr>
      </w:pPr>
    </w:p>
    <w:tbl>
      <w:tblPr>
        <w:tblStyle w:val="7"/>
        <w:tblW w:w="0" w:type="auto"/>
        <w:tblInd w:w="153" w:type="dxa"/>
        <w:tblLayout w:type="fixed"/>
        <w:tblCellMar>
          <w:top w:w="0" w:type="dxa"/>
          <w:left w:w="0" w:type="dxa"/>
          <w:bottom w:w="0" w:type="dxa"/>
          <w:right w:w="0" w:type="dxa"/>
        </w:tblCellMar>
      </w:tblPr>
      <w:tblGrid>
        <w:gridCol w:w="1168"/>
        <w:gridCol w:w="2735"/>
        <w:gridCol w:w="1894"/>
        <w:gridCol w:w="3003"/>
      </w:tblGrid>
      <w:tr w14:paraId="2F1BCE92">
        <w:tblPrEx>
          <w:tblCellMar>
            <w:top w:w="0" w:type="dxa"/>
            <w:left w:w="0" w:type="dxa"/>
            <w:bottom w:w="0" w:type="dxa"/>
            <w:right w:w="0" w:type="dxa"/>
          </w:tblCellMar>
        </w:tblPrEx>
        <w:trPr>
          <w:trHeight w:val="256" w:hRule="atLeast"/>
        </w:trPr>
        <w:tc>
          <w:tcPr>
            <w:tcW w:w="1168" w:type="dxa"/>
            <w:tcBorders>
              <w:top w:val="single" w:color="000000" w:sz="4" w:space="0"/>
              <w:bottom w:val="single" w:color="000000" w:sz="4" w:space="0"/>
            </w:tcBorders>
          </w:tcPr>
          <w:p w14:paraId="741E52C0">
            <w:pPr>
              <w:pStyle w:val="29"/>
              <w:spacing w:before="12" w:line="224" w:lineRule="exact"/>
              <w:ind w:left="57"/>
              <w:rPr>
                <w:b/>
                <w:sz w:val="20"/>
              </w:rPr>
            </w:pPr>
            <w:r>
              <w:rPr>
                <w:b/>
                <w:sz w:val="20"/>
              </w:rPr>
              <w:t>Hipotez</w:t>
            </w:r>
            <w:r>
              <w:rPr>
                <w:b/>
                <w:spacing w:val="-7"/>
                <w:sz w:val="20"/>
              </w:rPr>
              <w:t xml:space="preserve"> </w:t>
            </w:r>
            <w:r>
              <w:rPr>
                <w:b/>
                <w:spacing w:val="-5"/>
                <w:sz w:val="20"/>
              </w:rPr>
              <w:t>No</w:t>
            </w:r>
          </w:p>
        </w:tc>
        <w:tc>
          <w:tcPr>
            <w:tcW w:w="2735" w:type="dxa"/>
            <w:tcBorders>
              <w:top w:val="single" w:color="000000" w:sz="4" w:space="0"/>
              <w:bottom w:val="single" w:color="000000" w:sz="4" w:space="0"/>
            </w:tcBorders>
          </w:tcPr>
          <w:p w14:paraId="479D2008">
            <w:pPr>
              <w:pStyle w:val="29"/>
              <w:spacing w:before="12" w:line="224" w:lineRule="exact"/>
              <w:ind w:left="149"/>
              <w:rPr>
                <w:b/>
                <w:sz w:val="20"/>
              </w:rPr>
            </w:pPr>
            <w:r>
              <w:rPr>
                <w:b/>
                <w:spacing w:val="-2"/>
                <w:sz w:val="20"/>
              </w:rPr>
              <w:t>İstatistiksel</w:t>
            </w:r>
            <w:r>
              <w:rPr>
                <w:b/>
                <w:spacing w:val="13"/>
                <w:sz w:val="20"/>
              </w:rPr>
              <w:t xml:space="preserve"> </w:t>
            </w:r>
            <w:r>
              <w:rPr>
                <w:b/>
                <w:spacing w:val="-4"/>
                <w:sz w:val="20"/>
              </w:rPr>
              <w:t>Test</w:t>
            </w:r>
          </w:p>
        </w:tc>
        <w:tc>
          <w:tcPr>
            <w:tcW w:w="1894" w:type="dxa"/>
            <w:tcBorders>
              <w:top w:val="single" w:color="000000" w:sz="4" w:space="0"/>
              <w:bottom w:val="single" w:color="000000" w:sz="4" w:space="0"/>
            </w:tcBorders>
          </w:tcPr>
          <w:p w14:paraId="06A50890">
            <w:pPr>
              <w:pStyle w:val="29"/>
              <w:spacing w:before="12" w:line="224" w:lineRule="exact"/>
              <w:ind w:left="307"/>
              <w:rPr>
                <w:b/>
                <w:sz w:val="20"/>
              </w:rPr>
            </w:pPr>
            <w:r>
              <w:rPr>
                <w:b/>
                <w:spacing w:val="-2"/>
                <w:sz w:val="20"/>
              </w:rPr>
              <w:t>Sonuç</w:t>
            </w:r>
          </w:p>
        </w:tc>
        <w:tc>
          <w:tcPr>
            <w:tcW w:w="3003" w:type="dxa"/>
            <w:tcBorders>
              <w:top w:val="single" w:color="000000" w:sz="4" w:space="0"/>
              <w:bottom w:val="single" w:color="000000" w:sz="4" w:space="0"/>
            </w:tcBorders>
          </w:tcPr>
          <w:p w14:paraId="753766DD">
            <w:pPr>
              <w:pStyle w:val="29"/>
              <w:spacing w:before="12" w:line="224" w:lineRule="exact"/>
              <w:ind w:left="818"/>
              <w:rPr>
                <w:b/>
                <w:sz w:val="20"/>
              </w:rPr>
            </w:pPr>
            <w:r>
              <w:rPr>
                <w:b/>
                <w:sz w:val="20"/>
              </w:rPr>
              <w:t>Kabul/Red</w:t>
            </w:r>
            <w:r>
              <w:rPr>
                <w:b/>
                <w:spacing w:val="-11"/>
                <w:sz w:val="20"/>
              </w:rPr>
              <w:t xml:space="preserve"> </w:t>
            </w:r>
            <w:r>
              <w:rPr>
                <w:b/>
                <w:spacing w:val="-2"/>
                <w:sz w:val="20"/>
              </w:rPr>
              <w:t>Durumu</w:t>
            </w:r>
          </w:p>
        </w:tc>
      </w:tr>
      <w:tr w14:paraId="778BD447">
        <w:tblPrEx>
          <w:tblCellMar>
            <w:top w:w="0" w:type="dxa"/>
            <w:left w:w="0" w:type="dxa"/>
            <w:bottom w:w="0" w:type="dxa"/>
            <w:right w:w="0" w:type="dxa"/>
          </w:tblCellMar>
        </w:tblPrEx>
        <w:trPr>
          <w:trHeight w:val="305" w:hRule="atLeast"/>
        </w:trPr>
        <w:tc>
          <w:tcPr>
            <w:tcW w:w="1168" w:type="dxa"/>
            <w:tcBorders>
              <w:top w:val="single" w:color="000000" w:sz="4" w:space="0"/>
            </w:tcBorders>
          </w:tcPr>
          <w:p w14:paraId="5D84CD9F">
            <w:pPr>
              <w:pStyle w:val="29"/>
              <w:spacing w:before="41"/>
              <w:ind w:left="57"/>
              <w:rPr>
                <w:sz w:val="20"/>
              </w:rPr>
            </w:pPr>
            <w:r>
              <w:rPr>
                <w:spacing w:val="-5"/>
                <w:sz w:val="20"/>
              </w:rPr>
              <w:t>H1</w:t>
            </w:r>
          </w:p>
        </w:tc>
        <w:tc>
          <w:tcPr>
            <w:tcW w:w="2735" w:type="dxa"/>
            <w:tcBorders>
              <w:top w:val="single" w:color="000000" w:sz="4" w:space="0"/>
            </w:tcBorders>
          </w:tcPr>
          <w:p w14:paraId="0497AD5C">
            <w:pPr>
              <w:pStyle w:val="29"/>
              <w:spacing w:before="41"/>
              <w:ind w:left="149"/>
              <w:rPr>
                <w:sz w:val="20"/>
              </w:rPr>
            </w:pPr>
            <w:r>
              <w:rPr>
                <w:sz w:val="20"/>
              </w:rPr>
              <w:t>Basit</w:t>
            </w:r>
            <w:r>
              <w:rPr>
                <w:spacing w:val="-8"/>
                <w:sz w:val="20"/>
              </w:rPr>
              <w:t xml:space="preserve"> </w:t>
            </w:r>
            <w:r>
              <w:rPr>
                <w:sz w:val="20"/>
              </w:rPr>
              <w:t>doğrusal</w:t>
            </w:r>
            <w:r>
              <w:rPr>
                <w:spacing w:val="-6"/>
                <w:sz w:val="20"/>
              </w:rPr>
              <w:t xml:space="preserve"> </w:t>
            </w:r>
            <w:r>
              <w:rPr>
                <w:spacing w:val="-2"/>
                <w:sz w:val="20"/>
              </w:rPr>
              <w:t>regresyon</w:t>
            </w:r>
          </w:p>
        </w:tc>
        <w:tc>
          <w:tcPr>
            <w:tcW w:w="1894" w:type="dxa"/>
            <w:tcBorders>
              <w:top w:val="single" w:color="000000" w:sz="4" w:space="0"/>
            </w:tcBorders>
          </w:tcPr>
          <w:p w14:paraId="2FD21325">
            <w:pPr>
              <w:pStyle w:val="29"/>
              <w:spacing w:before="41"/>
              <w:ind w:left="307"/>
              <w:rPr>
                <w:sz w:val="20"/>
              </w:rPr>
            </w:pPr>
            <w:r>
              <w:rPr>
                <w:sz w:val="20"/>
              </w:rPr>
              <w:t>p =</w:t>
            </w:r>
            <w:r>
              <w:rPr>
                <w:spacing w:val="-1"/>
                <w:sz w:val="20"/>
              </w:rPr>
              <w:t xml:space="preserve"> 0.001</w:t>
            </w:r>
          </w:p>
        </w:tc>
        <w:tc>
          <w:tcPr>
            <w:tcW w:w="3003" w:type="dxa"/>
            <w:tcBorders>
              <w:top w:val="single" w:color="000000" w:sz="4" w:space="0"/>
            </w:tcBorders>
          </w:tcPr>
          <w:p w14:paraId="49EEA186">
            <w:pPr>
              <w:pStyle w:val="29"/>
              <w:spacing w:before="41"/>
              <w:ind w:left="818"/>
              <w:rPr>
                <w:sz w:val="20"/>
              </w:rPr>
            </w:pPr>
            <w:r>
              <w:rPr>
                <w:spacing w:val="-2"/>
                <w:sz w:val="20"/>
              </w:rPr>
              <w:t>Kabul</w:t>
            </w:r>
          </w:p>
        </w:tc>
      </w:tr>
      <w:tr w14:paraId="2FA86DE8">
        <w:tblPrEx>
          <w:tblCellMar>
            <w:top w:w="0" w:type="dxa"/>
            <w:left w:w="0" w:type="dxa"/>
            <w:bottom w:w="0" w:type="dxa"/>
            <w:right w:w="0" w:type="dxa"/>
          </w:tblCellMar>
        </w:tblPrEx>
        <w:trPr>
          <w:trHeight w:val="289" w:hRule="atLeast"/>
        </w:trPr>
        <w:tc>
          <w:tcPr>
            <w:tcW w:w="1168" w:type="dxa"/>
          </w:tcPr>
          <w:p w14:paraId="5561E7E3">
            <w:pPr>
              <w:pStyle w:val="29"/>
              <w:spacing w:before="25"/>
              <w:ind w:left="57"/>
              <w:rPr>
                <w:sz w:val="20"/>
              </w:rPr>
            </w:pPr>
            <w:r>
              <w:rPr>
                <w:spacing w:val="-4"/>
                <w:sz w:val="20"/>
              </w:rPr>
              <w:t>H2.1</w:t>
            </w:r>
          </w:p>
        </w:tc>
        <w:tc>
          <w:tcPr>
            <w:tcW w:w="2735" w:type="dxa"/>
          </w:tcPr>
          <w:p w14:paraId="7FF06DF3">
            <w:pPr>
              <w:pStyle w:val="29"/>
              <w:spacing w:before="25"/>
              <w:ind w:left="149"/>
              <w:rPr>
                <w:sz w:val="20"/>
              </w:rPr>
            </w:pPr>
            <w:r>
              <w:rPr>
                <w:sz w:val="20"/>
              </w:rPr>
              <w:t>Bağımsız</w:t>
            </w:r>
            <w:r>
              <w:rPr>
                <w:spacing w:val="-10"/>
                <w:sz w:val="20"/>
              </w:rPr>
              <w:t xml:space="preserve"> </w:t>
            </w:r>
            <w:r>
              <w:rPr>
                <w:sz w:val="20"/>
              </w:rPr>
              <w:t>örneklemler</w:t>
            </w:r>
            <w:r>
              <w:rPr>
                <w:spacing w:val="-9"/>
                <w:sz w:val="20"/>
              </w:rPr>
              <w:t xml:space="preserve"> </w:t>
            </w:r>
            <w:r>
              <w:rPr>
                <w:sz w:val="20"/>
              </w:rPr>
              <w:t>t-</w:t>
            </w:r>
            <w:r>
              <w:rPr>
                <w:spacing w:val="-4"/>
                <w:sz w:val="20"/>
              </w:rPr>
              <w:t>testi</w:t>
            </w:r>
          </w:p>
        </w:tc>
        <w:tc>
          <w:tcPr>
            <w:tcW w:w="1894" w:type="dxa"/>
          </w:tcPr>
          <w:p w14:paraId="7B01668A">
            <w:pPr>
              <w:pStyle w:val="29"/>
              <w:spacing w:before="25"/>
              <w:ind w:left="307"/>
              <w:rPr>
                <w:sz w:val="20"/>
              </w:rPr>
            </w:pPr>
            <w:r>
              <w:rPr>
                <w:sz w:val="20"/>
              </w:rPr>
              <w:t>p</w:t>
            </w:r>
            <w:r>
              <w:rPr>
                <w:spacing w:val="-1"/>
                <w:sz w:val="20"/>
              </w:rPr>
              <w:t xml:space="preserve"> </w:t>
            </w:r>
            <w:r>
              <w:rPr>
                <w:sz w:val="20"/>
              </w:rPr>
              <w:t>=</w:t>
            </w:r>
            <w:r>
              <w:rPr>
                <w:spacing w:val="-1"/>
                <w:sz w:val="20"/>
              </w:rPr>
              <w:t xml:space="preserve"> </w:t>
            </w:r>
            <w:r>
              <w:rPr>
                <w:spacing w:val="-2"/>
                <w:sz w:val="20"/>
              </w:rPr>
              <w:t>0.034</w:t>
            </w:r>
          </w:p>
        </w:tc>
        <w:tc>
          <w:tcPr>
            <w:tcW w:w="3003" w:type="dxa"/>
          </w:tcPr>
          <w:p w14:paraId="4AF665E7">
            <w:pPr>
              <w:pStyle w:val="29"/>
              <w:spacing w:before="25"/>
              <w:ind w:left="818"/>
              <w:rPr>
                <w:sz w:val="20"/>
              </w:rPr>
            </w:pPr>
            <w:r>
              <w:rPr>
                <w:spacing w:val="-2"/>
                <w:sz w:val="20"/>
              </w:rPr>
              <w:t>Kabul</w:t>
            </w:r>
          </w:p>
        </w:tc>
      </w:tr>
      <w:tr w14:paraId="4E449FB6">
        <w:tblPrEx>
          <w:tblCellMar>
            <w:top w:w="0" w:type="dxa"/>
            <w:left w:w="0" w:type="dxa"/>
            <w:bottom w:w="0" w:type="dxa"/>
            <w:right w:w="0" w:type="dxa"/>
          </w:tblCellMar>
        </w:tblPrEx>
        <w:trPr>
          <w:trHeight w:val="289" w:hRule="atLeast"/>
        </w:trPr>
        <w:tc>
          <w:tcPr>
            <w:tcW w:w="1168" w:type="dxa"/>
          </w:tcPr>
          <w:p w14:paraId="68D5892E">
            <w:pPr>
              <w:pStyle w:val="29"/>
              <w:spacing w:before="24"/>
              <w:ind w:left="57"/>
              <w:rPr>
                <w:sz w:val="20"/>
              </w:rPr>
            </w:pPr>
            <w:r>
              <w:rPr>
                <w:spacing w:val="-4"/>
                <w:sz w:val="20"/>
              </w:rPr>
              <w:t>H2.2</w:t>
            </w:r>
          </w:p>
        </w:tc>
        <w:tc>
          <w:tcPr>
            <w:tcW w:w="2735" w:type="dxa"/>
          </w:tcPr>
          <w:p w14:paraId="784F2506">
            <w:pPr>
              <w:pStyle w:val="29"/>
              <w:spacing w:before="24"/>
              <w:ind w:left="149"/>
              <w:rPr>
                <w:sz w:val="20"/>
              </w:rPr>
            </w:pPr>
            <w:r>
              <w:rPr>
                <w:spacing w:val="-2"/>
                <w:sz w:val="20"/>
              </w:rPr>
              <w:t>ANOVA</w:t>
            </w:r>
          </w:p>
        </w:tc>
        <w:tc>
          <w:tcPr>
            <w:tcW w:w="1894" w:type="dxa"/>
          </w:tcPr>
          <w:p w14:paraId="7D13FDA0">
            <w:pPr>
              <w:pStyle w:val="29"/>
              <w:spacing w:before="24"/>
              <w:ind w:left="307"/>
              <w:rPr>
                <w:sz w:val="20"/>
              </w:rPr>
            </w:pPr>
            <w:r>
              <w:rPr>
                <w:sz w:val="20"/>
              </w:rPr>
              <w:t>p</w:t>
            </w:r>
            <w:r>
              <w:rPr>
                <w:spacing w:val="-1"/>
                <w:sz w:val="20"/>
              </w:rPr>
              <w:t xml:space="preserve"> </w:t>
            </w:r>
            <w:r>
              <w:rPr>
                <w:sz w:val="20"/>
              </w:rPr>
              <w:t>=</w:t>
            </w:r>
            <w:r>
              <w:rPr>
                <w:spacing w:val="-1"/>
                <w:sz w:val="20"/>
              </w:rPr>
              <w:t xml:space="preserve"> </w:t>
            </w:r>
            <w:r>
              <w:rPr>
                <w:spacing w:val="-2"/>
                <w:sz w:val="20"/>
              </w:rPr>
              <w:t>0.022</w:t>
            </w:r>
          </w:p>
        </w:tc>
        <w:tc>
          <w:tcPr>
            <w:tcW w:w="3003" w:type="dxa"/>
          </w:tcPr>
          <w:p w14:paraId="48BF498F">
            <w:pPr>
              <w:pStyle w:val="29"/>
              <w:spacing w:before="24"/>
              <w:ind w:left="818"/>
              <w:rPr>
                <w:sz w:val="20"/>
              </w:rPr>
            </w:pPr>
            <w:r>
              <w:rPr>
                <w:spacing w:val="-2"/>
                <w:sz w:val="20"/>
              </w:rPr>
              <w:t>Kabul</w:t>
            </w:r>
          </w:p>
        </w:tc>
      </w:tr>
      <w:tr w14:paraId="49968436">
        <w:tblPrEx>
          <w:tblCellMar>
            <w:top w:w="0" w:type="dxa"/>
            <w:left w:w="0" w:type="dxa"/>
            <w:bottom w:w="0" w:type="dxa"/>
            <w:right w:w="0" w:type="dxa"/>
          </w:tblCellMar>
        </w:tblPrEx>
        <w:trPr>
          <w:trHeight w:val="290" w:hRule="atLeast"/>
        </w:trPr>
        <w:tc>
          <w:tcPr>
            <w:tcW w:w="1168" w:type="dxa"/>
          </w:tcPr>
          <w:p w14:paraId="0DF8E96C">
            <w:pPr>
              <w:pStyle w:val="29"/>
              <w:spacing w:before="25"/>
              <w:ind w:left="57"/>
              <w:rPr>
                <w:sz w:val="20"/>
              </w:rPr>
            </w:pPr>
            <w:r>
              <w:rPr>
                <w:spacing w:val="-4"/>
                <w:sz w:val="20"/>
              </w:rPr>
              <w:t>H2.3</w:t>
            </w:r>
          </w:p>
        </w:tc>
        <w:tc>
          <w:tcPr>
            <w:tcW w:w="2735" w:type="dxa"/>
          </w:tcPr>
          <w:p w14:paraId="4896A979">
            <w:pPr>
              <w:pStyle w:val="29"/>
              <w:spacing w:before="25"/>
              <w:ind w:left="149"/>
              <w:rPr>
                <w:sz w:val="20"/>
              </w:rPr>
            </w:pPr>
            <w:r>
              <w:rPr>
                <w:spacing w:val="-2"/>
                <w:sz w:val="20"/>
              </w:rPr>
              <w:t>ANOVA</w:t>
            </w:r>
          </w:p>
        </w:tc>
        <w:tc>
          <w:tcPr>
            <w:tcW w:w="1894" w:type="dxa"/>
          </w:tcPr>
          <w:p w14:paraId="0445B3B6">
            <w:pPr>
              <w:pStyle w:val="29"/>
              <w:spacing w:before="25"/>
              <w:ind w:left="307"/>
              <w:rPr>
                <w:sz w:val="20"/>
              </w:rPr>
            </w:pPr>
            <w:r>
              <w:rPr>
                <w:sz w:val="20"/>
              </w:rPr>
              <w:t>p</w:t>
            </w:r>
            <w:r>
              <w:rPr>
                <w:spacing w:val="-1"/>
                <w:sz w:val="20"/>
              </w:rPr>
              <w:t xml:space="preserve"> </w:t>
            </w:r>
            <w:r>
              <w:rPr>
                <w:sz w:val="20"/>
              </w:rPr>
              <w:t>=</w:t>
            </w:r>
            <w:r>
              <w:rPr>
                <w:spacing w:val="-1"/>
                <w:sz w:val="20"/>
              </w:rPr>
              <w:t xml:space="preserve"> </w:t>
            </w:r>
            <w:r>
              <w:rPr>
                <w:spacing w:val="-2"/>
                <w:sz w:val="20"/>
              </w:rPr>
              <w:t>0.004</w:t>
            </w:r>
          </w:p>
        </w:tc>
        <w:tc>
          <w:tcPr>
            <w:tcW w:w="3003" w:type="dxa"/>
          </w:tcPr>
          <w:p w14:paraId="0A4D3EB0">
            <w:pPr>
              <w:pStyle w:val="29"/>
              <w:spacing w:before="25"/>
              <w:ind w:left="818"/>
              <w:rPr>
                <w:sz w:val="20"/>
              </w:rPr>
            </w:pPr>
            <w:r>
              <w:rPr>
                <w:spacing w:val="-2"/>
                <w:sz w:val="20"/>
              </w:rPr>
              <w:t>Kabul</w:t>
            </w:r>
          </w:p>
        </w:tc>
      </w:tr>
      <w:tr w14:paraId="3A0EEFD9">
        <w:tblPrEx>
          <w:tblCellMar>
            <w:top w:w="0" w:type="dxa"/>
            <w:left w:w="0" w:type="dxa"/>
            <w:bottom w:w="0" w:type="dxa"/>
            <w:right w:w="0" w:type="dxa"/>
          </w:tblCellMar>
        </w:tblPrEx>
        <w:trPr>
          <w:trHeight w:val="290" w:hRule="atLeast"/>
        </w:trPr>
        <w:tc>
          <w:tcPr>
            <w:tcW w:w="1168" w:type="dxa"/>
          </w:tcPr>
          <w:p w14:paraId="723E2678">
            <w:pPr>
              <w:pStyle w:val="29"/>
              <w:spacing w:before="25"/>
              <w:ind w:left="57"/>
              <w:rPr>
                <w:sz w:val="20"/>
              </w:rPr>
            </w:pPr>
            <w:r>
              <w:rPr>
                <w:spacing w:val="-4"/>
                <w:sz w:val="20"/>
              </w:rPr>
              <w:t>H2.4</w:t>
            </w:r>
          </w:p>
        </w:tc>
        <w:tc>
          <w:tcPr>
            <w:tcW w:w="2735" w:type="dxa"/>
          </w:tcPr>
          <w:p w14:paraId="2E4F8BE7">
            <w:pPr>
              <w:pStyle w:val="29"/>
              <w:spacing w:before="25"/>
              <w:ind w:left="149"/>
              <w:rPr>
                <w:sz w:val="20"/>
              </w:rPr>
            </w:pPr>
            <w:r>
              <w:rPr>
                <w:spacing w:val="-2"/>
                <w:sz w:val="20"/>
              </w:rPr>
              <w:t>ANOVA</w:t>
            </w:r>
          </w:p>
        </w:tc>
        <w:tc>
          <w:tcPr>
            <w:tcW w:w="1894" w:type="dxa"/>
          </w:tcPr>
          <w:p w14:paraId="6F943ED9">
            <w:pPr>
              <w:pStyle w:val="29"/>
              <w:spacing w:before="25"/>
              <w:ind w:left="307"/>
              <w:rPr>
                <w:sz w:val="20"/>
              </w:rPr>
            </w:pPr>
            <w:r>
              <w:rPr>
                <w:sz w:val="20"/>
              </w:rPr>
              <w:t>p</w:t>
            </w:r>
            <w:r>
              <w:rPr>
                <w:spacing w:val="-1"/>
                <w:sz w:val="20"/>
              </w:rPr>
              <w:t xml:space="preserve"> </w:t>
            </w:r>
            <w:r>
              <w:rPr>
                <w:sz w:val="20"/>
              </w:rPr>
              <w:t>=</w:t>
            </w:r>
            <w:r>
              <w:rPr>
                <w:spacing w:val="-1"/>
                <w:sz w:val="20"/>
              </w:rPr>
              <w:t xml:space="preserve"> </w:t>
            </w:r>
            <w:r>
              <w:rPr>
                <w:spacing w:val="-2"/>
                <w:sz w:val="20"/>
              </w:rPr>
              <w:t>0.077</w:t>
            </w:r>
          </w:p>
        </w:tc>
        <w:tc>
          <w:tcPr>
            <w:tcW w:w="3003" w:type="dxa"/>
          </w:tcPr>
          <w:p w14:paraId="5EA3B780">
            <w:pPr>
              <w:pStyle w:val="29"/>
              <w:spacing w:before="25"/>
              <w:ind w:left="818"/>
              <w:rPr>
                <w:sz w:val="20"/>
              </w:rPr>
            </w:pPr>
            <w:r>
              <w:rPr>
                <w:spacing w:val="-5"/>
                <w:sz w:val="20"/>
              </w:rPr>
              <w:t>Red</w:t>
            </w:r>
          </w:p>
        </w:tc>
      </w:tr>
      <w:tr w14:paraId="29900E9D">
        <w:tblPrEx>
          <w:tblCellMar>
            <w:top w:w="0" w:type="dxa"/>
            <w:left w:w="0" w:type="dxa"/>
            <w:bottom w:w="0" w:type="dxa"/>
            <w:right w:w="0" w:type="dxa"/>
          </w:tblCellMar>
        </w:tblPrEx>
        <w:trPr>
          <w:trHeight w:val="290" w:hRule="atLeast"/>
        </w:trPr>
        <w:tc>
          <w:tcPr>
            <w:tcW w:w="1168" w:type="dxa"/>
          </w:tcPr>
          <w:p w14:paraId="02C7FB64">
            <w:pPr>
              <w:pStyle w:val="29"/>
              <w:spacing w:before="25"/>
              <w:ind w:left="57"/>
              <w:rPr>
                <w:sz w:val="20"/>
              </w:rPr>
            </w:pPr>
            <w:r>
              <w:rPr>
                <w:spacing w:val="-4"/>
                <w:sz w:val="20"/>
              </w:rPr>
              <w:t>H2.5</w:t>
            </w:r>
          </w:p>
        </w:tc>
        <w:tc>
          <w:tcPr>
            <w:tcW w:w="2735" w:type="dxa"/>
          </w:tcPr>
          <w:p w14:paraId="657385B7">
            <w:pPr>
              <w:pStyle w:val="29"/>
              <w:spacing w:before="25"/>
              <w:ind w:left="149"/>
              <w:rPr>
                <w:sz w:val="20"/>
              </w:rPr>
            </w:pPr>
            <w:r>
              <w:rPr>
                <w:sz w:val="20"/>
              </w:rPr>
              <w:t>Bağımsız</w:t>
            </w:r>
            <w:r>
              <w:rPr>
                <w:spacing w:val="-10"/>
                <w:sz w:val="20"/>
              </w:rPr>
              <w:t xml:space="preserve"> </w:t>
            </w:r>
            <w:r>
              <w:rPr>
                <w:sz w:val="20"/>
              </w:rPr>
              <w:t>örneklemler</w:t>
            </w:r>
            <w:r>
              <w:rPr>
                <w:spacing w:val="-9"/>
                <w:sz w:val="20"/>
              </w:rPr>
              <w:t xml:space="preserve"> </w:t>
            </w:r>
            <w:r>
              <w:rPr>
                <w:sz w:val="20"/>
              </w:rPr>
              <w:t>t-</w:t>
            </w:r>
            <w:r>
              <w:rPr>
                <w:spacing w:val="-4"/>
                <w:sz w:val="20"/>
              </w:rPr>
              <w:t>testi</w:t>
            </w:r>
          </w:p>
        </w:tc>
        <w:tc>
          <w:tcPr>
            <w:tcW w:w="1894" w:type="dxa"/>
          </w:tcPr>
          <w:p w14:paraId="0C439C83">
            <w:pPr>
              <w:pStyle w:val="29"/>
              <w:spacing w:before="25"/>
              <w:ind w:left="307"/>
              <w:rPr>
                <w:sz w:val="20"/>
              </w:rPr>
            </w:pPr>
            <w:r>
              <w:rPr>
                <w:sz w:val="20"/>
              </w:rPr>
              <w:t>p</w:t>
            </w:r>
            <w:r>
              <w:rPr>
                <w:spacing w:val="-1"/>
                <w:sz w:val="20"/>
              </w:rPr>
              <w:t xml:space="preserve"> </w:t>
            </w:r>
            <w:r>
              <w:rPr>
                <w:sz w:val="20"/>
              </w:rPr>
              <w:t>=</w:t>
            </w:r>
            <w:r>
              <w:rPr>
                <w:spacing w:val="-1"/>
                <w:sz w:val="20"/>
              </w:rPr>
              <w:t xml:space="preserve"> </w:t>
            </w:r>
            <w:r>
              <w:rPr>
                <w:spacing w:val="-2"/>
                <w:sz w:val="20"/>
              </w:rPr>
              <w:t>0.063</w:t>
            </w:r>
          </w:p>
        </w:tc>
        <w:tc>
          <w:tcPr>
            <w:tcW w:w="3003" w:type="dxa"/>
          </w:tcPr>
          <w:p w14:paraId="183FCC11">
            <w:pPr>
              <w:pStyle w:val="29"/>
              <w:spacing w:before="25"/>
              <w:ind w:left="818"/>
              <w:rPr>
                <w:sz w:val="20"/>
              </w:rPr>
            </w:pPr>
            <w:r>
              <w:rPr>
                <w:spacing w:val="-5"/>
                <w:sz w:val="20"/>
              </w:rPr>
              <w:t>Red</w:t>
            </w:r>
          </w:p>
        </w:tc>
      </w:tr>
      <w:tr w14:paraId="58F332B9">
        <w:tblPrEx>
          <w:tblCellMar>
            <w:top w:w="0" w:type="dxa"/>
            <w:left w:w="0" w:type="dxa"/>
            <w:bottom w:w="0" w:type="dxa"/>
            <w:right w:w="0" w:type="dxa"/>
          </w:tblCellMar>
        </w:tblPrEx>
        <w:trPr>
          <w:trHeight w:val="277" w:hRule="atLeast"/>
        </w:trPr>
        <w:tc>
          <w:tcPr>
            <w:tcW w:w="1168" w:type="dxa"/>
            <w:tcBorders>
              <w:bottom w:val="single" w:color="000000" w:sz="4" w:space="0"/>
            </w:tcBorders>
          </w:tcPr>
          <w:p w14:paraId="1723ABD4">
            <w:pPr>
              <w:pStyle w:val="29"/>
              <w:spacing w:before="26"/>
              <w:ind w:left="57"/>
              <w:rPr>
                <w:sz w:val="20"/>
              </w:rPr>
            </w:pPr>
            <w:r>
              <w:rPr>
                <w:spacing w:val="-4"/>
                <w:sz w:val="20"/>
              </w:rPr>
              <w:t>H2.6</w:t>
            </w:r>
          </w:p>
        </w:tc>
        <w:tc>
          <w:tcPr>
            <w:tcW w:w="2735" w:type="dxa"/>
            <w:tcBorders>
              <w:bottom w:val="single" w:color="000000" w:sz="4" w:space="0"/>
            </w:tcBorders>
          </w:tcPr>
          <w:p w14:paraId="425339C4">
            <w:pPr>
              <w:pStyle w:val="29"/>
              <w:spacing w:before="26"/>
              <w:ind w:left="149"/>
              <w:rPr>
                <w:sz w:val="20"/>
              </w:rPr>
            </w:pPr>
            <w:r>
              <w:rPr>
                <w:spacing w:val="-2"/>
                <w:sz w:val="20"/>
              </w:rPr>
              <w:t>ANOVA</w:t>
            </w:r>
          </w:p>
        </w:tc>
        <w:tc>
          <w:tcPr>
            <w:tcW w:w="1894" w:type="dxa"/>
            <w:tcBorders>
              <w:bottom w:val="single" w:color="000000" w:sz="4" w:space="0"/>
            </w:tcBorders>
          </w:tcPr>
          <w:p w14:paraId="4A3646F4">
            <w:pPr>
              <w:pStyle w:val="29"/>
              <w:spacing w:before="26"/>
              <w:ind w:left="307"/>
              <w:rPr>
                <w:sz w:val="20"/>
              </w:rPr>
            </w:pPr>
            <w:r>
              <w:rPr>
                <w:sz w:val="20"/>
              </w:rPr>
              <w:t>p</w:t>
            </w:r>
            <w:r>
              <w:rPr>
                <w:spacing w:val="-1"/>
                <w:sz w:val="20"/>
              </w:rPr>
              <w:t xml:space="preserve"> </w:t>
            </w:r>
            <w:r>
              <w:rPr>
                <w:sz w:val="20"/>
              </w:rPr>
              <w:t>=</w:t>
            </w:r>
            <w:r>
              <w:rPr>
                <w:spacing w:val="-1"/>
                <w:sz w:val="20"/>
              </w:rPr>
              <w:t xml:space="preserve"> </w:t>
            </w:r>
            <w:r>
              <w:rPr>
                <w:spacing w:val="-2"/>
                <w:sz w:val="20"/>
              </w:rPr>
              <w:t>0.001</w:t>
            </w:r>
          </w:p>
        </w:tc>
        <w:tc>
          <w:tcPr>
            <w:tcW w:w="3003" w:type="dxa"/>
            <w:tcBorders>
              <w:bottom w:val="single" w:color="000000" w:sz="4" w:space="0"/>
            </w:tcBorders>
          </w:tcPr>
          <w:p w14:paraId="3D194B02">
            <w:pPr>
              <w:pStyle w:val="29"/>
              <w:spacing w:before="26"/>
              <w:ind w:left="818"/>
              <w:rPr>
                <w:sz w:val="20"/>
              </w:rPr>
            </w:pPr>
            <w:r>
              <w:rPr>
                <w:spacing w:val="-2"/>
                <w:sz w:val="20"/>
              </w:rPr>
              <w:t>Kabul</w:t>
            </w:r>
          </w:p>
        </w:tc>
      </w:tr>
    </w:tbl>
    <w:p w14:paraId="78D5FCE3">
      <w:pPr>
        <w:pStyle w:val="9"/>
        <w:spacing w:before="120" w:after="120" w:line="360" w:lineRule="auto"/>
        <w:ind w:left="0" w:firstLine="567"/>
      </w:pPr>
      <w:r>
        <w:t>Tablo 4.10’a göre, birinci hipotez, öğretmenlerin sanal rekreasyon deneyimlerinin yaşam kaliteleri</w:t>
      </w:r>
      <w:r>
        <w:rPr>
          <w:spacing w:val="-12"/>
        </w:rPr>
        <w:t xml:space="preserve"> </w:t>
      </w:r>
      <w:r>
        <w:t>üzerinde</w:t>
      </w:r>
      <w:r>
        <w:rPr>
          <w:spacing w:val="-13"/>
        </w:rPr>
        <w:t xml:space="preserve"> </w:t>
      </w:r>
      <w:r>
        <w:t>anlamlı</w:t>
      </w:r>
      <w:r>
        <w:rPr>
          <w:spacing w:val="-11"/>
        </w:rPr>
        <w:t xml:space="preserve"> </w:t>
      </w:r>
      <w:r>
        <w:t>bir</w:t>
      </w:r>
      <w:r>
        <w:rPr>
          <w:spacing w:val="-12"/>
        </w:rPr>
        <w:t xml:space="preserve"> </w:t>
      </w:r>
      <w:r>
        <w:t>etkisi</w:t>
      </w:r>
      <w:r>
        <w:rPr>
          <w:spacing w:val="-11"/>
        </w:rPr>
        <w:t xml:space="preserve"> </w:t>
      </w:r>
      <w:r>
        <w:t>olduğunu</w:t>
      </w:r>
      <w:r>
        <w:rPr>
          <w:spacing w:val="-12"/>
        </w:rPr>
        <w:t xml:space="preserve"> </w:t>
      </w:r>
      <w:r>
        <w:t>ortaya</w:t>
      </w:r>
      <w:r>
        <w:rPr>
          <w:spacing w:val="-10"/>
        </w:rPr>
        <w:t xml:space="preserve"> </w:t>
      </w:r>
      <w:r>
        <w:t>koymuş</w:t>
      </w:r>
      <w:r>
        <w:rPr>
          <w:spacing w:val="-11"/>
        </w:rPr>
        <w:t xml:space="preserve"> </w:t>
      </w:r>
      <w:r>
        <w:t>ve</w:t>
      </w:r>
      <w:r>
        <w:rPr>
          <w:spacing w:val="-10"/>
        </w:rPr>
        <w:t xml:space="preserve"> </w:t>
      </w:r>
      <w:r>
        <w:t>regresyon</w:t>
      </w:r>
      <w:r>
        <w:rPr>
          <w:spacing w:val="-12"/>
        </w:rPr>
        <w:t xml:space="preserve"> </w:t>
      </w:r>
      <w:r>
        <w:t>analizi</w:t>
      </w:r>
      <w:r>
        <w:rPr>
          <w:spacing w:val="-11"/>
        </w:rPr>
        <w:t xml:space="preserve"> </w:t>
      </w:r>
      <w:r>
        <w:t>sonuçları, bu</w:t>
      </w:r>
      <w:r>
        <w:rPr>
          <w:spacing w:val="-2"/>
        </w:rPr>
        <w:t xml:space="preserve"> </w:t>
      </w:r>
      <w:r>
        <w:t>hipotezi</w:t>
      </w:r>
      <w:r>
        <w:rPr>
          <w:spacing w:val="-1"/>
        </w:rPr>
        <w:t xml:space="preserve"> </w:t>
      </w:r>
      <w:r>
        <w:t>güçlü</w:t>
      </w:r>
      <w:r>
        <w:rPr>
          <w:spacing w:val="-2"/>
        </w:rPr>
        <w:t xml:space="preserve"> </w:t>
      </w:r>
      <w:r>
        <w:t>bir</w:t>
      </w:r>
      <w:r>
        <w:rPr>
          <w:spacing w:val="-3"/>
        </w:rPr>
        <w:t xml:space="preserve"> </w:t>
      </w:r>
      <w:r>
        <w:t>şekilde</w:t>
      </w:r>
      <w:r>
        <w:rPr>
          <w:spacing w:val="-3"/>
        </w:rPr>
        <w:t xml:space="preserve"> </w:t>
      </w:r>
      <w:r>
        <w:t>desteklemiştir. İkinci hipotezde</w:t>
      </w:r>
      <w:r>
        <w:rPr>
          <w:spacing w:val="-3"/>
        </w:rPr>
        <w:t xml:space="preserve"> </w:t>
      </w:r>
      <w:r>
        <w:t>ise,</w:t>
      </w:r>
      <w:r>
        <w:rPr>
          <w:spacing w:val="-3"/>
        </w:rPr>
        <w:t xml:space="preserve"> </w:t>
      </w:r>
      <w:r>
        <w:t>öğretmenlerin</w:t>
      </w:r>
      <w:r>
        <w:rPr>
          <w:spacing w:val="-3"/>
        </w:rPr>
        <w:t xml:space="preserve"> </w:t>
      </w:r>
      <w:r>
        <w:t>cinsiyetine, kıdem yılına, eğitim durumuna, yaşına, medeni durumuna ve gelir düzeylerine göre sanal rekreasyon</w:t>
      </w:r>
      <w:r>
        <w:rPr>
          <w:spacing w:val="-15"/>
        </w:rPr>
        <w:t xml:space="preserve"> </w:t>
      </w:r>
      <w:r>
        <w:t>deneyimleri</w:t>
      </w:r>
      <w:r>
        <w:rPr>
          <w:spacing w:val="-15"/>
        </w:rPr>
        <w:t xml:space="preserve"> </w:t>
      </w:r>
      <w:r>
        <w:t>arasındaki</w:t>
      </w:r>
      <w:r>
        <w:rPr>
          <w:spacing w:val="-15"/>
        </w:rPr>
        <w:t xml:space="preserve"> </w:t>
      </w:r>
      <w:r>
        <w:t>farklar</w:t>
      </w:r>
      <w:r>
        <w:rPr>
          <w:spacing w:val="-15"/>
        </w:rPr>
        <w:t xml:space="preserve"> </w:t>
      </w:r>
      <w:r>
        <w:t>incelenmiştir.</w:t>
      </w:r>
      <w:r>
        <w:rPr>
          <w:spacing w:val="-15"/>
        </w:rPr>
        <w:t xml:space="preserve"> </w:t>
      </w:r>
      <w:r>
        <w:t>Cinsiyet,</w:t>
      </w:r>
      <w:r>
        <w:rPr>
          <w:spacing w:val="-15"/>
        </w:rPr>
        <w:t xml:space="preserve"> </w:t>
      </w:r>
      <w:r>
        <w:t>kıdem</w:t>
      </w:r>
      <w:r>
        <w:rPr>
          <w:spacing w:val="-15"/>
        </w:rPr>
        <w:t xml:space="preserve"> </w:t>
      </w:r>
      <w:r>
        <w:t>yılı,</w:t>
      </w:r>
      <w:r>
        <w:rPr>
          <w:spacing w:val="-15"/>
        </w:rPr>
        <w:t xml:space="preserve"> </w:t>
      </w:r>
      <w:r>
        <w:t>eğitim</w:t>
      </w:r>
      <w:r>
        <w:rPr>
          <w:spacing w:val="-10"/>
        </w:rPr>
        <w:t xml:space="preserve"> </w:t>
      </w:r>
      <w:r>
        <w:t>durumu ve</w:t>
      </w:r>
      <w:r>
        <w:rPr>
          <w:spacing w:val="-2"/>
        </w:rPr>
        <w:t xml:space="preserve"> </w:t>
      </w:r>
      <w:r>
        <w:t>gelir</w:t>
      </w:r>
      <w:r>
        <w:rPr>
          <w:spacing w:val="-2"/>
        </w:rPr>
        <w:t xml:space="preserve"> </w:t>
      </w:r>
      <w:r>
        <w:t>düzeyi</w:t>
      </w:r>
      <w:r>
        <w:rPr>
          <w:spacing w:val="-1"/>
        </w:rPr>
        <w:t xml:space="preserve"> </w:t>
      </w:r>
      <w:r>
        <w:t>açısından anlamlı</w:t>
      </w:r>
      <w:r>
        <w:rPr>
          <w:spacing w:val="-1"/>
        </w:rPr>
        <w:t xml:space="preserve"> </w:t>
      </w:r>
      <w:r>
        <w:t>farklılıklar</w:t>
      </w:r>
      <w:r>
        <w:rPr>
          <w:spacing w:val="-3"/>
        </w:rPr>
        <w:t xml:space="preserve"> </w:t>
      </w:r>
      <w:r>
        <w:t>bulunmuşken, yaş</w:t>
      </w:r>
      <w:r>
        <w:rPr>
          <w:spacing w:val="-1"/>
        </w:rPr>
        <w:t xml:space="preserve"> </w:t>
      </w:r>
      <w:r>
        <w:t>ve</w:t>
      </w:r>
      <w:r>
        <w:rPr>
          <w:spacing w:val="-2"/>
        </w:rPr>
        <w:t xml:space="preserve"> </w:t>
      </w:r>
      <w:r>
        <w:t>medeni durum</w:t>
      </w:r>
      <w:r>
        <w:rPr>
          <w:spacing w:val="-2"/>
        </w:rPr>
        <w:t xml:space="preserve"> </w:t>
      </w:r>
      <w:r>
        <w:t>açısından anlamlı bir fark gözlemlenmemiştir.</w:t>
      </w:r>
    </w:p>
    <w:p w14:paraId="6E418B7A">
      <w:pPr>
        <w:pStyle w:val="9"/>
        <w:spacing w:before="227" w:line="360" w:lineRule="auto"/>
        <w:ind w:right="112"/>
      </w:pPr>
    </w:p>
    <w:p w14:paraId="59BA951C">
      <w:pPr>
        <w:pStyle w:val="9"/>
        <w:spacing w:before="227" w:line="360" w:lineRule="auto"/>
        <w:ind w:right="112"/>
      </w:pPr>
    </w:p>
    <w:p w14:paraId="68F75B25">
      <w:pPr>
        <w:widowControl/>
        <w:autoSpaceDE/>
        <w:autoSpaceDN/>
        <w:rPr>
          <w:sz w:val="24"/>
          <w:szCs w:val="24"/>
        </w:rPr>
      </w:pPr>
      <w:r>
        <w:br w:type="page"/>
      </w:r>
    </w:p>
    <w:p w14:paraId="7B946E1E">
      <w:pPr>
        <w:widowControl/>
        <w:autoSpaceDE/>
        <w:autoSpaceDN/>
        <w:rPr>
          <w:sz w:val="24"/>
          <w:szCs w:val="24"/>
        </w:rPr>
      </w:pPr>
      <w:r>
        <w:br w:type="page"/>
      </w:r>
    </w:p>
    <w:p w14:paraId="2B12784F">
      <w:pPr>
        <w:pStyle w:val="2"/>
        <w:numPr>
          <w:ilvl w:val="0"/>
          <w:numId w:val="15"/>
        </w:numPr>
        <w:tabs>
          <w:tab w:val="left" w:pos="400"/>
        </w:tabs>
        <w:spacing w:before="240" w:after="240" w:line="360" w:lineRule="auto"/>
        <w:ind w:left="0" w:firstLine="0"/>
        <w:jc w:val="both"/>
      </w:pPr>
      <w:bookmarkStart w:id="251" w:name="_Toc195875858"/>
      <w:bookmarkStart w:id="252" w:name="_Toc197351291"/>
      <w:bookmarkStart w:id="253" w:name="_Toc195877838"/>
      <w:r>
        <w:t>TARTIŞMA,</w:t>
      </w:r>
      <w:r>
        <w:rPr>
          <w:spacing w:val="-3"/>
        </w:rPr>
        <w:t xml:space="preserve"> </w:t>
      </w:r>
      <w:r>
        <w:t>SONUÇ</w:t>
      </w:r>
      <w:r>
        <w:rPr>
          <w:spacing w:val="-3"/>
        </w:rPr>
        <w:t xml:space="preserve"> </w:t>
      </w:r>
      <w:r>
        <w:t>VE</w:t>
      </w:r>
      <w:r>
        <w:rPr>
          <w:spacing w:val="-2"/>
        </w:rPr>
        <w:t xml:space="preserve"> ÖNERİLER</w:t>
      </w:r>
      <w:bookmarkEnd w:id="251"/>
      <w:bookmarkEnd w:id="252"/>
      <w:bookmarkEnd w:id="253"/>
    </w:p>
    <w:p w14:paraId="3E5D10C3">
      <w:pPr>
        <w:spacing w:before="120" w:after="120" w:line="360" w:lineRule="auto"/>
        <w:ind w:firstLine="567"/>
        <w:jc w:val="both"/>
        <w:rPr>
          <w:sz w:val="24"/>
          <w:szCs w:val="24"/>
        </w:rPr>
      </w:pPr>
      <w:r>
        <w:rPr>
          <w:sz w:val="24"/>
          <w:szCs w:val="24"/>
        </w:rPr>
        <w:t xml:space="preserve">Bu çalışmada bir rekreatif etkinlik olarak Sanal Gerçeklik ve Artırılmış Gerçeklik uygulamalarının kullanıldığı ve “Sanal Rekreasyon” olarak ifade edildiği etkinlikleri deneyimleyen sınıf öğretmenlerinin yaşam kalitesine etkisi araştırılmıştır. Araştırma sonucunda sanal rekreasyon faaliyetlerini deneyimleyen sınıf öğretmenlerinin yaşam kalitesini pozitif yönlü olarak etkilediği ortaya çıkmıştır. Alanyazında rekreatif etkinlikleri deneyimleyen bireylerin yaşam kalite düzeylerini pozitif yönlü olarak etkilediği, onların fizyolojik ve zihinsel olarak geliştirdiği birçok çalışmada vurgulanmaktadır. Sevin ve Şen (2019:229) “Öğretmenlerin Rekreasyon Aktivitelerine Katılım Düzeyleri İle Yaşam Mutluluğu Ve İş Performansları Arasındaki İlişki” adlı çalışmalarında da öğretmenlerin rekreatif etkinliklerine katılım düzeyleri ile yaşam mutluluğu arasında pozitif yönlü bir ilişkinin olduğunu belirtmiştir. Güldür ve Yaşar (2020:503) “Okul Öncesi Öğretmenlerinin Rekreasyon Faaliyetlerine Katılımındaki Fayda Ve Yaşam Doyum Düzeyleri Arasındaki İlişkinin İncelenmesi” adlı çalışmalarında da öğretmenlerin rekreatif etkinliklerinin yaşam doyum düzeylerini pozitif yönlü artırdığı ve dolayısıyla yaşam kalite düzeylerini de artırdığı belirtilmiştir. </w:t>
      </w:r>
    </w:p>
    <w:p w14:paraId="0BB9841D">
      <w:pPr>
        <w:spacing w:before="120" w:after="120" w:line="360" w:lineRule="auto"/>
        <w:ind w:firstLine="567"/>
        <w:jc w:val="both"/>
        <w:rPr>
          <w:sz w:val="24"/>
          <w:szCs w:val="24"/>
        </w:rPr>
      </w:pPr>
      <w:r>
        <w:rPr>
          <w:sz w:val="24"/>
          <w:szCs w:val="24"/>
        </w:rPr>
        <w:t>Sevi ve Türküresin (2023:29)  “Sosyal Bilgiler Öğretmen Adaylarının Sanal Müzelerde Değer Kazanımına İlişkin Görüşleri” adlı çalışmasında öğretmen adaylarının sanal müzelerde deneyimlediği sanal rekreasyon etkinlikler ile vatanseverlik, bilimsellik, bağımsızlık, estetik ve duyarlılık gibi değerlerinin kazanılacağı, sorumluluk gibi içsel motivasyon kaynaklarının elde edilmesinde destekleyici rolünün olduğunu ortaya koymuştur. Dahası bu değerlere sahip olan öğretmenlerin toplumsal duyarlılıklarının gelişeceği ifade edilmiştir. Bu yönüyle değerlendirildiğinde içsel motivasyonu gelişen öğretmenlerin yaşam kalite düzeylerini de pozitif yönlü olarak etkileyeceği düşünülmektedir.</w:t>
      </w:r>
    </w:p>
    <w:p w14:paraId="1E533685">
      <w:pPr>
        <w:spacing w:before="120" w:after="120" w:line="360" w:lineRule="auto"/>
        <w:ind w:firstLine="567"/>
        <w:jc w:val="both"/>
        <w:rPr>
          <w:b/>
          <w:sz w:val="24"/>
          <w:szCs w:val="24"/>
        </w:rPr>
      </w:pPr>
      <w:r>
        <w:rPr>
          <w:sz w:val="24"/>
          <w:szCs w:val="24"/>
        </w:rPr>
        <w:t>Chaze, vd., (2022:1) “</w:t>
      </w:r>
      <w:r>
        <w:rPr>
          <w:bCs/>
          <w:sz w:val="24"/>
          <w:szCs w:val="24"/>
        </w:rPr>
        <w:t>Virtual Reality And Well-Being İn Older Adults: Results From A Pilot İmplementation Of Virtual Reality İn Long-Term Care” adlı çalışmalarında sanal rekreasyon etkinliklerinin bireylerin sosyalleşmesine katkıda bulunduğu, var olan sıkıntılarından uzaklaştığını, kendi evlerinden, oturdukları yerden etkinliğe katılma avantajı ile keyifli ve eğlenceli bir egzersiz yapmalarına olanak sağladığını belirtmiştir. Yine bu çalışmada sanal gerçeklik uygulamalarının eğlenceli olması bakımından bireylerin ruh halini iyileştirdiğini, bireyleri bilişsel ve fizyolojik olarak geliştirdiği belirtilmiştir. Ayrıca bu çalışmada sanal rekreasyon etkinliklerinin terapötik bir müdahale olduğu belirtilmiştir. Bu yönüyle bireylerin refah düzeyini artırmış ve yaşam kalite düzeylerine de olumlu yönde katkılar sunmuştur.</w:t>
      </w:r>
    </w:p>
    <w:p w14:paraId="3A92BF21">
      <w:pPr>
        <w:spacing w:before="120" w:after="120" w:line="360" w:lineRule="auto"/>
        <w:ind w:firstLine="567"/>
        <w:jc w:val="both"/>
        <w:rPr>
          <w:sz w:val="24"/>
          <w:szCs w:val="24"/>
        </w:rPr>
      </w:pPr>
      <w:r>
        <w:rPr>
          <w:sz w:val="24"/>
          <w:szCs w:val="24"/>
        </w:rPr>
        <w:t xml:space="preserve">Sanal rekreasyon, bireylere keyif ve mutluluk sağlamanın yanı sıra sosyal ve psikolojik faydalar da sunmaktadır. Bu aktiviteler, kullanıcıların stres atmasına, yeni beceriler geliştirmesine ve sosyal bağlantılar kurmasına yardımcı olabilmektedir. Ayrıca, engelli bireyler veya coğrafi kısıtlamaları olan kişiler için de erişilebilir rekreasyon fırsatları sunmaktadır. Kulakoğlu (2020:17), “Sanal Gerçeklik Uygulamalarının Engelli Bireylerin Rekreasyonel Faaliyetlere Katılımında Destekleyici Rolü” adlı çalışmasında engelli bireylerin aktif olarak katılamayacağı etkinliklere, kısıtlayıcı durumu ortadan kaldırarak engelli bireylerin daha aktif olacağını ifade etmiştir. Ayrıca bu çalışmada engelli bireylerin yaşam kalitesini iyileştirme, motive ve rehabilite etme, engelleri sanal da olsa ortadan kaldıran deneyimler sunma, eğitim, oyun ve sosyalleşme sağlama gibi birçok konuda önemli katkılarda bulunan uygulamalar geliştirilmektedir. Bu uygulamalar ile engelli bireylerin gerçek hayatta fiziksel, bilişsel ve psikolojik sınırlamalardan ötürü erişim sağlayamadıkları birçok faaliyete aktif bir şekilde katılabilecekleri bir platform sağlanmaktadır.  </w:t>
      </w:r>
    </w:p>
    <w:p w14:paraId="54EF01FC">
      <w:pPr>
        <w:spacing w:before="120" w:after="120" w:line="360" w:lineRule="auto"/>
        <w:ind w:firstLine="567"/>
        <w:jc w:val="both"/>
        <w:rPr>
          <w:sz w:val="24"/>
          <w:szCs w:val="24"/>
        </w:rPr>
      </w:pPr>
      <w:r>
        <w:rPr>
          <w:sz w:val="24"/>
          <w:szCs w:val="24"/>
        </w:rPr>
        <w:t>Sanal rekreasyon kavramı ve kapsamı, dijital çağın getirdiği yeniliklerle birlikte sürekli genişlemekte ve çeşitlenmektedir. Bu yeni rekreasyon biçimi, geleneksel aktivitelerin ötesine geçerek, bireylere daha esnek, erişilebilir ve kişiselleştirilmiş deneyimler sunmaktadır. Gelecekte, teknolojik gelişmelerle birlikte sanal rekreasyonun daha da yaygınlaşması ve çeşitlenmesi beklenmektedir. Özer ve Ekinci (2019:151) “Bir Serbest Zaman Etkinliği Olarak Sanal Gerçeklik “adlı çalışmasında yeni bir serbest zaman ve eğlence türü olan sanal gerçeklik teknolojisi hem bireyler için hem de bu sektörde yer alan firmalar için önem arz ettiğini ifade etmiştir. Ayrıca  bu çalışmada serbest zamanlarını farklı değerlendirmek isteyen bireylerin, sanal gerçeklik ve artırılmış gerçeklik teknolojileri ile evde, iş yerinde veya eğlence merkezlerinde; oyun, film, gezi vb. birçok yeni serbest zaman aktivitesine katılabilmeleri onlar için oldukça etkileyici bir deneyim sunacağı ve sonuç olarak gelecekte teknoloji alanındaki gelişmeler ve eğlence anlayışında yaşanılan değişiklikler ile sanal eğlencenin serbest zaman etkinlikleri içerisinde daha da önemli bir yere sahip olacağını ifade etmiştir.</w:t>
      </w:r>
    </w:p>
    <w:p w14:paraId="65C10CD9">
      <w:pPr>
        <w:spacing w:before="120" w:after="120" w:line="360" w:lineRule="auto"/>
        <w:ind w:firstLine="567"/>
        <w:jc w:val="both"/>
        <w:rPr>
          <w:b/>
          <w:sz w:val="24"/>
          <w:szCs w:val="24"/>
        </w:rPr>
      </w:pPr>
      <w:r>
        <w:rPr>
          <w:sz w:val="24"/>
          <w:szCs w:val="24"/>
        </w:rPr>
        <w:t>Çalışmada sınıf öğretmenlerinin cinsiyetlerine, kıdem yılına, eğitim durumuna, yaşına, medeni durumuna ve gelir düzeylerine göre sanal rekreasyon deneyimleri arasındaki farklılıkları araştırılmıştır. Sınıf öğretmenlerinin cinsiyeti, kıdem yılı, eğitim durumu ve gelir düzeyleri açısından anlamlı bir fark oluştuğu ancak yaş ve medeni duruma göre anlamlı bir farkın oluşmadığı ortaya çıkmıştır. Benzer bir şekilde Yaşartürk vd. (2019:740)’nin “The Investigation of the Relationship Between University Students' Levels of Life Quality and Leisure Satisfaction “adlı çalışmalarında üniversite öğrencilerinin yaşam kalitesi düzeyleri ile serbest zaman doyumları arasındaki ilişkiyi araştırılmış ve cinsiyet değişkenine göre anlamlı bir farkın olduğunu ortaya koymuştur. Saka vd. (2023:131) Ev Hanımlarının Sportif Rekreasyon Katılımlarının Yaşam Doyumu ve Mutluluk Üzerine Etkisinin İncelenmesi adlı çalışmalarında bireylerin gelir düzeylerine göre anlamlı bir farkın olduğunu ortaya koymuştur. Yine benzer bir çalışma ise Öztürk (2022:1238)’ün Rekreasyon Fayda Farkındalığı Ve Yaşam Doyum Düzeyi Arasındaki İlişkinin İncelenmesine Yönelik Bir Araştırma adlı çalışmasıdır. Bu çalışmada rekreasyon faaliyetlerinin medeni duruma göre anlamlı farka rastlanmadığı ortaya konmuştur.</w:t>
      </w:r>
    </w:p>
    <w:p w14:paraId="72CE9586">
      <w:pPr>
        <w:spacing w:before="120" w:after="120" w:line="360" w:lineRule="auto"/>
        <w:ind w:firstLine="567"/>
        <w:jc w:val="both"/>
        <w:rPr>
          <w:sz w:val="24"/>
          <w:szCs w:val="24"/>
        </w:rPr>
      </w:pPr>
      <w:r>
        <w:rPr>
          <w:sz w:val="24"/>
          <w:szCs w:val="24"/>
        </w:rPr>
        <w:t>Rekreasyon çağlar boyu bir gelişim süreci yaşamış ve hala yaşamaktadır. Rekreasyon ana bilim dalı birçok disiplin gibi teknolojik gelişmelerden etkilenmiş ve bu gelişmelerden yararlanmıştır. Rekreasyon ana bilim dalı teknolojik gelişmelerle çeşitlenmiş ve farklılaşmıştır. Buna en iyi örnek de “Sanal Rekreasyon” ‘dur. Sonuç olarak, “sanal rekreasyon” bir rekreaktif etkinliktir. Bu yönüyle değerlendirildiğinde genel olarak rekreasyonun yaşam kalitesine etkisi tartışılmazdır. Her yönüyle bireylerin yaşam doyumuna ulaşması, günlük rutin hayatlarından ayrıştırarak yaşam kalitesini belirgin bir şekilde etkilediği bilinmektedir. Sanal Rekreasyon faaliyetleri de bir rekreasyon çeşidi olarak bireylerin yaşam kalite düzeylerini pozitif yönlü olarak artırdığı bu çalışma ile de ortaya konmuştur. Çeşitli araştırmalarda sanal gerçeklik ve artırılmış gerçeklik uygulamalarının olumsuz etkileri ortaya konmuştur. Özellikle bu uygulamaların bireylerin gerçeklik algısını yok edeceği, turizm gibi seyahat zorunluluğu olan sektörlerin ekonomik kayıplar yaşayacağını ortaya konulmuştur. Musil ve Pigel (1994:87)’in “Sanal gerçeklik teknolojisi turizmin yerini alabilir mi?” başlıklı çalışmasında turizme bir alternatif olacağı ifade edilmiştir. Yine çeşitli çalışmalarda sanal gerçeklik donanımlarının uzun süreli kullanımında bireylerin baş dönmesi, bulantı gibi etkilerinin görülebileceği vurgulanmıştır. Kaleci vd.,(2017:670) Üç Boyutlu Sanal Gerçeklik Ortamlarındaki Deneyimlere İlişkin Kullanıcı Görüşleri adlı çalışmasında sanal gerçeklik ortamları birtakım teknolojik sınırlılıklardan ötürü kişilerde baş dönmesi, mide bulantısı, terleme gibi kısa süreli fizyolojik rahatsızlıklara sebebiyet vereceği ve  sanal gerçeklik donanımlarının kullanıcılara görüntüyü netleştirmede ve kafa hareketleri ile kontrolü sağlamada birtakım zorluklar yaşayabileceğini ifade etmiştir. Elbette ki gelişen teknoloji ile bu tür fizyolojik etkilerinin en aza indirileceği düşünülmektedir. Her ne kadar olumsuz etkilerinin de olacağı belirtilmiş olsa da sanal ve artırılmış gerçeklik uygulamaları 21.yy en önemli unsurlarıdır.Bireylerin maximum fayda sağlayacağı ortamların oluşturulması daha da doğru olacaktır.</w:t>
      </w:r>
    </w:p>
    <w:p w14:paraId="331CD7ED">
      <w:pPr>
        <w:spacing w:before="120" w:after="120" w:line="360" w:lineRule="auto"/>
        <w:ind w:firstLine="567"/>
        <w:jc w:val="both"/>
        <w:rPr>
          <w:sz w:val="24"/>
          <w:szCs w:val="24"/>
        </w:rPr>
      </w:pPr>
      <w:r>
        <w:rPr>
          <w:sz w:val="24"/>
          <w:szCs w:val="24"/>
        </w:rPr>
        <w:t>Bu çalışma sonucunda bireylere, akademik camiaya ve sektöre yönelik çeşitli öneriler sunulmaktadır:</w:t>
      </w:r>
    </w:p>
    <w:p w14:paraId="0F1E6ECA">
      <w:pPr>
        <w:widowControl/>
        <w:numPr>
          <w:ilvl w:val="0"/>
          <w:numId w:val="16"/>
        </w:numPr>
        <w:autoSpaceDE/>
        <w:autoSpaceDN/>
        <w:spacing w:before="120" w:after="120" w:line="360" w:lineRule="auto"/>
        <w:ind w:firstLine="567"/>
        <w:jc w:val="both"/>
        <w:rPr>
          <w:sz w:val="24"/>
          <w:szCs w:val="24"/>
        </w:rPr>
      </w:pPr>
      <w:r>
        <w:rPr>
          <w:sz w:val="24"/>
          <w:szCs w:val="24"/>
        </w:rPr>
        <w:t>Eğitim öğretimin her kademesinde bireylere hoşça vakit geçireceği, boş zamanlarını değerlendireceği, çeşitli sanal rekreasyon faaliyetlerinin deneyimini yaşayacağı ortamların sunulması önerilmektedir. Bu yönüyle değerlendirildiğinde bireyler, okul ortamlarında ya da okul dışı zamanlarını daha kaliteli geçirerek doyuma ulaşırlar. Bu da bireylerin yaşam kalite düzeylerini artıracaktır.</w:t>
      </w:r>
    </w:p>
    <w:p w14:paraId="32C9E9A9">
      <w:pPr>
        <w:widowControl/>
        <w:numPr>
          <w:ilvl w:val="0"/>
          <w:numId w:val="16"/>
        </w:numPr>
        <w:autoSpaceDE/>
        <w:autoSpaceDN/>
        <w:spacing w:before="120" w:after="120" w:line="360" w:lineRule="auto"/>
        <w:ind w:firstLine="567"/>
        <w:jc w:val="both"/>
        <w:rPr>
          <w:sz w:val="24"/>
          <w:szCs w:val="24"/>
        </w:rPr>
      </w:pPr>
      <w:r>
        <w:rPr>
          <w:sz w:val="24"/>
          <w:szCs w:val="24"/>
        </w:rPr>
        <w:t xml:space="preserve">Özellikle ilk kademede eğitim öğretim gören bireyler, okula uyum sorunu yaşamaktadır. Sanal rekreasyon faaliyetleri bu süreçte öğrencilerin eğlenceli vakit geçirmesine olanak sağlayarak okul ortamlarından uzaklaşmalarına ve okula uyum sağlamalarına yardımcı olacaktır. Bu bağlamda bu öğrencilere sanal rekreasyon deneyim imkanı verilmesi önerilmektedir. Böylelikle okulla duygusal bağ kurmalarına yardımcı olacağı düşünülmektedir. </w:t>
      </w:r>
    </w:p>
    <w:p w14:paraId="285511EF">
      <w:pPr>
        <w:spacing w:before="120" w:after="120" w:line="360" w:lineRule="auto"/>
        <w:ind w:firstLine="567"/>
        <w:jc w:val="both"/>
        <w:rPr>
          <w:sz w:val="24"/>
          <w:szCs w:val="24"/>
        </w:rPr>
      </w:pPr>
      <w:r>
        <w:rPr>
          <w:b/>
          <w:sz w:val="24"/>
          <w:szCs w:val="24"/>
        </w:rPr>
        <w:t>3-</w:t>
      </w:r>
      <w:r>
        <w:rPr>
          <w:sz w:val="24"/>
          <w:szCs w:val="24"/>
        </w:rPr>
        <w:t>Okul öncesi eğitimde bireylerin sanal rekreasyon faaliyetlerini deneyimlemeleri önerilmektedir. Okul öncesinde öğrencilerin özellikle dil gelişimi sürecinde sanal rekreasyon faaliyeti olarak çeşitli avatarlarla iletişim haline geçerek hem eğlenceli vakit geçirip hem de karakterle etkileşime geçerek öğrenme süreci gerçekleşebilir. Aynı zamanda bu karakterle etkileşimi sonucu empati duygusunun gelişeceği düşünülmektedir. Bu yönüyle değerlendirildiğinde okul öncesi öğrencileri eğlenerek, hoşça vakit geçirirler.</w:t>
      </w:r>
    </w:p>
    <w:p w14:paraId="337DD2A6">
      <w:pPr>
        <w:spacing w:before="120" w:after="120" w:line="360" w:lineRule="auto"/>
        <w:ind w:firstLine="567"/>
        <w:jc w:val="both"/>
        <w:rPr>
          <w:sz w:val="24"/>
          <w:szCs w:val="24"/>
        </w:rPr>
      </w:pPr>
      <w:r>
        <w:rPr>
          <w:b/>
          <w:sz w:val="24"/>
          <w:szCs w:val="24"/>
        </w:rPr>
        <w:t>4-</w:t>
      </w:r>
      <w:r>
        <w:rPr>
          <w:sz w:val="24"/>
          <w:szCs w:val="24"/>
        </w:rPr>
        <w:t>Okul öncesi eğitimde el-göz koordinasyonun gelişimi için tasarlanmış sanal rekreasyon faaliyetleri önerilmektedir. El-göz koordinasyonu okul öncesi eğitimde önemli bir yere sahiptir. Bu yönüyle değerlendirildiğinde sanal rekreasyon faaliyetleri bu açıdan yararlı olacağı düşünülmektedir. Öğrencilerin psiko-motor becerilerin gelişmesine olanak sağlayarak yazma becerilerinin gelişimi sağlanmış olacaktır.</w:t>
      </w:r>
    </w:p>
    <w:p w14:paraId="3FD989F2">
      <w:pPr>
        <w:spacing w:before="120" w:after="120" w:line="360" w:lineRule="auto"/>
        <w:ind w:firstLine="567"/>
        <w:jc w:val="both"/>
        <w:rPr>
          <w:sz w:val="24"/>
          <w:szCs w:val="24"/>
        </w:rPr>
      </w:pPr>
      <w:r>
        <w:rPr>
          <w:b/>
          <w:sz w:val="24"/>
          <w:szCs w:val="24"/>
        </w:rPr>
        <w:t>5-</w:t>
      </w:r>
      <w:r>
        <w:rPr>
          <w:sz w:val="24"/>
          <w:szCs w:val="24"/>
        </w:rPr>
        <w:t>Okul öncesi eğitimde bireylere bir sanal rekreasyon faaliyeti etkinliği olarak, sanal bir tuval sunulabilir ve öğrenciler bu sanal tuval üzerinde çeşitli boyama yapabilirler ya da üç boyutlu çalışmalar yapabilirler. Bu öğrencilerin hem eğlenceli vakit geçireceği hem de sanat zevklerinin ve yaratıcılıklarının gelişeceği düşünülmektedir.</w:t>
      </w:r>
    </w:p>
    <w:p w14:paraId="6A394DEE">
      <w:pPr>
        <w:spacing w:before="120" w:after="120" w:line="360" w:lineRule="auto"/>
        <w:ind w:firstLine="567"/>
        <w:jc w:val="both"/>
        <w:rPr>
          <w:sz w:val="24"/>
          <w:szCs w:val="24"/>
        </w:rPr>
      </w:pPr>
      <w:r>
        <w:rPr>
          <w:b/>
          <w:sz w:val="24"/>
          <w:szCs w:val="24"/>
        </w:rPr>
        <w:t>6-</w:t>
      </w:r>
      <w:r>
        <w:rPr>
          <w:sz w:val="24"/>
          <w:szCs w:val="24"/>
        </w:rPr>
        <w:t>Okul öncesi eğitimde bireylerin günlük yaşamlarında karşılaşabilecekleri potansiyel tehlikeleri güvenli bir ortamda gösterme olanağı sanal rekreasyon faaliyetleri ile gerçekleştirilebilir. Makas kullanımı buna örnek olabilir. Ders araç gereçlerini kullanırken potansiyel olabilecek tehlikeler böylelikle ortadan kaldırılmış olacaktır.</w:t>
      </w:r>
    </w:p>
    <w:p w14:paraId="3E0B1C1A">
      <w:pPr>
        <w:spacing w:before="120" w:after="120" w:line="360" w:lineRule="auto"/>
        <w:ind w:firstLine="567"/>
        <w:jc w:val="both"/>
        <w:rPr>
          <w:sz w:val="24"/>
          <w:szCs w:val="24"/>
        </w:rPr>
      </w:pPr>
      <w:r>
        <w:rPr>
          <w:b/>
          <w:sz w:val="24"/>
          <w:szCs w:val="24"/>
        </w:rPr>
        <w:t>7-</w:t>
      </w:r>
      <w:r>
        <w:rPr>
          <w:sz w:val="24"/>
          <w:szCs w:val="24"/>
        </w:rPr>
        <w:t>Özel eğitim sınıflarında hafif düzeyde zihinsel yetersizliğe sahip bireylerin eğitiminde sanal rekreasyon faaliyetlerini deneyimlemeleri öğretmenlere önerilmektedir. Bu öğrenciler sanal rekreasyon faaliyetleri ile okula uyumları kolaylaşabilir, okuldan uzaklaşmalarına, sanal ortamlarla etkileşime geçmelerine olanak sağlayıp uyum süreçlerinde kaliteli bir zaman geçirebilir.</w:t>
      </w:r>
    </w:p>
    <w:p w14:paraId="4A678D78">
      <w:pPr>
        <w:spacing w:before="120" w:after="120" w:line="360" w:lineRule="auto"/>
        <w:ind w:firstLine="567"/>
        <w:jc w:val="both"/>
        <w:rPr>
          <w:sz w:val="24"/>
          <w:szCs w:val="24"/>
        </w:rPr>
      </w:pPr>
      <w:r>
        <w:rPr>
          <w:b/>
          <w:sz w:val="24"/>
          <w:szCs w:val="24"/>
        </w:rPr>
        <w:t>8-</w:t>
      </w:r>
      <w:r>
        <w:rPr>
          <w:sz w:val="24"/>
          <w:szCs w:val="24"/>
        </w:rPr>
        <w:t>Otizm spectrum bozukluğu olan bireylerin problem davranışlarının azaltılmasında, yeni davranışların kazanılmasında ve var olan davranışların geliştirlmesinde sanal rekreasyon faaliyetleri önerilmektedir. Otizmli bireyler kalabalık sınıf ortamlarında etkileşim başlatma ve sürdürmede sorunlar yaşamaktadır. Sanal rekreasyon faaliyetleri ile bu bireylerin etkileşim kurmalarının kolaylaşacağı düşünülmektedir.</w:t>
      </w:r>
    </w:p>
    <w:p w14:paraId="323FCB24">
      <w:pPr>
        <w:spacing w:before="120" w:after="120" w:line="360" w:lineRule="auto"/>
        <w:ind w:firstLine="567"/>
        <w:jc w:val="both"/>
        <w:rPr>
          <w:sz w:val="24"/>
          <w:szCs w:val="24"/>
        </w:rPr>
      </w:pPr>
      <w:r>
        <w:rPr>
          <w:b/>
          <w:sz w:val="24"/>
          <w:szCs w:val="24"/>
        </w:rPr>
        <w:t>9-</w:t>
      </w:r>
      <w:r>
        <w:rPr>
          <w:sz w:val="24"/>
          <w:szCs w:val="24"/>
        </w:rPr>
        <w:t>Özel gereksinimi olan bireylerin giyinme becerilerinin gelişiminde sanal rekreasyon faaliyetleri önerilmektedir. Çeşitli sanal rekreasyon uygulamaları ile aktif olarak giyinme sürecine katılabilir. Bu yönüyle değerlendirildiğinde bu bireyler stress düzeyleri azalabileceği düşünülmektedir.</w:t>
      </w:r>
    </w:p>
    <w:p w14:paraId="76743955">
      <w:pPr>
        <w:spacing w:before="120" w:after="120" w:line="360" w:lineRule="auto"/>
        <w:ind w:firstLine="567"/>
        <w:jc w:val="both"/>
        <w:rPr>
          <w:sz w:val="24"/>
          <w:szCs w:val="24"/>
        </w:rPr>
      </w:pPr>
      <w:r>
        <w:rPr>
          <w:b/>
          <w:sz w:val="24"/>
          <w:szCs w:val="24"/>
        </w:rPr>
        <w:t>10-</w:t>
      </w:r>
      <w:r>
        <w:rPr>
          <w:sz w:val="24"/>
          <w:szCs w:val="24"/>
        </w:rPr>
        <w:t>Özel eğitime ihtiyaç duyan bireyler iletişim kurmada, başkalarının duygu ve düşüncelerini anlamada sınırlılıklar yaşamaktadır. Bu sınırlıkların giderilmesinde öyküler çok önemlidir. Bir sanal rekreasyon etkinliği ile entegre edilerek kullanılabilir.</w:t>
      </w:r>
    </w:p>
    <w:p w14:paraId="6FB2D5F3">
      <w:pPr>
        <w:spacing w:before="120" w:after="120" w:line="360" w:lineRule="auto"/>
        <w:ind w:firstLine="567"/>
        <w:jc w:val="both"/>
        <w:rPr>
          <w:sz w:val="24"/>
          <w:szCs w:val="24"/>
        </w:rPr>
      </w:pPr>
      <w:r>
        <w:rPr>
          <w:b/>
          <w:sz w:val="24"/>
          <w:szCs w:val="24"/>
        </w:rPr>
        <w:t>11-</w:t>
      </w:r>
      <w:r>
        <w:rPr>
          <w:sz w:val="24"/>
          <w:szCs w:val="24"/>
        </w:rPr>
        <w:t>Sanal rekreasyon faaliyet ölçeği yeni alanlarda farklı araştırmalar yapılması için kaynak niteliğindedir. Bu yönüyle değerlendirildiğinde akademik çalışmalarda kullanılması önerilmektedir. Çeşitli gruplarve değişkenler bağlamında araştırmalara teşkil edeceği düşünülmektedir.</w:t>
      </w:r>
    </w:p>
    <w:p w14:paraId="02397DEC">
      <w:pPr>
        <w:spacing w:before="120" w:after="120" w:line="360" w:lineRule="auto"/>
        <w:ind w:firstLine="567"/>
        <w:jc w:val="both"/>
        <w:rPr>
          <w:sz w:val="24"/>
          <w:szCs w:val="24"/>
        </w:rPr>
      </w:pPr>
      <w:r>
        <w:rPr>
          <w:b/>
          <w:sz w:val="24"/>
          <w:szCs w:val="24"/>
        </w:rPr>
        <w:t>12-</w:t>
      </w:r>
      <w:r>
        <w:rPr>
          <w:sz w:val="24"/>
          <w:szCs w:val="24"/>
        </w:rPr>
        <w:t>Üniversiteler; şehir dışından gelen öğrencilerin hem kenti tanımaları hem de bu süreci daha kolay geçirebilmeleri için sanal rekreasyon ortamlarının ve sanal rekreasyon donanımlarının öğrencilere sunulması önerilmektedir. Bu yönüyle değerlendirildiğinde öğrenciler hem eğlenir hem de bilgilenir. Dolayısıyla bu durumda uyum sürecini daha rahat atlatmış olacaklardır.</w:t>
      </w:r>
    </w:p>
    <w:p w14:paraId="008B95F6">
      <w:pPr>
        <w:spacing w:before="120" w:after="120" w:line="360" w:lineRule="auto"/>
        <w:ind w:firstLine="567"/>
        <w:jc w:val="both"/>
        <w:rPr>
          <w:sz w:val="24"/>
          <w:szCs w:val="24"/>
        </w:rPr>
      </w:pPr>
      <w:r>
        <w:rPr>
          <w:b/>
          <w:sz w:val="24"/>
          <w:szCs w:val="24"/>
        </w:rPr>
        <w:t>13-</w:t>
      </w:r>
      <w:r>
        <w:rPr>
          <w:sz w:val="24"/>
          <w:szCs w:val="24"/>
        </w:rPr>
        <w:t>Ulaşım araçları sürücü eğitimleri kapsamında sanal rekreasyon faaliyetleri önerilmektedir. Özellikle pilot eğitimlerinde yaygın olarak kullanılan sanal gerçeklik sistemlerinin karayolu ve denizyolu sürücü eğitimlerinde de kullanılması ve yaygınlaştırılması önerilmektedir. Bu kullanıcılar bu eğitimler esnasında sanal rekreasyon aktiviteleri ile stresten uzaklaşırlar. Dahası bu aktiviteler ile psikomotor becerilerinin de gelişmesi olasıdır. Böylelikle hem eğlenip hem de öğrenerek eğitimlerini tamamlamış olacaklardır.</w:t>
      </w:r>
    </w:p>
    <w:p w14:paraId="3C3BF44D">
      <w:pPr>
        <w:spacing w:before="120" w:after="120" w:line="360" w:lineRule="auto"/>
        <w:ind w:firstLine="567"/>
        <w:jc w:val="both"/>
        <w:rPr>
          <w:sz w:val="24"/>
          <w:szCs w:val="24"/>
        </w:rPr>
      </w:pPr>
      <w:r>
        <w:rPr>
          <w:b/>
          <w:sz w:val="24"/>
          <w:szCs w:val="24"/>
        </w:rPr>
        <w:t>14-</w:t>
      </w:r>
      <w:r>
        <w:rPr>
          <w:sz w:val="24"/>
          <w:szCs w:val="24"/>
        </w:rPr>
        <w:t>Sosyo-ekonomik olarak yetersizliği sebebiyle seyahat imkanı olmayan bireylere sanal rekreasyon deneyimi önerilmektedir. Örneğin; denizi hiç görmeyen bir birey, sanal rekreasyon aktivitesi ile bu imkana kavuşabilir. Yaşamlarında doyuma ulaşabilirler, bu da yaşam kalitelerini arttıracaktır.</w:t>
      </w:r>
    </w:p>
    <w:p w14:paraId="4F6470B6">
      <w:pPr>
        <w:spacing w:before="120" w:after="120" w:line="360" w:lineRule="auto"/>
        <w:ind w:firstLine="567"/>
        <w:jc w:val="both"/>
        <w:rPr>
          <w:sz w:val="24"/>
          <w:szCs w:val="24"/>
        </w:rPr>
      </w:pPr>
      <w:r>
        <w:rPr>
          <w:sz w:val="24"/>
          <w:szCs w:val="24"/>
        </w:rPr>
        <w:t>1</w:t>
      </w:r>
      <w:r>
        <w:rPr>
          <w:b/>
          <w:sz w:val="24"/>
          <w:szCs w:val="24"/>
        </w:rPr>
        <w:t>5-</w:t>
      </w:r>
      <w:r>
        <w:rPr>
          <w:sz w:val="24"/>
          <w:szCs w:val="24"/>
        </w:rPr>
        <w:t xml:space="preserve">Ülkesinden çeşitli sebeplerle (savaş, zorunlu göç vb) uzak kalmış olan bireylere sanal rekreasyon deneyimi önerilmektedir. Bu bireyler ülkelerine gitmeden evlerinden, bulundukları şehirden sanal rekreasyon aktiviteleri ile ülkelerine olan özlemleri giderirler. Böylelikle ülkeleri ile duygusal olarak bir kopuş yaşamayacağı düşünülmektedir. Ülkemizde göç sorunu yaşayan ülkeler arasındadır. Bu yönüyle değerlendirildiğinde göçmenlerin ülkeleri ile duygusal bağın devamlılığı göçmenlerin ülkelerine dönmeleri kolaylaşağı düşünülmektedir. </w:t>
      </w:r>
    </w:p>
    <w:p w14:paraId="5CF520D9">
      <w:pPr>
        <w:spacing w:before="120" w:after="120" w:line="360" w:lineRule="auto"/>
        <w:ind w:firstLine="567"/>
        <w:jc w:val="both"/>
        <w:rPr>
          <w:sz w:val="24"/>
          <w:szCs w:val="24"/>
        </w:rPr>
      </w:pPr>
      <w:r>
        <w:rPr>
          <w:b/>
          <w:sz w:val="24"/>
          <w:szCs w:val="24"/>
        </w:rPr>
        <w:t>16-</w:t>
      </w:r>
      <w:r>
        <w:rPr>
          <w:sz w:val="24"/>
          <w:szCs w:val="24"/>
        </w:rPr>
        <w:t>Oyun ve eğlence sektöründe son yıllarda sanal rekreasyon aktiviteleri kullanılmaktadır. Bu kullanımının yaygınlaşarak çeşitli donanımlarla desteklenmesi önerilmektedir. Denge ve nörolojik rahatsızlığı olan bireyler sanal rekreasyon aktiviteleri ile bu rahatsızlıklarından uzaklaşacağı düşünülmektedir. Hem eğlenceli bir zaman geçirmelerine hem de bu aktivite ile fiziksel olarak rahatlayacağı düşünülmektedir.</w:t>
      </w:r>
    </w:p>
    <w:p w14:paraId="64AC875B">
      <w:pPr>
        <w:spacing w:before="120" w:after="120" w:line="360" w:lineRule="auto"/>
        <w:ind w:firstLine="567"/>
        <w:jc w:val="both"/>
        <w:rPr>
          <w:sz w:val="24"/>
          <w:szCs w:val="24"/>
        </w:rPr>
      </w:pPr>
      <w:r>
        <w:rPr>
          <w:b/>
          <w:sz w:val="24"/>
          <w:szCs w:val="24"/>
        </w:rPr>
        <w:t>17-</w:t>
      </w:r>
      <w:r>
        <w:rPr>
          <w:sz w:val="24"/>
          <w:szCs w:val="24"/>
        </w:rPr>
        <w:t>Kara, deniz ve hava yolu ulaşım firmaları yolcularına sanal gerçeklik gözlüğü ve donanımları sunarak yolculuk esnasında yol güzergâhını gözlemleyebilme olanağı sunabilir. Bu süreçte güzergâhta bulunan yerleşim yerleri ile ilgili bilgiler sunarak daha konforlu ve daha kaliteli bir yolculuk hizmeti sunabilir. Yolculuk esnasında yaşanabilecek olumsuzluklar en aza indirilerek kaliteli bir yolculuk yapmış olacaktır.</w:t>
      </w:r>
    </w:p>
    <w:p w14:paraId="1E8C49C8">
      <w:pPr>
        <w:pStyle w:val="9"/>
        <w:spacing w:before="120" w:after="120" w:line="360" w:lineRule="auto"/>
        <w:ind w:left="0" w:firstLine="567"/>
      </w:pPr>
      <w:r>
        <w:rPr>
          <w:b/>
        </w:rPr>
        <w:t>18-</w:t>
      </w:r>
      <w:r>
        <w:t>Rekreasyon ve turizm işletmelerinde sanal rekreasyon faaliyetlerini sıklıkla her kademesinde kullanılması önerilmektedir. Bu faaliyetlerin rekabet gücünü artıracağı düşünülmektedir. İşletme, otel ise kalacağı odayı, restoran ise mutfağını, sunulan hizmeti çeşitli sanal gerçeklik donanımları aracılığıyla gezip görme olanağı sunularak müşterilere ön bilgi verilebilir. Bu sayede diğer işletmelerle mukayese edebilir. Geçmişte tatilciler, seyahat acentelerini ziyaret ederek veya broşürler aracılığıyla bilgi edinirken, günümüzde internet ve mobil uygulamalar, bu süreci daha interaktif ve kullanıcı dostu hale getirmiştir. Turistler artık otellerin, tatil köylerinin ve diğer konaklama birimlerinin web sayfalarını ziyaret edebilir, kullanıcı yorumlarını okuyabilir ve sosyal medya üzerinden geçmiş misafirlerin deneyimlerini inceleyebilir. Daha da önemlisi, 360 derecelik panoramik görüntüler ve sanal turlar sayesinde, potansiyel ziyaretçiler bir otelin atmosferini ve olanaklarını, özellikle de otel odalarının detaylarını, kendi evlerinden ayrılmadan keşfedebilmektedirler.</w:t>
      </w:r>
    </w:p>
    <w:p w14:paraId="3214F6E3">
      <w:pPr>
        <w:pStyle w:val="9"/>
        <w:spacing w:before="120" w:after="120" w:line="360" w:lineRule="auto"/>
        <w:ind w:left="0" w:firstLine="567"/>
      </w:pPr>
      <w:r>
        <w:t>Bu teknolojik imkânlar, müşterilere tatil mekânlarını daha gerçekçi bir şekilde değerlendirme fırsatı sunarak, daha bilinçli kararlar almalarını sağlar. Örneğin, sanal gerçeklik gözlükleri kullanarak yapılan sanal turlar, kullanıcıların tatil destinasyonlarını ziyaret</w:t>
      </w:r>
      <w:r>
        <w:rPr>
          <w:spacing w:val="-11"/>
        </w:rPr>
        <w:t xml:space="preserve"> </w:t>
      </w:r>
      <w:r>
        <w:t>etmeden</w:t>
      </w:r>
      <w:r>
        <w:rPr>
          <w:spacing w:val="-12"/>
        </w:rPr>
        <w:t xml:space="preserve"> </w:t>
      </w:r>
      <w:r>
        <w:t>önce,</w:t>
      </w:r>
      <w:r>
        <w:rPr>
          <w:spacing w:val="-10"/>
        </w:rPr>
        <w:t xml:space="preserve"> </w:t>
      </w:r>
      <w:r>
        <w:t>gerçek</w:t>
      </w:r>
      <w:r>
        <w:rPr>
          <w:spacing w:val="-14"/>
        </w:rPr>
        <w:t xml:space="preserve"> </w:t>
      </w:r>
      <w:r>
        <w:t>zamanlı</w:t>
      </w:r>
      <w:r>
        <w:rPr>
          <w:spacing w:val="-14"/>
        </w:rPr>
        <w:t xml:space="preserve"> </w:t>
      </w:r>
      <w:r>
        <w:t>bir</w:t>
      </w:r>
      <w:r>
        <w:rPr>
          <w:spacing w:val="-12"/>
        </w:rPr>
        <w:t xml:space="preserve"> </w:t>
      </w:r>
      <w:r>
        <w:t>deneyim</w:t>
      </w:r>
      <w:r>
        <w:rPr>
          <w:spacing w:val="-11"/>
        </w:rPr>
        <w:t xml:space="preserve"> </w:t>
      </w:r>
      <w:r>
        <w:t>yaşamalarını</w:t>
      </w:r>
      <w:r>
        <w:rPr>
          <w:spacing w:val="-14"/>
        </w:rPr>
        <w:t xml:space="preserve"> </w:t>
      </w:r>
      <w:r>
        <w:t>mümkün</w:t>
      </w:r>
      <w:r>
        <w:rPr>
          <w:spacing w:val="-14"/>
        </w:rPr>
        <w:t xml:space="preserve"> </w:t>
      </w:r>
      <w:r>
        <w:t>kılar.</w:t>
      </w:r>
      <w:r>
        <w:rPr>
          <w:spacing w:val="-12"/>
        </w:rPr>
        <w:t xml:space="preserve"> </w:t>
      </w:r>
      <w:r>
        <w:t>Bu,</w:t>
      </w:r>
      <w:r>
        <w:rPr>
          <w:spacing w:val="-14"/>
        </w:rPr>
        <w:t xml:space="preserve"> </w:t>
      </w:r>
      <w:r>
        <w:t>özellikle uzak</w:t>
      </w:r>
      <w:r>
        <w:rPr>
          <w:spacing w:val="-2"/>
        </w:rPr>
        <w:t xml:space="preserve"> </w:t>
      </w:r>
      <w:r>
        <w:t>destinasyonlar</w:t>
      </w:r>
      <w:r>
        <w:rPr>
          <w:spacing w:val="-4"/>
        </w:rPr>
        <w:t xml:space="preserve"> </w:t>
      </w:r>
      <w:r>
        <w:t>için büyük</w:t>
      </w:r>
      <w:r>
        <w:rPr>
          <w:spacing w:val="-2"/>
        </w:rPr>
        <w:t xml:space="preserve"> </w:t>
      </w:r>
      <w:r>
        <w:t>bir</w:t>
      </w:r>
      <w:r>
        <w:rPr>
          <w:spacing w:val="-3"/>
        </w:rPr>
        <w:t xml:space="preserve"> </w:t>
      </w:r>
      <w:r>
        <w:t>avantajdır</w:t>
      </w:r>
      <w:r>
        <w:rPr>
          <w:spacing w:val="-3"/>
        </w:rPr>
        <w:t xml:space="preserve"> </w:t>
      </w:r>
      <w:r>
        <w:t>çünkü</w:t>
      </w:r>
      <w:r>
        <w:rPr>
          <w:spacing w:val="-2"/>
        </w:rPr>
        <w:t xml:space="preserve"> </w:t>
      </w:r>
      <w:r>
        <w:t>potansiyel</w:t>
      </w:r>
      <w:r>
        <w:rPr>
          <w:spacing w:val="-2"/>
        </w:rPr>
        <w:t xml:space="preserve"> </w:t>
      </w:r>
      <w:r>
        <w:t>ziyaretçiler,</w:t>
      </w:r>
      <w:r>
        <w:rPr>
          <w:spacing w:val="-2"/>
        </w:rPr>
        <w:t xml:space="preserve"> </w:t>
      </w:r>
      <w:r>
        <w:t>seyahate</w:t>
      </w:r>
      <w:r>
        <w:rPr>
          <w:spacing w:val="-3"/>
        </w:rPr>
        <w:t xml:space="preserve"> </w:t>
      </w:r>
      <w:r>
        <w:t>büyük miktarda para ve zaman harcamadan önce mekân hakkında kapsamlı bir fikir edinebilirler.Ayrıca, bu teknolojik gelişmeler, rekreasyonel faaliyetlere katılım şeklini de değiştirmiştir. Dijital platformlar, kullanıcılara çeşitli etkinlikler ve deneyimler sunarak, kişisel ilgi ve tercihlere göre özelleştirilmiş rekreasyonel aktiviteler planlama imkânı tanır. Bu sayede, turistler</w:t>
      </w:r>
      <w:r>
        <w:rPr>
          <w:spacing w:val="-10"/>
        </w:rPr>
        <w:t xml:space="preserve"> </w:t>
      </w:r>
      <w:r>
        <w:t>kendi</w:t>
      </w:r>
      <w:r>
        <w:rPr>
          <w:spacing w:val="-9"/>
        </w:rPr>
        <w:t xml:space="preserve"> </w:t>
      </w:r>
      <w:r>
        <w:t>tatil</w:t>
      </w:r>
      <w:r>
        <w:rPr>
          <w:spacing w:val="-9"/>
        </w:rPr>
        <w:t xml:space="preserve"> </w:t>
      </w:r>
      <w:r>
        <w:t>deneyimlerini</w:t>
      </w:r>
      <w:r>
        <w:rPr>
          <w:spacing w:val="-9"/>
        </w:rPr>
        <w:t xml:space="preserve"> </w:t>
      </w:r>
      <w:r>
        <w:t>kişiselleştirebilir</w:t>
      </w:r>
      <w:r>
        <w:rPr>
          <w:spacing w:val="-12"/>
        </w:rPr>
        <w:t xml:space="preserve"> </w:t>
      </w:r>
      <w:r>
        <w:t>ve</w:t>
      </w:r>
      <w:r>
        <w:rPr>
          <w:spacing w:val="-8"/>
        </w:rPr>
        <w:t xml:space="preserve"> </w:t>
      </w:r>
      <w:r>
        <w:t>geniş</w:t>
      </w:r>
      <w:r>
        <w:rPr>
          <w:spacing w:val="-9"/>
        </w:rPr>
        <w:t xml:space="preserve"> </w:t>
      </w:r>
      <w:r>
        <w:t>bir</w:t>
      </w:r>
      <w:r>
        <w:rPr>
          <w:spacing w:val="-7"/>
        </w:rPr>
        <w:t xml:space="preserve"> </w:t>
      </w:r>
      <w:r>
        <w:t>aktivite</w:t>
      </w:r>
      <w:r>
        <w:rPr>
          <w:spacing w:val="-5"/>
        </w:rPr>
        <w:t xml:space="preserve"> </w:t>
      </w:r>
      <w:r>
        <w:t>yelpazesinden</w:t>
      </w:r>
      <w:r>
        <w:rPr>
          <w:spacing w:val="-10"/>
        </w:rPr>
        <w:t xml:space="preserve"> </w:t>
      </w:r>
      <w:r>
        <w:t>seçim yaparak tatillerini daha dolu dolu geçirebilirler.Özetle, teknoloji, turizm ve rekreasyon alanında, tatil seçimi ve tatil sırasında sunulan deneyimlerin</w:t>
      </w:r>
      <w:r>
        <w:rPr>
          <w:spacing w:val="-11"/>
        </w:rPr>
        <w:t xml:space="preserve"> </w:t>
      </w:r>
      <w:r>
        <w:t>kalitesini</w:t>
      </w:r>
      <w:r>
        <w:rPr>
          <w:spacing w:val="-11"/>
        </w:rPr>
        <w:t xml:space="preserve"> </w:t>
      </w:r>
      <w:r>
        <w:t>artırarak,</w:t>
      </w:r>
      <w:r>
        <w:rPr>
          <w:spacing w:val="-12"/>
        </w:rPr>
        <w:t xml:space="preserve"> </w:t>
      </w:r>
      <w:r>
        <w:t>seyahat</w:t>
      </w:r>
      <w:r>
        <w:rPr>
          <w:spacing w:val="-11"/>
        </w:rPr>
        <w:t xml:space="preserve"> </w:t>
      </w:r>
      <w:r>
        <w:t>etme</w:t>
      </w:r>
      <w:r>
        <w:rPr>
          <w:spacing w:val="-10"/>
        </w:rPr>
        <w:t xml:space="preserve"> </w:t>
      </w:r>
      <w:r>
        <w:t>ve</w:t>
      </w:r>
      <w:r>
        <w:rPr>
          <w:spacing w:val="-13"/>
        </w:rPr>
        <w:t xml:space="preserve"> </w:t>
      </w:r>
      <w:r>
        <w:t>tatil</w:t>
      </w:r>
      <w:r>
        <w:rPr>
          <w:spacing w:val="-9"/>
        </w:rPr>
        <w:t xml:space="preserve"> </w:t>
      </w:r>
      <w:r>
        <w:t>yapma</w:t>
      </w:r>
      <w:r>
        <w:rPr>
          <w:spacing w:val="-10"/>
        </w:rPr>
        <w:t xml:space="preserve"> </w:t>
      </w:r>
      <w:r>
        <w:t>biçimlerimizi</w:t>
      </w:r>
      <w:r>
        <w:rPr>
          <w:spacing w:val="-14"/>
        </w:rPr>
        <w:t xml:space="preserve"> </w:t>
      </w:r>
      <w:r>
        <w:t xml:space="preserve">dönüştürmüştür. Bu değişiklikler, sektördeki işletmelerin müşteri ihtiyaç ve beklentilerine daha iyi yanıt vermesine olanak tanırken, turistlere de daha zengin ve tatmin edici tatil deneyimleri </w:t>
      </w:r>
      <w:r>
        <w:rPr>
          <w:spacing w:val="-2"/>
        </w:rPr>
        <w:t>sunmaktadır.</w:t>
      </w:r>
    </w:p>
    <w:p w14:paraId="4D127CD2">
      <w:pPr>
        <w:spacing w:before="120" w:after="120" w:line="360" w:lineRule="auto"/>
        <w:ind w:firstLine="567"/>
        <w:jc w:val="both"/>
        <w:rPr>
          <w:sz w:val="24"/>
          <w:szCs w:val="24"/>
        </w:rPr>
      </w:pPr>
      <w:r>
        <w:rPr>
          <w:b/>
          <w:sz w:val="24"/>
          <w:szCs w:val="24"/>
        </w:rPr>
        <w:t>19-</w:t>
      </w:r>
      <w:r>
        <w:rPr>
          <w:sz w:val="24"/>
          <w:szCs w:val="24"/>
        </w:rPr>
        <w:t>Eve mahkum ya da engelli (engel vs. durumu nedeniyle) bireylerin boş zamanlarında sanal rekreasyon deneyimleriyle hoşça vakit geçirebilirler, evlerinden çıkmadan istedikleri şehirlerde yürüyüş yaparak kendilerine sınırsız özgürlük alanı açabilirler. Bu yönüyle değerlendirildiğinde kendilerini duygusal ve zihinsel olarak geliştirebilirler. Bu durumda olan bireylere sanal rekreasyon deneyimi yaşamaları için gerekli donanımlar yerel yönetimler veya ilgili kurumlar bireylerin temini için yardımda bulunabilir. Bu yönüyle engelli bireyler için rekreatif faaliyetlere katılım önemli ölçüde kolaylaşacak ve yaşam kalitesini yükseltecektir.</w:t>
      </w:r>
    </w:p>
    <w:p w14:paraId="42396EA9">
      <w:pPr>
        <w:spacing w:before="120" w:after="120" w:line="360" w:lineRule="auto"/>
        <w:ind w:firstLine="567"/>
        <w:jc w:val="both"/>
        <w:rPr>
          <w:sz w:val="24"/>
          <w:szCs w:val="24"/>
        </w:rPr>
      </w:pPr>
      <w:r>
        <w:rPr>
          <w:b/>
          <w:sz w:val="24"/>
          <w:szCs w:val="24"/>
        </w:rPr>
        <w:t>20-</w:t>
      </w:r>
      <w:r>
        <w:rPr>
          <w:sz w:val="24"/>
          <w:szCs w:val="24"/>
        </w:rPr>
        <w:t>Bireyler için fobi haline gelmiş yükseklik korkusu gibi durumlarda ya da belirli nesnelere karşı olumsuz duygular nedeniyle gerçekte yapamayacağı aktivitelere karşı terapi amaçlı kullanılabilir. Bu yönüyle böyle endişeleri olan bireylere korkularını yenme konusunda yardımcı olabilir. Bu kapsamdaki bireylere önerilmektedir.</w:t>
      </w:r>
    </w:p>
    <w:p w14:paraId="7D475194">
      <w:pPr>
        <w:spacing w:before="120" w:after="120" w:line="360" w:lineRule="auto"/>
        <w:ind w:firstLine="567"/>
        <w:jc w:val="both"/>
        <w:rPr>
          <w:sz w:val="24"/>
          <w:szCs w:val="24"/>
        </w:rPr>
      </w:pPr>
      <w:r>
        <w:rPr>
          <w:b/>
          <w:sz w:val="24"/>
          <w:szCs w:val="24"/>
        </w:rPr>
        <w:t>21-</w:t>
      </w:r>
      <w:r>
        <w:rPr>
          <w:sz w:val="24"/>
          <w:szCs w:val="24"/>
        </w:rPr>
        <w:t xml:space="preserve"> İnanç turizmi deneyimlemek amacıyla sanal rekreasyon aktiviteleri önerilmektedir. Bu aktiviteler, kutsal mekanları gezip görmek isteyen fakat bu imkana sahip olmayan bireylere seyahat etmeden, yaşadıkları yerden gezip görme olanağı sağlamaktadır. Örneğin, sanal rekreasyon aktivitesi ile Kabe’yi ziyaret edebilirler. Bunun yanı sıra, sanal ortamda diğer dinlerin kutsal mekanlarını da keşfetme fırsatı bulabilirler; Hristiyanlar için Vatikan, Budistler için Bodh Gaya, Hinduizm için Varanasi gibi yerler sanal olarak ziyaret edilebilir. Bu deneyimi yaşayan bireyler, sanal ortamda Kabe ve etrafındaki kutsal mekanların yanı sıra, farklı inançların sembolize ettiği yerleri de gezip görerek, kültürel ve dini çeşitliliği daha iyi anlayabilirler. Böylece, tüm dinlere hitap eden bu sanal deneyimler, bireylerin inançlarını keşfetmelerine ve farklı kültürlerle etkileşimde bulunmalarına olanak tanır.</w:t>
      </w:r>
    </w:p>
    <w:p w14:paraId="70EC748D">
      <w:pPr>
        <w:spacing w:before="120" w:after="120" w:line="360" w:lineRule="auto"/>
        <w:ind w:firstLine="567"/>
        <w:jc w:val="both"/>
        <w:rPr>
          <w:sz w:val="24"/>
          <w:szCs w:val="24"/>
        </w:rPr>
      </w:pPr>
      <w:r>
        <w:rPr>
          <w:b/>
          <w:sz w:val="24"/>
          <w:szCs w:val="24"/>
        </w:rPr>
        <w:t>22-</w:t>
      </w:r>
      <w:r>
        <w:rPr>
          <w:sz w:val="24"/>
          <w:szCs w:val="24"/>
        </w:rPr>
        <w:t xml:space="preserve"> Spor merkezlerinde sanal rekreasyon faaliyetleri son yıllarda kullanılmaya başlanmıştır. Bireyler, aktif olarak bu aktivitelere katılarak hem bedensel hem de zihinsel olarak sağlıklı olacağı düşünülmektedir. Günün sıkıcılığından ve stresinden kurtularak, farklı sanal ortamlarla etkileşime geçerek yaşam kalitesini artırabilirler. Örneğin, yürüyüş bandında iken sanal gerçeklik gözlüğü ile bir kentin meydanında gezintiye çıkabilir, tarihi ve kültürel mekanları keşfedebilir veya doğanın içinde sanal bir yürüyüş yapabilirler. Ayrıca, sanal spor aktiviteleri sayesinde bireyler, grup halinde sanal yarışmalara katılabilir, arkadaşlarıyla birlikte sanal ortamlarda spor yaparak sosyal etkileşimlerini artırabilirler. Bu tür deneyimler, katılımcılara motivasyon sağlarken, fiziksel aktiviteyi daha eğlenceli hale getirir. Sonuç olarak, sanal rekreasyon faaliyetleri, spor merkezlerinde sunulan yenilikçi bir yaklaşım olarak, bireylerin hem fiziksel hem de zihinsel sağlıklarını desteklemekte önemli bir rol oynamaktadır.</w:t>
      </w:r>
    </w:p>
    <w:p w14:paraId="45AE8B9E">
      <w:pPr>
        <w:spacing w:before="120" w:after="120" w:line="360" w:lineRule="auto"/>
        <w:ind w:firstLine="567"/>
        <w:jc w:val="both"/>
        <w:rPr>
          <w:sz w:val="24"/>
          <w:szCs w:val="24"/>
        </w:rPr>
      </w:pPr>
      <w:r>
        <w:rPr>
          <w:b/>
          <w:sz w:val="24"/>
          <w:szCs w:val="24"/>
        </w:rPr>
        <w:t>23-</w:t>
      </w:r>
      <w:r>
        <w:rPr>
          <w:sz w:val="24"/>
          <w:szCs w:val="24"/>
        </w:rPr>
        <w:t xml:space="preserve"> Gazilerimize sanal rekreasyon faaliyetleri önerilmekte olup, bu deneyim rehabilitasyon sürecinde eğlenceli vakit geçirmelerini ve fiziksel gelişimlerini desteklemektedir. Ergoterapistlere ve fizyoterapistlere gazilerimizin fiziksel ve zihinsel gelişimi ile ilgili olarak sanal rekreasyon  aktivitelerinin bu süreçte kullanılması önerilmektedir.Böylelikle gazilerimizin yaşam kalite düzeylerinin artacağını düşünülmektedir. Ayrıca, sanal ortamda diğer gazilerle etkileşim kurmak yalnızlık hissini azaltırken, motivasyon ve psikolojik iyilik halini güçlendirebilir. Sanal gerçeklik uygulamaları, fiziksel rehabilitasyonu destekleyerek spor aktiviteleri ve doğa yürüyüşleri gibi deneyimlerle hareket kabiliyetini ve bağımsızlığı artırabilir. Bu sayede, gazilerimizin hem fiziksel hem de duygusal iyilik halleri olumlu yönde etkilenmektedir.</w:t>
      </w:r>
    </w:p>
    <w:p w14:paraId="37A1A56D">
      <w:pPr>
        <w:spacing w:before="120" w:after="120" w:line="360" w:lineRule="auto"/>
        <w:ind w:firstLine="567"/>
        <w:jc w:val="both"/>
        <w:rPr>
          <w:sz w:val="24"/>
          <w:szCs w:val="24"/>
        </w:rPr>
      </w:pPr>
      <w:r>
        <w:rPr>
          <w:b/>
          <w:sz w:val="24"/>
          <w:szCs w:val="24"/>
        </w:rPr>
        <w:t>24-</w:t>
      </w:r>
      <w:r>
        <w:rPr>
          <w:sz w:val="24"/>
          <w:szCs w:val="24"/>
        </w:rPr>
        <w:t>Turizm işletmelerine, turizm destinasyonlarının seyahatında sanal gerçeklik ve artırılmış gerçeklik uygulamalarının kullanılması önerilmektedir.Sanal gerçeklik ve artırılmış gerçeklik uygulamalarının turizm işletmelerinde  kullanılması  ile kültürel ve tarihi mekanların korunmasında önemli bir araç olacağı düşünülmektedir.Sanal müze gezileri tarihi mekanlara ilgiyi artırırak bu değerlere bireylerin daha fazla ilgi göstereceği düşünülmektedir.Hem maliyet hem de zaman açısından uygun olacağı düşünülmektedir.</w:t>
      </w:r>
    </w:p>
    <w:p w14:paraId="4E309FF1">
      <w:pPr>
        <w:spacing w:before="120" w:after="120" w:line="360" w:lineRule="auto"/>
        <w:ind w:firstLine="567"/>
        <w:jc w:val="both"/>
        <w:rPr>
          <w:sz w:val="24"/>
          <w:szCs w:val="24"/>
        </w:rPr>
      </w:pPr>
      <w:r>
        <w:rPr>
          <w:b/>
          <w:sz w:val="24"/>
          <w:szCs w:val="24"/>
        </w:rPr>
        <w:t>25-</w:t>
      </w:r>
      <w:r>
        <w:rPr>
          <w:sz w:val="24"/>
          <w:szCs w:val="24"/>
        </w:rPr>
        <w:t>Sanal gerçeklik ve artırılmış gerçeklik uygulamaları ile çevre bilincinin de gelişiminin sağlanacağı düşünülmektedir. Doğa ve kırsal gezilerde bu uygulamalarının kullanılması çevre kirliliğinin yol açtığı sorunları azaltacağı, doğanın korunmasına yönelik çalışmalara yönelik ilginin artacağı düşünülmektedir. Bu bakımdan çevre örgütlerine, çevre koruma klüplerine vb. resmi ve özel kurumlara sanal gerçeklik ve artırılmış gerçeklik uygulamaları önerilmektedir. Hem bilgilendirici hem de eğlenceli zaman geçireceği faaliyetlerin sunulması önerilmektedir.</w:t>
      </w:r>
    </w:p>
    <w:p w14:paraId="4FC2A153">
      <w:pPr>
        <w:spacing w:line="360" w:lineRule="auto"/>
        <w:ind w:left="-567"/>
        <w:jc w:val="both"/>
        <w:rPr>
          <w:sz w:val="24"/>
          <w:szCs w:val="24"/>
        </w:rPr>
      </w:pPr>
    </w:p>
    <w:p w14:paraId="43610969">
      <w:pPr>
        <w:spacing w:line="360" w:lineRule="auto"/>
        <w:ind w:left="-567"/>
        <w:jc w:val="both"/>
        <w:rPr>
          <w:sz w:val="24"/>
          <w:szCs w:val="24"/>
        </w:rPr>
      </w:pPr>
    </w:p>
    <w:p w14:paraId="15570300">
      <w:pPr>
        <w:pStyle w:val="9"/>
        <w:spacing w:line="360" w:lineRule="auto"/>
        <w:ind w:left="-567"/>
        <w:sectPr>
          <w:pgSz w:w="11907" w:h="16839"/>
          <w:pgMar w:top="1985" w:right="1418" w:bottom="1418" w:left="1418" w:header="0" w:footer="652" w:gutter="0"/>
          <w:cols w:space="720" w:num="1"/>
        </w:sectPr>
      </w:pPr>
    </w:p>
    <w:p w14:paraId="669C6DB9">
      <w:pPr>
        <w:pStyle w:val="2"/>
        <w:spacing w:before="240" w:after="240" w:line="360" w:lineRule="auto"/>
        <w:ind w:left="0"/>
        <w:jc w:val="left"/>
      </w:pPr>
      <w:bookmarkStart w:id="254" w:name="_Toc197351292"/>
      <w:bookmarkStart w:id="255" w:name="_Toc195877839"/>
      <w:bookmarkStart w:id="256" w:name="_Toc195875859"/>
      <w:r>
        <w:rPr>
          <w:spacing w:val="-2"/>
        </w:rPr>
        <w:t>KAYNAKÇA</w:t>
      </w:r>
      <w:bookmarkEnd w:id="254"/>
      <w:bookmarkEnd w:id="255"/>
      <w:bookmarkEnd w:id="256"/>
    </w:p>
    <w:p w14:paraId="7FA5D063">
      <w:pPr>
        <w:widowControl/>
        <w:autoSpaceDE/>
        <w:autoSpaceDN/>
        <w:spacing w:before="120" w:after="120" w:line="360" w:lineRule="auto"/>
        <w:ind w:left="567" w:hanging="567"/>
        <w:jc w:val="both"/>
        <w:rPr>
          <w:rFonts w:eastAsia="Calibri"/>
          <w:color w:val="222222"/>
          <w:sz w:val="24"/>
          <w:szCs w:val="24"/>
          <w:shd w:val="clear" w:color="auto" w:fill="FFFFFF"/>
        </w:rPr>
      </w:pPr>
      <w:r>
        <w:rPr>
          <w:rFonts w:eastAsia="Calibri"/>
          <w:color w:val="222222"/>
          <w:sz w:val="24"/>
          <w:szCs w:val="24"/>
          <w:shd w:val="clear" w:color="auto" w:fill="FFFFFF"/>
        </w:rPr>
        <w:t>Abbas, J. R., O'Connor, A., Ganapathy, E., Isba, R., Payton, A., McGrath, B., ... &amp; Bruce, I. A. (2023). What is virtual reality? A healthcare-focused systematic review of definitions. </w:t>
      </w:r>
      <w:r>
        <w:rPr>
          <w:rFonts w:eastAsia="Calibri"/>
          <w:i/>
          <w:iCs/>
          <w:color w:val="222222"/>
          <w:sz w:val="24"/>
          <w:szCs w:val="24"/>
          <w:shd w:val="clear" w:color="auto" w:fill="FFFFFF"/>
        </w:rPr>
        <w:t>Health Policy and Technology</w:t>
      </w:r>
      <w:r>
        <w:rPr>
          <w:rFonts w:eastAsia="Calibri"/>
          <w:color w:val="222222"/>
          <w:sz w:val="24"/>
          <w:szCs w:val="24"/>
          <w:shd w:val="clear" w:color="auto" w:fill="FFFFFF"/>
        </w:rPr>
        <w:t>, </w:t>
      </w:r>
      <w:r>
        <w:rPr>
          <w:rFonts w:eastAsia="Calibri"/>
          <w:i/>
          <w:iCs/>
          <w:color w:val="222222"/>
          <w:sz w:val="24"/>
          <w:szCs w:val="24"/>
          <w:shd w:val="clear" w:color="auto" w:fill="FFFFFF"/>
        </w:rPr>
        <w:t>12</w:t>
      </w:r>
      <w:r>
        <w:rPr>
          <w:rFonts w:eastAsia="Calibri"/>
          <w:color w:val="222222"/>
          <w:sz w:val="24"/>
          <w:szCs w:val="24"/>
          <w:shd w:val="clear" w:color="auto" w:fill="FFFFFF"/>
        </w:rPr>
        <w:t>(2), 100741.</w:t>
      </w:r>
    </w:p>
    <w:p w14:paraId="687F066F">
      <w:pPr>
        <w:pStyle w:val="9"/>
        <w:spacing w:before="120" w:after="120" w:line="360" w:lineRule="auto"/>
        <w:ind w:left="567" w:hanging="567"/>
      </w:pPr>
      <w:r>
        <w:t>Aghaei,</w:t>
      </w:r>
      <w:r>
        <w:rPr>
          <w:spacing w:val="-4"/>
        </w:rPr>
        <w:t xml:space="preserve"> </w:t>
      </w:r>
      <w:r>
        <w:t>A.,</w:t>
      </w:r>
      <w:r>
        <w:rPr>
          <w:spacing w:val="-2"/>
        </w:rPr>
        <w:t xml:space="preserve"> </w:t>
      </w:r>
      <w:r>
        <w:t>Khayyamnekouei,</w:t>
      </w:r>
      <w:r>
        <w:rPr>
          <w:spacing w:val="-4"/>
        </w:rPr>
        <w:t xml:space="preserve"> </w:t>
      </w:r>
      <w:r>
        <w:t>Z.</w:t>
      </w:r>
      <w:r>
        <w:rPr>
          <w:spacing w:val="-2"/>
        </w:rPr>
        <w:t xml:space="preserve"> </w:t>
      </w:r>
      <w:r>
        <w:t>ve</w:t>
      </w:r>
      <w:r>
        <w:rPr>
          <w:spacing w:val="-5"/>
        </w:rPr>
        <w:t xml:space="preserve"> </w:t>
      </w:r>
      <w:r>
        <w:t>Yousefy,</w:t>
      </w:r>
      <w:r>
        <w:rPr>
          <w:spacing w:val="-4"/>
        </w:rPr>
        <w:t xml:space="preserve"> </w:t>
      </w:r>
      <w:r>
        <w:t>A.</w:t>
      </w:r>
      <w:r>
        <w:rPr>
          <w:spacing w:val="-3"/>
        </w:rPr>
        <w:t xml:space="preserve"> </w:t>
      </w:r>
      <w:r>
        <w:t>(2013).</w:t>
      </w:r>
      <w:r>
        <w:rPr>
          <w:spacing w:val="-4"/>
        </w:rPr>
        <w:t xml:space="preserve"> </w:t>
      </w:r>
      <w:r>
        <w:t>“General</w:t>
      </w:r>
      <w:r>
        <w:rPr>
          <w:spacing w:val="-4"/>
        </w:rPr>
        <w:t xml:space="preserve"> </w:t>
      </w:r>
      <w:r>
        <w:t>Health Prediction</w:t>
      </w:r>
      <w:r>
        <w:rPr>
          <w:spacing w:val="-4"/>
        </w:rPr>
        <w:t xml:space="preserve"> </w:t>
      </w:r>
      <w:r>
        <w:t>Based on</w:t>
      </w:r>
      <w:r>
        <w:rPr>
          <w:spacing w:val="-2"/>
        </w:rPr>
        <w:t xml:space="preserve"> </w:t>
      </w:r>
      <w:r>
        <w:t>Life</w:t>
      </w:r>
      <w:r>
        <w:rPr>
          <w:spacing w:val="-6"/>
        </w:rPr>
        <w:t xml:space="preserve"> </w:t>
      </w:r>
      <w:r>
        <w:t>Orientation,</w:t>
      </w:r>
      <w:r>
        <w:rPr>
          <w:spacing w:val="-4"/>
        </w:rPr>
        <w:t xml:space="preserve"> </w:t>
      </w:r>
      <w:r>
        <w:t>Quality</w:t>
      </w:r>
      <w:r>
        <w:rPr>
          <w:spacing w:val="-11"/>
        </w:rPr>
        <w:t xml:space="preserve"> </w:t>
      </w:r>
      <w:r>
        <w:t>of</w:t>
      </w:r>
      <w:r>
        <w:rPr>
          <w:spacing w:val="-3"/>
        </w:rPr>
        <w:t xml:space="preserve"> </w:t>
      </w:r>
      <w:r>
        <w:t>Life,</w:t>
      </w:r>
      <w:r>
        <w:rPr>
          <w:spacing w:val="-2"/>
        </w:rPr>
        <w:t xml:space="preserve"> </w:t>
      </w:r>
      <w:r>
        <w:t>Life</w:t>
      </w:r>
      <w:r>
        <w:rPr>
          <w:spacing w:val="-6"/>
        </w:rPr>
        <w:t xml:space="preserve"> </w:t>
      </w:r>
      <w:r>
        <w:t>Satisfaction</w:t>
      </w:r>
      <w:r>
        <w:rPr>
          <w:spacing w:val="-4"/>
        </w:rPr>
        <w:t xml:space="preserve"> </w:t>
      </w:r>
      <w:r>
        <w:t>and</w:t>
      </w:r>
      <w:r>
        <w:rPr>
          <w:spacing w:val="-4"/>
        </w:rPr>
        <w:t xml:space="preserve"> </w:t>
      </w:r>
      <w:r>
        <w:t>Age”,</w:t>
      </w:r>
      <w:r>
        <w:rPr>
          <w:spacing w:val="-4"/>
        </w:rPr>
        <w:t xml:space="preserve"> </w:t>
      </w:r>
      <w:r>
        <w:rPr>
          <w:i/>
        </w:rPr>
        <w:t>Procedia-</w:t>
      </w:r>
      <w:r>
        <w:rPr>
          <w:i/>
          <w:spacing w:val="-5"/>
        </w:rPr>
        <w:t xml:space="preserve"> </w:t>
      </w:r>
      <w:r>
        <w:rPr>
          <w:i/>
        </w:rPr>
        <w:t>Social and Behavioral Sciences,</w:t>
      </w:r>
      <w:r>
        <w:t xml:space="preserve"> 84, 569-573.</w:t>
      </w:r>
    </w:p>
    <w:p w14:paraId="1B964AA2">
      <w:pPr>
        <w:spacing w:before="120" w:after="120" w:line="360" w:lineRule="auto"/>
        <w:ind w:left="567" w:hanging="567"/>
        <w:jc w:val="both"/>
        <w:rPr>
          <w:sz w:val="24"/>
          <w:szCs w:val="24"/>
        </w:rPr>
      </w:pPr>
      <w:r>
        <w:rPr>
          <w:sz w:val="24"/>
          <w:szCs w:val="24"/>
        </w:rPr>
        <w:t>Aïm, F., Lonjon, G., Hannouche, D., &amp; Nizard, R. (2016). Effectiveness of virtual reality training in orthopaedic surgery.</w:t>
      </w:r>
      <w:r>
        <w:rPr>
          <w:spacing w:val="-3"/>
          <w:sz w:val="24"/>
          <w:szCs w:val="24"/>
        </w:rPr>
        <w:t xml:space="preserve"> </w:t>
      </w:r>
      <w:r>
        <w:rPr>
          <w:i/>
          <w:sz w:val="24"/>
          <w:szCs w:val="24"/>
        </w:rPr>
        <w:t>Arthroscopy: the journal of arthroscopic &amp; related surgery</w:t>
      </w:r>
      <w:r>
        <w:rPr>
          <w:sz w:val="24"/>
          <w:szCs w:val="24"/>
        </w:rPr>
        <w:t xml:space="preserve">, </w:t>
      </w:r>
      <w:r>
        <w:rPr>
          <w:i/>
          <w:sz w:val="24"/>
          <w:szCs w:val="24"/>
        </w:rPr>
        <w:t>32</w:t>
      </w:r>
      <w:r>
        <w:rPr>
          <w:sz w:val="24"/>
          <w:szCs w:val="24"/>
        </w:rPr>
        <w:t>(1), 224-232.</w:t>
      </w:r>
    </w:p>
    <w:p w14:paraId="262F0134">
      <w:pPr>
        <w:pStyle w:val="9"/>
        <w:spacing w:before="120" w:after="120" w:line="360" w:lineRule="auto"/>
        <w:ind w:left="567" w:hanging="567"/>
      </w:pPr>
      <w:r>
        <w:t>Ajzen,</w:t>
      </w:r>
      <w:r>
        <w:rPr>
          <w:spacing w:val="-6"/>
        </w:rPr>
        <w:t xml:space="preserve"> </w:t>
      </w:r>
      <w:r>
        <w:t>I.</w:t>
      </w:r>
      <w:r>
        <w:rPr>
          <w:spacing w:val="-6"/>
        </w:rPr>
        <w:t xml:space="preserve"> </w:t>
      </w:r>
      <w:r>
        <w:t>(2011).</w:t>
      </w:r>
      <w:r>
        <w:rPr>
          <w:spacing w:val="-9"/>
        </w:rPr>
        <w:t xml:space="preserve"> </w:t>
      </w:r>
      <w:r>
        <w:t>The</w:t>
      </w:r>
      <w:r>
        <w:rPr>
          <w:spacing w:val="-9"/>
        </w:rPr>
        <w:t xml:space="preserve"> </w:t>
      </w:r>
      <w:r>
        <w:t>theory</w:t>
      </w:r>
      <w:r>
        <w:rPr>
          <w:spacing w:val="-13"/>
        </w:rPr>
        <w:t xml:space="preserve"> </w:t>
      </w:r>
      <w:r>
        <w:t>of</w:t>
      </w:r>
      <w:r>
        <w:rPr>
          <w:spacing w:val="-9"/>
        </w:rPr>
        <w:t xml:space="preserve"> </w:t>
      </w:r>
      <w:r>
        <w:t>planned</w:t>
      </w:r>
      <w:r>
        <w:rPr>
          <w:spacing w:val="-8"/>
        </w:rPr>
        <w:t xml:space="preserve"> </w:t>
      </w:r>
      <w:r>
        <w:t>behaviour:</w:t>
      </w:r>
      <w:r>
        <w:rPr>
          <w:spacing w:val="-8"/>
        </w:rPr>
        <w:t xml:space="preserve"> </w:t>
      </w:r>
      <w:r>
        <w:t>Reactions</w:t>
      </w:r>
      <w:r>
        <w:rPr>
          <w:spacing w:val="-8"/>
        </w:rPr>
        <w:t xml:space="preserve"> </w:t>
      </w:r>
      <w:r>
        <w:t>and</w:t>
      </w:r>
      <w:r>
        <w:rPr>
          <w:spacing w:val="-8"/>
        </w:rPr>
        <w:t xml:space="preserve"> </w:t>
      </w:r>
      <w:r>
        <w:t>reflections.</w:t>
      </w:r>
      <w:r>
        <w:rPr>
          <w:spacing w:val="-8"/>
        </w:rPr>
        <w:t xml:space="preserve"> </w:t>
      </w:r>
      <w:r>
        <w:rPr>
          <w:i/>
        </w:rPr>
        <w:t>Psychology</w:t>
      </w:r>
      <w:r>
        <w:rPr>
          <w:i/>
          <w:spacing w:val="-11"/>
        </w:rPr>
        <w:t xml:space="preserve"> </w:t>
      </w:r>
      <w:r>
        <w:rPr>
          <w:i/>
        </w:rPr>
        <w:t>&amp; Health</w:t>
      </w:r>
      <w:r>
        <w:t>, 26(9), 1113-1127.</w:t>
      </w:r>
    </w:p>
    <w:p w14:paraId="73FE4E86">
      <w:pPr>
        <w:pStyle w:val="9"/>
        <w:spacing w:before="120" w:after="120" w:line="360" w:lineRule="auto"/>
        <w:ind w:left="567" w:hanging="567"/>
      </w:pPr>
      <w:r>
        <w:t>Akben,</w:t>
      </w:r>
      <w:r>
        <w:rPr>
          <w:spacing w:val="-11"/>
        </w:rPr>
        <w:t xml:space="preserve"> </w:t>
      </w:r>
      <w:r>
        <w:t>İ.</w:t>
      </w:r>
      <w:r>
        <w:rPr>
          <w:spacing w:val="-11"/>
        </w:rPr>
        <w:t xml:space="preserve"> </w:t>
      </w:r>
      <w:r>
        <w:t>(2018).</w:t>
      </w:r>
      <w:r>
        <w:rPr>
          <w:spacing w:val="-14"/>
        </w:rPr>
        <w:t xml:space="preserve"> </w:t>
      </w:r>
      <w:r>
        <w:t>“Endüstri</w:t>
      </w:r>
      <w:r>
        <w:rPr>
          <w:spacing w:val="-13"/>
        </w:rPr>
        <w:t xml:space="preserve"> </w:t>
      </w:r>
      <w:r>
        <w:t>4.0</w:t>
      </w:r>
      <w:r>
        <w:rPr>
          <w:spacing w:val="-13"/>
        </w:rPr>
        <w:t xml:space="preserve"> </w:t>
      </w:r>
      <w:r>
        <w:t>ve</w:t>
      </w:r>
      <w:r>
        <w:rPr>
          <w:spacing w:val="-14"/>
        </w:rPr>
        <w:t xml:space="preserve"> </w:t>
      </w:r>
      <w:r>
        <w:t>Karanlık</w:t>
      </w:r>
      <w:r>
        <w:rPr>
          <w:spacing w:val="-13"/>
        </w:rPr>
        <w:t xml:space="preserve"> </w:t>
      </w:r>
      <w:r>
        <w:t>Üretim:</w:t>
      </w:r>
      <w:r>
        <w:rPr>
          <w:spacing w:val="-12"/>
        </w:rPr>
        <w:t xml:space="preserve"> </w:t>
      </w:r>
      <w:r>
        <w:t>Genel</w:t>
      </w:r>
      <w:r>
        <w:rPr>
          <w:spacing w:val="-13"/>
        </w:rPr>
        <w:t xml:space="preserve"> </w:t>
      </w:r>
      <w:r>
        <w:t>Bir</w:t>
      </w:r>
      <w:r>
        <w:rPr>
          <w:spacing w:val="-11"/>
        </w:rPr>
        <w:t xml:space="preserve"> </w:t>
      </w:r>
      <w:r>
        <w:t>Bakış”,</w:t>
      </w:r>
      <w:r>
        <w:rPr>
          <w:spacing w:val="34"/>
        </w:rPr>
        <w:t xml:space="preserve"> </w:t>
      </w:r>
      <w:r>
        <w:rPr>
          <w:i/>
        </w:rPr>
        <w:t>Türk</w:t>
      </w:r>
      <w:r>
        <w:rPr>
          <w:i/>
          <w:spacing w:val="-13"/>
        </w:rPr>
        <w:t xml:space="preserve"> </w:t>
      </w:r>
      <w:r>
        <w:rPr>
          <w:i/>
        </w:rPr>
        <w:t>Sosyal</w:t>
      </w:r>
      <w:r>
        <w:rPr>
          <w:i/>
          <w:spacing w:val="-10"/>
        </w:rPr>
        <w:t xml:space="preserve"> </w:t>
      </w:r>
      <w:r>
        <w:rPr>
          <w:i/>
        </w:rPr>
        <w:t>Bilimler Araştırmaları Dergisi</w:t>
      </w:r>
      <w:r>
        <w:t>. Nisan 2018 Cilt:3 Sayı:1 Hasan Kalyoncu Üniversitesi Gaziantep, 27-37.</w:t>
      </w:r>
    </w:p>
    <w:p w14:paraId="2EC7B3E8">
      <w:pPr>
        <w:spacing w:before="120" w:after="120" w:line="360" w:lineRule="auto"/>
        <w:ind w:left="567" w:hanging="567"/>
        <w:jc w:val="both"/>
        <w:rPr>
          <w:sz w:val="24"/>
          <w:szCs w:val="24"/>
        </w:rPr>
      </w:pPr>
      <w:r>
        <w:rPr>
          <w:sz w:val="24"/>
          <w:szCs w:val="24"/>
        </w:rPr>
        <w:t>Akgül, B. M., Durhan, T. A., &amp; Türkmen, E. (2024). Dijital okuryazarlığın sanal rekreasyon etkinliklerine katılım sıklığına ve rekreasyon faydaya etkisi. </w:t>
      </w:r>
      <w:r>
        <w:rPr>
          <w:i/>
          <w:iCs/>
          <w:sz w:val="24"/>
          <w:szCs w:val="24"/>
        </w:rPr>
        <w:t>Tourism and Recreation</w:t>
      </w:r>
      <w:r>
        <w:rPr>
          <w:sz w:val="24"/>
          <w:szCs w:val="24"/>
        </w:rPr>
        <w:t>, </w:t>
      </w:r>
      <w:r>
        <w:rPr>
          <w:i/>
          <w:iCs/>
          <w:sz w:val="24"/>
          <w:szCs w:val="24"/>
        </w:rPr>
        <w:t>6</w:t>
      </w:r>
      <w:r>
        <w:rPr>
          <w:sz w:val="24"/>
          <w:szCs w:val="24"/>
        </w:rPr>
        <w:t>(1), 22-29.</w:t>
      </w:r>
    </w:p>
    <w:p w14:paraId="5833179A">
      <w:pPr>
        <w:pStyle w:val="9"/>
        <w:spacing w:before="120" w:after="120" w:line="360" w:lineRule="auto"/>
        <w:ind w:left="567" w:hanging="567"/>
      </w:pPr>
      <w:r>
        <w:t>Akgündüz, Y. (2013). “Konaklama İşletmelerinde İş Doyumu, Yaşam Doyumu ve Öz Yeterlilik</w:t>
      </w:r>
      <w:r>
        <w:rPr>
          <w:spacing w:val="-15"/>
        </w:rPr>
        <w:t xml:space="preserve"> </w:t>
      </w:r>
      <w:r>
        <w:t>Arasındaki</w:t>
      </w:r>
      <w:r>
        <w:rPr>
          <w:spacing w:val="-15"/>
        </w:rPr>
        <w:t xml:space="preserve"> </w:t>
      </w:r>
      <w:r>
        <w:t>İlişkinin</w:t>
      </w:r>
      <w:r>
        <w:rPr>
          <w:spacing w:val="-15"/>
        </w:rPr>
        <w:t xml:space="preserve"> </w:t>
      </w:r>
      <w:r>
        <w:t>Analizi”,</w:t>
      </w:r>
      <w:r>
        <w:rPr>
          <w:spacing w:val="-15"/>
        </w:rPr>
        <w:t xml:space="preserve"> </w:t>
      </w:r>
      <w:r>
        <w:rPr>
          <w:i/>
        </w:rPr>
        <w:t>CBÜ</w:t>
      </w:r>
      <w:r>
        <w:rPr>
          <w:i/>
          <w:spacing w:val="-15"/>
        </w:rPr>
        <w:t xml:space="preserve"> </w:t>
      </w:r>
      <w:r>
        <w:rPr>
          <w:i/>
        </w:rPr>
        <w:t>Sosyal</w:t>
      </w:r>
      <w:r>
        <w:rPr>
          <w:i/>
          <w:spacing w:val="-15"/>
        </w:rPr>
        <w:t xml:space="preserve"> </w:t>
      </w:r>
      <w:r>
        <w:rPr>
          <w:i/>
        </w:rPr>
        <w:t>Bilimler</w:t>
      </w:r>
      <w:r>
        <w:rPr>
          <w:i/>
          <w:spacing w:val="-15"/>
        </w:rPr>
        <w:t xml:space="preserve"> </w:t>
      </w:r>
      <w:r>
        <w:rPr>
          <w:i/>
        </w:rPr>
        <w:t>Dergisi</w:t>
      </w:r>
      <w:r>
        <w:t>,</w:t>
      </w:r>
      <w:r>
        <w:rPr>
          <w:spacing w:val="-15"/>
        </w:rPr>
        <w:t xml:space="preserve"> </w:t>
      </w:r>
      <w:r>
        <w:t>11(1),</w:t>
      </w:r>
      <w:r>
        <w:rPr>
          <w:spacing w:val="-15"/>
        </w:rPr>
        <w:t xml:space="preserve"> </w:t>
      </w:r>
      <w:r>
        <w:t xml:space="preserve">180- </w:t>
      </w:r>
      <w:r>
        <w:rPr>
          <w:spacing w:val="-4"/>
        </w:rPr>
        <w:t>204.</w:t>
      </w:r>
    </w:p>
    <w:p w14:paraId="183DDD65">
      <w:pPr>
        <w:widowControl/>
        <w:autoSpaceDE/>
        <w:autoSpaceDN/>
        <w:spacing w:before="120" w:after="120" w:line="360" w:lineRule="auto"/>
        <w:ind w:left="567" w:hanging="567"/>
        <w:jc w:val="both"/>
        <w:rPr>
          <w:rFonts w:eastAsia="Calibri"/>
          <w:color w:val="222222"/>
          <w:sz w:val="24"/>
          <w:szCs w:val="24"/>
          <w:shd w:val="clear" w:color="auto" w:fill="FFFFFF"/>
        </w:rPr>
      </w:pPr>
      <w:r>
        <w:rPr>
          <w:rFonts w:eastAsia="Calibri"/>
          <w:color w:val="222222"/>
          <w:sz w:val="24"/>
          <w:szCs w:val="24"/>
          <w:shd w:val="clear" w:color="auto" w:fill="FFFFFF"/>
        </w:rPr>
        <w:t>Akın, G. (2013). Yaşam kalitesinin artırılmasında antropometrinin önemi. </w:t>
      </w:r>
      <w:r>
        <w:rPr>
          <w:rFonts w:eastAsia="Calibri"/>
          <w:i/>
          <w:iCs/>
          <w:color w:val="222222"/>
          <w:sz w:val="24"/>
          <w:szCs w:val="24"/>
          <w:shd w:val="clear" w:color="auto" w:fill="FFFFFF"/>
        </w:rPr>
        <w:t>Antropoloji</w:t>
      </w:r>
      <w:r>
        <w:rPr>
          <w:rFonts w:eastAsia="Calibri"/>
          <w:color w:val="222222"/>
          <w:sz w:val="24"/>
          <w:szCs w:val="24"/>
          <w:shd w:val="clear" w:color="auto" w:fill="FFFFFF"/>
        </w:rPr>
        <w:t>, (26), 1-18.</w:t>
      </w:r>
    </w:p>
    <w:p w14:paraId="5CCBA499">
      <w:pPr>
        <w:pStyle w:val="9"/>
        <w:spacing w:before="120" w:after="120" w:line="360" w:lineRule="auto"/>
        <w:ind w:left="567" w:hanging="567"/>
      </w:pPr>
      <w:r>
        <w:t xml:space="preserve">Akoğlan Kozak, M. &amp; Özkeroğlu, Ö. (2018). </w:t>
      </w:r>
      <w:r>
        <w:rPr>
          <w:i/>
        </w:rPr>
        <w:t>Turizm ve Rekreasyon Kavramları: Sanal Bakış ile Değerlendirme</w:t>
      </w:r>
      <w:r>
        <w:t>, II. Uluslararası Sürdürülebilir Turizm Kongresi, 20-22 Eylül 2018, ss. 399-409, Gümüşhane.</w:t>
      </w:r>
    </w:p>
    <w:p w14:paraId="3E1E7FEF">
      <w:pPr>
        <w:pStyle w:val="9"/>
        <w:spacing w:before="120" w:after="120" w:line="360" w:lineRule="auto"/>
        <w:ind w:left="567" w:hanging="567"/>
      </w:pPr>
      <w:r>
        <w:t>Aksaçlıoğlu,</w:t>
      </w:r>
      <w:r>
        <w:rPr>
          <w:spacing w:val="-9"/>
        </w:rPr>
        <w:t xml:space="preserve"> </w:t>
      </w:r>
      <w:r>
        <w:t>A.</w:t>
      </w:r>
      <w:r>
        <w:rPr>
          <w:spacing w:val="-10"/>
        </w:rPr>
        <w:t xml:space="preserve"> </w:t>
      </w:r>
      <w:r>
        <w:t>G.</w:t>
      </w:r>
      <w:r>
        <w:rPr>
          <w:spacing w:val="-10"/>
        </w:rPr>
        <w:t xml:space="preserve"> </w:t>
      </w:r>
      <w:r>
        <w:t>ve</w:t>
      </w:r>
      <w:r>
        <w:rPr>
          <w:spacing w:val="-10"/>
        </w:rPr>
        <w:t xml:space="preserve"> </w:t>
      </w:r>
      <w:r>
        <w:t>Yılmaz,</w:t>
      </w:r>
      <w:r>
        <w:rPr>
          <w:spacing w:val="-9"/>
        </w:rPr>
        <w:t xml:space="preserve"> </w:t>
      </w:r>
      <w:r>
        <w:t>B.</w:t>
      </w:r>
      <w:r>
        <w:rPr>
          <w:spacing w:val="-9"/>
        </w:rPr>
        <w:t xml:space="preserve"> </w:t>
      </w:r>
      <w:r>
        <w:t>(2007).</w:t>
      </w:r>
      <w:r>
        <w:rPr>
          <w:spacing w:val="-10"/>
        </w:rPr>
        <w:t xml:space="preserve"> </w:t>
      </w:r>
      <w:r>
        <w:t>“Öğrencilerin</w:t>
      </w:r>
      <w:r>
        <w:rPr>
          <w:spacing w:val="-10"/>
        </w:rPr>
        <w:t xml:space="preserve"> </w:t>
      </w:r>
      <w:r>
        <w:t>Televizyon</w:t>
      </w:r>
      <w:r>
        <w:rPr>
          <w:spacing w:val="-7"/>
        </w:rPr>
        <w:t xml:space="preserve"> </w:t>
      </w:r>
      <w:r>
        <w:t>İzlemeleri</w:t>
      </w:r>
      <w:r>
        <w:rPr>
          <w:spacing w:val="-9"/>
        </w:rPr>
        <w:t xml:space="preserve"> </w:t>
      </w:r>
      <w:r>
        <w:t>ve</w:t>
      </w:r>
      <w:r>
        <w:rPr>
          <w:spacing w:val="-10"/>
        </w:rPr>
        <w:t xml:space="preserve"> </w:t>
      </w:r>
      <w:r>
        <w:t xml:space="preserve">Bilgisayar Kullanmalarının Okuma Alışkanlıkları Üzerine Etkisi”, </w:t>
      </w:r>
      <w:r>
        <w:rPr>
          <w:i/>
        </w:rPr>
        <w:t>Türk Kütüphaneciliği</w:t>
      </w:r>
      <w:r>
        <w:t>, 21(1), 3-28.</w:t>
      </w:r>
    </w:p>
    <w:p w14:paraId="5EA1EFD0">
      <w:pPr>
        <w:pStyle w:val="9"/>
        <w:spacing w:before="120" w:after="120" w:line="360" w:lineRule="auto"/>
        <w:ind w:left="567" w:hanging="567"/>
      </w:pPr>
      <w:r>
        <w:t>Aksungur, A. (2009). “</w:t>
      </w:r>
      <w:r>
        <w:rPr>
          <w:i/>
        </w:rPr>
        <w:t>Dr. Zekai Tahir Burak Kadın Sağlığı Eğitim ve Araştırma Hastanesinde Çalışan Ebe ve Hemşirelerin İş Doyumu ve Yaşam Kalitesi Düzeylerinin Belirlenmesi</w:t>
      </w:r>
      <w:r>
        <w:t>”, Hacettepe Üniversitesi Sağlık Bilimleri Enstitüsü Sağlık Yönetimi Programı, Yayınlanmamış Yüksek Lisans Tezi, Ankara</w:t>
      </w:r>
    </w:p>
    <w:p w14:paraId="52697A79">
      <w:pPr>
        <w:pStyle w:val="9"/>
        <w:spacing w:before="120" w:after="120" w:line="360" w:lineRule="auto"/>
        <w:ind w:left="567" w:hanging="567"/>
      </w:pPr>
      <w:r>
        <w:t xml:space="preserve">Akyıldız, M. (2015). Özel </w:t>
      </w:r>
      <w:r>
        <w:rPr>
          <w:i/>
        </w:rPr>
        <w:t>Gereksinimli Bireylere Yönelik Elektronik Boş Zaman Aktivitelerinin Psikososyal Etkilerine Yönelik Bir Proje</w:t>
      </w:r>
      <w:r>
        <w:t>. III. Rekreasyon Araştırmaları Kongresi, 5-7 Kasım 2015, Eskişehir. ss. 71-76.</w:t>
      </w:r>
    </w:p>
    <w:p w14:paraId="3EBA0514">
      <w:pPr>
        <w:pStyle w:val="9"/>
        <w:spacing w:before="120" w:after="120" w:line="360" w:lineRule="auto"/>
        <w:ind w:left="567" w:hanging="567"/>
      </w:pPr>
      <w:r>
        <w:t>Akyürek,</w:t>
      </w:r>
      <w:r>
        <w:rPr>
          <w:spacing w:val="-9"/>
        </w:rPr>
        <w:t xml:space="preserve"> </w:t>
      </w:r>
      <w:r>
        <w:t>S</w:t>
      </w:r>
      <w:r>
        <w:rPr>
          <w:spacing w:val="-9"/>
        </w:rPr>
        <w:t xml:space="preserve"> </w:t>
      </w:r>
      <w:r>
        <w:t>(2016),</w:t>
      </w:r>
      <w:r>
        <w:rPr>
          <w:spacing w:val="-8"/>
        </w:rPr>
        <w:t xml:space="preserve"> </w:t>
      </w:r>
      <w:r>
        <w:rPr>
          <w:i/>
        </w:rPr>
        <w:t>Rekreasyon</w:t>
      </w:r>
      <w:r>
        <w:rPr>
          <w:i/>
          <w:spacing w:val="-9"/>
        </w:rPr>
        <w:t xml:space="preserve"> </w:t>
      </w:r>
      <w:r>
        <w:rPr>
          <w:i/>
        </w:rPr>
        <w:t>Alan</w:t>
      </w:r>
      <w:r>
        <w:rPr>
          <w:i/>
          <w:spacing w:val="-7"/>
        </w:rPr>
        <w:t xml:space="preserve"> </w:t>
      </w:r>
      <w:r>
        <w:rPr>
          <w:i/>
        </w:rPr>
        <w:t>ve</w:t>
      </w:r>
      <w:r>
        <w:rPr>
          <w:i/>
          <w:spacing w:val="-8"/>
        </w:rPr>
        <w:t xml:space="preserve"> </w:t>
      </w:r>
      <w:r>
        <w:rPr>
          <w:i/>
        </w:rPr>
        <w:t>Faaliyetlerinin</w:t>
      </w:r>
      <w:r>
        <w:rPr>
          <w:i/>
          <w:spacing w:val="-9"/>
        </w:rPr>
        <w:t xml:space="preserve"> </w:t>
      </w:r>
      <w:r>
        <w:rPr>
          <w:i/>
        </w:rPr>
        <w:t>Yurt</w:t>
      </w:r>
      <w:r>
        <w:rPr>
          <w:i/>
          <w:spacing w:val="-7"/>
        </w:rPr>
        <w:t xml:space="preserve"> </w:t>
      </w:r>
      <w:r>
        <w:rPr>
          <w:i/>
        </w:rPr>
        <w:t>İçi</w:t>
      </w:r>
      <w:r>
        <w:rPr>
          <w:i/>
          <w:spacing w:val="-9"/>
        </w:rPr>
        <w:t xml:space="preserve"> </w:t>
      </w:r>
      <w:r>
        <w:rPr>
          <w:i/>
        </w:rPr>
        <w:t>Turizm</w:t>
      </w:r>
      <w:r>
        <w:rPr>
          <w:i/>
          <w:spacing w:val="-9"/>
        </w:rPr>
        <w:t xml:space="preserve"> </w:t>
      </w:r>
      <w:r>
        <w:rPr>
          <w:i/>
        </w:rPr>
        <w:t>Talebi</w:t>
      </w:r>
      <w:r>
        <w:rPr>
          <w:i/>
          <w:spacing w:val="-9"/>
        </w:rPr>
        <w:t xml:space="preserve"> </w:t>
      </w:r>
      <w:r>
        <w:rPr>
          <w:i/>
        </w:rPr>
        <w:t>ve</w:t>
      </w:r>
      <w:r>
        <w:rPr>
          <w:i/>
          <w:spacing w:val="-10"/>
        </w:rPr>
        <w:t xml:space="preserve"> </w:t>
      </w:r>
      <w:r>
        <w:rPr>
          <w:i/>
        </w:rPr>
        <w:t>Yeniden Ziyaret Etme Niyetine Etkisi: Bodrum Örneği, Yayımlanmamış</w:t>
      </w:r>
      <w:r>
        <w:t xml:space="preserve"> Yüksek Lisans Tezi, Balıkesir Üniversitesi Sosyal Bilimler Enstitüsü, Balıkesir.</w:t>
      </w:r>
    </w:p>
    <w:p w14:paraId="1736E6F6">
      <w:pPr>
        <w:pStyle w:val="9"/>
        <w:spacing w:before="120" w:after="120" w:line="360" w:lineRule="auto"/>
        <w:ind w:left="567" w:hanging="567"/>
      </w:pPr>
      <w:r>
        <w:t>Ali,</w:t>
      </w:r>
      <w:r>
        <w:rPr>
          <w:spacing w:val="-7"/>
        </w:rPr>
        <w:t xml:space="preserve"> </w:t>
      </w:r>
      <w:r>
        <w:t>J.,</w:t>
      </w:r>
      <w:r>
        <w:rPr>
          <w:spacing w:val="-7"/>
        </w:rPr>
        <w:t xml:space="preserve"> </w:t>
      </w:r>
      <w:r>
        <w:t>Marhemat,</w:t>
      </w:r>
      <w:r>
        <w:rPr>
          <w:spacing w:val="-7"/>
        </w:rPr>
        <w:t xml:space="preserve"> </w:t>
      </w:r>
      <w:r>
        <w:t>F.,</w:t>
      </w:r>
      <w:r>
        <w:rPr>
          <w:spacing w:val="-5"/>
        </w:rPr>
        <w:t xml:space="preserve"> </w:t>
      </w:r>
      <w:r>
        <w:t>Sara,</w:t>
      </w:r>
      <w:r>
        <w:rPr>
          <w:spacing w:val="-7"/>
        </w:rPr>
        <w:t xml:space="preserve"> </w:t>
      </w:r>
      <w:r>
        <w:t>J.,</w:t>
      </w:r>
      <w:r>
        <w:rPr>
          <w:spacing w:val="-7"/>
        </w:rPr>
        <w:t xml:space="preserve"> </w:t>
      </w:r>
      <w:r>
        <w:t>&amp;</w:t>
      </w:r>
      <w:r>
        <w:rPr>
          <w:spacing w:val="-9"/>
        </w:rPr>
        <w:t xml:space="preserve"> </w:t>
      </w:r>
      <w:r>
        <w:t>Hamid,</w:t>
      </w:r>
      <w:r>
        <w:rPr>
          <w:spacing w:val="-7"/>
        </w:rPr>
        <w:t xml:space="preserve"> </w:t>
      </w:r>
      <w:r>
        <w:t>H.</w:t>
      </w:r>
      <w:r>
        <w:rPr>
          <w:spacing w:val="-8"/>
        </w:rPr>
        <w:t xml:space="preserve"> </w:t>
      </w:r>
      <w:r>
        <w:t>(2015).</w:t>
      </w:r>
      <w:r>
        <w:rPr>
          <w:spacing w:val="-7"/>
        </w:rPr>
        <w:t xml:space="preserve"> </w:t>
      </w:r>
      <w:r>
        <w:t>The</w:t>
      </w:r>
      <w:r>
        <w:rPr>
          <w:spacing w:val="-8"/>
        </w:rPr>
        <w:t xml:space="preserve"> </w:t>
      </w:r>
      <w:r>
        <w:t>relationship</w:t>
      </w:r>
      <w:r>
        <w:rPr>
          <w:spacing w:val="-7"/>
        </w:rPr>
        <w:t xml:space="preserve"> </w:t>
      </w:r>
      <w:r>
        <w:t>between</w:t>
      </w:r>
      <w:r>
        <w:rPr>
          <w:spacing w:val="-7"/>
        </w:rPr>
        <w:t xml:space="preserve"> </w:t>
      </w:r>
      <w:r>
        <w:t>spiritual</w:t>
      </w:r>
      <w:r>
        <w:rPr>
          <w:spacing w:val="-7"/>
        </w:rPr>
        <w:t xml:space="preserve"> </w:t>
      </w:r>
      <w:r>
        <w:t xml:space="preserve">well- being and quality of life among elderly people. </w:t>
      </w:r>
      <w:r>
        <w:rPr>
          <w:i/>
        </w:rPr>
        <w:t>Holistic nursing practice</w:t>
      </w:r>
      <w:r>
        <w:t xml:space="preserve">, 29(3), </w:t>
      </w:r>
      <w:r>
        <w:rPr>
          <w:spacing w:val="-2"/>
        </w:rPr>
        <w:t>128-135.</w:t>
      </w:r>
    </w:p>
    <w:p w14:paraId="7342586B">
      <w:pPr>
        <w:pStyle w:val="9"/>
        <w:spacing w:before="120" w:after="120" w:line="360" w:lineRule="auto"/>
        <w:ind w:left="567" w:hanging="567"/>
      </w:pPr>
      <w:r>
        <w:t>Allen, W. and Ulichney, R. (2005, May). 47.4: Invited paper: Wobulation: Doubling the addressed resolution of projection displays. In SID Symposium Digest of Technical Papers (Vol. 36, No. 1, pp. 1514-1517). Oxford, UK: Blackwell Publishing Ltd.</w:t>
      </w:r>
    </w:p>
    <w:p w14:paraId="436F68A8">
      <w:pPr>
        <w:pStyle w:val="9"/>
        <w:spacing w:before="120" w:after="120" w:line="360" w:lineRule="auto"/>
        <w:ind w:left="567" w:hanging="567"/>
      </w:pPr>
      <w:r>
        <w:t xml:space="preserve">Alqahtanı, A. S., Daghestanı, L. F. Ve Ibrahım, L. F.: (2017). “Environments And System Types Of Virtual Reality Technology İn Stem: A Survey”, </w:t>
      </w:r>
      <w:r>
        <w:rPr>
          <w:i/>
        </w:rPr>
        <w:t xml:space="preserve">International Journal Of Advanced Computer Science And Applications </w:t>
      </w:r>
      <w:r>
        <w:t>(Ijacsa), 8(6), 77-89.</w:t>
      </w:r>
    </w:p>
    <w:p w14:paraId="3D60C792">
      <w:pPr>
        <w:widowControl/>
        <w:autoSpaceDE/>
        <w:autoSpaceDN/>
        <w:spacing w:before="120" w:after="120" w:line="360" w:lineRule="auto"/>
        <w:ind w:left="567" w:hanging="567"/>
        <w:jc w:val="both"/>
        <w:rPr>
          <w:rFonts w:eastAsia="Calibri"/>
          <w:color w:val="222222"/>
          <w:sz w:val="24"/>
          <w:szCs w:val="24"/>
          <w:shd w:val="clear" w:color="auto" w:fill="FFFFFF"/>
        </w:rPr>
      </w:pPr>
      <w:r>
        <w:rPr>
          <w:rFonts w:eastAsia="Calibri"/>
          <w:color w:val="222222"/>
          <w:sz w:val="24"/>
          <w:szCs w:val="24"/>
          <w:shd w:val="clear" w:color="auto" w:fill="FFFFFF"/>
        </w:rPr>
        <w:t>Altay, B., Çavuşoğlu, F., &amp; Çal, A. (2016). Yaşlıların sağlık algısı, yaşam kalitesi ve sağlıkla ilgili yaşam kalitesini etkileyen faktörler. </w:t>
      </w:r>
      <w:r>
        <w:rPr>
          <w:rFonts w:eastAsia="Calibri"/>
          <w:i/>
          <w:iCs/>
          <w:color w:val="222222"/>
          <w:sz w:val="24"/>
          <w:szCs w:val="24"/>
          <w:shd w:val="clear" w:color="auto" w:fill="FFFFFF"/>
        </w:rPr>
        <w:t>TAF Preventive Medicine Bulletin</w:t>
      </w:r>
      <w:r>
        <w:rPr>
          <w:rFonts w:eastAsia="Calibri"/>
          <w:color w:val="222222"/>
          <w:sz w:val="24"/>
          <w:szCs w:val="24"/>
          <w:shd w:val="clear" w:color="auto" w:fill="FFFFFF"/>
        </w:rPr>
        <w:t>, </w:t>
      </w:r>
      <w:r>
        <w:rPr>
          <w:rFonts w:eastAsia="Calibri"/>
          <w:i/>
          <w:iCs/>
          <w:color w:val="222222"/>
          <w:sz w:val="24"/>
          <w:szCs w:val="24"/>
          <w:shd w:val="clear" w:color="auto" w:fill="FFFFFF"/>
        </w:rPr>
        <w:t>15</w:t>
      </w:r>
      <w:r>
        <w:rPr>
          <w:rFonts w:eastAsia="Calibri"/>
          <w:color w:val="222222"/>
          <w:sz w:val="24"/>
          <w:szCs w:val="24"/>
          <w:shd w:val="clear" w:color="auto" w:fill="FFFFFF"/>
        </w:rPr>
        <w:t>(3), 181-189.</w:t>
      </w:r>
    </w:p>
    <w:p w14:paraId="7196C0EB">
      <w:pPr>
        <w:pStyle w:val="9"/>
        <w:spacing w:before="120" w:after="120" w:line="360" w:lineRule="auto"/>
        <w:ind w:left="567" w:hanging="567"/>
      </w:pPr>
      <w:r>
        <w:t>Altınörs, S. A. (2023). Bilinç Problemine Revonsuon’un Yaklaşımı. </w:t>
      </w:r>
      <w:r>
        <w:rPr>
          <w:i/>
        </w:rPr>
        <w:t>Uluslararası Toplumsal Bilimler Dergisi</w:t>
      </w:r>
      <w:r>
        <w:t>, 7(1), 22-38.</w:t>
      </w:r>
    </w:p>
    <w:p w14:paraId="1DEF8B6E">
      <w:pPr>
        <w:pStyle w:val="9"/>
        <w:spacing w:before="120" w:after="120" w:line="360" w:lineRule="auto"/>
        <w:ind w:left="567" w:hanging="567"/>
      </w:pPr>
      <w:r>
        <w:t>Arat,</w:t>
      </w:r>
      <w:r>
        <w:rPr>
          <w:spacing w:val="-9"/>
        </w:rPr>
        <w:t xml:space="preserve"> </w:t>
      </w:r>
      <w:r>
        <w:t>T.</w:t>
      </w:r>
      <w:r>
        <w:rPr>
          <w:spacing w:val="-10"/>
        </w:rPr>
        <w:t xml:space="preserve"> </w:t>
      </w:r>
      <w:r>
        <w:t>Ve</w:t>
      </w:r>
      <w:r>
        <w:rPr>
          <w:spacing w:val="-11"/>
        </w:rPr>
        <w:t xml:space="preserve"> </w:t>
      </w:r>
      <w:r>
        <w:t>Baltacıoğlu,</w:t>
      </w:r>
      <w:r>
        <w:rPr>
          <w:spacing w:val="-6"/>
        </w:rPr>
        <w:t xml:space="preserve"> </w:t>
      </w:r>
      <w:r>
        <w:t>S.:</w:t>
      </w:r>
      <w:r>
        <w:rPr>
          <w:spacing w:val="-9"/>
        </w:rPr>
        <w:t xml:space="preserve"> </w:t>
      </w:r>
      <w:r>
        <w:t>2016.</w:t>
      </w:r>
      <w:r>
        <w:rPr>
          <w:spacing w:val="-9"/>
        </w:rPr>
        <w:t xml:space="preserve"> </w:t>
      </w:r>
      <w:r>
        <w:t>“Sanal</w:t>
      </w:r>
      <w:r>
        <w:rPr>
          <w:spacing w:val="-9"/>
        </w:rPr>
        <w:t xml:space="preserve"> </w:t>
      </w:r>
      <w:r>
        <w:t>Gerçeklik</w:t>
      </w:r>
      <w:r>
        <w:rPr>
          <w:spacing w:val="-9"/>
        </w:rPr>
        <w:t xml:space="preserve"> </w:t>
      </w:r>
      <w:r>
        <w:t>Ve</w:t>
      </w:r>
      <w:r>
        <w:rPr>
          <w:spacing w:val="-11"/>
        </w:rPr>
        <w:t xml:space="preserve"> </w:t>
      </w:r>
      <w:r>
        <w:t>Turizm”,</w:t>
      </w:r>
      <w:r>
        <w:rPr>
          <w:spacing w:val="-10"/>
        </w:rPr>
        <w:t xml:space="preserve"> </w:t>
      </w:r>
      <w:r>
        <w:rPr>
          <w:i/>
        </w:rPr>
        <w:t>Selçuk</w:t>
      </w:r>
      <w:r>
        <w:rPr>
          <w:i/>
          <w:spacing w:val="-10"/>
        </w:rPr>
        <w:t xml:space="preserve"> </w:t>
      </w:r>
      <w:r>
        <w:rPr>
          <w:i/>
        </w:rPr>
        <w:t>Üniversitesi</w:t>
      </w:r>
      <w:r>
        <w:rPr>
          <w:i/>
          <w:spacing w:val="-9"/>
        </w:rPr>
        <w:t xml:space="preserve"> </w:t>
      </w:r>
      <w:r>
        <w:rPr>
          <w:i/>
        </w:rPr>
        <w:t>Sosyal Bilimler Meslek Yüksek Okulu Dergisi,</w:t>
      </w:r>
      <w:r>
        <w:t xml:space="preserve"> 19(1), 103-118.</w:t>
      </w:r>
    </w:p>
    <w:p w14:paraId="310DB03A">
      <w:pPr>
        <w:pStyle w:val="9"/>
        <w:spacing w:before="120" w:after="120" w:line="360" w:lineRule="auto"/>
        <w:ind w:left="567" w:hanging="567"/>
      </w:pPr>
      <w:r>
        <w:t xml:space="preserve">Ardahan, F. ve Lapa, T.Y. (2011), “Açık Alan Rekreasyonu: Bisiklet Kullanıcıları ve Yürüyüşçülerin Doğa Sporu Yapma Nedenleri ve Elde Ettikleri Faydalar”, </w:t>
      </w:r>
      <w:r>
        <w:rPr>
          <w:i/>
        </w:rPr>
        <w:t>Uluslararası İnsan Bilimleri Dergisi,</w:t>
      </w:r>
      <w:r>
        <w:t xml:space="preserve"> S. 8/1, s. 1327-1341.</w:t>
      </w:r>
    </w:p>
    <w:p w14:paraId="048AC01F">
      <w:pPr>
        <w:pStyle w:val="9"/>
        <w:spacing w:before="120" w:after="120" w:line="360" w:lineRule="auto"/>
        <w:ind w:left="567" w:hanging="567"/>
      </w:pPr>
      <w:r>
        <w:t>Ardahan,</w:t>
      </w:r>
      <w:r>
        <w:rPr>
          <w:spacing w:val="-7"/>
        </w:rPr>
        <w:t xml:space="preserve"> </w:t>
      </w:r>
      <w:r>
        <w:t>F.,</w:t>
      </w:r>
      <w:r>
        <w:rPr>
          <w:spacing w:val="-7"/>
        </w:rPr>
        <w:t xml:space="preserve"> </w:t>
      </w:r>
      <w:r>
        <w:t>Turgut,</w:t>
      </w:r>
      <w:r>
        <w:rPr>
          <w:spacing w:val="-7"/>
        </w:rPr>
        <w:t xml:space="preserve"> </w:t>
      </w:r>
      <w:r>
        <w:t>T.</w:t>
      </w:r>
      <w:r>
        <w:rPr>
          <w:spacing w:val="-8"/>
        </w:rPr>
        <w:t xml:space="preserve"> </w:t>
      </w:r>
      <w:r>
        <w:t>&amp;</w:t>
      </w:r>
      <w:r>
        <w:rPr>
          <w:spacing w:val="-8"/>
        </w:rPr>
        <w:t xml:space="preserve"> </w:t>
      </w:r>
      <w:r>
        <w:t>Kaplan</w:t>
      </w:r>
      <w:r>
        <w:rPr>
          <w:spacing w:val="-8"/>
        </w:rPr>
        <w:t xml:space="preserve"> </w:t>
      </w:r>
      <w:r>
        <w:t>Kalkan,</w:t>
      </w:r>
      <w:r>
        <w:rPr>
          <w:spacing w:val="-7"/>
        </w:rPr>
        <w:t xml:space="preserve"> </w:t>
      </w:r>
      <w:r>
        <w:t>A.</w:t>
      </w:r>
      <w:r>
        <w:rPr>
          <w:spacing w:val="-8"/>
        </w:rPr>
        <w:t xml:space="preserve"> </w:t>
      </w:r>
      <w:r>
        <w:t>(2016).</w:t>
      </w:r>
      <w:r>
        <w:rPr>
          <w:spacing w:val="-7"/>
        </w:rPr>
        <w:t xml:space="preserve"> </w:t>
      </w:r>
      <w:r>
        <w:rPr>
          <w:i/>
        </w:rPr>
        <w:t>Serbest</w:t>
      </w:r>
      <w:r>
        <w:rPr>
          <w:i/>
          <w:spacing w:val="-7"/>
        </w:rPr>
        <w:t xml:space="preserve"> </w:t>
      </w:r>
      <w:r>
        <w:rPr>
          <w:i/>
        </w:rPr>
        <w:t>Zaman</w:t>
      </w:r>
      <w:r>
        <w:rPr>
          <w:i/>
          <w:spacing w:val="-7"/>
        </w:rPr>
        <w:t xml:space="preserve"> </w:t>
      </w:r>
      <w:r>
        <w:rPr>
          <w:i/>
        </w:rPr>
        <w:t>ve</w:t>
      </w:r>
      <w:r>
        <w:rPr>
          <w:i/>
          <w:spacing w:val="-8"/>
        </w:rPr>
        <w:t xml:space="preserve"> </w:t>
      </w:r>
      <w:r>
        <w:rPr>
          <w:i/>
        </w:rPr>
        <w:t>Rekreasyon</w:t>
      </w:r>
      <w:r>
        <w:t>,</w:t>
      </w:r>
      <w:r>
        <w:rPr>
          <w:spacing w:val="-4"/>
        </w:rPr>
        <w:t xml:space="preserve"> </w:t>
      </w:r>
      <w:r>
        <w:rPr>
          <w:spacing w:val="-2"/>
        </w:rPr>
        <w:t>İçinde,</w:t>
      </w:r>
    </w:p>
    <w:p w14:paraId="72FD6943">
      <w:pPr>
        <w:pStyle w:val="9"/>
        <w:spacing w:before="120" w:after="120" w:line="360" w:lineRule="auto"/>
        <w:ind w:left="567" w:hanging="567"/>
      </w:pPr>
      <w:r>
        <w:t>Argan,</w:t>
      </w:r>
      <w:r>
        <w:rPr>
          <w:spacing w:val="-4"/>
        </w:rPr>
        <w:t xml:space="preserve"> </w:t>
      </w:r>
      <w:r>
        <w:t>M.</w:t>
      </w:r>
      <w:r>
        <w:rPr>
          <w:spacing w:val="-1"/>
        </w:rPr>
        <w:t xml:space="preserve"> </w:t>
      </w:r>
      <w:r>
        <w:t>(2007).</w:t>
      </w:r>
      <w:r>
        <w:rPr>
          <w:spacing w:val="1"/>
        </w:rPr>
        <w:t xml:space="preserve"> </w:t>
      </w:r>
      <w:r>
        <w:rPr>
          <w:i/>
        </w:rPr>
        <w:t>Eğlence</w:t>
      </w:r>
      <w:r>
        <w:rPr>
          <w:i/>
          <w:spacing w:val="-3"/>
        </w:rPr>
        <w:t xml:space="preserve"> </w:t>
      </w:r>
      <w:r>
        <w:rPr>
          <w:i/>
        </w:rPr>
        <w:t>Pazarlaması</w:t>
      </w:r>
      <w:r>
        <w:t>,</w:t>
      </w:r>
      <w:r>
        <w:rPr>
          <w:spacing w:val="-1"/>
        </w:rPr>
        <w:t xml:space="preserve"> </w:t>
      </w:r>
      <w:r>
        <w:t>Detay</w:t>
      </w:r>
      <w:r>
        <w:rPr>
          <w:spacing w:val="-6"/>
        </w:rPr>
        <w:t xml:space="preserve"> </w:t>
      </w:r>
      <w:r>
        <w:t>Yayıncılık,</w:t>
      </w:r>
      <w:r>
        <w:rPr>
          <w:spacing w:val="-1"/>
        </w:rPr>
        <w:t xml:space="preserve"> </w:t>
      </w:r>
      <w:r>
        <w:rPr>
          <w:spacing w:val="-2"/>
        </w:rPr>
        <w:t>Ankara.</w:t>
      </w:r>
    </w:p>
    <w:p w14:paraId="0DED26D2">
      <w:pPr>
        <w:pStyle w:val="9"/>
        <w:spacing w:before="120" w:after="120" w:line="360" w:lineRule="auto"/>
        <w:ind w:left="567" w:hanging="567"/>
      </w:pPr>
      <w:r>
        <w:t>Argan,</w:t>
      </w:r>
      <w:r>
        <w:rPr>
          <w:spacing w:val="-4"/>
        </w:rPr>
        <w:t xml:space="preserve"> </w:t>
      </w:r>
      <w:r>
        <w:t>M., &amp;</w:t>
      </w:r>
      <w:r>
        <w:rPr>
          <w:spacing w:val="-6"/>
        </w:rPr>
        <w:t xml:space="preserve"> </w:t>
      </w:r>
      <w:r>
        <w:t>Maksatbekova,</w:t>
      </w:r>
      <w:r>
        <w:rPr>
          <w:spacing w:val="-4"/>
        </w:rPr>
        <w:t xml:space="preserve"> </w:t>
      </w:r>
      <w:r>
        <w:t>A.</w:t>
      </w:r>
      <w:r>
        <w:rPr>
          <w:spacing w:val="-3"/>
        </w:rPr>
        <w:t xml:space="preserve"> </w:t>
      </w:r>
      <w:r>
        <w:t>(2019).</w:t>
      </w:r>
      <w:r>
        <w:rPr>
          <w:spacing w:val="-3"/>
        </w:rPr>
        <w:t xml:space="preserve"> </w:t>
      </w:r>
      <w:r>
        <w:rPr>
          <w:i/>
        </w:rPr>
        <w:t>Sanal</w:t>
      </w:r>
      <w:r>
        <w:rPr>
          <w:i/>
          <w:spacing w:val="-2"/>
        </w:rPr>
        <w:t xml:space="preserve"> </w:t>
      </w:r>
      <w:r>
        <w:rPr>
          <w:i/>
        </w:rPr>
        <w:t>gerçeklik</w:t>
      </w:r>
      <w:r>
        <w:rPr>
          <w:i/>
          <w:spacing w:val="-4"/>
        </w:rPr>
        <w:t xml:space="preserve"> </w:t>
      </w:r>
      <w:r>
        <w:rPr>
          <w:i/>
        </w:rPr>
        <w:t>oyunlarının</w:t>
      </w:r>
      <w:r>
        <w:rPr>
          <w:i/>
          <w:spacing w:val="-4"/>
        </w:rPr>
        <w:t xml:space="preserve"> </w:t>
      </w:r>
      <w:r>
        <w:rPr>
          <w:i/>
        </w:rPr>
        <w:t>dayanılmaz</w:t>
      </w:r>
      <w:r>
        <w:rPr>
          <w:i/>
          <w:spacing w:val="-3"/>
        </w:rPr>
        <w:t xml:space="preserve"> </w:t>
      </w:r>
      <w:r>
        <w:rPr>
          <w:i/>
        </w:rPr>
        <w:t>çekiciliği: zihnen, bedenen ve ruhen</w:t>
      </w:r>
      <w:r>
        <w:t xml:space="preserve"> (Master's thesis, Tez (yüksek lisans)-Anadolu </w:t>
      </w:r>
      <w:r>
        <w:rPr>
          <w:spacing w:val="-2"/>
        </w:rPr>
        <w:t>Üniversitesi).</w:t>
      </w:r>
    </w:p>
    <w:p w14:paraId="67014617">
      <w:pPr>
        <w:pStyle w:val="9"/>
        <w:spacing w:before="120" w:after="120" w:line="360" w:lineRule="auto"/>
        <w:ind w:left="567" w:hanging="567"/>
      </w:pPr>
      <w:r>
        <w:t xml:space="preserve">Arslantaş, D., Metintas, S., Ünsal, A. &amp; Kalyoncu, C. (2006). Quality of Life in Eskisehir Mahmudiye District Elderly. </w:t>
      </w:r>
      <w:r>
        <w:rPr>
          <w:i/>
        </w:rPr>
        <w:t>Osmangazi Medical Journal</w:t>
      </w:r>
      <w:r>
        <w:t>, 28(2), 81-89.</w:t>
      </w:r>
    </w:p>
    <w:p w14:paraId="24532A51">
      <w:pPr>
        <w:pStyle w:val="9"/>
        <w:tabs>
          <w:tab w:val="left" w:pos="4511"/>
          <w:tab w:val="left" w:pos="7562"/>
        </w:tabs>
        <w:spacing w:before="120" w:after="120" w:line="360" w:lineRule="auto"/>
        <w:ind w:left="567" w:hanging="567"/>
      </w:pPr>
      <w:r>
        <w:t xml:space="preserve">Aslan, D. (2009). </w:t>
      </w:r>
      <w:r>
        <w:rPr>
          <w:i/>
        </w:rPr>
        <w:t>Yaşlılık Döneminde Yaşam Kalitesi Kavramı: Kadın Sağlığı Bakışı</w:t>
      </w:r>
      <w:r>
        <w:t xml:space="preserve">, </w:t>
      </w:r>
      <w:r>
        <w:rPr>
          <w:spacing w:val="-2"/>
        </w:rPr>
        <w:t xml:space="preserve">YaşlananKadınSempozyumu, </w:t>
      </w:r>
      <w:r>
        <w:fldChar w:fldCharType="begin"/>
      </w:r>
      <w:r>
        <w:instrText xml:space="preserve"> HYPERLINK "http://www.huzurevleri.org.tr/docs/Yaslilik_Doneminde_Yasam_Kalitesi_Kavra" \h </w:instrText>
      </w:r>
      <w:r>
        <w:fldChar w:fldCharType="separate"/>
      </w:r>
      <w:r>
        <w:rPr>
          <w:spacing w:val="-2"/>
        </w:rPr>
        <w:t>http://www.huzurevleri.org.tr/docs/Yaslilik_Doneminde_Yasam_Kalitesi_Kavra</w:t>
      </w:r>
      <w:r>
        <w:rPr>
          <w:spacing w:val="-2"/>
        </w:rPr>
        <w:fldChar w:fldCharType="end"/>
      </w:r>
      <w:r>
        <w:rPr>
          <w:spacing w:val="-2"/>
        </w:rPr>
        <w:t xml:space="preserve"> mi.pdf</w:t>
      </w:r>
    </w:p>
    <w:p w14:paraId="73BB837A">
      <w:pPr>
        <w:pStyle w:val="9"/>
        <w:spacing w:before="120" w:after="120" w:line="360" w:lineRule="auto"/>
        <w:ind w:left="567" w:hanging="567"/>
      </w:pPr>
      <w:r>
        <w:t>Aslan,</w:t>
      </w:r>
      <w:r>
        <w:rPr>
          <w:spacing w:val="-2"/>
        </w:rPr>
        <w:t xml:space="preserve"> </w:t>
      </w:r>
      <w:r>
        <w:t>E.</w:t>
      </w:r>
      <w:r>
        <w:rPr>
          <w:spacing w:val="-2"/>
        </w:rPr>
        <w:t xml:space="preserve"> </w:t>
      </w:r>
      <w:r>
        <w:t>ve</w:t>
      </w:r>
      <w:r>
        <w:rPr>
          <w:spacing w:val="-4"/>
        </w:rPr>
        <w:t xml:space="preserve"> </w:t>
      </w:r>
      <w:r>
        <w:t>Tavşancıl,</w:t>
      </w:r>
      <w:r>
        <w:rPr>
          <w:spacing w:val="-2"/>
        </w:rPr>
        <w:t xml:space="preserve"> </w:t>
      </w:r>
      <w:r>
        <w:t>E.</w:t>
      </w:r>
      <w:r>
        <w:rPr>
          <w:spacing w:val="-2"/>
        </w:rPr>
        <w:t xml:space="preserve"> </w:t>
      </w:r>
      <w:r>
        <w:t>(2001).</w:t>
      </w:r>
      <w:r>
        <w:rPr>
          <w:spacing w:val="80"/>
        </w:rPr>
        <w:t xml:space="preserve"> </w:t>
      </w:r>
      <w:r>
        <w:rPr>
          <w:i/>
        </w:rPr>
        <w:t>İçerik</w:t>
      </w:r>
      <w:r>
        <w:rPr>
          <w:i/>
          <w:spacing w:val="40"/>
        </w:rPr>
        <w:t xml:space="preserve"> </w:t>
      </w:r>
      <w:r>
        <w:rPr>
          <w:i/>
        </w:rPr>
        <w:t>Analiz</w:t>
      </w:r>
      <w:r>
        <w:rPr>
          <w:i/>
          <w:spacing w:val="40"/>
        </w:rPr>
        <w:t xml:space="preserve"> </w:t>
      </w:r>
      <w:r>
        <w:rPr>
          <w:i/>
        </w:rPr>
        <w:t>ve</w:t>
      </w:r>
      <w:r>
        <w:rPr>
          <w:i/>
          <w:spacing w:val="40"/>
        </w:rPr>
        <w:t xml:space="preserve"> </w:t>
      </w:r>
      <w:r>
        <w:rPr>
          <w:i/>
        </w:rPr>
        <w:t>Uygulama</w:t>
      </w:r>
      <w:r>
        <w:rPr>
          <w:i/>
          <w:spacing w:val="40"/>
        </w:rPr>
        <w:t xml:space="preserve"> </w:t>
      </w:r>
      <w:r>
        <w:rPr>
          <w:i/>
        </w:rPr>
        <w:t>Örnekleri</w:t>
      </w:r>
      <w:r>
        <w:t>,</w:t>
      </w:r>
      <w:r>
        <w:rPr>
          <w:spacing w:val="40"/>
        </w:rPr>
        <w:t xml:space="preserve"> </w:t>
      </w:r>
      <w:r>
        <w:t>İstanbul, Epsilon Yayınları.</w:t>
      </w:r>
    </w:p>
    <w:p w14:paraId="4888DD7B">
      <w:pPr>
        <w:pStyle w:val="9"/>
        <w:spacing w:before="120" w:after="120" w:line="360" w:lineRule="auto"/>
        <w:ind w:left="567" w:hanging="567"/>
      </w:pPr>
      <w:r>
        <w:t xml:space="preserve">Aslan, N. ve Arslan Cansever, B. (2012). “Ergenlerin Boş Zaman Değerlendirme Algısı”, </w:t>
      </w:r>
      <w:r>
        <w:rPr>
          <w:i/>
        </w:rPr>
        <w:t>Hacettepe Üniversitesi Eğitim Fakültesi Dergisi</w:t>
      </w:r>
      <w:r>
        <w:t>, 42, 23-35.</w:t>
      </w:r>
    </w:p>
    <w:p w14:paraId="70D88376">
      <w:pPr>
        <w:pStyle w:val="9"/>
        <w:spacing w:before="120" w:after="120" w:line="360" w:lineRule="auto"/>
        <w:ind w:left="567" w:hanging="567"/>
      </w:pPr>
      <w:r>
        <w:t xml:space="preserve">Aşan, Ö. ve Erenler, E. (2008). “İş Tatmini ve Yaşam Tatmini İlişkisi”, </w:t>
      </w:r>
      <w:r>
        <w:rPr>
          <w:i/>
        </w:rPr>
        <w:t>Süleyman Demirel Üniversitesi İktisadi ve İdari Bilimler Fakültesi Dergisi</w:t>
      </w:r>
      <w:r>
        <w:t>, 13(2), 207-216</w:t>
      </w:r>
    </w:p>
    <w:p w14:paraId="65194A67">
      <w:pPr>
        <w:spacing w:before="120" w:after="120" w:line="360" w:lineRule="auto"/>
        <w:ind w:left="567" w:hanging="567"/>
        <w:jc w:val="both"/>
        <w:rPr>
          <w:sz w:val="24"/>
          <w:szCs w:val="24"/>
        </w:rPr>
      </w:pPr>
      <w:r>
        <w:rPr>
          <w:sz w:val="24"/>
          <w:szCs w:val="24"/>
        </w:rPr>
        <w:t>Atkinson, M., &amp; Kydd, C. (1997). Individual characteristics associated with World Wide Web</w:t>
      </w:r>
      <w:r>
        <w:rPr>
          <w:spacing w:val="-15"/>
          <w:sz w:val="24"/>
          <w:szCs w:val="24"/>
        </w:rPr>
        <w:t xml:space="preserve"> </w:t>
      </w:r>
      <w:r>
        <w:rPr>
          <w:sz w:val="24"/>
          <w:szCs w:val="24"/>
        </w:rPr>
        <w:t>use:</w:t>
      </w:r>
      <w:r>
        <w:rPr>
          <w:spacing w:val="-13"/>
          <w:sz w:val="24"/>
          <w:szCs w:val="24"/>
        </w:rPr>
        <w:t xml:space="preserve"> </w:t>
      </w:r>
      <w:r>
        <w:rPr>
          <w:sz w:val="24"/>
          <w:szCs w:val="24"/>
        </w:rPr>
        <w:t>an</w:t>
      </w:r>
      <w:r>
        <w:rPr>
          <w:spacing w:val="-13"/>
          <w:sz w:val="24"/>
          <w:szCs w:val="24"/>
        </w:rPr>
        <w:t xml:space="preserve"> </w:t>
      </w:r>
      <w:r>
        <w:rPr>
          <w:sz w:val="24"/>
          <w:szCs w:val="24"/>
        </w:rPr>
        <w:t>empirical</w:t>
      </w:r>
      <w:r>
        <w:rPr>
          <w:spacing w:val="-13"/>
          <w:sz w:val="24"/>
          <w:szCs w:val="24"/>
        </w:rPr>
        <w:t xml:space="preserve"> </w:t>
      </w:r>
      <w:r>
        <w:rPr>
          <w:sz w:val="24"/>
          <w:szCs w:val="24"/>
        </w:rPr>
        <w:t>study</w:t>
      </w:r>
      <w:r>
        <w:rPr>
          <w:spacing w:val="-15"/>
          <w:sz w:val="24"/>
          <w:szCs w:val="24"/>
        </w:rPr>
        <w:t xml:space="preserve"> </w:t>
      </w:r>
      <w:r>
        <w:rPr>
          <w:sz w:val="24"/>
          <w:szCs w:val="24"/>
        </w:rPr>
        <w:t>of</w:t>
      </w:r>
      <w:r>
        <w:rPr>
          <w:spacing w:val="-14"/>
          <w:sz w:val="24"/>
          <w:szCs w:val="24"/>
        </w:rPr>
        <w:t xml:space="preserve"> </w:t>
      </w:r>
      <w:r>
        <w:rPr>
          <w:sz w:val="24"/>
          <w:szCs w:val="24"/>
        </w:rPr>
        <w:t>playfulness</w:t>
      </w:r>
      <w:r>
        <w:rPr>
          <w:spacing w:val="-13"/>
          <w:sz w:val="24"/>
          <w:szCs w:val="24"/>
        </w:rPr>
        <w:t xml:space="preserve"> </w:t>
      </w:r>
      <w:r>
        <w:rPr>
          <w:sz w:val="24"/>
          <w:szCs w:val="24"/>
        </w:rPr>
        <w:t>and</w:t>
      </w:r>
      <w:r>
        <w:rPr>
          <w:spacing w:val="-13"/>
          <w:sz w:val="24"/>
          <w:szCs w:val="24"/>
        </w:rPr>
        <w:t xml:space="preserve"> </w:t>
      </w:r>
      <w:r>
        <w:rPr>
          <w:sz w:val="24"/>
          <w:szCs w:val="24"/>
        </w:rPr>
        <w:t>motivation.</w:t>
      </w:r>
      <w:r>
        <w:rPr>
          <w:spacing w:val="-9"/>
          <w:sz w:val="24"/>
          <w:szCs w:val="24"/>
        </w:rPr>
        <w:t xml:space="preserve"> </w:t>
      </w:r>
      <w:r>
        <w:rPr>
          <w:i/>
          <w:sz w:val="24"/>
          <w:szCs w:val="24"/>
        </w:rPr>
        <w:t>ACM</w:t>
      </w:r>
      <w:r>
        <w:rPr>
          <w:i/>
          <w:spacing w:val="-13"/>
          <w:sz w:val="24"/>
          <w:szCs w:val="24"/>
        </w:rPr>
        <w:t xml:space="preserve"> </w:t>
      </w:r>
      <w:r>
        <w:rPr>
          <w:i/>
          <w:sz w:val="24"/>
          <w:szCs w:val="24"/>
        </w:rPr>
        <w:t>SIGMIS</w:t>
      </w:r>
      <w:r>
        <w:rPr>
          <w:i/>
          <w:spacing w:val="-9"/>
          <w:sz w:val="24"/>
          <w:szCs w:val="24"/>
        </w:rPr>
        <w:t xml:space="preserve"> </w:t>
      </w:r>
      <w:r>
        <w:rPr>
          <w:i/>
          <w:sz w:val="24"/>
          <w:szCs w:val="24"/>
        </w:rPr>
        <w:t>Database: The DATABASE for Advances in Information Systems</w:t>
      </w:r>
      <w:r>
        <w:rPr>
          <w:sz w:val="24"/>
          <w:szCs w:val="24"/>
        </w:rPr>
        <w:t>, 28(2), 53-62.</w:t>
      </w:r>
      <w:r>
        <w:t xml:space="preserve"> </w:t>
      </w:r>
    </w:p>
    <w:p w14:paraId="60547DCD">
      <w:pPr>
        <w:pStyle w:val="9"/>
        <w:spacing w:before="120" w:after="120" w:line="360" w:lineRule="auto"/>
        <w:ind w:left="567" w:hanging="567"/>
      </w:pPr>
      <w:r>
        <w:t xml:space="preserve">Avcı, K. ve Pala, K. (2004). “Uludağ Üniversitesi Tıp Fakültesinde Çalışan Araştırma Görevlisi ve Uzman Doktorların Yaşam Kalitesinin Değerlendirilmesi”, </w:t>
      </w:r>
      <w:r>
        <w:rPr>
          <w:i/>
        </w:rPr>
        <w:t>Uludağ Üniversitesi Tıp Fakültesi Dergisi</w:t>
      </w:r>
      <w:r>
        <w:t>, 30(2), 81-85.</w:t>
      </w:r>
    </w:p>
    <w:p w14:paraId="7ACB8BF4">
      <w:pPr>
        <w:pStyle w:val="9"/>
        <w:spacing w:before="120" w:after="120" w:line="360" w:lineRule="auto"/>
        <w:ind w:left="567" w:hanging="567"/>
      </w:pPr>
      <w:r>
        <w:t>Avrupa</w:t>
      </w:r>
      <w:r>
        <w:rPr>
          <w:spacing w:val="-2"/>
        </w:rPr>
        <w:t xml:space="preserve"> </w:t>
      </w:r>
      <w:r>
        <w:t>Yaşam</w:t>
      </w:r>
      <w:r>
        <w:rPr>
          <w:spacing w:val="-1"/>
        </w:rPr>
        <w:t xml:space="preserve"> </w:t>
      </w:r>
      <w:r>
        <w:t>ve</w:t>
      </w:r>
      <w:r>
        <w:rPr>
          <w:spacing w:val="-2"/>
        </w:rPr>
        <w:t xml:space="preserve"> </w:t>
      </w:r>
      <w:r>
        <w:t>Çalışma</w:t>
      </w:r>
      <w:r>
        <w:rPr>
          <w:spacing w:val="-2"/>
        </w:rPr>
        <w:t xml:space="preserve"> </w:t>
      </w:r>
      <w:r>
        <w:t>Koşullarını İyileştirme</w:t>
      </w:r>
      <w:r>
        <w:rPr>
          <w:spacing w:val="-2"/>
        </w:rPr>
        <w:t xml:space="preserve"> </w:t>
      </w:r>
      <w:r>
        <w:t>Vakfı (2004).</w:t>
      </w:r>
      <w:r>
        <w:rPr>
          <w:spacing w:val="-2"/>
        </w:rPr>
        <w:t xml:space="preserve"> </w:t>
      </w:r>
      <w:r>
        <w:rPr>
          <w:i/>
        </w:rPr>
        <w:t>Quality</w:t>
      </w:r>
      <w:r>
        <w:rPr>
          <w:i/>
          <w:spacing w:val="-6"/>
        </w:rPr>
        <w:t xml:space="preserve"> </w:t>
      </w:r>
      <w:r>
        <w:rPr>
          <w:i/>
        </w:rPr>
        <w:t>of Life</w:t>
      </w:r>
      <w:r>
        <w:rPr>
          <w:i/>
          <w:spacing w:val="-3"/>
        </w:rPr>
        <w:t xml:space="preserve"> </w:t>
      </w:r>
      <w:r>
        <w:rPr>
          <w:i/>
        </w:rPr>
        <w:t>in</w:t>
      </w:r>
      <w:r>
        <w:rPr>
          <w:i/>
          <w:spacing w:val="-1"/>
        </w:rPr>
        <w:t xml:space="preserve"> </w:t>
      </w:r>
      <w:r>
        <w:rPr>
          <w:i/>
        </w:rPr>
        <w:t>Europe</w:t>
      </w:r>
      <w:r>
        <w:t>: an Illustrative Report, Dublin.</w:t>
      </w:r>
    </w:p>
    <w:p w14:paraId="337A62C0">
      <w:pPr>
        <w:pStyle w:val="9"/>
        <w:spacing w:before="120" w:after="120" w:line="360" w:lineRule="auto"/>
        <w:ind w:left="567" w:hanging="567"/>
      </w:pPr>
      <w:r>
        <w:t>Aydın,</w:t>
      </w:r>
      <w:r>
        <w:rPr>
          <w:spacing w:val="-3"/>
        </w:rPr>
        <w:t xml:space="preserve"> </w:t>
      </w:r>
      <w:r>
        <w:t>H.:</w:t>
      </w:r>
      <w:r>
        <w:rPr>
          <w:spacing w:val="-3"/>
        </w:rPr>
        <w:t xml:space="preserve"> </w:t>
      </w:r>
      <w:r>
        <w:t>2018.</w:t>
      </w:r>
      <w:r>
        <w:rPr>
          <w:spacing w:val="-3"/>
        </w:rPr>
        <w:t xml:space="preserve"> </w:t>
      </w:r>
      <w:r>
        <w:t>“</w:t>
      </w:r>
      <w:r>
        <w:rPr>
          <w:i/>
        </w:rPr>
        <w:t>Virtual</w:t>
      </w:r>
      <w:r>
        <w:rPr>
          <w:i/>
          <w:spacing w:val="-3"/>
        </w:rPr>
        <w:t xml:space="preserve"> </w:t>
      </w:r>
      <w:r>
        <w:rPr>
          <w:i/>
        </w:rPr>
        <w:t>Experiential</w:t>
      </w:r>
      <w:r>
        <w:rPr>
          <w:i/>
          <w:spacing w:val="-3"/>
        </w:rPr>
        <w:t xml:space="preserve"> </w:t>
      </w:r>
      <w:r>
        <w:rPr>
          <w:i/>
        </w:rPr>
        <w:t>Marketing</w:t>
      </w:r>
      <w:r>
        <w:rPr>
          <w:i/>
          <w:spacing w:val="-4"/>
        </w:rPr>
        <w:t xml:space="preserve"> </w:t>
      </w:r>
      <w:r>
        <w:rPr>
          <w:i/>
        </w:rPr>
        <w:t>in</w:t>
      </w:r>
      <w:r>
        <w:rPr>
          <w:i/>
          <w:spacing w:val="-3"/>
        </w:rPr>
        <w:t xml:space="preserve"> </w:t>
      </w:r>
      <w:r>
        <w:rPr>
          <w:i/>
        </w:rPr>
        <w:t>the</w:t>
      </w:r>
      <w:r>
        <w:rPr>
          <w:i/>
          <w:spacing w:val="-4"/>
        </w:rPr>
        <w:t xml:space="preserve"> </w:t>
      </w:r>
      <w:r>
        <w:rPr>
          <w:i/>
        </w:rPr>
        <w:t>Virtual</w:t>
      </w:r>
      <w:r>
        <w:rPr>
          <w:i/>
          <w:spacing w:val="-3"/>
        </w:rPr>
        <w:t xml:space="preserve"> </w:t>
      </w:r>
      <w:r>
        <w:rPr>
          <w:i/>
        </w:rPr>
        <w:t>World”,</w:t>
      </w:r>
      <w:r>
        <w:rPr>
          <w:i/>
          <w:spacing w:val="-3"/>
        </w:rPr>
        <w:t xml:space="preserve"> </w:t>
      </w:r>
      <w:r>
        <w:rPr>
          <w:i/>
        </w:rPr>
        <w:t>The</w:t>
      </w:r>
      <w:r>
        <w:rPr>
          <w:i/>
          <w:spacing w:val="-5"/>
        </w:rPr>
        <w:t xml:space="preserve"> </w:t>
      </w:r>
      <w:r>
        <w:rPr>
          <w:i/>
        </w:rPr>
        <w:t>Virtual</w:t>
      </w:r>
      <w:r>
        <w:rPr>
          <w:i/>
          <w:spacing w:val="-3"/>
        </w:rPr>
        <w:t xml:space="preserve"> </w:t>
      </w:r>
      <w:r>
        <w:rPr>
          <w:i/>
        </w:rPr>
        <w:t>World and Marketing</w:t>
      </w:r>
      <w:r>
        <w:t xml:space="preserve"> (ss. 153-168), Ed. Başar, E. E., Erciş, A., Ünal, S., Cambridge Scholars Publishing.</w:t>
      </w:r>
    </w:p>
    <w:p w14:paraId="7B320E53">
      <w:pPr>
        <w:pStyle w:val="9"/>
        <w:spacing w:before="120" w:after="120" w:line="360" w:lineRule="auto"/>
        <w:ind w:left="567" w:hanging="567"/>
      </w:pPr>
      <w:r>
        <w:t>Aydıner Boylu, A. (2007). “</w:t>
      </w:r>
      <w:r>
        <w:rPr>
          <w:i/>
        </w:rPr>
        <w:t>Ailelerin Yaşam Kalitelerini Etkileyen Bazı Objektif ve Sübjektif Göstergelerin İncelenmesi</w:t>
      </w:r>
      <w:r>
        <w:t>”, Bilimler Enstitüsü Aile ve Tüketici Bilimleri Anabilim Dalı Doktora Tezi, Ankara</w:t>
      </w:r>
    </w:p>
    <w:p w14:paraId="20E41A1E">
      <w:pPr>
        <w:pStyle w:val="9"/>
        <w:spacing w:before="120" w:after="120" w:line="360" w:lineRule="auto"/>
        <w:ind w:left="567" w:hanging="567"/>
      </w:pPr>
      <w:r>
        <w:t>Aydoğan, D., Yengin, D. ve Bayrak T. (2022).</w:t>
      </w:r>
      <w:r>
        <w:rPr>
          <w:spacing w:val="-1"/>
        </w:rPr>
        <w:t xml:space="preserve"> </w:t>
      </w:r>
      <w:r>
        <w:t xml:space="preserve">Sanatın hibrit gerçeklik alanı: “Metaverse”. yedi: </w:t>
      </w:r>
      <w:r>
        <w:rPr>
          <w:i/>
        </w:rPr>
        <w:t>Sanat, Tasarım ve Bilim Dergisi</w:t>
      </w:r>
      <w:r>
        <w:t>, 28, 53-66</w:t>
      </w:r>
    </w:p>
    <w:p w14:paraId="1B84C737">
      <w:pPr>
        <w:pStyle w:val="9"/>
        <w:spacing w:before="120" w:after="120" w:line="360" w:lineRule="auto"/>
        <w:ind w:left="567" w:hanging="567"/>
      </w:pPr>
      <w:r>
        <w:t>Aylan, F. K., &amp; Aylan, S. (2020). Sanal gerçeklik ve artırılmış gerçeklik uygulamalarının rekreatif faaliyetlere yansıması: dijital rekreasyon.</w:t>
      </w:r>
      <w:r>
        <w:rPr>
          <w:spacing w:val="-3"/>
        </w:rPr>
        <w:t xml:space="preserve"> </w:t>
      </w:r>
      <w:r>
        <w:rPr>
          <w:i/>
        </w:rPr>
        <w:t>Türk Turizm Araştırmaları Dergisi</w:t>
      </w:r>
      <w:r>
        <w:t xml:space="preserve">, </w:t>
      </w:r>
      <w:r>
        <w:rPr>
          <w:i/>
        </w:rPr>
        <w:t>4</w:t>
      </w:r>
      <w:r>
        <w:t>(3), 2746-2760.</w:t>
      </w:r>
    </w:p>
    <w:p w14:paraId="421C3F94">
      <w:pPr>
        <w:pStyle w:val="9"/>
        <w:spacing w:before="120" w:after="120" w:line="360" w:lineRule="auto"/>
        <w:ind w:left="567" w:hanging="567"/>
      </w:pPr>
      <w:r>
        <w:t xml:space="preserve">Aylan, F. K., &amp; Aylan, S. (2020). Sanal gerçeklik ve artırılmış gerçeklik uygulamalarının rekreatif faaliyetlere yansıması: dijital rekreasyon. </w:t>
      </w:r>
      <w:r>
        <w:rPr>
          <w:i/>
        </w:rPr>
        <w:t>Türk Turizm Araştırmaları Dergisi</w:t>
      </w:r>
      <w:r>
        <w:t xml:space="preserve">, </w:t>
      </w:r>
      <w:r>
        <w:rPr>
          <w:i/>
        </w:rPr>
        <w:t>4</w:t>
      </w:r>
      <w:r>
        <w:t>(3), 2746-2760.</w:t>
      </w:r>
    </w:p>
    <w:p w14:paraId="0C140625">
      <w:pPr>
        <w:pStyle w:val="9"/>
        <w:spacing w:before="120" w:after="120" w:line="360" w:lineRule="auto"/>
        <w:ind w:left="567" w:hanging="567"/>
      </w:pPr>
      <w:r>
        <w:t>Aytaç,</w:t>
      </w:r>
      <w:r>
        <w:rPr>
          <w:spacing w:val="-10"/>
        </w:rPr>
        <w:t xml:space="preserve"> </w:t>
      </w:r>
      <w:r>
        <w:t>Ö.</w:t>
      </w:r>
      <w:r>
        <w:rPr>
          <w:spacing w:val="-11"/>
        </w:rPr>
        <w:t xml:space="preserve"> </w:t>
      </w:r>
      <w:r>
        <w:t>(2004).</w:t>
      </w:r>
      <w:r>
        <w:rPr>
          <w:spacing w:val="-11"/>
        </w:rPr>
        <w:t xml:space="preserve"> </w:t>
      </w:r>
      <w:r>
        <w:t>Kapitalizm</w:t>
      </w:r>
      <w:r>
        <w:rPr>
          <w:spacing w:val="-10"/>
        </w:rPr>
        <w:t xml:space="preserve"> </w:t>
      </w:r>
      <w:r>
        <w:t>ve</w:t>
      </w:r>
      <w:r>
        <w:rPr>
          <w:spacing w:val="-11"/>
        </w:rPr>
        <w:t xml:space="preserve"> </w:t>
      </w:r>
      <w:r>
        <w:t>Hegemonya</w:t>
      </w:r>
      <w:r>
        <w:rPr>
          <w:spacing w:val="-6"/>
        </w:rPr>
        <w:t xml:space="preserve"> </w:t>
      </w:r>
      <w:r>
        <w:t>İlişkileri</w:t>
      </w:r>
      <w:r>
        <w:rPr>
          <w:spacing w:val="-10"/>
        </w:rPr>
        <w:t xml:space="preserve"> </w:t>
      </w:r>
      <w:r>
        <w:t>Bağlamında</w:t>
      </w:r>
      <w:r>
        <w:rPr>
          <w:spacing w:val="-11"/>
        </w:rPr>
        <w:t xml:space="preserve"> </w:t>
      </w:r>
      <w:r>
        <w:t>Boş</w:t>
      </w:r>
      <w:r>
        <w:rPr>
          <w:spacing w:val="-8"/>
        </w:rPr>
        <w:t xml:space="preserve"> </w:t>
      </w:r>
      <w:r>
        <w:t>Zaman,</w:t>
      </w:r>
      <w:r>
        <w:rPr>
          <w:spacing w:val="-10"/>
        </w:rPr>
        <w:t xml:space="preserve"> </w:t>
      </w:r>
      <w:r>
        <w:t>C.Ü.</w:t>
      </w:r>
      <w:r>
        <w:rPr>
          <w:spacing w:val="-11"/>
        </w:rPr>
        <w:t xml:space="preserve"> </w:t>
      </w:r>
      <w:r>
        <w:rPr>
          <w:i/>
        </w:rPr>
        <w:t>Sosyal Bilimler Dergisi</w:t>
      </w:r>
      <w:r>
        <w:t>, 28(2): 115-138.</w:t>
      </w:r>
    </w:p>
    <w:p w14:paraId="005C79A5">
      <w:pPr>
        <w:pStyle w:val="9"/>
        <w:spacing w:before="120" w:after="120" w:line="360" w:lineRule="auto"/>
        <w:ind w:left="567" w:hanging="567"/>
      </w:pPr>
      <w:r>
        <w:t>Bagozzi,</w:t>
      </w:r>
      <w:r>
        <w:rPr>
          <w:spacing w:val="-5"/>
        </w:rPr>
        <w:t xml:space="preserve"> </w:t>
      </w:r>
      <w:r>
        <w:t>R.</w:t>
      </w:r>
      <w:r>
        <w:rPr>
          <w:spacing w:val="-6"/>
        </w:rPr>
        <w:t xml:space="preserve"> </w:t>
      </w:r>
      <w:r>
        <w:t>P.</w:t>
      </w:r>
      <w:r>
        <w:rPr>
          <w:spacing w:val="-6"/>
        </w:rPr>
        <w:t xml:space="preserve"> </w:t>
      </w:r>
      <w:r>
        <w:t>(1982).</w:t>
      </w:r>
      <w:r>
        <w:rPr>
          <w:spacing w:val="-3"/>
        </w:rPr>
        <w:t xml:space="preserve"> </w:t>
      </w:r>
      <w:r>
        <w:t>A</w:t>
      </w:r>
      <w:r>
        <w:rPr>
          <w:spacing w:val="-5"/>
        </w:rPr>
        <w:t xml:space="preserve"> </w:t>
      </w:r>
      <w:r>
        <w:t>Field</w:t>
      </w:r>
      <w:r>
        <w:rPr>
          <w:spacing w:val="-3"/>
        </w:rPr>
        <w:t xml:space="preserve"> </w:t>
      </w:r>
      <w:r>
        <w:t>Investigation</w:t>
      </w:r>
      <w:r>
        <w:rPr>
          <w:spacing w:val="-6"/>
        </w:rPr>
        <w:t xml:space="preserve"> </w:t>
      </w:r>
      <w:r>
        <w:t>of</w:t>
      </w:r>
      <w:r>
        <w:rPr>
          <w:spacing w:val="-7"/>
        </w:rPr>
        <w:t xml:space="preserve"> </w:t>
      </w:r>
      <w:r>
        <w:t>Causal</w:t>
      </w:r>
      <w:r>
        <w:rPr>
          <w:spacing w:val="-5"/>
        </w:rPr>
        <w:t xml:space="preserve"> </w:t>
      </w:r>
      <w:r>
        <w:t>Relations</w:t>
      </w:r>
      <w:r>
        <w:rPr>
          <w:spacing w:val="-5"/>
        </w:rPr>
        <w:t xml:space="preserve"> </w:t>
      </w:r>
      <w:r>
        <w:t>among</w:t>
      </w:r>
      <w:r>
        <w:rPr>
          <w:spacing w:val="-8"/>
        </w:rPr>
        <w:t xml:space="preserve"> </w:t>
      </w:r>
      <w:r>
        <w:t>Cognitions,</w:t>
      </w:r>
      <w:r>
        <w:rPr>
          <w:spacing w:val="-5"/>
        </w:rPr>
        <w:t xml:space="preserve"> </w:t>
      </w:r>
      <w:r>
        <w:t>Affect, Intentions, and Behavior. Journal of Marketing Research, 19(4), 562-583.</w:t>
      </w:r>
    </w:p>
    <w:p w14:paraId="1E970E42">
      <w:pPr>
        <w:pStyle w:val="9"/>
        <w:spacing w:before="120" w:after="120" w:line="360" w:lineRule="auto"/>
        <w:ind w:left="567" w:hanging="567"/>
      </w:pPr>
      <w:r>
        <w:t>Bakar, N. (2012). “Yaşlı Bireylerde Depresyon, Yaşam Kalitesi ve Etkileyen Faktörler”, Erzincan Üniversitesi Sağlık Bilimleri Enstitüsü Hemşirelik Anabilim Dalı, Yayınlanmamış Yüksek Lisans Tezi, Erzincan.</w:t>
      </w:r>
    </w:p>
    <w:p w14:paraId="223A6C81">
      <w:pPr>
        <w:pStyle w:val="9"/>
        <w:spacing w:before="120" w:after="120" w:line="360" w:lineRule="auto"/>
        <w:ind w:left="567" w:hanging="567"/>
      </w:pPr>
      <w:r>
        <w:t>Bandura,</w:t>
      </w:r>
      <w:r>
        <w:rPr>
          <w:spacing w:val="50"/>
          <w:w w:val="150"/>
        </w:rPr>
        <w:t xml:space="preserve"> </w:t>
      </w:r>
      <w:r>
        <w:t>A.</w:t>
      </w:r>
      <w:r>
        <w:rPr>
          <w:spacing w:val="52"/>
          <w:w w:val="150"/>
        </w:rPr>
        <w:t xml:space="preserve"> </w:t>
      </w:r>
      <w:r>
        <w:t>(1977).</w:t>
      </w:r>
      <w:r>
        <w:rPr>
          <w:spacing w:val="52"/>
          <w:w w:val="150"/>
        </w:rPr>
        <w:t xml:space="preserve"> </w:t>
      </w:r>
      <w:r>
        <w:t>Self-efficacy:</w:t>
      </w:r>
      <w:r>
        <w:rPr>
          <w:spacing w:val="54"/>
          <w:w w:val="150"/>
        </w:rPr>
        <w:t xml:space="preserve"> </w:t>
      </w:r>
      <w:r>
        <w:t>Toward</w:t>
      </w:r>
      <w:r>
        <w:rPr>
          <w:spacing w:val="54"/>
          <w:w w:val="150"/>
        </w:rPr>
        <w:t xml:space="preserve"> </w:t>
      </w:r>
      <w:r>
        <w:t>a</w:t>
      </w:r>
      <w:r>
        <w:rPr>
          <w:spacing w:val="53"/>
          <w:w w:val="150"/>
        </w:rPr>
        <w:t xml:space="preserve"> </w:t>
      </w:r>
      <w:r>
        <w:t>unifying</w:t>
      </w:r>
      <w:r>
        <w:rPr>
          <w:spacing w:val="51"/>
          <w:w w:val="150"/>
        </w:rPr>
        <w:t xml:space="preserve"> </w:t>
      </w:r>
      <w:r>
        <w:t>theory</w:t>
      </w:r>
      <w:r>
        <w:rPr>
          <w:spacing w:val="77"/>
        </w:rPr>
        <w:t xml:space="preserve"> </w:t>
      </w:r>
      <w:r>
        <w:t>of</w:t>
      </w:r>
      <w:r>
        <w:rPr>
          <w:spacing w:val="52"/>
          <w:w w:val="150"/>
        </w:rPr>
        <w:t xml:space="preserve"> </w:t>
      </w:r>
      <w:r>
        <w:t>behavioral</w:t>
      </w:r>
      <w:r>
        <w:rPr>
          <w:spacing w:val="54"/>
          <w:w w:val="150"/>
        </w:rPr>
        <w:t xml:space="preserve"> </w:t>
      </w:r>
      <w:r>
        <w:rPr>
          <w:spacing w:val="-2"/>
        </w:rPr>
        <w:t>change.</w:t>
      </w:r>
    </w:p>
    <w:p w14:paraId="020FC6B3">
      <w:pPr>
        <w:pStyle w:val="9"/>
        <w:spacing w:before="120" w:after="120" w:line="360" w:lineRule="auto"/>
        <w:ind w:left="567" w:hanging="567"/>
      </w:pPr>
      <w:r>
        <w:t>Bayer, E. (1998), "Türkiye Meslek Yüksek Okulları Turizm Eğitimi Kalitesinin Geliştirilmesinde Sanal Yöntemlerin Rolü", Süleyman Demirel Üniversitesi, İktisadi ve İdari Bilimler Dergisi, sayı:3.</w:t>
      </w:r>
    </w:p>
    <w:p w14:paraId="1BA8E923">
      <w:pPr>
        <w:pStyle w:val="9"/>
        <w:spacing w:before="120" w:after="120" w:line="360" w:lineRule="auto"/>
        <w:ind w:left="567" w:hanging="567"/>
      </w:pPr>
      <w:r>
        <w:t>Bayraktar, E. ve Kaleli, F. (2007), "Sanal Gerçeklik ve Uygulama Alanları", Dumlupınar Üniversitesi, Akademik Bilişim Konferansları, Kütahya.</w:t>
      </w:r>
    </w:p>
    <w:p w14:paraId="049A7AA8">
      <w:pPr>
        <w:pStyle w:val="9"/>
        <w:spacing w:before="120" w:after="120" w:line="360" w:lineRule="auto"/>
        <w:ind w:left="567" w:hanging="567"/>
      </w:pPr>
      <w:r>
        <w:t>Berger, H.,</w:t>
      </w:r>
      <w:r>
        <w:rPr>
          <w:spacing w:val="-2"/>
        </w:rPr>
        <w:t xml:space="preserve"> </w:t>
      </w:r>
      <w:r>
        <w:t>Dıttenbach, M.,</w:t>
      </w:r>
      <w:r>
        <w:rPr>
          <w:spacing w:val="-1"/>
        </w:rPr>
        <w:t xml:space="preserve"> </w:t>
      </w:r>
      <w:r>
        <w:t>Merkl,</w:t>
      </w:r>
      <w:r>
        <w:rPr>
          <w:spacing w:val="-2"/>
        </w:rPr>
        <w:t xml:space="preserve"> </w:t>
      </w:r>
      <w:r>
        <w:t>D., Bogdanovych, A.,</w:t>
      </w:r>
      <w:r>
        <w:rPr>
          <w:spacing w:val="-2"/>
        </w:rPr>
        <w:t xml:space="preserve"> </w:t>
      </w:r>
      <w:r>
        <w:t>Sımoff,</w:t>
      </w:r>
      <w:r>
        <w:rPr>
          <w:spacing w:val="-1"/>
        </w:rPr>
        <w:t xml:space="preserve"> </w:t>
      </w:r>
      <w:r>
        <w:t>S.</w:t>
      </w:r>
      <w:r>
        <w:rPr>
          <w:spacing w:val="-1"/>
        </w:rPr>
        <w:t xml:space="preserve"> </w:t>
      </w:r>
      <w:r>
        <w:t>Ve Sıerra, C.</w:t>
      </w:r>
      <w:r>
        <w:rPr>
          <w:spacing w:val="-1"/>
        </w:rPr>
        <w:t xml:space="preserve"> </w:t>
      </w:r>
      <w:r>
        <w:t>(2007). : “Opening New Dimensions for E-Tourism”, Virtual Reality, 11(2-3), 75-87.</w:t>
      </w:r>
    </w:p>
    <w:p w14:paraId="5152998B">
      <w:pPr>
        <w:pStyle w:val="9"/>
        <w:spacing w:before="120" w:after="120" w:line="360" w:lineRule="auto"/>
        <w:ind w:left="567" w:hanging="567"/>
      </w:pPr>
      <w:r>
        <w:t>Berkman, L.</w:t>
      </w:r>
      <w:r>
        <w:rPr>
          <w:spacing w:val="-1"/>
        </w:rPr>
        <w:t xml:space="preserve"> </w:t>
      </w:r>
      <w:r>
        <w:t>F., &amp;</w:t>
      </w:r>
      <w:r>
        <w:rPr>
          <w:spacing w:val="-3"/>
        </w:rPr>
        <w:t xml:space="preserve"> </w:t>
      </w:r>
      <w:r>
        <w:t>Glass, T.</w:t>
      </w:r>
      <w:r>
        <w:rPr>
          <w:spacing w:val="-2"/>
        </w:rPr>
        <w:t xml:space="preserve"> </w:t>
      </w:r>
      <w:r>
        <w:t>(2000).</w:t>
      </w:r>
      <w:r>
        <w:rPr>
          <w:spacing w:val="-2"/>
        </w:rPr>
        <w:t xml:space="preserve"> </w:t>
      </w:r>
      <w:r>
        <w:t>Social</w:t>
      </w:r>
      <w:r>
        <w:rPr>
          <w:spacing w:val="-1"/>
        </w:rPr>
        <w:t xml:space="preserve"> </w:t>
      </w:r>
      <w:r>
        <w:t>integration,</w:t>
      </w:r>
      <w:r>
        <w:rPr>
          <w:spacing w:val="-1"/>
        </w:rPr>
        <w:t xml:space="preserve"> </w:t>
      </w:r>
      <w:r>
        <w:t>social</w:t>
      </w:r>
      <w:r>
        <w:rPr>
          <w:spacing w:val="-1"/>
        </w:rPr>
        <w:t xml:space="preserve"> </w:t>
      </w:r>
      <w:r>
        <w:t>networks,</w:t>
      </w:r>
      <w:r>
        <w:rPr>
          <w:spacing w:val="-1"/>
        </w:rPr>
        <w:t xml:space="preserve"> </w:t>
      </w:r>
      <w:r>
        <w:t>social</w:t>
      </w:r>
      <w:r>
        <w:rPr>
          <w:spacing w:val="-1"/>
        </w:rPr>
        <w:t xml:space="preserve"> </w:t>
      </w:r>
      <w:r>
        <w:t>support,</w:t>
      </w:r>
      <w:r>
        <w:rPr>
          <w:spacing w:val="-1"/>
        </w:rPr>
        <w:t xml:space="preserve"> </w:t>
      </w:r>
      <w:r>
        <w:t>and health. In L. F. Berkman &amp; I. Kawachi (Eds.), Social Epidemiology (pp. 137-173). Oxford University Press.</w:t>
      </w:r>
    </w:p>
    <w:p w14:paraId="4A22BBBB">
      <w:pPr>
        <w:pStyle w:val="9"/>
        <w:spacing w:before="120" w:after="120" w:line="360" w:lineRule="auto"/>
        <w:ind w:left="567" w:hanging="567"/>
      </w:pPr>
      <w:r>
        <w:t>Beşer N. ve Öz F. (2003) Kemoterapi Alan Lenfomalı Hastaların Anksiyete- Depresyon Düzeyleri Ve Yaşam Kalitesi. CÜ Hemşirelik Yüksek Okulu Dergisi 7(1):47-58.</w:t>
      </w:r>
    </w:p>
    <w:p w14:paraId="14C91630">
      <w:pPr>
        <w:pStyle w:val="9"/>
        <w:spacing w:before="120" w:after="120" w:line="360" w:lineRule="auto"/>
        <w:ind w:left="567" w:hanging="567"/>
      </w:pPr>
      <w:r>
        <w:t>Bilir, N., Özcebe, H., Vazioğlu, S. A., Aslan, D., Subaşı, N. ve Telatar, T. G. (2005). “Van İlinde</w:t>
      </w:r>
      <w:r>
        <w:rPr>
          <w:spacing w:val="-1"/>
        </w:rPr>
        <w:t xml:space="preserve"> </w:t>
      </w:r>
      <w:r>
        <w:t>15 Yaş Üzeri Erkeklerde</w:t>
      </w:r>
      <w:r>
        <w:rPr>
          <w:spacing w:val="-1"/>
        </w:rPr>
        <w:t xml:space="preserve"> </w:t>
      </w:r>
      <w:r>
        <w:t>SF-36 ile</w:t>
      </w:r>
      <w:r>
        <w:rPr>
          <w:spacing w:val="-1"/>
        </w:rPr>
        <w:t xml:space="preserve"> </w:t>
      </w:r>
      <w:r>
        <w:t>Yaşam Kalitesinin Değerlendirilmesi”, Türkiye Klinikleri Journal of Medical Sciences, 25, 663-668.</w:t>
      </w:r>
    </w:p>
    <w:p w14:paraId="4A2B8CFE">
      <w:pPr>
        <w:widowControl/>
        <w:autoSpaceDE/>
        <w:autoSpaceDN/>
        <w:spacing w:before="120" w:after="120" w:line="360" w:lineRule="auto"/>
        <w:ind w:left="567" w:hanging="567"/>
        <w:jc w:val="both"/>
        <w:rPr>
          <w:rFonts w:eastAsia="Calibri"/>
          <w:color w:val="222222"/>
          <w:sz w:val="24"/>
          <w:szCs w:val="24"/>
          <w:shd w:val="clear" w:color="auto" w:fill="FFFFFF"/>
        </w:rPr>
      </w:pPr>
      <w:r>
        <w:rPr>
          <w:rFonts w:eastAsia="Calibri"/>
          <w:color w:val="222222"/>
          <w:sz w:val="24"/>
          <w:szCs w:val="24"/>
          <w:shd w:val="clear" w:color="auto" w:fill="FFFFFF"/>
        </w:rPr>
        <w:t>Bishop, I. D., &amp; Gimblett, H. R. (2000). Management of recreational areas: GIS, autonomous agents, and virtual reality. </w:t>
      </w:r>
      <w:r>
        <w:rPr>
          <w:rFonts w:eastAsia="Calibri"/>
          <w:i/>
          <w:iCs/>
          <w:color w:val="222222"/>
          <w:sz w:val="24"/>
          <w:szCs w:val="24"/>
          <w:shd w:val="clear" w:color="auto" w:fill="FFFFFF"/>
        </w:rPr>
        <w:t>Environment and Planning B: Planning and Design</w:t>
      </w:r>
      <w:r>
        <w:rPr>
          <w:rFonts w:eastAsia="Calibri"/>
          <w:color w:val="222222"/>
          <w:sz w:val="24"/>
          <w:szCs w:val="24"/>
          <w:shd w:val="clear" w:color="auto" w:fill="FFFFFF"/>
        </w:rPr>
        <w:t>,</w:t>
      </w:r>
      <w:r>
        <w:rPr>
          <w:rFonts w:eastAsia="Calibri"/>
          <w:i/>
          <w:iCs/>
          <w:color w:val="222222"/>
          <w:sz w:val="24"/>
          <w:szCs w:val="24"/>
          <w:shd w:val="clear" w:color="auto" w:fill="FFFFFF"/>
        </w:rPr>
        <w:t>27</w:t>
      </w:r>
      <w:r>
        <w:rPr>
          <w:rFonts w:eastAsia="Calibri"/>
          <w:color w:val="222222"/>
          <w:sz w:val="24"/>
          <w:szCs w:val="24"/>
          <w:shd w:val="clear" w:color="auto" w:fill="FFFFFF"/>
        </w:rPr>
        <w:t>(3), 423-435.</w:t>
      </w:r>
    </w:p>
    <w:p w14:paraId="03B190F6">
      <w:pPr>
        <w:pStyle w:val="9"/>
        <w:spacing w:before="120" w:after="120" w:line="360" w:lineRule="auto"/>
        <w:ind w:left="567" w:hanging="567"/>
      </w:pPr>
      <w:r>
        <w:t>Bize,</w:t>
      </w:r>
      <w:r>
        <w:rPr>
          <w:spacing w:val="-15"/>
        </w:rPr>
        <w:t xml:space="preserve"> </w:t>
      </w:r>
      <w:r>
        <w:t>R.,</w:t>
      </w:r>
      <w:r>
        <w:rPr>
          <w:spacing w:val="-15"/>
        </w:rPr>
        <w:t xml:space="preserve"> </w:t>
      </w:r>
      <w:r>
        <w:t>Johnson,</w:t>
      </w:r>
      <w:r>
        <w:rPr>
          <w:spacing w:val="-13"/>
        </w:rPr>
        <w:t xml:space="preserve"> </w:t>
      </w:r>
      <w:r>
        <w:t>J.</w:t>
      </w:r>
      <w:r>
        <w:rPr>
          <w:spacing w:val="-14"/>
        </w:rPr>
        <w:t xml:space="preserve"> </w:t>
      </w:r>
      <w:r>
        <w:t>A.,</w:t>
      </w:r>
      <w:r>
        <w:rPr>
          <w:spacing w:val="-15"/>
        </w:rPr>
        <w:t xml:space="preserve"> </w:t>
      </w:r>
      <w:r>
        <w:t>&amp;</w:t>
      </w:r>
      <w:r>
        <w:rPr>
          <w:spacing w:val="-15"/>
        </w:rPr>
        <w:t xml:space="preserve"> </w:t>
      </w:r>
      <w:r>
        <w:t>Plotnikoff,</w:t>
      </w:r>
      <w:r>
        <w:rPr>
          <w:spacing w:val="-14"/>
        </w:rPr>
        <w:t xml:space="preserve"> </w:t>
      </w:r>
      <w:r>
        <w:t>R.</w:t>
      </w:r>
      <w:r>
        <w:rPr>
          <w:spacing w:val="-14"/>
        </w:rPr>
        <w:t xml:space="preserve"> </w:t>
      </w:r>
      <w:r>
        <w:t>C.</w:t>
      </w:r>
      <w:r>
        <w:rPr>
          <w:spacing w:val="-14"/>
        </w:rPr>
        <w:t xml:space="preserve"> </w:t>
      </w:r>
      <w:r>
        <w:t>(2007).</w:t>
      </w:r>
      <w:r>
        <w:rPr>
          <w:spacing w:val="-15"/>
        </w:rPr>
        <w:t xml:space="preserve"> </w:t>
      </w:r>
      <w:r>
        <w:t>Physical</w:t>
      </w:r>
      <w:r>
        <w:rPr>
          <w:spacing w:val="-14"/>
        </w:rPr>
        <w:t xml:space="preserve"> </w:t>
      </w:r>
      <w:r>
        <w:t>activity</w:t>
      </w:r>
      <w:r>
        <w:rPr>
          <w:spacing w:val="-15"/>
        </w:rPr>
        <w:t xml:space="preserve"> </w:t>
      </w:r>
      <w:r>
        <w:t>level</w:t>
      </w:r>
      <w:r>
        <w:rPr>
          <w:spacing w:val="-14"/>
        </w:rPr>
        <w:t xml:space="preserve"> </w:t>
      </w:r>
      <w:r>
        <w:t>and</w:t>
      </w:r>
      <w:r>
        <w:rPr>
          <w:spacing w:val="-14"/>
        </w:rPr>
        <w:t xml:space="preserve"> </w:t>
      </w:r>
      <w:r>
        <w:t>health-related quality of life in the general adult population: a systematic review. Preventive medicine, 45(6), 401-415.</w:t>
      </w:r>
    </w:p>
    <w:p w14:paraId="0C35E3BE">
      <w:pPr>
        <w:spacing w:before="120" w:after="120" w:line="360" w:lineRule="auto"/>
        <w:ind w:left="567" w:hanging="567"/>
        <w:jc w:val="both"/>
        <w:rPr>
          <w:sz w:val="24"/>
          <w:szCs w:val="24"/>
        </w:rPr>
      </w:pPr>
      <w:r>
        <w:rPr>
          <w:sz w:val="24"/>
          <w:szCs w:val="24"/>
        </w:rPr>
        <w:t xml:space="preserve">Bormann, K. (2016). Enhancing the sense of presence in virtual reality. </w:t>
      </w:r>
      <w:r>
        <w:rPr>
          <w:i/>
          <w:sz w:val="24"/>
          <w:szCs w:val="24"/>
        </w:rPr>
        <w:t>Journal of Visual Impairment &amp; Blindness</w:t>
      </w:r>
      <w:r>
        <w:rPr>
          <w:sz w:val="24"/>
          <w:szCs w:val="24"/>
        </w:rPr>
        <w:t>, 110(3), 191-201.</w:t>
      </w:r>
    </w:p>
    <w:p w14:paraId="458A3397">
      <w:pPr>
        <w:pStyle w:val="9"/>
        <w:spacing w:before="120" w:after="120" w:line="360" w:lineRule="auto"/>
        <w:ind w:left="567" w:hanging="567"/>
      </w:pPr>
      <w:r>
        <w:t>Bowling,</w:t>
      </w:r>
      <w:r>
        <w:rPr>
          <w:spacing w:val="-15"/>
        </w:rPr>
        <w:t xml:space="preserve"> </w:t>
      </w:r>
      <w:r>
        <w:t>A.,</w:t>
      </w:r>
      <w:r>
        <w:rPr>
          <w:spacing w:val="-15"/>
        </w:rPr>
        <w:t xml:space="preserve"> </w:t>
      </w:r>
      <w:r>
        <w:t>Measuring,</w:t>
      </w:r>
      <w:r>
        <w:rPr>
          <w:spacing w:val="-15"/>
        </w:rPr>
        <w:t xml:space="preserve"> </w:t>
      </w:r>
      <w:r>
        <w:t>A.,</w:t>
      </w:r>
      <w:r>
        <w:rPr>
          <w:spacing w:val="-15"/>
        </w:rPr>
        <w:t xml:space="preserve"> </w:t>
      </w:r>
      <w:r>
        <w:t>(1998).</w:t>
      </w:r>
      <w:r>
        <w:rPr>
          <w:spacing w:val="-15"/>
        </w:rPr>
        <w:t xml:space="preserve"> </w:t>
      </w:r>
      <w:r>
        <w:t>Review</w:t>
      </w:r>
      <w:r>
        <w:rPr>
          <w:spacing w:val="-15"/>
        </w:rPr>
        <w:t xml:space="preserve"> </w:t>
      </w:r>
      <w:r>
        <w:t>of</w:t>
      </w:r>
      <w:r>
        <w:rPr>
          <w:spacing w:val="-15"/>
        </w:rPr>
        <w:t xml:space="preserve"> </w:t>
      </w:r>
      <w:r>
        <w:t>Quality</w:t>
      </w:r>
      <w:r>
        <w:rPr>
          <w:spacing w:val="-17"/>
        </w:rPr>
        <w:t xml:space="preserve"> </w:t>
      </w:r>
      <w:r>
        <w:t>of</w:t>
      </w:r>
      <w:r>
        <w:rPr>
          <w:spacing w:val="-13"/>
        </w:rPr>
        <w:t xml:space="preserve"> </w:t>
      </w:r>
      <w:r>
        <w:t>Life</w:t>
      </w:r>
      <w:r>
        <w:rPr>
          <w:spacing w:val="-15"/>
        </w:rPr>
        <w:t xml:space="preserve"> </w:t>
      </w:r>
      <w:r>
        <w:t>Measurement</w:t>
      </w:r>
      <w:r>
        <w:rPr>
          <w:spacing w:val="-15"/>
        </w:rPr>
        <w:t xml:space="preserve"> </w:t>
      </w:r>
      <w:r>
        <w:t>Scales.</w:t>
      </w:r>
      <w:r>
        <w:rPr>
          <w:spacing w:val="-15"/>
        </w:rPr>
        <w:t xml:space="preserve"> </w:t>
      </w:r>
      <w:r>
        <w:t>Second edition. Buckingham, Open University Press, 1998</w:t>
      </w:r>
    </w:p>
    <w:p w14:paraId="39246EFA">
      <w:pPr>
        <w:pStyle w:val="9"/>
        <w:spacing w:before="120" w:after="120" w:line="360" w:lineRule="auto"/>
        <w:ind w:left="567" w:hanging="567"/>
      </w:pPr>
      <w:r>
        <w:t>Bowman,</w:t>
      </w:r>
      <w:r>
        <w:rPr>
          <w:spacing w:val="40"/>
        </w:rPr>
        <w:t xml:space="preserve"> </w:t>
      </w:r>
      <w:r>
        <w:t>D.</w:t>
      </w:r>
      <w:r>
        <w:rPr>
          <w:spacing w:val="40"/>
        </w:rPr>
        <w:t xml:space="preserve"> </w:t>
      </w:r>
      <w:r>
        <w:t>A.,</w:t>
      </w:r>
      <w:r>
        <w:rPr>
          <w:spacing w:val="40"/>
        </w:rPr>
        <w:t xml:space="preserve"> </w:t>
      </w:r>
      <w:r>
        <w:t>&amp;</w:t>
      </w:r>
      <w:r>
        <w:rPr>
          <w:spacing w:val="40"/>
        </w:rPr>
        <w:t xml:space="preserve"> </w:t>
      </w:r>
      <w:r>
        <w:t>McMahan,</w:t>
      </w:r>
      <w:r>
        <w:rPr>
          <w:spacing w:val="40"/>
        </w:rPr>
        <w:t xml:space="preserve"> </w:t>
      </w:r>
      <w:r>
        <w:t>R.</w:t>
      </w:r>
      <w:r>
        <w:rPr>
          <w:spacing w:val="40"/>
        </w:rPr>
        <w:t xml:space="preserve"> </w:t>
      </w:r>
      <w:r>
        <w:t>P.</w:t>
      </w:r>
      <w:r>
        <w:rPr>
          <w:spacing w:val="40"/>
        </w:rPr>
        <w:t xml:space="preserve"> </w:t>
      </w:r>
      <w:r>
        <w:t>(2007).</w:t>
      </w:r>
      <w:r>
        <w:rPr>
          <w:spacing w:val="40"/>
        </w:rPr>
        <w:t xml:space="preserve"> </w:t>
      </w:r>
      <w:r>
        <w:t>Virtual</w:t>
      </w:r>
      <w:r>
        <w:rPr>
          <w:spacing w:val="40"/>
        </w:rPr>
        <w:t xml:space="preserve"> </w:t>
      </w:r>
      <w:r>
        <w:t>reality:</w:t>
      </w:r>
      <w:r>
        <w:rPr>
          <w:spacing w:val="40"/>
        </w:rPr>
        <w:t xml:space="preserve"> </w:t>
      </w:r>
      <w:r>
        <w:t>How</w:t>
      </w:r>
      <w:r>
        <w:rPr>
          <w:spacing w:val="40"/>
        </w:rPr>
        <w:t xml:space="preserve"> </w:t>
      </w:r>
      <w:r>
        <w:t>much</w:t>
      </w:r>
      <w:r>
        <w:rPr>
          <w:spacing w:val="40"/>
        </w:rPr>
        <w:t xml:space="preserve"> </w:t>
      </w:r>
      <w:r>
        <w:t>immersion</w:t>
      </w:r>
      <w:r>
        <w:rPr>
          <w:spacing w:val="40"/>
        </w:rPr>
        <w:t xml:space="preserve"> </w:t>
      </w:r>
      <w:r>
        <w:t xml:space="preserve">is enough? </w:t>
      </w:r>
      <w:r>
        <w:rPr>
          <w:i/>
        </w:rPr>
        <w:t>Computer</w:t>
      </w:r>
      <w:r>
        <w:t>, 40(7), 36-43.</w:t>
      </w:r>
    </w:p>
    <w:p w14:paraId="75DA5D5E">
      <w:pPr>
        <w:pStyle w:val="9"/>
        <w:spacing w:before="120" w:after="120" w:line="360" w:lineRule="auto"/>
        <w:ind w:left="567" w:hanging="567"/>
      </w:pPr>
      <w:r>
        <w:t>Boylu, A. A., &amp; Öztop, H. (2013). Tek ebeveynli aileler: Sorunlar ve çözüm önerileri. Sosyoekonomi, 19(19).</w:t>
      </w:r>
    </w:p>
    <w:p w14:paraId="6440029B">
      <w:pPr>
        <w:widowControl/>
        <w:autoSpaceDE/>
        <w:autoSpaceDN/>
        <w:spacing w:before="120" w:after="120" w:line="360" w:lineRule="auto"/>
        <w:ind w:left="567" w:hanging="567"/>
        <w:jc w:val="both"/>
        <w:rPr>
          <w:rFonts w:eastAsia="Calibri"/>
          <w:color w:val="222222"/>
          <w:sz w:val="24"/>
          <w:szCs w:val="24"/>
          <w:shd w:val="clear" w:color="auto" w:fill="FFFFFF"/>
        </w:rPr>
      </w:pPr>
      <w:r>
        <w:rPr>
          <w:rFonts w:eastAsia="Calibri"/>
          <w:color w:val="222222"/>
          <w:sz w:val="24"/>
          <w:szCs w:val="24"/>
          <w:shd w:val="clear" w:color="auto" w:fill="FFFFFF"/>
        </w:rPr>
        <w:t>Boylu, A. A., &amp; Paçaçıoğlu, B. (2016). Yaşam kalitesi ve göstergeleri. </w:t>
      </w:r>
      <w:r>
        <w:rPr>
          <w:rFonts w:eastAsia="Calibri"/>
          <w:i/>
          <w:iCs/>
          <w:color w:val="222222"/>
          <w:sz w:val="24"/>
          <w:szCs w:val="24"/>
          <w:shd w:val="clear" w:color="auto" w:fill="FFFFFF"/>
        </w:rPr>
        <w:t>Akademik Araştırmalar ve Çalışmalar Dergisi (AKAD)</w:t>
      </w:r>
      <w:r>
        <w:rPr>
          <w:rFonts w:eastAsia="Calibri"/>
          <w:color w:val="222222"/>
          <w:sz w:val="24"/>
          <w:szCs w:val="24"/>
          <w:shd w:val="clear" w:color="auto" w:fill="FFFFFF"/>
        </w:rPr>
        <w:t>, </w:t>
      </w:r>
      <w:r>
        <w:rPr>
          <w:rFonts w:eastAsia="Calibri"/>
          <w:i/>
          <w:iCs/>
          <w:color w:val="222222"/>
          <w:sz w:val="24"/>
          <w:szCs w:val="24"/>
          <w:shd w:val="clear" w:color="auto" w:fill="FFFFFF"/>
        </w:rPr>
        <w:t>8</w:t>
      </w:r>
      <w:r>
        <w:rPr>
          <w:rFonts w:eastAsia="Calibri"/>
          <w:color w:val="222222"/>
          <w:sz w:val="24"/>
          <w:szCs w:val="24"/>
          <w:shd w:val="clear" w:color="auto" w:fill="FFFFFF"/>
        </w:rPr>
        <w:t>(15), 137-150.</w:t>
      </w:r>
    </w:p>
    <w:p w14:paraId="3218CD24">
      <w:pPr>
        <w:pStyle w:val="9"/>
        <w:spacing w:before="120" w:after="120" w:line="360" w:lineRule="auto"/>
        <w:ind w:left="567" w:hanging="567"/>
      </w:pPr>
      <w:r>
        <w:t>Browne, J., &amp; Zhang, J. (1999). Extended and virtual enterprises–similarities and differences. International journal of agile management systems, 1(1), 30-36.</w:t>
      </w:r>
    </w:p>
    <w:p w14:paraId="682F4B60">
      <w:pPr>
        <w:pStyle w:val="9"/>
        <w:spacing w:before="120" w:after="120" w:line="360" w:lineRule="auto"/>
        <w:ind w:left="567" w:hanging="567"/>
      </w:pPr>
      <w:r>
        <w:t>Burdea,</w:t>
      </w:r>
      <w:r>
        <w:rPr>
          <w:spacing w:val="-8"/>
        </w:rPr>
        <w:t xml:space="preserve"> </w:t>
      </w:r>
      <w:r>
        <w:t>G.</w:t>
      </w:r>
      <w:r>
        <w:rPr>
          <w:spacing w:val="-9"/>
        </w:rPr>
        <w:t xml:space="preserve"> </w:t>
      </w:r>
      <w:r>
        <w:t>C.</w:t>
      </w:r>
      <w:r>
        <w:rPr>
          <w:spacing w:val="-8"/>
        </w:rPr>
        <w:t xml:space="preserve"> </w:t>
      </w:r>
      <w:r>
        <w:t>Ve</w:t>
      </w:r>
      <w:r>
        <w:rPr>
          <w:spacing w:val="-10"/>
        </w:rPr>
        <w:t xml:space="preserve"> </w:t>
      </w:r>
      <w:r>
        <w:t>Coıffet,</w:t>
      </w:r>
      <w:r>
        <w:rPr>
          <w:spacing w:val="-6"/>
        </w:rPr>
        <w:t xml:space="preserve"> </w:t>
      </w:r>
      <w:r>
        <w:t>P.:</w:t>
      </w:r>
      <w:r>
        <w:rPr>
          <w:spacing w:val="-8"/>
        </w:rPr>
        <w:t xml:space="preserve"> </w:t>
      </w:r>
      <w:r>
        <w:t>2003.</w:t>
      </w:r>
      <w:r>
        <w:rPr>
          <w:spacing w:val="-8"/>
        </w:rPr>
        <w:t xml:space="preserve"> </w:t>
      </w:r>
      <w:r>
        <w:t>Virtual</w:t>
      </w:r>
      <w:r>
        <w:rPr>
          <w:spacing w:val="-10"/>
        </w:rPr>
        <w:t xml:space="preserve"> </w:t>
      </w:r>
      <w:r>
        <w:t>Reality</w:t>
      </w:r>
      <w:r>
        <w:rPr>
          <w:spacing w:val="-13"/>
        </w:rPr>
        <w:t xml:space="preserve"> </w:t>
      </w:r>
      <w:r>
        <w:t>Technology,</w:t>
      </w:r>
      <w:r>
        <w:rPr>
          <w:spacing w:val="-8"/>
        </w:rPr>
        <w:t xml:space="preserve"> </w:t>
      </w:r>
      <w:r>
        <w:t>(2nd</w:t>
      </w:r>
      <w:r>
        <w:rPr>
          <w:spacing w:val="-9"/>
        </w:rPr>
        <w:t xml:space="preserve"> </w:t>
      </w:r>
      <w:r>
        <w:t>Edition)</w:t>
      </w:r>
      <w:r>
        <w:rPr>
          <w:spacing w:val="-9"/>
        </w:rPr>
        <w:t xml:space="preserve"> </w:t>
      </w:r>
      <w:r>
        <w:t>Hoboken,</w:t>
      </w:r>
      <w:r>
        <w:rPr>
          <w:spacing w:val="-8"/>
        </w:rPr>
        <w:t xml:space="preserve"> </w:t>
      </w:r>
      <w:r>
        <w:t xml:space="preserve">Nj, </w:t>
      </w:r>
      <w:r>
        <w:rPr>
          <w:spacing w:val="-2"/>
        </w:rPr>
        <w:t>Wiley-Interscience.</w:t>
      </w:r>
    </w:p>
    <w:p w14:paraId="5479A253">
      <w:pPr>
        <w:spacing w:before="120" w:after="120" w:line="360" w:lineRule="auto"/>
        <w:ind w:left="567" w:hanging="567"/>
        <w:jc w:val="both"/>
        <w:rPr>
          <w:sz w:val="24"/>
          <w:szCs w:val="24"/>
        </w:rPr>
      </w:pPr>
      <w:r>
        <w:rPr>
          <w:sz w:val="24"/>
          <w:szCs w:val="24"/>
        </w:rPr>
        <w:t>Büyüköztürk,</w:t>
      </w:r>
      <w:r>
        <w:rPr>
          <w:spacing w:val="-15"/>
          <w:sz w:val="24"/>
          <w:szCs w:val="24"/>
        </w:rPr>
        <w:t xml:space="preserve"> </w:t>
      </w:r>
      <w:r>
        <w:rPr>
          <w:sz w:val="24"/>
          <w:szCs w:val="24"/>
        </w:rPr>
        <w:t>Ş.</w:t>
      </w:r>
      <w:r>
        <w:rPr>
          <w:spacing w:val="-15"/>
          <w:sz w:val="24"/>
          <w:szCs w:val="24"/>
        </w:rPr>
        <w:t xml:space="preserve"> </w:t>
      </w:r>
      <w:r>
        <w:rPr>
          <w:sz w:val="24"/>
          <w:szCs w:val="24"/>
        </w:rPr>
        <w:t>(2024).</w:t>
      </w:r>
      <w:r>
        <w:rPr>
          <w:spacing w:val="-15"/>
          <w:sz w:val="24"/>
          <w:szCs w:val="24"/>
        </w:rPr>
        <w:t xml:space="preserve"> </w:t>
      </w:r>
      <w:r>
        <w:rPr>
          <w:i/>
          <w:sz w:val="24"/>
          <w:szCs w:val="24"/>
        </w:rPr>
        <w:t>Sosyal</w:t>
      </w:r>
      <w:r>
        <w:rPr>
          <w:i/>
          <w:spacing w:val="-15"/>
          <w:sz w:val="24"/>
          <w:szCs w:val="24"/>
        </w:rPr>
        <w:t xml:space="preserve"> </w:t>
      </w:r>
      <w:r>
        <w:rPr>
          <w:i/>
          <w:sz w:val="24"/>
          <w:szCs w:val="24"/>
        </w:rPr>
        <w:t>bilimler</w:t>
      </w:r>
      <w:r>
        <w:rPr>
          <w:i/>
          <w:spacing w:val="-15"/>
          <w:sz w:val="24"/>
          <w:szCs w:val="24"/>
        </w:rPr>
        <w:t xml:space="preserve"> </w:t>
      </w:r>
      <w:r>
        <w:rPr>
          <w:i/>
          <w:sz w:val="24"/>
          <w:szCs w:val="24"/>
        </w:rPr>
        <w:t>için</w:t>
      </w:r>
      <w:r>
        <w:rPr>
          <w:i/>
          <w:spacing w:val="-15"/>
          <w:sz w:val="24"/>
          <w:szCs w:val="24"/>
        </w:rPr>
        <w:t xml:space="preserve"> </w:t>
      </w:r>
      <w:r>
        <w:rPr>
          <w:i/>
          <w:sz w:val="24"/>
          <w:szCs w:val="24"/>
        </w:rPr>
        <w:t>veri</w:t>
      </w:r>
      <w:r>
        <w:rPr>
          <w:i/>
          <w:spacing w:val="-15"/>
          <w:sz w:val="24"/>
          <w:szCs w:val="24"/>
        </w:rPr>
        <w:t xml:space="preserve"> </w:t>
      </w:r>
      <w:r>
        <w:rPr>
          <w:i/>
          <w:sz w:val="24"/>
          <w:szCs w:val="24"/>
        </w:rPr>
        <w:t>analizi</w:t>
      </w:r>
      <w:r>
        <w:rPr>
          <w:i/>
          <w:spacing w:val="-15"/>
          <w:sz w:val="24"/>
          <w:szCs w:val="24"/>
        </w:rPr>
        <w:t xml:space="preserve"> </w:t>
      </w:r>
      <w:r>
        <w:rPr>
          <w:i/>
          <w:sz w:val="24"/>
          <w:szCs w:val="24"/>
        </w:rPr>
        <w:t>el</w:t>
      </w:r>
      <w:r>
        <w:rPr>
          <w:i/>
          <w:spacing w:val="-15"/>
          <w:sz w:val="24"/>
          <w:szCs w:val="24"/>
        </w:rPr>
        <w:t xml:space="preserve"> </w:t>
      </w:r>
      <w:r>
        <w:rPr>
          <w:i/>
          <w:sz w:val="24"/>
          <w:szCs w:val="24"/>
        </w:rPr>
        <w:t>kitabı:</w:t>
      </w:r>
      <w:r>
        <w:rPr>
          <w:i/>
          <w:spacing w:val="-15"/>
          <w:sz w:val="24"/>
          <w:szCs w:val="24"/>
        </w:rPr>
        <w:t xml:space="preserve"> </w:t>
      </w:r>
      <w:r>
        <w:rPr>
          <w:i/>
          <w:sz w:val="24"/>
          <w:szCs w:val="24"/>
        </w:rPr>
        <w:t>İstatistik,</w:t>
      </w:r>
      <w:r>
        <w:rPr>
          <w:i/>
          <w:spacing w:val="-15"/>
          <w:sz w:val="24"/>
          <w:szCs w:val="24"/>
        </w:rPr>
        <w:t xml:space="preserve"> </w:t>
      </w:r>
      <w:r>
        <w:rPr>
          <w:i/>
          <w:sz w:val="24"/>
          <w:szCs w:val="24"/>
        </w:rPr>
        <w:t>araştırma</w:t>
      </w:r>
      <w:r>
        <w:rPr>
          <w:i/>
          <w:spacing w:val="-15"/>
          <w:sz w:val="24"/>
          <w:szCs w:val="24"/>
        </w:rPr>
        <w:t xml:space="preserve"> </w:t>
      </w:r>
      <w:r>
        <w:rPr>
          <w:i/>
          <w:sz w:val="24"/>
          <w:szCs w:val="24"/>
        </w:rPr>
        <w:t xml:space="preserve">deseni SPSS uygulamaları ve yorum </w:t>
      </w:r>
      <w:r>
        <w:rPr>
          <w:sz w:val="24"/>
          <w:szCs w:val="24"/>
        </w:rPr>
        <w:t>(31. baskı). Pegem Akademi Yayıncılık.</w:t>
      </w:r>
    </w:p>
    <w:p w14:paraId="41CE8560">
      <w:pPr>
        <w:widowControl/>
        <w:autoSpaceDE/>
        <w:autoSpaceDN/>
        <w:spacing w:before="120" w:after="120" w:line="360" w:lineRule="auto"/>
        <w:ind w:left="567" w:hanging="567"/>
        <w:jc w:val="both"/>
        <w:rPr>
          <w:rFonts w:eastAsia="Calibri"/>
          <w:color w:val="222222"/>
          <w:sz w:val="24"/>
          <w:szCs w:val="24"/>
          <w:shd w:val="clear" w:color="auto" w:fill="FFFFFF"/>
        </w:rPr>
      </w:pPr>
      <w:r>
        <w:rPr>
          <w:rFonts w:eastAsia="Calibri"/>
          <w:color w:val="222222"/>
          <w:sz w:val="24"/>
          <w:szCs w:val="24"/>
          <w:shd w:val="clear" w:color="auto" w:fill="FFFFFF"/>
        </w:rPr>
        <w:t>Caneday, L. (1992). Outdoor recreation: a virtual reality.</w:t>
      </w:r>
    </w:p>
    <w:p w14:paraId="35404288">
      <w:pPr>
        <w:spacing w:before="120" w:after="120" w:line="360" w:lineRule="auto"/>
        <w:ind w:left="567" w:hanging="567"/>
        <w:jc w:val="both"/>
        <w:rPr>
          <w:sz w:val="24"/>
          <w:szCs w:val="24"/>
        </w:rPr>
      </w:pPr>
      <w:r>
        <w:rPr>
          <w:sz w:val="24"/>
          <w:szCs w:val="24"/>
        </w:rPr>
        <w:t>Carmigniani,</w:t>
      </w:r>
      <w:r>
        <w:rPr>
          <w:spacing w:val="75"/>
          <w:sz w:val="24"/>
          <w:szCs w:val="24"/>
        </w:rPr>
        <w:t xml:space="preserve"> </w:t>
      </w:r>
      <w:r>
        <w:rPr>
          <w:sz w:val="24"/>
          <w:szCs w:val="24"/>
        </w:rPr>
        <w:t>J.,</w:t>
      </w:r>
      <w:r>
        <w:rPr>
          <w:spacing w:val="75"/>
          <w:sz w:val="24"/>
          <w:szCs w:val="24"/>
        </w:rPr>
        <w:t xml:space="preserve"> </w:t>
      </w:r>
      <w:r>
        <w:rPr>
          <w:sz w:val="24"/>
          <w:szCs w:val="24"/>
        </w:rPr>
        <w:t>&amp;</w:t>
      </w:r>
      <w:r>
        <w:rPr>
          <w:spacing w:val="76"/>
          <w:sz w:val="24"/>
          <w:szCs w:val="24"/>
        </w:rPr>
        <w:t xml:space="preserve"> </w:t>
      </w:r>
      <w:r>
        <w:rPr>
          <w:sz w:val="24"/>
          <w:szCs w:val="24"/>
        </w:rPr>
        <w:t>Furht,</w:t>
      </w:r>
      <w:r>
        <w:rPr>
          <w:spacing w:val="76"/>
          <w:sz w:val="24"/>
          <w:szCs w:val="24"/>
        </w:rPr>
        <w:t xml:space="preserve"> </w:t>
      </w:r>
      <w:r>
        <w:rPr>
          <w:sz w:val="24"/>
          <w:szCs w:val="24"/>
        </w:rPr>
        <w:t>B.</w:t>
      </w:r>
      <w:r>
        <w:rPr>
          <w:spacing w:val="75"/>
          <w:sz w:val="24"/>
          <w:szCs w:val="24"/>
        </w:rPr>
        <w:t xml:space="preserve"> </w:t>
      </w:r>
      <w:r>
        <w:rPr>
          <w:sz w:val="24"/>
          <w:szCs w:val="24"/>
        </w:rPr>
        <w:t>(2011).</w:t>
      </w:r>
      <w:r>
        <w:rPr>
          <w:spacing w:val="75"/>
          <w:sz w:val="24"/>
          <w:szCs w:val="24"/>
        </w:rPr>
        <w:t xml:space="preserve"> </w:t>
      </w:r>
      <w:r>
        <w:rPr>
          <w:sz w:val="24"/>
          <w:szCs w:val="24"/>
        </w:rPr>
        <w:t>Augmented</w:t>
      </w:r>
      <w:r>
        <w:rPr>
          <w:spacing w:val="75"/>
          <w:sz w:val="24"/>
          <w:szCs w:val="24"/>
        </w:rPr>
        <w:t xml:space="preserve"> </w:t>
      </w:r>
      <w:r>
        <w:rPr>
          <w:sz w:val="24"/>
          <w:szCs w:val="24"/>
        </w:rPr>
        <w:t>reality:</w:t>
      </w:r>
      <w:r>
        <w:rPr>
          <w:spacing w:val="76"/>
          <w:sz w:val="24"/>
          <w:szCs w:val="24"/>
        </w:rPr>
        <w:t xml:space="preserve"> </w:t>
      </w:r>
      <w:r>
        <w:rPr>
          <w:sz w:val="24"/>
          <w:szCs w:val="24"/>
        </w:rPr>
        <w:t>an</w:t>
      </w:r>
      <w:r>
        <w:rPr>
          <w:spacing w:val="75"/>
          <w:sz w:val="24"/>
          <w:szCs w:val="24"/>
        </w:rPr>
        <w:t xml:space="preserve"> </w:t>
      </w:r>
      <w:r>
        <w:rPr>
          <w:sz w:val="24"/>
          <w:szCs w:val="24"/>
        </w:rPr>
        <w:t xml:space="preserve">overview. </w:t>
      </w:r>
      <w:r>
        <w:rPr>
          <w:i/>
          <w:sz w:val="24"/>
          <w:szCs w:val="24"/>
        </w:rPr>
        <w:t>Handbook</w:t>
      </w:r>
      <w:r>
        <w:rPr>
          <w:i/>
          <w:spacing w:val="74"/>
          <w:sz w:val="24"/>
          <w:szCs w:val="24"/>
        </w:rPr>
        <w:t xml:space="preserve"> </w:t>
      </w:r>
      <w:r>
        <w:rPr>
          <w:i/>
          <w:sz w:val="24"/>
          <w:szCs w:val="24"/>
        </w:rPr>
        <w:t>of augmented reality</w:t>
      </w:r>
      <w:r>
        <w:rPr>
          <w:sz w:val="24"/>
          <w:szCs w:val="24"/>
        </w:rPr>
        <w:t>, 3-46.</w:t>
      </w:r>
    </w:p>
    <w:p w14:paraId="2340BDA5">
      <w:pPr>
        <w:pStyle w:val="9"/>
        <w:spacing w:before="120" w:after="120" w:line="360" w:lineRule="auto"/>
        <w:ind w:left="567" w:hanging="567"/>
      </w:pPr>
      <w:r>
        <w:t xml:space="preserve">Carr AJ, Higginson IJ. (2001). Are quality of life measures patient centred? BMJ. Jun </w:t>
      </w:r>
      <w:r>
        <w:rPr>
          <w:spacing w:val="-2"/>
        </w:rPr>
        <w:t>2;322(7298):1357-60.</w:t>
      </w:r>
    </w:p>
    <w:p w14:paraId="1FFE7816">
      <w:pPr>
        <w:pStyle w:val="9"/>
        <w:spacing w:before="120" w:after="120" w:line="360" w:lineRule="auto"/>
        <w:ind w:left="567" w:hanging="567"/>
      </w:pPr>
      <w:r>
        <w:t>Cartwright,</w:t>
      </w:r>
      <w:r>
        <w:rPr>
          <w:spacing w:val="-8"/>
        </w:rPr>
        <w:t xml:space="preserve"> </w:t>
      </w:r>
      <w:r>
        <w:t>S.</w:t>
      </w:r>
      <w:r>
        <w:rPr>
          <w:spacing w:val="-8"/>
        </w:rPr>
        <w:t xml:space="preserve"> </w:t>
      </w:r>
      <w:r>
        <w:t>(2018).</w:t>
      </w:r>
      <w:r>
        <w:rPr>
          <w:spacing w:val="-9"/>
        </w:rPr>
        <w:t xml:space="preserve"> </w:t>
      </w:r>
      <w:r>
        <w:t>Secure</w:t>
      </w:r>
      <w:r>
        <w:rPr>
          <w:spacing w:val="-10"/>
        </w:rPr>
        <w:t xml:space="preserve"> </w:t>
      </w:r>
      <w:r>
        <w:t>Collaboration</w:t>
      </w:r>
      <w:r>
        <w:rPr>
          <w:spacing w:val="-8"/>
        </w:rPr>
        <w:t xml:space="preserve"> </w:t>
      </w:r>
      <w:r>
        <w:t>Across</w:t>
      </w:r>
      <w:r>
        <w:rPr>
          <w:spacing w:val="-8"/>
        </w:rPr>
        <w:t xml:space="preserve"> </w:t>
      </w:r>
      <w:r>
        <w:t>the</w:t>
      </w:r>
      <w:r>
        <w:rPr>
          <w:spacing w:val="-9"/>
        </w:rPr>
        <w:t xml:space="preserve"> </w:t>
      </w:r>
      <w:r>
        <w:t>Reality-Virtuality</w:t>
      </w:r>
      <w:r>
        <w:rPr>
          <w:spacing w:val="-13"/>
        </w:rPr>
        <w:t xml:space="preserve"> </w:t>
      </w:r>
      <w:r>
        <w:t>Continuum</w:t>
      </w:r>
      <w:r>
        <w:rPr>
          <w:spacing w:val="-8"/>
        </w:rPr>
        <w:t xml:space="preserve"> </w:t>
      </w:r>
      <w:r>
        <w:t>Using Reservoir Data.</w:t>
      </w:r>
    </w:p>
    <w:p w14:paraId="1C65FE30">
      <w:pPr>
        <w:spacing w:before="120" w:after="120" w:line="360" w:lineRule="auto"/>
        <w:ind w:left="567" w:hanging="567"/>
        <w:jc w:val="both"/>
        <w:rPr>
          <w:sz w:val="24"/>
          <w:szCs w:val="24"/>
        </w:rPr>
      </w:pPr>
      <w:r>
        <w:rPr>
          <w:sz w:val="24"/>
          <w:szCs w:val="24"/>
        </w:rPr>
        <w:t>Casas, L., Ciccone, L., Çimen, G., Wiedemann, P., Fauconneau, M., Sumner, R. W., &amp; Mitchell,</w:t>
      </w:r>
      <w:r>
        <w:rPr>
          <w:spacing w:val="-9"/>
          <w:sz w:val="24"/>
          <w:szCs w:val="24"/>
        </w:rPr>
        <w:t xml:space="preserve"> </w:t>
      </w:r>
      <w:r>
        <w:rPr>
          <w:sz w:val="24"/>
          <w:szCs w:val="24"/>
        </w:rPr>
        <w:t>K.</w:t>
      </w:r>
      <w:r>
        <w:rPr>
          <w:spacing w:val="-10"/>
          <w:sz w:val="24"/>
          <w:szCs w:val="24"/>
        </w:rPr>
        <w:t xml:space="preserve"> </w:t>
      </w:r>
      <w:r>
        <w:rPr>
          <w:sz w:val="24"/>
          <w:szCs w:val="24"/>
        </w:rPr>
        <w:t>(2018,</w:t>
      </w:r>
      <w:r>
        <w:rPr>
          <w:spacing w:val="-9"/>
          <w:sz w:val="24"/>
          <w:szCs w:val="24"/>
        </w:rPr>
        <w:t xml:space="preserve"> </w:t>
      </w:r>
      <w:r>
        <w:rPr>
          <w:sz w:val="24"/>
          <w:szCs w:val="24"/>
        </w:rPr>
        <w:t>December).</w:t>
      </w:r>
      <w:r>
        <w:rPr>
          <w:spacing w:val="-10"/>
          <w:sz w:val="24"/>
          <w:szCs w:val="24"/>
        </w:rPr>
        <w:t xml:space="preserve"> </w:t>
      </w:r>
      <w:r>
        <w:rPr>
          <w:sz w:val="24"/>
          <w:szCs w:val="24"/>
        </w:rPr>
        <w:t>Multi-reality</w:t>
      </w:r>
      <w:r>
        <w:rPr>
          <w:spacing w:val="-12"/>
          <w:sz w:val="24"/>
          <w:szCs w:val="24"/>
        </w:rPr>
        <w:t xml:space="preserve"> </w:t>
      </w:r>
      <w:r>
        <w:rPr>
          <w:sz w:val="24"/>
          <w:szCs w:val="24"/>
        </w:rPr>
        <w:t>games:</w:t>
      </w:r>
      <w:r>
        <w:rPr>
          <w:spacing w:val="-9"/>
          <w:sz w:val="24"/>
          <w:szCs w:val="24"/>
        </w:rPr>
        <w:t xml:space="preserve"> </w:t>
      </w:r>
      <w:r>
        <w:rPr>
          <w:sz w:val="24"/>
          <w:szCs w:val="24"/>
        </w:rPr>
        <w:t>An</w:t>
      </w:r>
      <w:r>
        <w:rPr>
          <w:spacing w:val="-10"/>
          <w:sz w:val="24"/>
          <w:szCs w:val="24"/>
        </w:rPr>
        <w:t xml:space="preserve"> </w:t>
      </w:r>
      <w:r>
        <w:rPr>
          <w:sz w:val="24"/>
          <w:szCs w:val="24"/>
        </w:rPr>
        <w:t>experience</w:t>
      </w:r>
      <w:r>
        <w:rPr>
          <w:spacing w:val="-10"/>
          <w:sz w:val="24"/>
          <w:szCs w:val="24"/>
        </w:rPr>
        <w:t xml:space="preserve"> </w:t>
      </w:r>
      <w:r>
        <w:rPr>
          <w:sz w:val="24"/>
          <w:szCs w:val="24"/>
        </w:rPr>
        <w:t>across</w:t>
      </w:r>
      <w:r>
        <w:rPr>
          <w:spacing w:val="-7"/>
          <w:sz w:val="24"/>
          <w:szCs w:val="24"/>
        </w:rPr>
        <w:t xml:space="preserve"> </w:t>
      </w:r>
      <w:r>
        <w:rPr>
          <w:sz w:val="24"/>
          <w:szCs w:val="24"/>
        </w:rPr>
        <w:t>the</w:t>
      </w:r>
      <w:r>
        <w:rPr>
          <w:spacing w:val="-10"/>
          <w:sz w:val="24"/>
          <w:szCs w:val="24"/>
        </w:rPr>
        <w:t xml:space="preserve"> </w:t>
      </w:r>
      <w:r>
        <w:rPr>
          <w:sz w:val="24"/>
          <w:szCs w:val="24"/>
        </w:rPr>
        <w:t xml:space="preserve">entire reality-virtuality continuum. In </w:t>
      </w:r>
      <w:r>
        <w:rPr>
          <w:i/>
          <w:sz w:val="24"/>
          <w:szCs w:val="24"/>
        </w:rPr>
        <w:t xml:space="preserve">Proceedings of the 16th ACM SIGGRAPH International Conference on Virtual-Reality Continuum and Its Applications in Industry </w:t>
      </w:r>
      <w:r>
        <w:rPr>
          <w:sz w:val="24"/>
          <w:szCs w:val="24"/>
        </w:rPr>
        <w:t>(pp. 1-4).</w:t>
      </w:r>
    </w:p>
    <w:p w14:paraId="6D742C0F">
      <w:pPr>
        <w:spacing w:before="120" w:after="120" w:line="360" w:lineRule="auto"/>
        <w:ind w:left="567" w:hanging="567"/>
        <w:jc w:val="both"/>
        <w:rPr>
          <w:sz w:val="24"/>
          <w:szCs w:val="24"/>
        </w:rPr>
      </w:pPr>
      <w:r>
        <w:rPr>
          <w:sz w:val="24"/>
          <w:szCs w:val="24"/>
        </w:rPr>
        <w:t>Challenor, J., &amp; Ma, M. (2019). A review of augmented reality applications for history education</w:t>
      </w:r>
      <w:r>
        <w:rPr>
          <w:spacing w:val="-15"/>
          <w:sz w:val="24"/>
          <w:szCs w:val="24"/>
        </w:rPr>
        <w:t xml:space="preserve"> </w:t>
      </w:r>
      <w:r>
        <w:rPr>
          <w:sz w:val="24"/>
          <w:szCs w:val="24"/>
        </w:rPr>
        <w:t>and</w:t>
      </w:r>
      <w:r>
        <w:rPr>
          <w:spacing w:val="-15"/>
          <w:sz w:val="24"/>
          <w:szCs w:val="24"/>
        </w:rPr>
        <w:t xml:space="preserve"> </w:t>
      </w:r>
      <w:r>
        <w:rPr>
          <w:sz w:val="24"/>
          <w:szCs w:val="24"/>
        </w:rPr>
        <w:t>heritage</w:t>
      </w:r>
      <w:r>
        <w:rPr>
          <w:spacing w:val="-15"/>
          <w:sz w:val="24"/>
          <w:szCs w:val="24"/>
        </w:rPr>
        <w:t xml:space="preserve"> </w:t>
      </w:r>
      <w:r>
        <w:rPr>
          <w:sz w:val="24"/>
          <w:szCs w:val="24"/>
        </w:rPr>
        <w:t>visualisation.</w:t>
      </w:r>
      <w:r>
        <w:rPr>
          <w:spacing w:val="-15"/>
          <w:sz w:val="24"/>
          <w:szCs w:val="24"/>
        </w:rPr>
        <w:t xml:space="preserve"> </w:t>
      </w:r>
      <w:r>
        <w:rPr>
          <w:i/>
          <w:sz w:val="24"/>
          <w:szCs w:val="24"/>
        </w:rPr>
        <w:t>Multimodal</w:t>
      </w:r>
      <w:r>
        <w:rPr>
          <w:i/>
          <w:spacing w:val="-15"/>
          <w:sz w:val="24"/>
          <w:szCs w:val="24"/>
        </w:rPr>
        <w:t xml:space="preserve"> </w:t>
      </w:r>
      <w:r>
        <w:rPr>
          <w:i/>
          <w:sz w:val="24"/>
          <w:szCs w:val="24"/>
        </w:rPr>
        <w:t>Technologies</w:t>
      </w:r>
      <w:r>
        <w:rPr>
          <w:i/>
          <w:spacing w:val="-15"/>
          <w:sz w:val="24"/>
          <w:szCs w:val="24"/>
        </w:rPr>
        <w:t xml:space="preserve"> </w:t>
      </w:r>
      <w:r>
        <w:rPr>
          <w:i/>
          <w:sz w:val="24"/>
          <w:szCs w:val="24"/>
        </w:rPr>
        <w:t>and</w:t>
      </w:r>
      <w:r>
        <w:rPr>
          <w:i/>
          <w:spacing w:val="-15"/>
          <w:sz w:val="24"/>
          <w:szCs w:val="24"/>
        </w:rPr>
        <w:t xml:space="preserve"> </w:t>
      </w:r>
      <w:r>
        <w:rPr>
          <w:i/>
          <w:sz w:val="24"/>
          <w:szCs w:val="24"/>
        </w:rPr>
        <w:t>Interaction</w:t>
      </w:r>
      <w:r>
        <w:rPr>
          <w:sz w:val="24"/>
          <w:szCs w:val="24"/>
        </w:rPr>
        <w:t>,</w:t>
      </w:r>
      <w:r>
        <w:rPr>
          <w:spacing w:val="-8"/>
          <w:sz w:val="24"/>
          <w:szCs w:val="24"/>
        </w:rPr>
        <w:t xml:space="preserve"> </w:t>
      </w:r>
      <w:r>
        <w:rPr>
          <w:i/>
          <w:sz w:val="24"/>
          <w:szCs w:val="24"/>
        </w:rPr>
        <w:t>3</w:t>
      </w:r>
      <w:r>
        <w:rPr>
          <w:sz w:val="24"/>
          <w:szCs w:val="24"/>
        </w:rPr>
        <w:t xml:space="preserve">(2), </w:t>
      </w:r>
      <w:r>
        <w:rPr>
          <w:spacing w:val="-4"/>
          <w:sz w:val="24"/>
          <w:szCs w:val="24"/>
        </w:rPr>
        <w:t>39.</w:t>
      </w:r>
    </w:p>
    <w:p w14:paraId="30E7AC82">
      <w:pPr>
        <w:spacing w:before="120" w:after="120" w:line="360" w:lineRule="auto"/>
        <w:ind w:left="567" w:hanging="567"/>
        <w:jc w:val="both"/>
        <w:rPr>
          <w:sz w:val="24"/>
          <w:szCs w:val="24"/>
        </w:rPr>
      </w:pPr>
      <w:r>
        <w:rPr>
          <w:sz w:val="24"/>
          <w:szCs w:val="24"/>
        </w:rPr>
        <w:t>Chaze, F., Hayden, L., Azevedo, A., Kamath, A., Bucko, D., Kashlan, Y., ... &amp; Tsotsos, L. (2022). Virtual reality and well-being in older adults: Results from a pilot implementation of virtual reality in long-term care. </w:t>
      </w:r>
      <w:r>
        <w:rPr>
          <w:i/>
          <w:iCs/>
          <w:sz w:val="24"/>
          <w:szCs w:val="24"/>
        </w:rPr>
        <w:t>Journal of Rehabilitation and Assistive Technologies Engineering</w:t>
      </w:r>
      <w:r>
        <w:rPr>
          <w:sz w:val="24"/>
          <w:szCs w:val="24"/>
        </w:rPr>
        <w:t>, </w:t>
      </w:r>
      <w:r>
        <w:rPr>
          <w:i/>
          <w:iCs/>
          <w:sz w:val="24"/>
          <w:szCs w:val="24"/>
        </w:rPr>
        <w:t>9</w:t>
      </w:r>
      <w:r>
        <w:rPr>
          <w:sz w:val="24"/>
          <w:szCs w:val="24"/>
        </w:rPr>
        <w:t>, 20556683211072384.</w:t>
      </w:r>
    </w:p>
    <w:p w14:paraId="1D280D1D">
      <w:pPr>
        <w:pStyle w:val="9"/>
        <w:spacing w:before="120" w:after="120" w:line="360" w:lineRule="auto"/>
        <w:ind w:left="567" w:hanging="567"/>
      </w:pPr>
      <w:r>
        <w:t>Cohen,</w:t>
      </w:r>
      <w:r>
        <w:rPr>
          <w:spacing w:val="25"/>
        </w:rPr>
        <w:t xml:space="preserve"> </w:t>
      </w:r>
      <w:r>
        <w:t>S.,</w:t>
      </w:r>
      <w:r>
        <w:rPr>
          <w:spacing w:val="27"/>
        </w:rPr>
        <w:t xml:space="preserve"> </w:t>
      </w:r>
      <w:r>
        <w:t>&amp;</w:t>
      </w:r>
      <w:r>
        <w:rPr>
          <w:spacing w:val="29"/>
        </w:rPr>
        <w:t xml:space="preserve"> </w:t>
      </w:r>
      <w:r>
        <w:t>Wills,</w:t>
      </w:r>
      <w:r>
        <w:rPr>
          <w:spacing w:val="28"/>
        </w:rPr>
        <w:t xml:space="preserve"> </w:t>
      </w:r>
      <w:r>
        <w:t>T.</w:t>
      </w:r>
      <w:r>
        <w:rPr>
          <w:spacing w:val="29"/>
        </w:rPr>
        <w:t xml:space="preserve"> </w:t>
      </w:r>
      <w:r>
        <w:t>A.</w:t>
      </w:r>
      <w:r>
        <w:rPr>
          <w:spacing w:val="28"/>
        </w:rPr>
        <w:t xml:space="preserve"> </w:t>
      </w:r>
      <w:r>
        <w:t>(1985).</w:t>
      </w:r>
      <w:r>
        <w:rPr>
          <w:spacing w:val="29"/>
        </w:rPr>
        <w:t xml:space="preserve"> </w:t>
      </w:r>
      <w:r>
        <w:t>Stress,</w:t>
      </w:r>
      <w:r>
        <w:rPr>
          <w:spacing w:val="29"/>
        </w:rPr>
        <w:t xml:space="preserve"> </w:t>
      </w:r>
      <w:r>
        <w:t>Social</w:t>
      </w:r>
      <w:r>
        <w:rPr>
          <w:spacing w:val="29"/>
        </w:rPr>
        <w:t xml:space="preserve"> </w:t>
      </w:r>
      <w:r>
        <w:t>Support,</w:t>
      </w:r>
      <w:r>
        <w:rPr>
          <w:spacing w:val="28"/>
        </w:rPr>
        <w:t xml:space="preserve"> </w:t>
      </w:r>
      <w:r>
        <w:t>and</w:t>
      </w:r>
      <w:r>
        <w:rPr>
          <w:spacing w:val="30"/>
        </w:rPr>
        <w:t xml:space="preserve"> </w:t>
      </w:r>
      <w:r>
        <w:t>the</w:t>
      </w:r>
      <w:r>
        <w:rPr>
          <w:spacing w:val="29"/>
        </w:rPr>
        <w:t xml:space="preserve"> </w:t>
      </w:r>
      <w:r>
        <w:t>Buffering</w:t>
      </w:r>
      <w:r>
        <w:rPr>
          <w:spacing w:val="29"/>
        </w:rPr>
        <w:t xml:space="preserve"> </w:t>
      </w:r>
      <w:r>
        <w:rPr>
          <w:spacing w:val="-2"/>
        </w:rPr>
        <w:t>Hypothesis.</w:t>
      </w:r>
      <w:r>
        <w:t xml:space="preserve"> Psychological</w:t>
      </w:r>
      <w:r>
        <w:rPr>
          <w:spacing w:val="-2"/>
        </w:rPr>
        <w:t xml:space="preserve"> </w:t>
      </w:r>
      <w:r>
        <w:t>Bulletin,</w:t>
      </w:r>
      <w:r>
        <w:rPr>
          <w:spacing w:val="-4"/>
        </w:rPr>
        <w:t xml:space="preserve"> </w:t>
      </w:r>
      <w:r>
        <w:t>98(2),</w:t>
      </w:r>
      <w:r>
        <w:rPr>
          <w:spacing w:val="-3"/>
        </w:rPr>
        <w:t xml:space="preserve"> </w:t>
      </w:r>
      <w:r>
        <w:t>310-</w:t>
      </w:r>
      <w:r>
        <w:rPr>
          <w:spacing w:val="-4"/>
        </w:rPr>
        <w:t>357.</w:t>
      </w:r>
    </w:p>
    <w:p w14:paraId="49AC5652">
      <w:pPr>
        <w:pStyle w:val="9"/>
        <w:spacing w:before="120" w:after="120" w:line="360" w:lineRule="auto"/>
        <w:ind w:left="567" w:hanging="567"/>
      </w:pPr>
      <w:r>
        <w:t>Compton,</w:t>
      </w:r>
      <w:r>
        <w:rPr>
          <w:spacing w:val="-3"/>
        </w:rPr>
        <w:t xml:space="preserve"> </w:t>
      </w:r>
      <w:r>
        <w:t>W.</w:t>
      </w:r>
      <w:r>
        <w:rPr>
          <w:spacing w:val="-1"/>
        </w:rPr>
        <w:t xml:space="preserve"> </w:t>
      </w:r>
      <w:r>
        <w:t>C.</w:t>
      </w:r>
      <w:r>
        <w:rPr>
          <w:spacing w:val="-4"/>
        </w:rPr>
        <w:t xml:space="preserve"> </w:t>
      </w:r>
      <w:r>
        <w:t>(2018).</w:t>
      </w:r>
      <w:r>
        <w:rPr>
          <w:spacing w:val="-2"/>
        </w:rPr>
        <w:t xml:space="preserve"> </w:t>
      </w:r>
      <w:r>
        <w:t>Self-actualization</w:t>
      </w:r>
      <w:r>
        <w:rPr>
          <w:spacing w:val="-1"/>
        </w:rPr>
        <w:t xml:space="preserve"> </w:t>
      </w:r>
      <w:r>
        <w:t>myths: What</w:t>
      </w:r>
      <w:r>
        <w:rPr>
          <w:spacing w:val="-1"/>
        </w:rPr>
        <w:t xml:space="preserve"> </w:t>
      </w:r>
      <w:r>
        <w:t>did</w:t>
      </w:r>
      <w:r>
        <w:rPr>
          <w:spacing w:val="-3"/>
        </w:rPr>
        <w:t xml:space="preserve"> </w:t>
      </w:r>
      <w:r>
        <w:t>Maslow</w:t>
      </w:r>
      <w:r>
        <w:rPr>
          <w:spacing w:val="-1"/>
        </w:rPr>
        <w:t xml:space="preserve"> </w:t>
      </w:r>
      <w:r>
        <w:t>really</w:t>
      </w:r>
      <w:r>
        <w:rPr>
          <w:spacing w:val="-4"/>
        </w:rPr>
        <w:t xml:space="preserve"> </w:t>
      </w:r>
      <w:r>
        <w:t>say?. Journal</w:t>
      </w:r>
      <w:r>
        <w:rPr>
          <w:spacing w:val="-1"/>
        </w:rPr>
        <w:t xml:space="preserve"> </w:t>
      </w:r>
      <w:r>
        <w:t>of Humanistic Psychology, 0022167818761929.</w:t>
      </w:r>
    </w:p>
    <w:p w14:paraId="05F08C85">
      <w:pPr>
        <w:pStyle w:val="9"/>
        <w:spacing w:before="120" w:after="120" w:line="360" w:lineRule="auto"/>
        <w:ind w:left="567" w:hanging="567"/>
      </w:pPr>
      <w:r>
        <w:t>Craig,</w:t>
      </w:r>
      <w:r>
        <w:rPr>
          <w:spacing w:val="-4"/>
        </w:rPr>
        <w:t xml:space="preserve"> </w:t>
      </w:r>
      <w:r>
        <w:t>A.</w:t>
      </w:r>
      <w:r>
        <w:rPr>
          <w:spacing w:val="-1"/>
        </w:rPr>
        <w:t xml:space="preserve"> </w:t>
      </w:r>
      <w:r>
        <w:t>B.</w:t>
      </w:r>
      <w:r>
        <w:rPr>
          <w:spacing w:val="-1"/>
        </w:rPr>
        <w:t xml:space="preserve"> </w:t>
      </w:r>
      <w:r>
        <w:t>(2013).</w:t>
      </w:r>
      <w:r>
        <w:rPr>
          <w:spacing w:val="-2"/>
        </w:rPr>
        <w:t xml:space="preserve"> </w:t>
      </w:r>
      <w:r>
        <w:t>Understanding</w:t>
      </w:r>
      <w:r>
        <w:rPr>
          <w:spacing w:val="-4"/>
        </w:rPr>
        <w:t xml:space="preserve"> </w:t>
      </w:r>
      <w:r>
        <w:t>augmented reality:</w:t>
      </w:r>
      <w:r>
        <w:rPr>
          <w:spacing w:val="-1"/>
        </w:rPr>
        <w:t xml:space="preserve"> </w:t>
      </w:r>
      <w:r>
        <w:t>Concepts</w:t>
      </w:r>
      <w:r>
        <w:rPr>
          <w:spacing w:val="-2"/>
        </w:rPr>
        <w:t xml:space="preserve"> </w:t>
      </w:r>
      <w:r>
        <w:t xml:space="preserve">and </w:t>
      </w:r>
      <w:r>
        <w:rPr>
          <w:spacing w:val="-2"/>
        </w:rPr>
        <w:t>applications.</w:t>
      </w:r>
    </w:p>
    <w:p w14:paraId="46465407">
      <w:pPr>
        <w:pStyle w:val="9"/>
        <w:spacing w:before="120" w:after="120" w:line="360" w:lineRule="auto"/>
        <w:ind w:left="567" w:hanging="567"/>
      </w:pPr>
      <w:r>
        <w:t>Csikszentmihalyi,</w:t>
      </w:r>
      <w:r>
        <w:rPr>
          <w:spacing w:val="-2"/>
        </w:rPr>
        <w:t xml:space="preserve"> </w:t>
      </w:r>
      <w:r>
        <w:t>M.</w:t>
      </w:r>
      <w:r>
        <w:rPr>
          <w:spacing w:val="-2"/>
        </w:rPr>
        <w:t xml:space="preserve"> </w:t>
      </w:r>
      <w:r>
        <w:t>&amp;</w:t>
      </w:r>
      <w:r>
        <w:rPr>
          <w:spacing w:val="-4"/>
        </w:rPr>
        <w:t xml:space="preserve"> </w:t>
      </w:r>
      <w:r>
        <w:t>Csikszentmihalyi, I.S.</w:t>
      </w:r>
      <w:r>
        <w:rPr>
          <w:spacing w:val="-4"/>
        </w:rPr>
        <w:t xml:space="preserve"> </w:t>
      </w:r>
      <w:r>
        <w:t>(1988).</w:t>
      </w:r>
      <w:r>
        <w:rPr>
          <w:spacing w:val="-5"/>
        </w:rPr>
        <w:t xml:space="preserve"> </w:t>
      </w:r>
      <w:r>
        <w:t>Optimal</w:t>
      </w:r>
      <w:r>
        <w:rPr>
          <w:spacing w:val="-4"/>
        </w:rPr>
        <w:t xml:space="preserve"> </w:t>
      </w:r>
      <w:r>
        <w:t>experiences:</w:t>
      </w:r>
      <w:r>
        <w:rPr>
          <w:spacing w:val="-4"/>
        </w:rPr>
        <w:t xml:space="preserve"> </w:t>
      </w:r>
      <w:r>
        <w:t>Psychological studies of flow in consciousness. New York: Cambridge University Press.</w:t>
      </w:r>
    </w:p>
    <w:p w14:paraId="7FD0B70D">
      <w:pPr>
        <w:pStyle w:val="9"/>
        <w:spacing w:before="120" w:after="120" w:line="360" w:lineRule="auto"/>
        <w:ind w:left="567" w:hanging="567"/>
      </w:pPr>
      <w:r>
        <w:t>Csikszentmihalyi,</w:t>
      </w:r>
      <w:r>
        <w:rPr>
          <w:spacing w:val="-10"/>
        </w:rPr>
        <w:t xml:space="preserve"> </w:t>
      </w:r>
      <w:r>
        <w:t>M.</w:t>
      </w:r>
      <w:r>
        <w:rPr>
          <w:spacing w:val="-10"/>
        </w:rPr>
        <w:t xml:space="preserve"> </w:t>
      </w:r>
      <w:r>
        <w:t>&amp;</w:t>
      </w:r>
      <w:r>
        <w:rPr>
          <w:spacing w:val="-13"/>
        </w:rPr>
        <w:t xml:space="preserve"> </w:t>
      </w:r>
      <w:r>
        <w:t>Graef,</w:t>
      </w:r>
      <w:r>
        <w:rPr>
          <w:spacing w:val="-14"/>
        </w:rPr>
        <w:t xml:space="preserve"> </w:t>
      </w:r>
      <w:r>
        <w:t>R.</w:t>
      </w:r>
      <w:r>
        <w:rPr>
          <w:spacing w:val="-13"/>
        </w:rPr>
        <w:t xml:space="preserve"> </w:t>
      </w:r>
      <w:r>
        <w:t>(1980).</w:t>
      </w:r>
      <w:r>
        <w:rPr>
          <w:spacing w:val="-14"/>
        </w:rPr>
        <w:t xml:space="preserve"> </w:t>
      </w:r>
      <w:r>
        <w:t>The</w:t>
      </w:r>
      <w:r>
        <w:rPr>
          <w:spacing w:val="-12"/>
        </w:rPr>
        <w:t xml:space="preserve"> </w:t>
      </w:r>
      <w:r>
        <w:t>experience</w:t>
      </w:r>
      <w:r>
        <w:rPr>
          <w:spacing w:val="-14"/>
        </w:rPr>
        <w:t xml:space="preserve"> </w:t>
      </w:r>
      <w:r>
        <w:t>of</w:t>
      </w:r>
      <w:r>
        <w:rPr>
          <w:spacing w:val="-12"/>
        </w:rPr>
        <w:t xml:space="preserve"> </w:t>
      </w:r>
      <w:r>
        <w:t>freedom</w:t>
      </w:r>
      <w:r>
        <w:rPr>
          <w:spacing w:val="-13"/>
        </w:rPr>
        <w:t xml:space="preserve"> </w:t>
      </w:r>
      <w:r>
        <w:t>in</w:t>
      </w:r>
      <w:r>
        <w:rPr>
          <w:spacing w:val="-13"/>
        </w:rPr>
        <w:t xml:space="preserve"> </w:t>
      </w:r>
      <w:r>
        <w:t>daily</w:t>
      </w:r>
      <w:r>
        <w:rPr>
          <w:spacing w:val="-15"/>
        </w:rPr>
        <w:t xml:space="preserve"> </w:t>
      </w:r>
      <w:r>
        <w:t>life.</w:t>
      </w:r>
      <w:r>
        <w:rPr>
          <w:spacing w:val="-13"/>
        </w:rPr>
        <w:t xml:space="preserve"> </w:t>
      </w:r>
      <w:r>
        <w:t>American Journal of Community Psychology. 8 (4), 401-414.</w:t>
      </w:r>
    </w:p>
    <w:p w14:paraId="15C86084">
      <w:pPr>
        <w:pStyle w:val="9"/>
        <w:spacing w:before="120" w:after="120" w:line="360" w:lineRule="auto"/>
        <w:ind w:left="567" w:hanging="567"/>
      </w:pPr>
      <w:r>
        <w:t>Csikszentmihalyi,</w:t>
      </w:r>
      <w:r>
        <w:rPr>
          <w:spacing w:val="-3"/>
        </w:rPr>
        <w:t xml:space="preserve"> </w:t>
      </w:r>
      <w:r>
        <w:t>M. (1975).</w:t>
      </w:r>
      <w:r>
        <w:rPr>
          <w:spacing w:val="-2"/>
        </w:rPr>
        <w:t xml:space="preserve"> </w:t>
      </w:r>
      <w:r>
        <w:t>Beyond</w:t>
      </w:r>
      <w:r>
        <w:rPr>
          <w:spacing w:val="-2"/>
        </w:rPr>
        <w:t xml:space="preserve"> </w:t>
      </w:r>
      <w:r>
        <w:t>boredom</w:t>
      </w:r>
      <w:r>
        <w:rPr>
          <w:spacing w:val="-3"/>
        </w:rPr>
        <w:t xml:space="preserve"> </w:t>
      </w:r>
      <w:r>
        <w:t>and</w:t>
      </w:r>
      <w:r>
        <w:rPr>
          <w:spacing w:val="-2"/>
        </w:rPr>
        <w:t xml:space="preserve"> </w:t>
      </w:r>
      <w:r>
        <w:t>anxiety.</w:t>
      </w:r>
      <w:r>
        <w:rPr>
          <w:spacing w:val="-2"/>
        </w:rPr>
        <w:t xml:space="preserve"> </w:t>
      </w:r>
      <w:r>
        <w:t xml:space="preserve">San Francisco: </w:t>
      </w:r>
      <w:r>
        <w:rPr>
          <w:spacing w:val="-2"/>
        </w:rPr>
        <w:t>JosseyBass.</w:t>
      </w:r>
    </w:p>
    <w:p w14:paraId="48BCA48F">
      <w:pPr>
        <w:pStyle w:val="9"/>
        <w:spacing w:before="120" w:after="120" w:line="360" w:lineRule="auto"/>
        <w:ind w:left="567" w:hanging="567"/>
      </w:pPr>
      <w:r>
        <w:t>Csikszentmihalyi,</w:t>
      </w:r>
      <w:r>
        <w:rPr>
          <w:spacing w:val="37"/>
        </w:rPr>
        <w:t xml:space="preserve"> </w:t>
      </w:r>
      <w:r>
        <w:t>M.</w:t>
      </w:r>
      <w:r>
        <w:rPr>
          <w:spacing w:val="36"/>
        </w:rPr>
        <w:t xml:space="preserve"> </w:t>
      </w:r>
      <w:r>
        <w:t>(1990).</w:t>
      </w:r>
      <w:r>
        <w:rPr>
          <w:spacing w:val="35"/>
        </w:rPr>
        <w:t xml:space="preserve"> </w:t>
      </w:r>
      <w:r>
        <w:t>Flow:</w:t>
      </w:r>
      <w:r>
        <w:rPr>
          <w:spacing w:val="37"/>
        </w:rPr>
        <w:t xml:space="preserve"> </w:t>
      </w:r>
      <w:r>
        <w:t>The</w:t>
      </w:r>
      <w:r>
        <w:rPr>
          <w:spacing w:val="35"/>
        </w:rPr>
        <w:t xml:space="preserve"> </w:t>
      </w:r>
      <w:r>
        <w:t>psychology</w:t>
      </w:r>
      <w:r>
        <w:rPr>
          <w:spacing w:val="29"/>
        </w:rPr>
        <w:t xml:space="preserve"> </w:t>
      </w:r>
      <w:r>
        <w:t>of</w:t>
      </w:r>
      <w:r>
        <w:rPr>
          <w:spacing w:val="35"/>
        </w:rPr>
        <w:t xml:space="preserve"> </w:t>
      </w:r>
      <w:r>
        <w:t>optimal</w:t>
      </w:r>
      <w:r>
        <w:rPr>
          <w:spacing w:val="36"/>
        </w:rPr>
        <w:t xml:space="preserve"> </w:t>
      </w:r>
      <w:r>
        <w:t>experience.</w:t>
      </w:r>
      <w:r>
        <w:rPr>
          <w:spacing w:val="36"/>
        </w:rPr>
        <w:t xml:space="preserve"> </w:t>
      </w:r>
      <w:r>
        <w:t>New</w:t>
      </w:r>
      <w:r>
        <w:rPr>
          <w:spacing w:val="36"/>
        </w:rPr>
        <w:t xml:space="preserve"> </w:t>
      </w:r>
      <w:r>
        <w:t>York: Harper &amp; Row.</w:t>
      </w:r>
    </w:p>
    <w:p w14:paraId="20A237F3">
      <w:pPr>
        <w:pStyle w:val="9"/>
        <w:spacing w:before="120" w:after="120" w:line="360" w:lineRule="auto"/>
        <w:ind w:left="567" w:hanging="567"/>
      </w:pPr>
      <w:r>
        <w:t>Csikszentmihalyi,</w:t>
      </w:r>
      <w:r>
        <w:rPr>
          <w:spacing w:val="-2"/>
        </w:rPr>
        <w:t xml:space="preserve"> </w:t>
      </w:r>
      <w:r>
        <w:t>M.</w:t>
      </w:r>
      <w:r>
        <w:rPr>
          <w:spacing w:val="1"/>
        </w:rPr>
        <w:t xml:space="preserve"> </w:t>
      </w:r>
      <w:r>
        <w:t>(1997).</w:t>
      </w:r>
      <w:r>
        <w:rPr>
          <w:spacing w:val="-2"/>
        </w:rPr>
        <w:t xml:space="preserve"> </w:t>
      </w:r>
      <w:r>
        <w:t>Finding</w:t>
      </w:r>
      <w:r>
        <w:rPr>
          <w:spacing w:val="-4"/>
        </w:rPr>
        <w:t xml:space="preserve"> </w:t>
      </w:r>
      <w:r>
        <w:t>Flow.</w:t>
      </w:r>
      <w:r>
        <w:rPr>
          <w:spacing w:val="-1"/>
        </w:rPr>
        <w:t xml:space="preserve"> </w:t>
      </w:r>
      <w:r>
        <w:t>New</w:t>
      </w:r>
      <w:r>
        <w:rPr>
          <w:spacing w:val="-1"/>
        </w:rPr>
        <w:t xml:space="preserve"> </w:t>
      </w:r>
      <w:r>
        <w:t>York:</w:t>
      </w:r>
      <w:r>
        <w:rPr>
          <w:spacing w:val="-1"/>
        </w:rPr>
        <w:t xml:space="preserve"> </w:t>
      </w:r>
      <w:r>
        <w:t>Basic</w:t>
      </w:r>
      <w:r>
        <w:rPr>
          <w:spacing w:val="-2"/>
        </w:rPr>
        <w:t xml:space="preserve"> Books.</w:t>
      </w:r>
    </w:p>
    <w:p w14:paraId="5BAFD1C1">
      <w:pPr>
        <w:pStyle w:val="9"/>
        <w:spacing w:before="120" w:after="120" w:line="360" w:lineRule="auto"/>
        <w:ind w:left="567" w:hanging="567"/>
      </w:pPr>
      <w:r>
        <w:t>Csikszentmihalyi,</w:t>
      </w:r>
      <w:r>
        <w:rPr>
          <w:spacing w:val="40"/>
        </w:rPr>
        <w:t xml:space="preserve"> </w:t>
      </w:r>
      <w:r>
        <w:t>M.</w:t>
      </w:r>
      <w:r>
        <w:rPr>
          <w:spacing w:val="40"/>
        </w:rPr>
        <w:t xml:space="preserve"> </w:t>
      </w:r>
      <w:r>
        <w:t>(2014a).</w:t>
      </w:r>
      <w:r>
        <w:rPr>
          <w:spacing w:val="40"/>
        </w:rPr>
        <w:t xml:space="preserve"> </w:t>
      </w:r>
      <w:r>
        <w:t>Learning,</w:t>
      </w:r>
      <w:r>
        <w:rPr>
          <w:spacing w:val="40"/>
        </w:rPr>
        <w:t xml:space="preserve"> </w:t>
      </w:r>
      <w:r>
        <w:t>flow</w:t>
      </w:r>
      <w:r>
        <w:rPr>
          <w:spacing w:val="40"/>
        </w:rPr>
        <w:t xml:space="preserve"> </w:t>
      </w:r>
      <w:r>
        <w:t>and</w:t>
      </w:r>
      <w:r>
        <w:rPr>
          <w:spacing w:val="40"/>
        </w:rPr>
        <w:t xml:space="preserve"> </w:t>
      </w:r>
      <w:r>
        <w:t>happiness.</w:t>
      </w:r>
      <w:r>
        <w:rPr>
          <w:spacing w:val="40"/>
        </w:rPr>
        <w:t xml:space="preserve"> </w:t>
      </w:r>
      <w:r>
        <w:t>Applications</w:t>
      </w:r>
      <w:r>
        <w:rPr>
          <w:spacing w:val="40"/>
        </w:rPr>
        <w:t xml:space="preserve"> </w:t>
      </w:r>
      <w:r>
        <w:t>of</w:t>
      </w:r>
      <w:r>
        <w:rPr>
          <w:spacing w:val="40"/>
        </w:rPr>
        <w:t xml:space="preserve"> </w:t>
      </w:r>
      <w:r>
        <w:t>Flow</w:t>
      </w:r>
      <w:r>
        <w:rPr>
          <w:spacing w:val="40"/>
        </w:rPr>
        <w:t xml:space="preserve"> </w:t>
      </w:r>
      <w:r>
        <w:t>in Human Development and Education, s. 153-171. Dordrecht: Springer.</w:t>
      </w:r>
    </w:p>
    <w:p w14:paraId="687ADF0F">
      <w:pPr>
        <w:pStyle w:val="9"/>
        <w:spacing w:before="120" w:after="120" w:line="360" w:lineRule="auto"/>
        <w:ind w:left="567" w:hanging="567"/>
      </w:pPr>
      <w:r>
        <w:t>Csikszentmihalyi,</w:t>
      </w:r>
      <w:r>
        <w:rPr>
          <w:spacing w:val="70"/>
        </w:rPr>
        <w:t xml:space="preserve"> </w:t>
      </w:r>
      <w:r>
        <w:t>M.</w:t>
      </w:r>
      <w:r>
        <w:rPr>
          <w:spacing w:val="40"/>
        </w:rPr>
        <w:t xml:space="preserve"> </w:t>
      </w:r>
      <w:r>
        <w:t>(2014c).</w:t>
      </w:r>
      <w:r>
        <w:rPr>
          <w:spacing w:val="69"/>
        </w:rPr>
        <w:t xml:space="preserve"> </w:t>
      </w:r>
      <w:r>
        <w:t>Flow</w:t>
      </w:r>
      <w:r>
        <w:rPr>
          <w:spacing w:val="70"/>
        </w:rPr>
        <w:t xml:space="preserve"> </w:t>
      </w:r>
      <w:r>
        <w:t>and</w:t>
      </w:r>
      <w:r>
        <w:rPr>
          <w:spacing w:val="40"/>
        </w:rPr>
        <w:t xml:space="preserve"> </w:t>
      </w:r>
      <w:r>
        <w:t>education.</w:t>
      </w:r>
      <w:r>
        <w:rPr>
          <w:spacing w:val="40"/>
        </w:rPr>
        <w:t xml:space="preserve"> </w:t>
      </w:r>
      <w:r>
        <w:t>Applications</w:t>
      </w:r>
      <w:r>
        <w:rPr>
          <w:spacing w:val="40"/>
        </w:rPr>
        <w:t xml:space="preserve"> </w:t>
      </w:r>
      <w:r>
        <w:t>of</w:t>
      </w:r>
      <w:r>
        <w:rPr>
          <w:spacing w:val="71"/>
        </w:rPr>
        <w:t xml:space="preserve"> </w:t>
      </w:r>
      <w:r>
        <w:t>Flow</w:t>
      </w:r>
      <w:r>
        <w:rPr>
          <w:spacing w:val="40"/>
        </w:rPr>
        <w:t xml:space="preserve"> </w:t>
      </w:r>
      <w:r>
        <w:t>in</w:t>
      </w:r>
      <w:r>
        <w:rPr>
          <w:spacing w:val="40"/>
        </w:rPr>
        <w:t xml:space="preserve"> </w:t>
      </w:r>
      <w:r>
        <w:t>Human Development and Education, s. 129-151. Dordrecht: Springer</w:t>
      </w:r>
    </w:p>
    <w:p w14:paraId="0C1F2E5B">
      <w:pPr>
        <w:pStyle w:val="9"/>
        <w:spacing w:before="120" w:after="120" w:line="360" w:lineRule="auto"/>
        <w:ind w:left="567" w:hanging="567"/>
      </w:pPr>
      <w:r>
        <w:t>Csikszentmihalyi, M. (2014d). Play and intrinsic rewards. In Flow and the foundations of positive psychology (pp. 135-153). Springer, Dordrecht</w:t>
      </w:r>
    </w:p>
    <w:p w14:paraId="3C0D1EA9">
      <w:pPr>
        <w:pStyle w:val="9"/>
        <w:spacing w:before="120" w:after="120" w:line="360" w:lineRule="auto"/>
        <w:ind w:left="567" w:hanging="567"/>
      </w:pPr>
      <w:r>
        <w:t>Csikszentmihalyi,</w:t>
      </w:r>
      <w:r>
        <w:rPr>
          <w:spacing w:val="40"/>
        </w:rPr>
        <w:t xml:space="preserve"> </w:t>
      </w:r>
      <w:r>
        <w:t>M.,</w:t>
      </w:r>
      <w:r>
        <w:rPr>
          <w:spacing w:val="40"/>
        </w:rPr>
        <w:t xml:space="preserve"> </w:t>
      </w:r>
      <w:r>
        <w:t>Abuhamdeh,</w:t>
      </w:r>
      <w:r>
        <w:rPr>
          <w:spacing w:val="39"/>
        </w:rPr>
        <w:t xml:space="preserve"> </w:t>
      </w:r>
      <w:r>
        <w:t>S.,</w:t>
      </w:r>
      <w:r>
        <w:rPr>
          <w:spacing w:val="40"/>
        </w:rPr>
        <w:t xml:space="preserve"> </w:t>
      </w:r>
      <w:r>
        <w:t>&amp;</w:t>
      </w:r>
      <w:r>
        <w:rPr>
          <w:spacing w:val="38"/>
        </w:rPr>
        <w:t xml:space="preserve"> </w:t>
      </w:r>
      <w:r>
        <w:t>Nakamura,</w:t>
      </w:r>
      <w:r>
        <w:rPr>
          <w:spacing w:val="39"/>
        </w:rPr>
        <w:t xml:space="preserve"> </w:t>
      </w:r>
      <w:r>
        <w:t>J.</w:t>
      </w:r>
      <w:r>
        <w:rPr>
          <w:spacing w:val="39"/>
        </w:rPr>
        <w:t xml:space="preserve"> </w:t>
      </w:r>
      <w:r>
        <w:t>(2014).</w:t>
      </w:r>
      <w:r>
        <w:rPr>
          <w:spacing w:val="40"/>
        </w:rPr>
        <w:t xml:space="preserve"> </w:t>
      </w:r>
      <w:r>
        <w:t>Flow.</w:t>
      </w:r>
      <w:r>
        <w:rPr>
          <w:spacing w:val="40"/>
        </w:rPr>
        <w:t xml:space="preserve"> </w:t>
      </w:r>
      <w:r>
        <w:t>In</w:t>
      </w:r>
      <w:r>
        <w:rPr>
          <w:spacing w:val="40"/>
        </w:rPr>
        <w:t xml:space="preserve"> </w:t>
      </w:r>
      <w:r>
        <w:t>Flow</w:t>
      </w:r>
      <w:r>
        <w:rPr>
          <w:spacing w:val="40"/>
        </w:rPr>
        <w:t xml:space="preserve"> </w:t>
      </w:r>
      <w:r>
        <w:t>and</w:t>
      </w:r>
      <w:r>
        <w:rPr>
          <w:spacing w:val="40"/>
        </w:rPr>
        <w:t xml:space="preserve"> </w:t>
      </w:r>
      <w:r>
        <w:t>the foundations of positive psychology (pp. 227-238). Springer, Dordrecht.</w:t>
      </w:r>
    </w:p>
    <w:p w14:paraId="585B14D4">
      <w:pPr>
        <w:pStyle w:val="9"/>
        <w:spacing w:before="120" w:after="120" w:line="360" w:lineRule="auto"/>
        <w:ind w:left="567" w:hanging="567"/>
      </w:pPr>
      <w:r>
        <w:t>Csikszentmihalyi, M., Larson, R. &amp; Prescott, S. (1977). The ecology</w:t>
      </w:r>
      <w:r>
        <w:rPr>
          <w:spacing w:val="-4"/>
        </w:rPr>
        <w:t xml:space="preserve"> </w:t>
      </w:r>
      <w:r>
        <w:t>of adolescent activity and experience. Journal of Youth and Adolescence, 6 (3), 281-294.</w:t>
      </w:r>
    </w:p>
    <w:p w14:paraId="4A5BCF4C">
      <w:pPr>
        <w:pStyle w:val="9"/>
        <w:spacing w:before="120" w:after="120" w:line="360" w:lineRule="auto"/>
        <w:ind w:left="567" w:hanging="567"/>
      </w:pPr>
      <w:r>
        <w:t>Çağlayan Tunç, A., Zorba, E. &amp; Çingöz, Y. E. (2020). Covid 19 Salgını Döneminde Egzersizin Yaşam Kalitesine Etkisi. Uluslararası Güncel Eğitim Araştırmaları Dergisi, 6 (1) , 127-135</w:t>
      </w:r>
    </w:p>
    <w:p w14:paraId="2EEDC2B5">
      <w:pPr>
        <w:pStyle w:val="9"/>
        <w:spacing w:before="120" w:after="120" w:line="360" w:lineRule="auto"/>
        <w:ind w:left="567" w:hanging="567"/>
      </w:pPr>
      <w:r>
        <w:t xml:space="preserve">Çakır, O. (2017). Boş Zaman ve Boş Zaman Teorileri, (Editör) Akoğlan Kozak, M.: Rekreasyonel Liderlik ve Turist Rehberliği içinde (ss. 4-33). Ankara: Detay </w:t>
      </w:r>
      <w:r>
        <w:rPr>
          <w:spacing w:val="-2"/>
        </w:rPr>
        <w:t>Yayıncılık.</w:t>
      </w:r>
    </w:p>
    <w:p w14:paraId="5F4EE91C">
      <w:pPr>
        <w:widowControl/>
        <w:autoSpaceDE/>
        <w:autoSpaceDN/>
        <w:spacing w:before="120" w:after="120" w:line="360" w:lineRule="auto"/>
        <w:ind w:left="567" w:hanging="567"/>
        <w:jc w:val="both"/>
        <w:rPr>
          <w:rFonts w:eastAsia="Calibri"/>
          <w:color w:val="222222"/>
          <w:sz w:val="24"/>
          <w:szCs w:val="24"/>
          <w:shd w:val="clear" w:color="auto" w:fill="FFFFFF"/>
        </w:rPr>
      </w:pPr>
      <w:r>
        <w:rPr>
          <w:rFonts w:eastAsia="Calibri"/>
          <w:color w:val="222222"/>
          <w:sz w:val="24"/>
          <w:szCs w:val="24"/>
          <w:shd w:val="clear" w:color="auto" w:fill="FFFFFF"/>
        </w:rPr>
        <w:t>Çalışkan, T., Duran, S., Karadaş, A., &amp; Tekir, Ö. (2015). Kanser hastalarının yaşam kalitesi ve sosyal destek düzeylerinin değerlendirilmesi. </w:t>
      </w:r>
      <w:r>
        <w:rPr>
          <w:rFonts w:eastAsia="Calibri"/>
          <w:i/>
          <w:iCs/>
          <w:color w:val="222222"/>
          <w:sz w:val="24"/>
          <w:szCs w:val="24"/>
          <w:shd w:val="clear" w:color="auto" w:fill="FFFFFF"/>
        </w:rPr>
        <w:t>Kırıkkale Üniversitesi Tıp Fakültesi Dergisi</w:t>
      </w:r>
      <w:r>
        <w:rPr>
          <w:rFonts w:eastAsia="Calibri"/>
          <w:color w:val="222222"/>
          <w:sz w:val="24"/>
          <w:szCs w:val="24"/>
          <w:shd w:val="clear" w:color="auto" w:fill="FFFFFF"/>
        </w:rPr>
        <w:t>, </w:t>
      </w:r>
      <w:r>
        <w:rPr>
          <w:rFonts w:eastAsia="Calibri"/>
          <w:i/>
          <w:iCs/>
          <w:color w:val="222222"/>
          <w:sz w:val="24"/>
          <w:szCs w:val="24"/>
          <w:shd w:val="clear" w:color="auto" w:fill="FFFFFF"/>
        </w:rPr>
        <w:t>17</w:t>
      </w:r>
      <w:r>
        <w:rPr>
          <w:rFonts w:eastAsia="Calibri"/>
          <w:color w:val="222222"/>
          <w:sz w:val="24"/>
          <w:szCs w:val="24"/>
          <w:shd w:val="clear" w:color="auto" w:fill="FFFFFF"/>
        </w:rPr>
        <w:t>(1), 27-36.</w:t>
      </w:r>
    </w:p>
    <w:p w14:paraId="68C01BB3">
      <w:pPr>
        <w:pStyle w:val="9"/>
        <w:spacing w:before="120" w:after="120" w:line="360" w:lineRule="auto"/>
        <w:ind w:left="567" w:hanging="567"/>
      </w:pPr>
      <w:r>
        <w:t>Çiğdem, S. (2022). Dijital dönüşüm sürecinde Metaverse olgusunu Jean Baudrillard’ın simülasyon kuramı çerçevesinde değerlendirmek. Afyon Kocatepe Üniversitesi Sosyal Bilimler Dergisi, 24(3), 1156-1175.</w:t>
      </w:r>
    </w:p>
    <w:p w14:paraId="6B8A91EC">
      <w:pPr>
        <w:spacing w:before="120" w:after="120" w:line="360" w:lineRule="auto"/>
        <w:ind w:left="567" w:hanging="567"/>
        <w:jc w:val="both"/>
        <w:rPr>
          <w:sz w:val="24"/>
          <w:szCs w:val="24"/>
        </w:rPr>
      </w:pPr>
      <w:r>
        <w:rPr>
          <w:sz w:val="24"/>
          <w:szCs w:val="24"/>
        </w:rPr>
        <w:t>Çoban, S., &amp; Kozak, M. A. (2022). Kavramsal Çıkarımlar Üzerinden Frigya Vadisinin Fijital Tasarımı. </w:t>
      </w:r>
      <w:r>
        <w:rPr>
          <w:i/>
          <w:iCs/>
          <w:sz w:val="24"/>
          <w:szCs w:val="24"/>
        </w:rPr>
        <w:t>Güncel Turizm Araştırmaları Dergisi</w:t>
      </w:r>
      <w:r>
        <w:rPr>
          <w:sz w:val="24"/>
          <w:szCs w:val="24"/>
        </w:rPr>
        <w:t>, </w:t>
      </w:r>
      <w:r>
        <w:rPr>
          <w:i/>
          <w:iCs/>
          <w:sz w:val="24"/>
          <w:szCs w:val="24"/>
        </w:rPr>
        <w:t>6</w:t>
      </w:r>
      <w:r>
        <w:rPr>
          <w:sz w:val="24"/>
          <w:szCs w:val="24"/>
        </w:rPr>
        <w:t>(1), 177-193.</w:t>
      </w:r>
    </w:p>
    <w:p w14:paraId="0CAB4331">
      <w:pPr>
        <w:widowControl/>
        <w:autoSpaceDE/>
        <w:autoSpaceDN/>
        <w:spacing w:before="120" w:after="120" w:line="360" w:lineRule="auto"/>
        <w:ind w:left="567" w:hanging="567"/>
        <w:jc w:val="both"/>
        <w:rPr>
          <w:rFonts w:eastAsia="Calibri"/>
          <w:color w:val="222222"/>
          <w:sz w:val="24"/>
          <w:szCs w:val="24"/>
          <w:shd w:val="clear" w:color="auto" w:fill="FFFFFF"/>
        </w:rPr>
      </w:pPr>
      <w:r>
        <w:rPr>
          <w:rFonts w:eastAsia="Calibri"/>
          <w:color w:val="222222"/>
          <w:sz w:val="24"/>
          <w:szCs w:val="24"/>
          <w:shd w:val="clear" w:color="auto" w:fill="FFFFFF"/>
        </w:rPr>
        <w:t>Çoruh, E. A. (2016). </w:t>
      </w:r>
      <w:r>
        <w:rPr>
          <w:rFonts w:eastAsia="Calibri"/>
          <w:i/>
          <w:iCs/>
          <w:color w:val="222222"/>
          <w:sz w:val="24"/>
          <w:szCs w:val="24"/>
          <w:shd w:val="clear" w:color="auto" w:fill="FFFFFF"/>
        </w:rPr>
        <w:t>Sosyal medya kullanımının rekreasyon eğilimleri üzerindeki etkisinin incelenmesi</w:t>
      </w:r>
      <w:r>
        <w:rPr>
          <w:rFonts w:eastAsia="Calibri"/>
          <w:color w:val="222222"/>
          <w:sz w:val="24"/>
          <w:szCs w:val="24"/>
          <w:shd w:val="clear" w:color="auto" w:fill="FFFFFF"/>
        </w:rPr>
        <w:t> (Master's thesis, Sosyal Bilimler Enstitüsü).</w:t>
      </w:r>
    </w:p>
    <w:p w14:paraId="516755D6">
      <w:pPr>
        <w:pStyle w:val="9"/>
        <w:spacing w:before="120" w:after="120" w:line="360" w:lineRule="auto"/>
        <w:ind w:left="567" w:hanging="567"/>
      </w:pPr>
      <w:r>
        <w:t>Daghestanı, L.: 2013. The Design, Implementation And Evaluation Of A Desktop Vr For Teaching Numeracy</w:t>
      </w:r>
      <w:r>
        <w:rPr>
          <w:spacing w:val="-1"/>
        </w:rPr>
        <w:t xml:space="preserve"> </w:t>
      </w:r>
      <w:r>
        <w:t>Concepts Via Virtual Manipulatives, Doktora Tezi, University Of Huddersfield, West Yorkshire, England.</w:t>
      </w:r>
    </w:p>
    <w:p w14:paraId="6A7E33EE">
      <w:pPr>
        <w:spacing w:before="120" w:after="120" w:line="360" w:lineRule="auto"/>
        <w:ind w:left="567" w:hanging="567"/>
        <w:jc w:val="both"/>
        <w:rPr>
          <w:sz w:val="24"/>
          <w:szCs w:val="24"/>
        </w:rPr>
      </w:pPr>
      <w:r>
        <w:rPr>
          <w:sz w:val="24"/>
          <w:szCs w:val="24"/>
        </w:rPr>
        <w:t xml:space="preserve">Das, S. (2024). </w:t>
      </w:r>
      <w:r>
        <w:rPr>
          <w:i/>
          <w:sz w:val="24"/>
          <w:szCs w:val="24"/>
        </w:rPr>
        <w:t xml:space="preserve">Exploring finger-based solutions for transitioning in reality-virtuality continuum </w:t>
      </w:r>
      <w:r>
        <w:rPr>
          <w:sz w:val="24"/>
          <w:szCs w:val="24"/>
        </w:rPr>
        <w:t>(Doctoral dissertation, University of British Columbia).</w:t>
      </w:r>
    </w:p>
    <w:p w14:paraId="73790365">
      <w:pPr>
        <w:pStyle w:val="9"/>
        <w:spacing w:before="120" w:after="120" w:line="360" w:lineRule="auto"/>
        <w:ind w:left="567" w:hanging="567"/>
      </w:pPr>
      <w:r>
        <w:t>Davis,</w:t>
      </w:r>
      <w:r>
        <w:rPr>
          <w:spacing w:val="-1"/>
        </w:rPr>
        <w:t xml:space="preserve"> </w:t>
      </w:r>
      <w:r>
        <w:t>F. D. (1989). Perceived</w:t>
      </w:r>
      <w:r>
        <w:rPr>
          <w:spacing w:val="-2"/>
        </w:rPr>
        <w:t xml:space="preserve"> </w:t>
      </w:r>
      <w:r>
        <w:t>Usefulness,</w:t>
      </w:r>
      <w:r>
        <w:rPr>
          <w:spacing w:val="-1"/>
        </w:rPr>
        <w:t xml:space="preserve"> </w:t>
      </w:r>
      <w:r>
        <w:t>Perceived</w:t>
      </w:r>
      <w:r>
        <w:rPr>
          <w:spacing w:val="-1"/>
        </w:rPr>
        <w:t xml:space="preserve"> </w:t>
      </w:r>
      <w:r>
        <w:t>Ease</w:t>
      </w:r>
      <w:r>
        <w:rPr>
          <w:spacing w:val="-2"/>
        </w:rPr>
        <w:t xml:space="preserve"> </w:t>
      </w:r>
      <w:r>
        <w:t>of Use, and User</w:t>
      </w:r>
      <w:r>
        <w:rPr>
          <w:spacing w:val="-2"/>
        </w:rPr>
        <w:t xml:space="preserve"> </w:t>
      </w:r>
      <w:r>
        <w:t xml:space="preserve">Acceptance of Information Technology. </w:t>
      </w:r>
      <w:r>
        <w:rPr>
          <w:i/>
        </w:rPr>
        <w:t>MIS Quarterly, 13</w:t>
      </w:r>
      <w:r>
        <w:t>(3), 319-340.</w:t>
      </w:r>
    </w:p>
    <w:p w14:paraId="40AE635D">
      <w:pPr>
        <w:pStyle w:val="9"/>
        <w:spacing w:before="120" w:after="120" w:line="360" w:lineRule="auto"/>
        <w:ind w:left="567" w:hanging="567"/>
      </w:pPr>
      <w:r>
        <w:t>Davis,</w:t>
      </w:r>
      <w:r>
        <w:rPr>
          <w:spacing w:val="-12"/>
        </w:rPr>
        <w:t xml:space="preserve"> </w:t>
      </w:r>
      <w:r>
        <w:t>F.</w:t>
      </w:r>
      <w:r>
        <w:rPr>
          <w:spacing w:val="-11"/>
        </w:rPr>
        <w:t xml:space="preserve"> </w:t>
      </w:r>
      <w:r>
        <w:t>D.</w:t>
      </w:r>
      <w:r>
        <w:rPr>
          <w:spacing w:val="-11"/>
        </w:rPr>
        <w:t xml:space="preserve"> </w:t>
      </w:r>
      <w:r>
        <w:t>(1993).</w:t>
      </w:r>
      <w:r>
        <w:rPr>
          <w:spacing w:val="-11"/>
        </w:rPr>
        <w:t xml:space="preserve"> </w:t>
      </w:r>
      <w:r>
        <w:t>User</w:t>
      </w:r>
      <w:r>
        <w:rPr>
          <w:spacing w:val="-12"/>
        </w:rPr>
        <w:t xml:space="preserve"> </w:t>
      </w:r>
      <w:r>
        <w:t>acceptance</w:t>
      </w:r>
      <w:r>
        <w:rPr>
          <w:spacing w:val="-14"/>
        </w:rPr>
        <w:t xml:space="preserve"> </w:t>
      </w:r>
      <w:r>
        <w:t>of</w:t>
      </w:r>
      <w:r>
        <w:rPr>
          <w:spacing w:val="-14"/>
        </w:rPr>
        <w:t xml:space="preserve"> </w:t>
      </w:r>
      <w:r>
        <w:t>information</w:t>
      </w:r>
      <w:r>
        <w:rPr>
          <w:spacing w:val="-13"/>
        </w:rPr>
        <w:t xml:space="preserve"> </w:t>
      </w:r>
      <w:r>
        <w:t>technology:</w:t>
      </w:r>
      <w:r>
        <w:rPr>
          <w:spacing w:val="-13"/>
        </w:rPr>
        <w:t xml:space="preserve"> </w:t>
      </w:r>
      <w:r>
        <w:t>system</w:t>
      </w:r>
      <w:r>
        <w:rPr>
          <w:spacing w:val="-10"/>
        </w:rPr>
        <w:t xml:space="preserve"> </w:t>
      </w:r>
      <w:r>
        <w:t>characteristics,</w:t>
      </w:r>
      <w:r>
        <w:rPr>
          <w:spacing w:val="-13"/>
        </w:rPr>
        <w:t xml:space="preserve"> </w:t>
      </w:r>
      <w:r>
        <w:t>user perceptions and behavioral impacts. International Journal of Man-Machine Studies, 38(3), 475-487.</w:t>
      </w:r>
    </w:p>
    <w:p w14:paraId="3FC87608">
      <w:pPr>
        <w:pStyle w:val="9"/>
        <w:spacing w:before="120" w:after="120" w:line="360" w:lineRule="auto"/>
        <w:ind w:left="567" w:hanging="567"/>
      </w:pPr>
      <w:r>
        <w:t xml:space="preserve">Davis, F. D., Bagozzi, R. P., &amp; Warshaw, P. R. (1989). User Acceptance of Computer Technology: A Comparison of Two Theoretical Models. </w:t>
      </w:r>
      <w:r>
        <w:rPr>
          <w:i/>
        </w:rPr>
        <w:t>Management Science, 35</w:t>
      </w:r>
      <w:r>
        <w:t>(8), 982-1003.</w:t>
      </w:r>
    </w:p>
    <w:p w14:paraId="133DC18F">
      <w:pPr>
        <w:pStyle w:val="9"/>
        <w:spacing w:before="120" w:after="120" w:line="360" w:lineRule="auto"/>
        <w:ind w:left="567" w:hanging="567"/>
      </w:pPr>
      <w:r>
        <w:t xml:space="preserve">DeCoster, E. (2004). Money, Happiness and the Importance of Motivation, </w:t>
      </w:r>
      <w:r>
        <w:fldChar w:fldCharType="begin"/>
      </w:r>
      <w:r>
        <w:instrText xml:space="preserve"> HYPERLINK "http://faculty.evansville.edu/jl3/psych49/Emily20deCoster.htm" \h </w:instrText>
      </w:r>
      <w:r>
        <w:fldChar w:fldCharType="separate"/>
      </w:r>
      <w:r>
        <w:rPr>
          <w:spacing w:val="-2"/>
        </w:rPr>
        <w:t>http://faculty.evansville.edu/jl3/psych49/Emily20deCoster.htm</w:t>
      </w:r>
      <w:r>
        <w:rPr>
          <w:spacing w:val="-2"/>
        </w:rPr>
        <w:fldChar w:fldCharType="end"/>
      </w:r>
    </w:p>
    <w:p w14:paraId="5043E861">
      <w:pPr>
        <w:pStyle w:val="9"/>
        <w:spacing w:before="120" w:after="120" w:line="360" w:lineRule="auto"/>
        <w:ind w:left="567" w:hanging="567"/>
        <w:rPr>
          <w:spacing w:val="-4"/>
        </w:rPr>
      </w:pPr>
      <w:r>
        <w:t>Dede,</w:t>
      </w:r>
      <w:r>
        <w:rPr>
          <w:spacing w:val="-15"/>
        </w:rPr>
        <w:t xml:space="preserve"> </w:t>
      </w:r>
      <w:r>
        <w:t>C.</w:t>
      </w:r>
      <w:r>
        <w:rPr>
          <w:spacing w:val="-15"/>
        </w:rPr>
        <w:t xml:space="preserve"> </w:t>
      </w:r>
      <w:r>
        <w:t>(2009).</w:t>
      </w:r>
      <w:r>
        <w:rPr>
          <w:spacing w:val="-15"/>
        </w:rPr>
        <w:t xml:space="preserve"> </w:t>
      </w:r>
      <w:r>
        <w:t>Immersive</w:t>
      </w:r>
      <w:r>
        <w:rPr>
          <w:spacing w:val="-15"/>
        </w:rPr>
        <w:t xml:space="preserve"> </w:t>
      </w:r>
      <w:r>
        <w:t>interfaces</w:t>
      </w:r>
      <w:r>
        <w:rPr>
          <w:spacing w:val="-15"/>
        </w:rPr>
        <w:t xml:space="preserve"> </w:t>
      </w:r>
      <w:r>
        <w:t>for</w:t>
      </w:r>
      <w:r>
        <w:rPr>
          <w:spacing w:val="-15"/>
        </w:rPr>
        <w:t xml:space="preserve"> </w:t>
      </w:r>
      <w:r>
        <w:t>engagement</w:t>
      </w:r>
      <w:r>
        <w:rPr>
          <w:spacing w:val="-15"/>
        </w:rPr>
        <w:t xml:space="preserve"> </w:t>
      </w:r>
      <w:r>
        <w:t>and</w:t>
      </w:r>
      <w:r>
        <w:rPr>
          <w:spacing w:val="-15"/>
        </w:rPr>
        <w:t xml:space="preserve"> </w:t>
      </w:r>
      <w:r>
        <w:t>learning.</w:t>
      </w:r>
      <w:r>
        <w:rPr>
          <w:spacing w:val="-15"/>
        </w:rPr>
        <w:t xml:space="preserve"> </w:t>
      </w:r>
      <w:r>
        <w:rPr>
          <w:i/>
        </w:rPr>
        <w:t>Science</w:t>
      </w:r>
      <w:r>
        <w:t>,</w:t>
      </w:r>
      <w:r>
        <w:rPr>
          <w:spacing w:val="-15"/>
        </w:rPr>
        <w:t xml:space="preserve"> </w:t>
      </w:r>
      <w:r>
        <w:t>323(5910),</w:t>
      </w:r>
      <w:r>
        <w:rPr>
          <w:spacing w:val="-15"/>
        </w:rPr>
        <w:t xml:space="preserve"> </w:t>
      </w:r>
      <w:r>
        <w:t xml:space="preserve">66- </w:t>
      </w:r>
      <w:r>
        <w:rPr>
          <w:spacing w:val="-4"/>
        </w:rPr>
        <w:t>69.</w:t>
      </w:r>
    </w:p>
    <w:p w14:paraId="4E5D5084">
      <w:pPr>
        <w:widowControl/>
        <w:autoSpaceDE/>
        <w:autoSpaceDN/>
        <w:spacing w:before="120" w:after="120" w:line="360" w:lineRule="auto"/>
        <w:ind w:left="567" w:hanging="567"/>
        <w:jc w:val="both"/>
        <w:rPr>
          <w:rFonts w:eastAsia="Calibri"/>
          <w:color w:val="222222"/>
          <w:sz w:val="24"/>
          <w:szCs w:val="24"/>
          <w:shd w:val="clear" w:color="auto" w:fill="FFFFFF"/>
        </w:rPr>
      </w:pPr>
      <w:r>
        <w:rPr>
          <w:rFonts w:eastAsia="Calibri"/>
          <w:color w:val="222222"/>
          <w:sz w:val="24"/>
          <w:szCs w:val="24"/>
          <w:shd w:val="clear" w:color="auto" w:fill="FFFFFF"/>
        </w:rPr>
        <w:t>Demir, R., Tanhan, A., Çiçek, İ., Yerlikaya, İ., Kurt, S. Ç., &amp; Ünverdi, B. (2021). Yaşam kalitesinin yordayıcıları olarak psikolojik iyi oluş ve yaşam doyumu. </w:t>
      </w:r>
      <w:r>
        <w:rPr>
          <w:rFonts w:eastAsia="Calibri"/>
          <w:i/>
          <w:iCs/>
          <w:color w:val="222222"/>
          <w:sz w:val="24"/>
          <w:szCs w:val="24"/>
          <w:shd w:val="clear" w:color="auto" w:fill="FFFFFF"/>
        </w:rPr>
        <w:t>Yaşadıkça Eğitim</w:t>
      </w:r>
      <w:r>
        <w:rPr>
          <w:rFonts w:eastAsia="Calibri"/>
          <w:color w:val="222222"/>
          <w:sz w:val="24"/>
          <w:szCs w:val="24"/>
          <w:shd w:val="clear" w:color="auto" w:fill="FFFFFF"/>
        </w:rPr>
        <w:t>, </w:t>
      </w:r>
      <w:r>
        <w:rPr>
          <w:rFonts w:eastAsia="Calibri"/>
          <w:i/>
          <w:iCs/>
          <w:color w:val="222222"/>
          <w:sz w:val="24"/>
          <w:szCs w:val="24"/>
          <w:shd w:val="clear" w:color="auto" w:fill="FFFFFF"/>
        </w:rPr>
        <w:t>35</w:t>
      </w:r>
      <w:r>
        <w:rPr>
          <w:rFonts w:eastAsia="Calibri"/>
          <w:color w:val="222222"/>
          <w:sz w:val="24"/>
          <w:szCs w:val="24"/>
          <w:shd w:val="clear" w:color="auto" w:fill="FFFFFF"/>
        </w:rPr>
        <w:t>(1), 192-206.</w:t>
      </w:r>
    </w:p>
    <w:p w14:paraId="53E85803">
      <w:pPr>
        <w:pStyle w:val="9"/>
        <w:spacing w:before="120" w:after="120" w:line="360" w:lineRule="auto"/>
        <w:ind w:left="567" w:hanging="567"/>
      </w:pPr>
      <w:r>
        <w:t>Demiral, Y. (2001). “Çalışanlarda ve İşsizlerde Yaşam Kalitesine Etki Eden Etmenler ve Yaşam Kalitesi Düzeylerinin Karşılaştırılması”, Dokuz Eylül Üniversitesi Sağlık Bilimleri Enstitüsü Halk Sağlığı Anabilim Dalı Doktora Tezi, İzmir.</w:t>
      </w:r>
    </w:p>
    <w:p w14:paraId="1A89CB0E">
      <w:pPr>
        <w:pStyle w:val="9"/>
        <w:spacing w:before="120" w:after="120" w:line="360" w:lineRule="auto"/>
        <w:ind w:left="567" w:hanging="567"/>
      </w:pPr>
      <w:r>
        <w:t>Demiray,</w:t>
      </w:r>
      <w:r>
        <w:rPr>
          <w:spacing w:val="-6"/>
        </w:rPr>
        <w:t xml:space="preserve"> </w:t>
      </w:r>
      <w:r>
        <w:t>U.</w:t>
      </w:r>
      <w:r>
        <w:rPr>
          <w:spacing w:val="-6"/>
        </w:rPr>
        <w:t xml:space="preserve"> </w:t>
      </w:r>
      <w:r>
        <w:t>(1986).</w:t>
      </w:r>
      <w:r>
        <w:rPr>
          <w:spacing w:val="-6"/>
        </w:rPr>
        <w:t xml:space="preserve"> </w:t>
      </w:r>
      <w:r>
        <w:t>Açıköğretim</w:t>
      </w:r>
      <w:r>
        <w:rPr>
          <w:spacing w:val="-6"/>
        </w:rPr>
        <w:t xml:space="preserve"> </w:t>
      </w:r>
      <w:r>
        <w:t>Fakültesi</w:t>
      </w:r>
      <w:r>
        <w:rPr>
          <w:spacing w:val="-6"/>
        </w:rPr>
        <w:t xml:space="preserve"> </w:t>
      </w:r>
      <w:r>
        <w:t>Öğrencilerinin</w:t>
      </w:r>
      <w:r>
        <w:rPr>
          <w:spacing w:val="-6"/>
        </w:rPr>
        <w:t xml:space="preserve"> </w:t>
      </w:r>
      <w:r>
        <w:t>Boş</w:t>
      </w:r>
      <w:r>
        <w:rPr>
          <w:spacing w:val="-7"/>
        </w:rPr>
        <w:t xml:space="preserve"> </w:t>
      </w:r>
      <w:r>
        <w:t>Zamanlarını</w:t>
      </w:r>
      <w:r>
        <w:rPr>
          <w:spacing w:val="-6"/>
        </w:rPr>
        <w:t xml:space="preserve"> </w:t>
      </w:r>
      <w:r>
        <w:t>Değerlendirme Eğilimleri, Yayımlanmamış Doktora Tezi, Anadolu Üniversitesi Sosyal Bilimler Enstitüsü, Eskişehir.</w:t>
      </w:r>
    </w:p>
    <w:p w14:paraId="28D70776">
      <w:pPr>
        <w:spacing w:before="120" w:after="120" w:line="360" w:lineRule="auto"/>
        <w:ind w:left="567" w:hanging="567"/>
        <w:jc w:val="both"/>
        <w:rPr>
          <w:sz w:val="24"/>
          <w:szCs w:val="24"/>
        </w:rPr>
      </w:pPr>
      <w:r>
        <w:rPr>
          <w:sz w:val="24"/>
          <w:szCs w:val="24"/>
        </w:rPr>
        <w:t xml:space="preserve">Demirci, Ş. (2018). Giyilebilir teknolojilerin sağlık hizmetlerine ve sağlık hizmet kullanıcılarına etkileri. </w:t>
      </w:r>
      <w:r>
        <w:rPr>
          <w:i/>
          <w:sz w:val="24"/>
          <w:szCs w:val="24"/>
        </w:rPr>
        <w:t>Anemon Muş Alparslan Üniversitesi Sosyal Bilimler</w:t>
      </w:r>
      <w:r>
        <w:rPr>
          <w:i/>
          <w:spacing w:val="40"/>
          <w:sz w:val="24"/>
          <w:szCs w:val="24"/>
        </w:rPr>
        <w:t xml:space="preserve"> </w:t>
      </w:r>
      <w:r>
        <w:rPr>
          <w:i/>
          <w:sz w:val="24"/>
          <w:szCs w:val="24"/>
        </w:rPr>
        <w:t>Dergisi</w:t>
      </w:r>
      <w:r>
        <w:rPr>
          <w:sz w:val="24"/>
          <w:szCs w:val="24"/>
        </w:rPr>
        <w:t xml:space="preserve">, </w:t>
      </w:r>
      <w:r>
        <w:rPr>
          <w:i/>
          <w:sz w:val="24"/>
          <w:szCs w:val="24"/>
        </w:rPr>
        <w:t>6</w:t>
      </w:r>
      <w:r>
        <w:rPr>
          <w:sz w:val="24"/>
          <w:szCs w:val="24"/>
        </w:rPr>
        <w:t>(6), 985-992.</w:t>
      </w:r>
    </w:p>
    <w:p w14:paraId="04592EAC">
      <w:pPr>
        <w:pStyle w:val="9"/>
        <w:spacing w:before="120" w:after="120" w:line="360" w:lineRule="auto"/>
        <w:ind w:left="567" w:hanging="567"/>
      </w:pPr>
      <w:r>
        <w:t>Demirezen, B. (2019). Artırılmış Gerçeklik Ve Sanal Gerçeklik Teknolojisinin Turizm Sektöründe Kullanılabilirliği Üzerine Bir Literatür Taraması. </w:t>
      </w:r>
      <w:r>
        <w:rPr>
          <w:i/>
          <w:iCs/>
        </w:rPr>
        <w:t>Uluslararası Global Turizm Araştırmaları Dergisi</w:t>
      </w:r>
      <w:r>
        <w:t>, </w:t>
      </w:r>
      <w:r>
        <w:rPr>
          <w:i/>
          <w:iCs/>
        </w:rPr>
        <w:t>3</w:t>
      </w:r>
      <w:r>
        <w:t>(1), 1-26.</w:t>
      </w:r>
    </w:p>
    <w:p w14:paraId="12E7169E">
      <w:pPr>
        <w:pStyle w:val="9"/>
        <w:spacing w:before="120" w:after="120" w:line="360" w:lineRule="auto"/>
        <w:ind w:left="567" w:hanging="567"/>
      </w:pPr>
      <w:r>
        <w:t>Demirkaya, Y. (2010). Çekmeköy’ün sosyo-ekonomik yapısı ve kentsel yaşam kalitesi. İstanbul: Çekmeköy Belediye Başkanlığı Yayını, 15-18.</w:t>
      </w:r>
    </w:p>
    <w:p w14:paraId="6D6E2608">
      <w:pPr>
        <w:pStyle w:val="9"/>
        <w:spacing w:before="120" w:after="120" w:line="360" w:lineRule="auto"/>
        <w:ind w:left="567" w:hanging="567"/>
      </w:pPr>
      <w:r>
        <w:t>Demirkıran,</w:t>
      </w:r>
      <w:r>
        <w:rPr>
          <w:spacing w:val="-9"/>
        </w:rPr>
        <w:t xml:space="preserve"> </w:t>
      </w:r>
      <w:r>
        <w:t>S.</w:t>
      </w:r>
      <w:r>
        <w:rPr>
          <w:spacing w:val="-9"/>
        </w:rPr>
        <w:t xml:space="preserve"> </w:t>
      </w:r>
      <w:r>
        <w:t>(2012).</w:t>
      </w:r>
      <w:r>
        <w:rPr>
          <w:spacing w:val="-10"/>
        </w:rPr>
        <w:t xml:space="preserve"> </w:t>
      </w:r>
      <w:r>
        <w:t>“Yaşam</w:t>
      </w:r>
      <w:r>
        <w:rPr>
          <w:spacing w:val="-9"/>
        </w:rPr>
        <w:t xml:space="preserve"> </w:t>
      </w:r>
      <w:r>
        <w:t>Kalitesi</w:t>
      </w:r>
      <w:r>
        <w:rPr>
          <w:spacing w:val="-9"/>
        </w:rPr>
        <w:t xml:space="preserve"> </w:t>
      </w:r>
      <w:r>
        <w:t>ve</w:t>
      </w:r>
      <w:r>
        <w:rPr>
          <w:spacing w:val="-10"/>
        </w:rPr>
        <w:t xml:space="preserve"> </w:t>
      </w:r>
      <w:r>
        <w:t>Sağlık</w:t>
      </w:r>
      <w:r>
        <w:rPr>
          <w:spacing w:val="-9"/>
        </w:rPr>
        <w:t xml:space="preserve"> </w:t>
      </w:r>
      <w:r>
        <w:t>Çalışanları”,</w:t>
      </w:r>
      <w:r>
        <w:rPr>
          <w:spacing w:val="-7"/>
        </w:rPr>
        <w:t xml:space="preserve"> </w:t>
      </w:r>
      <w:r>
        <w:t>Beykent</w:t>
      </w:r>
      <w:r>
        <w:rPr>
          <w:spacing w:val="-9"/>
        </w:rPr>
        <w:t xml:space="preserve"> </w:t>
      </w:r>
      <w:r>
        <w:t>Üniversitesi</w:t>
      </w:r>
      <w:r>
        <w:rPr>
          <w:spacing w:val="-9"/>
        </w:rPr>
        <w:t xml:space="preserve"> </w:t>
      </w:r>
      <w:r>
        <w:t>Sosyal Bilimler</w:t>
      </w:r>
      <w:r>
        <w:rPr>
          <w:spacing w:val="-6"/>
        </w:rPr>
        <w:t xml:space="preserve"> </w:t>
      </w:r>
      <w:r>
        <w:t>Enstitüsü</w:t>
      </w:r>
      <w:r>
        <w:rPr>
          <w:spacing w:val="-2"/>
        </w:rPr>
        <w:t xml:space="preserve"> </w:t>
      </w:r>
      <w:r>
        <w:t>İşletme</w:t>
      </w:r>
      <w:r>
        <w:rPr>
          <w:spacing w:val="-5"/>
        </w:rPr>
        <w:t xml:space="preserve"> </w:t>
      </w:r>
      <w:r>
        <w:t>Yönetimi</w:t>
      </w:r>
      <w:r>
        <w:rPr>
          <w:spacing w:val="-4"/>
        </w:rPr>
        <w:t xml:space="preserve"> </w:t>
      </w:r>
      <w:r>
        <w:t>Anabilim</w:t>
      </w:r>
      <w:r>
        <w:rPr>
          <w:spacing w:val="-4"/>
        </w:rPr>
        <w:t xml:space="preserve"> </w:t>
      </w:r>
      <w:r>
        <w:t>Dalı</w:t>
      </w:r>
      <w:r>
        <w:rPr>
          <w:spacing w:val="-4"/>
        </w:rPr>
        <w:t xml:space="preserve"> </w:t>
      </w:r>
      <w:r>
        <w:t>Hastane</w:t>
      </w:r>
      <w:r>
        <w:rPr>
          <w:spacing w:val="-3"/>
        </w:rPr>
        <w:t xml:space="preserve"> </w:t>
      </w:r>
      <w:r>
        <w:t>ve</w:t>
      </w:r>
      <w:r>
        <w:rPr>
          <w:spacing w:val="-3"/>
        </w:rPr>
        <w:t xml:space="preserve"> </w:t>
      </w:r>
      <w:r>
        <w:t>Sağlık</w:t>
      </w:r>
      <w:r>
        <w:rPr>
          <w:spacing w:val="-4"/>
        </w:rPr>
        <w:t xml:space="preserve"> </w:t>
      </w:r>
      <w:r>
        <w:t>Kurumları Yönetimi Bilim Dalı, Yayınlanmamış Yüksek Lisans Tezi, İstanbul.</w:t>
      </w:r>
    </w:p>
    <w:p w14:paraId="08D8F299">
      <w:pPr>
        <w:pStyle w:val="9"/>
        <w:spacing w:before="120" w:after="120" w:line="360" w:lineRule="auto"/>
        <w:ind w:left="567" w:hanging="567"/>
      </w:pPr>
      <w:r>
        <w:t>Derman,</w:t>
      </w:r>
      <w:r>
        <w:rPr>
          <w:spacing w:val="-12"/>
        </w:rPr>
        <w:t xml:space="preserve"> </w:t>
      </w:r>
      <w:r>
        <w:t>E.</w:t>
      </w:r>
      <w:r>
        <w:rPr>
          <w:spacing w:val="-12"/>
        </w:rPr>
        <w:t xml:space="preserve"> </w:t>
      </w:r>
      <w:r>
        <w:t>(2012),</w:t>
      </w:r>
      <w:r>
        <w:rPr>
          <w:spacing w:val="-12"/>
        </w:rPr>
        <w:t xml:space="preserve"> </w:t>
      </w:r>
      <w:r>
        <w:t>360</w:t>
      </w:r>
      <w:r>
        <w:rPr>
          <w:spacing w:val="-12"/>
        </w:rPr>
        <w:t xml:space="preserve"> </w:t>
      </w:r>
      <w:r>
        <w:t>Derece</w:t>
      </w:r>
      <w:r>
        <w:rPr>
          <w:spacing w:val="-13"/>
        </w:rPr>
        <w:t xml:space="preserve"> </w:t>
      </w:r>
      <w:r>
        <w:t>Panoramik</w:t>
      </w:r>
      <w:r>
        <w:rPr>
          <w:spacing w:val="-12"/>
        </w:rPr>
        <w:t xml:space="preserve"> </w:t>
      </w:r>
      <w:r>
        <w:t>Sanal</w:t>
      </w:r>
      <w:r>
        <w:rPr>
          <w:spacing w:val="-11"/>
        </w:rPr>
        <w:t xml:space="preserve"> </w:t>
      </w:r>
      <w:r>
        <w:t>Tur</w:t>
      </w:r>
      <w:r>
        <w:rPr>
          <w:spacing w:val="-13"/>
        </w:rPr>
        <w:t xml:space="preserve"> </w:t>
      </w:r>
      <w:r>
        <w:t>Uygulaması</w:t>
      </w:r>
      <w:r>
        <w:rPr>
          <w:spacing w:val="-11"/>
        </w:rPr>
        <w:t xml:space="preserve"> </w:t>
      </w:r>
      <w:r>
        <w:t>(Dumlupınar</w:t>
      </w:r>
      <w:r>
        <w:rPr>
          <w:spacing w:val="-13"/>
        </w:rPr>
        <w:t xml:space="preserve"> </w:t>
      </w:r>
      <w:r>
        <w:t>Üniversitesi Örneği)", Yayınlanmış Yüksek Lisans Tezi, Dumlupınar Üniversitesi Sosyal Bilimler Enstitüsü, Kütahya.</w:t>
      </w:r>
    </w:p>
    <w:p w14:paraId="0A505118">
      <w:pPr>
        <w:pStyle w:val="9"/>
        <w:spacing w:before="120" w:after="120" w:line="360" w:lineRule="auto"/>
        <w:ind w:left="567" w:hanging="567"/>
      </w:pPr>
      <w:r>
        <w:t>Diener, E., Suh, E. M., Lucas, R. E., &amp; Smith, H. L. (1999). Subjective Well-Being: Three Decades of Progress. Psychological Bulletin, 125(2), 276-302.</w:t>
      </w:r>
    </w:p>
    <w:p w14:paraId="59AA114C">
      <w:pPr>
        <w:pStyle w:val="9"/>
        <w:spacing w:before="120" w:after="120" w:line="360" w:lineRule="auto"/>
        <w:ind w:left="567" w:hanging="567"/>
      </w:pPr>
      <w:r>
        <w:t>Doğduay, G. (2013). Engelli bireye sahip ebeveynlerde sporun yaşam kalitesine etkisi (Master's thesis, Sakarya Universitesi (Turkey)).s:47</w:t>
      </w:r>
    </w:p>
    <w:p w14:paraId="6A3CEFB2">
      <w:pPr>
        <w:pStyle w:val="9"/>
        <w:spacing w:before="120" w:after="120" w:line="360" w:lineRule="auto"/>
        <w:ind w:left="567" w:hanging="567"/>
      </w:pPr>
      <w:r>
        <w:t>Doherty,</w:t>
      </w:r>
      <w:r>
        <w:rPr>
          <w:spacing w:val="-17"/>
        </w:rPr>
        <w:t xml:space="preserve"> </w:t>
      </w:r>
      <w:r>
        <w:t>M.</w:t>
      </w:r>
      <w:r>
        <w:rPr>
          <w:spacing w:val="-15"/>
        </w:rPr>
        <w:t xml:space="preserve"> </w:t>
      </w:r>
      <w:r>
        <w:t>(2009).</w:t>
      </w:r>
      <w:r>
        <w:rPr>
          <w:spacing w:val="-15"/>
        </w:rPr>
        <w:t xml:space="preserve"> </w:t>
      </w:r>
      <w:r>
        <w:t>Theory</w:t>
      </w:r>
      <w:r>
        <w:rPr>
          <w:spacing w:val="-20"/>
        </w:rPr>
        <w:t xml:space="preserve"> </w:t>
      </w:r>
      <w:r>
        <w:t>of</w:t>
      </w:r>
      <w:r>
        <w:rPr>
          <w:spacing w:val="-16"/>
        </w:rPr>
        <w:t xml:space="preserve"> </w:t>
      </w:r>
      <w:r>
        <w:t>mind.</w:t>
      </w:r>
      <w:r>
        <w:rPr>
          <w:spacing w:val="-15"/>
        </w:rPr>
        <w:t xml:space="preserve"> </w:t>
      </w:r>
      <w:r>
        <w:t>How</w:t>
      </w:r>
      <w:r>
        <w:rPr>
          <w:spacing w:val="-15"/>
        </w:rPr>
        <w:t xml:space="preserve"> </w:t>
      </w:r>
      <w:r>
        <w:t>children</w:t>
      </w:r>
      <w:r>
        <w:rPr>
          <w:spacing w:val="-15"/>
        </w:rPr>
        <w:t xml:space="preserve"> </w:t>
      </w:r>
      <w:r>
        <w:t>understand</w:t>
      </w:r>
      <w:r>
        <w:rPr>
          <w:spacing w:val="-15"/>
        </w:rPr>
        <w:t xml:space="preserve"> </w:t>
      </w:r>
      <w:r>
        <w:t>others’</w:t>
      </w:r>
      <w:r>
        <w:rPr>
          <w:spacing w:val="-16"/>
        </w:rPr>
        <w:t xml:space="preserve"> </w:t>
      </w:r>
      <w:r>
        <w:t>thoughts</w:t>
      </w:r>
      <w:r>
        <w:rPr>
          <w:spacing w:val="-14"/>
        </w:rPr>
        <w:t xml:space="preserve"> </w:t>
      </w:r>
      <w:r>
        <w:t>and</w:t>
      </w:r>
      <w:r>
        <w:rPr>
          <w:spacing w:val="-15"/>
        </w:rPr>
        <w:t xml:space="preserve"> </w:t>
      </w:r>
      <w:r>
        <w:rPr>
          <w:spacing w:val="-2"/>
        </w:rPr>
        <w:t>feelings.</w:t>
      </w:r>
    </w:p>
    <w:p w14:paraId="2E83C574">
      <w:pPr>
        <w:pStyle w:val="9"/>
        <w:spacing w:before="120" w:after="120" w:line="360" w:lineRule="auto"/>
        <w:ind w:left="567" w:hanging="567"/>
      </w:pPr>
      <w:r>
        <w:t>Doi,</w:t>
      </w:r>
      <w:r>
        <w:rPr>
          <w:spacing w:val="-1"/>
        </w:rPr>
        <w:t xml:space="preserve"> </w:t>
      </w:r>
      <w:r>
        <w:t>K.,</w:t>
      </w:r>
      <w:r>
        <w:rPr>
          <w:spacing w:val="-2"/>
        </w:rPr>
        <w:t xml:space="preserve"> </w:t>
      </w:r>
      <w:r>
        <w:t>Kii,</w:t>
      </w:r>
      <w:r>
        <w:rPr>
          <w:spacing w:val="-1"/>
        </w:rPr>
        <w:t xml:space="preserve"> </w:t>
      </w:r>
      <w:r>
        <w:t>M.,</w:t>
      </w:r>
      <w:r>
        <w:rPr>
          <w:spacing w:val="-3"/>
        </w:rPr>
        <w:t xml:space="preserve"> </w:t>
      </w:r>
      <w:r>
        <w:t>&amp;</w:t>
      </w:r>
      <w:r>
        <w:rPr>
          <w:spacing w:val="-3"/>
        </w:rPr>
        <w:t xml:space="preserve"> </w:t>
      </w:r>
      <w:r>
        <w:t>Nakanishi,</w:t>
      </w:r>
      <w:r>
        <w:rPr>
          <w:spacing w:val="-1"/>
        </w:rPr>
        <w:t xml:space="preserve"> </w:t>
      </w:r>
      <w:r>
        <w:t>H.</w:t>
      </w:r>
      <w:r>
        <w:rPr>
          <w:spacing w:val="-2"/>
        </w:rPr>
        <w:t xml:space="preserve"> </w:t>
      </w:r>
      <w:r>
        <w:t>(2008).</w:t>
      </w:r>
      <w:r>
        <w:rPr>
          <w:spacing w:val="-2"/>
        </w:rPr>
        <w:t xml:space="preserve"> </w:t>
      </w:r>
      <w:r>
        <w:t>An</w:t>
      </w:r>
      <w:r>
        <w:rPr>
          <w:spacing w:val="-2"/>
        </w:rPr>
        <w:t xml:space="preserve"> </w:t>
      </w:r>
      <w:r>
        <w:t>integrated</w:t>
      </w:r>
      <w:r>
        <w:rPr>
          <w:spacing w:val="-2"/>
        </w:rPr>
        <w:t xml:space="preserve"> </w:t>
      </w:r>
      <w:r>
        <w:t>evaluation</w:t>
      </w:r>
      <w:r>
        <w:rPr>
          <w:spacing w:val="-1"/>
        </w:rPr>
        <w:t xml:space="preserve"> </w:t>
      </w:r>
      <w:r>
        <w:t>method</w:t>
      </w:r>
      <w:r>
        <w:rPr>
          <w:spacing w:val="-1"/>
        </w:rPr>
        <w:t xml:space="preserve"> </w:t>
      </w:r>
      <w:r>
        <w:t>of</w:t>
      </w:r>
      <w:r>
        <w:rPr>
          <w:spacing w:val="-2"/>
        </w:rPr>
        <w:t xml:space="preserve"> </w:t>
      </w:r>
      <w:r>
        <w:t>accessibility, quality</w:t>
      </w:r>
      <w:r>
        <w:rPr>
          <w:spacing w:val="40"/>
        </w:rPr>
        <w:t xml:space="preserve"> </w:t>
      </w:r>
      <w:r>
        <w:t>of</w:t>
      </w:r>
      <w:r>
        <w:rPr>
          <w:spacing w:val="40"/>
        </w:rPr>
        <w:t xml:space="preserve"> </w:t>
      </w:r>
      <w:r>
        <w:t>life,</w:t>
      </w:r>
      <w:r>
        <w:rPr>
          <w:spacing w:val="40"/>
        </w:rPr>
        <w:t xml:space="preserve"> </w:t>
      </w:r>
      <w:r>
        <w:t>and</w:t>
      </w:r>
      <w:r>
        <w:rPr>
          <w:spacing w:val="40"/>
        </w:rPr>
        <w:t xml:space="preserve"> </w:t>
      </w:r>
      <w:r>
        <w:t>social</w:t>
      </w:r>
      <w:r>
        <w:rPr>
          <w:spacing w:val="40"/>
        </w:rPr>
        <w:t xml:space="preserve"> </w:t>
      </w:r>
      <w:r>
        <w:t>interaction. Environment</w:t>
      </w:r>
      <w:r>
        <w:rPr>
          <w:spacing w:val="40"/>
        </w:rPr>
        <w:t xml:space="preserve"> </w:t>
      </w:r>
      <w:r>
        <w:t>and</w:t>
      </w:r>
      <w:r>
        <w:rPr>
          <w:spacing w:val="40"/>
        </w:rPr>
        <w:t xml:space="preserve"> </w:t>
      </w:r>
      <w:r>
        <w:t>Planning</w:t>
      </w:r>
      <w:r>
        <w:rPr>
          <w:spacing w:val="40"/>
        </w:rPr>
        <w:t xml:space="preserve"> </w:t>
      </w:r>
      <w:r>
        <w:t>B:</w:t>
      </w:r>
      <w:r>
        <w:rPr>
          <w:spacing w:val="40"/>
        </w:rPr>
        <w:t xml:space="preserve"> </w:t>
      </w:r>
      <w:r>
        <w:t>Planning</w:t>
      </w:r>
      <w:r>
        <w:rPr>
          <w:spacing w:val="40"/>
        </w:rPr>
        <w:t xml:space="preserve"> </w:t>
      </w:r>
      <w:r>
        <w:t>and Design, 35(6), 1098-1116.</w:t>
      </w:r>
    </w:p>
    <w:p w14:paraId="0D3D1B83">
      <w:pPr>
        <w:pStyle w:val="9"/>
        <w:spacing w:before="120" w:after="120" w:line="360" w:lineRule="auto"/>
        <w:ind w:left="567" w:hanging="567"/>
      </w:pPr>
      <w:r>
        <w:t>Dönmez, S. C., &amp; Erkılıç, H. (2018). 360 Derece Sanal Gerçeklik Uygulamalarını Sinema Kuramı Üzerinden Okumak Mümkün Mü?</w:t>
      </w:r>
      <w:r>
        <w:rPr>
          <w:spacing w:val="40"/>
        </w:rPr>
        <w:t xml:space="preserve"> </w:t>
      </w:r>
      <w:r>
        <w:t>Mersin Üniversitesi Sosyal Bilimler Enstitüsü Dergisi, 2(1), 40-56.</w:t>
      </w:r>
    </w:p>
    <w:p w14:paraId="5240C870">
      <w:pPr>
        <w:pStyle w:val="9"/>
        <w:spacing w:before="120" w:after="120" w:line="360" w:lineRule="auto"/>
        <w:ind w:left="567" w:hanging="567"/>
      </w:pPr>
      <w:r>
        <w:t>Dunn, J. R. (2002). Housing and Inequalities in Health: A Study of Socioeconomic Dimensions of Housing and Self-Reported Health from a Survey of Vancouver Residents. Journal of Epidemiology &amp; Community Health, 56(9), 671-681.</w:t>
      </w:r>
    </w:p>
    <w:p w14:paraId="2D227D7B">
      <w:pPr>
        <w:pStyle w:val="9"/>
        <w:spacing w:before="120" w:after="120" w:line="360" w:lineRule="auto"/>
        <w:ind w:left="567" w:hanging="567"/>
      </w:pPr>
      <w:r>
        <w:t xml:space="preserve">Dünya Sağlık Örgütü, (2012). WHOQOL: Measuring Quality of Life, </w:t>
      </w:r>
      <w:r>
        <w:fldChar w:fldCharType="begin"/>
      </w:r>
      <w:r>
        <w:instrText xml:space="preserve"> HYPERLINK "https://www.who.int/publications/i/item/WHO-HIS-HSI-Rev.2012.03" \h </w:instrText>
      </w:r>
      <w:r>
        <w:fldChar w:fldCharType="separate"/>
      </w:r>
      <w:r>
        <w:rPr>
          <w:spacing w:val="-2"/>
          <w:u w:val="single"/>
        </w:rPr>
        <w:t>https://www.who.int/publications/i/item/WHO-HIS-HSI-Rev.2012.03</w:t>
      </w:r>
      <w:r>
        <w:rPr>
          <w:spacing w:val="-2"/>
          <w:u w:val="single"/>
        </w:rPr>
        <w:fldChar w:fldCharType="end"/>
      </w:r>
    </w:p>
    <w:p w14:paraId="51294D2C">
      <w:pPr>
        <w:widowControl/>
        <w:autoSpaceDE/>
        <w:autoSpaceDN/>
        <w:spacing w:before="120" w:after="120" w:line="360" w:lineRule="auto"/>
        <w:ind w:left="567" w:hanging="567"/>
        <w:jc w:val="both"/>
        <w:rPr>
          <w:rFonts w:eastAsia="Calibri"/>
          <w:color w:val="222222"/>
          <w:sz w:val="24"/>
          <w:szCs w:val="24"/>
          <w:shd w:val="clear" w:color="auto" w:fill="FFFFFF"/>
        </w:rPr>
      </w:pPr>
      <w:r>
        <w:rPr>
          <w:rFonts w:eastAsia="Calibri"/>
          <w:color w:val="222222"/>
          <w:sz w:val="24"/>
          <w:szCs w:val="24"/>
          <w:shd w:val="clear" w:color="auto" w:fill="FFFFFF"/>
        </w:rPr>
        <w:t>Ekici, Y. E., &amp; Çelik, H. Z. (2022). Yaşam Kalitesi Yaklaşımlarının Çevre, Kent Ve Planlama Ekseninde Değerlendirilmesi. </w:t>
      </w:r>
      <w:r>
        <w:rPr>
          <w:rFonts w:eastAsia="Calibri"/>
          <w:i/>
          <w:iCs/>
          <w:color w:val="222222"/>
          <w:sz w:val="24"/>
          <w:szCs w:val="24"/>
          <w:shd w:val="clear" w:color="auto" w:fill="FFFFFF"/>
        </w:rPr>
        <w:t>Eksen Dokuz Eylül Üniversitesi Mimarlık Fakültesi Dergisi</w:t>
      </w:r>
      <w:r>
        <w:rPr>
          <w:rFonts w:eastAsia="Calibri"/>
          <w:color w:val="222222"/>
          <w:sz w:val="24"/>
          <w:szCs w:val="24"/>
          <w:shd w:val="clear" w:color="auto" w:fill="FFFFFF"/>
        </w:rPr>
        <w:t>, </w:t>
      </w:r>
      <w:r>
        <w:rPr>
          <w:rFonts w:eastAsia="Calibri"/>
          <w:i/>
          <w:iCs/>
          <w:color w:val="222222"/>
          <w:sz w:val="24"/>
          <w:szCs w:val="24"/>
          <w:shd w:val="clear" w:color="auto" w:fill="FFFFFF"/>
        </w:rPr>
        <w:t>3</w:t>
      </w:r>
      <w:r>
        <w:rPr>
          <w:rFonts w:eastAsia="Calibri"/>
          <w:color w:val="222222"/>
          <w:sz w:val="24"/>
          <w:szCs w:val="24"/>
          <w:shd w:val="clear" w:color="auto" w:fill="FFFFFF"/>
        </w:rPr>
        <w:t>(2), 19-37.</w:t>
      </w:r>
    </w:p>
    <w:p w14:paraId="6F31D498">
      <w:pPr>
        <w:pStyle w:val="9"/>
        <w:spacing w:before="120" w:after="120" w:line="360" w:lineRule="auto"/>
        <w:ind w:left="567" w:hanging="567"/>
      </w:pPr>
      <w:r>
        <w:t>ELT</w:t>
      </w:r>
      <w:r>
        <w:rPr>
          <w:spacing w:val="-2"/>
        </w:rPr>
        <w:t xml:space="preserve"> </w:t>
      </w:r>
      <w:r>
        <w:t>journal,</w:t>
      </w:r>
      <w:r>
        <w:rPr>
          <w:spacing w:val="-1"/>
        </w:rPr>
        <w:t xml:space="preserve"> </w:t>
      </w:r>
      <w:r>
        <w:t>58(2),</w:t>
      </w:r>
      <w:r>
        <w:rPr>
          <w:spacing w:val="-1"/>
        </w:rPr>
        <w:t xml:space="preserve"> </w:t>
      </w:r>
      <w:r>
        <w:t>118-</w:t>
      </w:r>
      <w:r>
        <w:rPr>
          <w:spacing w:val="-4"/>
        </w:rPr>
        <w:t>128.</w:t>
      </w:r>
    </w:p>
    <w:p w14:paraId="66788DD8">
      <w:pPr>
        <w:pStyle w:val="9"/>
        <w:spacing w:before="120" w:after="120" w:line="360" w:lineRule="auto"/>
        <w:ind w:left="567" w:hanging="567"/>
      </w:pPr>
      <w:r>
        <w:t>Enstitüsü Eğitim Bilimleri Anabilim Dalı Eğitimde Ölçme ve Değerlendirme Programı, Yayınlanmamış Yüksek Lisans Tezi, Ankara</w:t>
      </w:r>
    </w:p>
    <w:p w14:paraId="586C53F1">
      <w:pPr>
        <w:pStyle w:val="9"/>
        <w:spacing w:before="120" w:after="120" w:line="360" w:lineRule="auto"/>
        <w:ind w:left="567" w:hanging="567"/>
      </w:pPr>
      <w:r>
        <w:t>Erbaş, Ç. Ve Demirer, V.: 2014. “Eğitimde Artırılmış Gerçeklik Uygulamaları: Google Glass</w:t>
      </w:r>
      <w:r>
        <w:rPr>
          <w:spacing w:val="-5"/>
        </w:rPr>
        <w:t xml:space="preserve"> </w:t>
      </w:r>
      <w:r>
        <w:t>Örneği”,</w:t>
      </w:r>
      <w:r>
        <w:rPr>
          <w:spacing w:val="-5"/>
        </w:rPr>
        <w:t xml:space="preserve"> </w:t>
      </w:r>
      <w:r>
        <w:t>Journal</w:t>
      </w:r>
      <w:r>
        <w:rPr>
          <w:spacing w:val="-5"/>
        </w:rPr>
        <w:t xml:space="preserve"> </w:t>
      </w:r>
      <w:r>
        <w:t>Of</w:t>
      </w:r>
      <w:r>
        <w:rPr>
          <w:spacing w:val="-4"/>
        </w:rPr>
        <w:t xml:space="preserve"> </w:t>
      </w:r>
      <w:r>
        <w:t>Instructional</w:t>
      </w:r>
      <w:r>
        <w:rPr>
          <w:spacing w:val="-5"/>
        </w:rPr>
        <w:t xml:space="preserve"> </w:t>
      </w:r>
      <w:r>
        <w:t>Technologies</w:t>
      </w:r>
      <w:r>
        <w:rPr>
          <w:spacing w:val="-5"/>
        </w:rPr>
        <w:t xml:space="preserve"> </w:t>
      </w:r>
      <w:r>
        <w:t>&amp;</w:t>
      </w:r>
      <w:r>
        <w:rPr>
          <w:spacing w:val="-7"/>
        </w:rPr>
        <w:t xml:space="preserve"> </w:t>
      </w:r>
      <w:r>
        <w:t>Teacher</w:t>
      </w:r>
      <w:r>
        <w:rPr>
          <w:spacing w:val="-5"/>
        </w:rPr>
        <w:t xml:space="preserve"> </w:t>
      </w:r>
      <w:r>
        <w:t>Education,</w:t>
      </w:r>
      <w:r>
        <w:rPr>
          <w:spacing w:val="-3"/>
        </w:rPr>
        <w:t xml:space="preserve"> </w:t>
      </w:r>
      <w:r>
        <w:t>3(2),</w:t>
      </w:r>
      <w:r>
        <w:rPr>
          <w:spacing w:val="-5"/>
        </w:rPr>
        <w:t xml:space="preserve"> </w:t>
      </w:r>
      <w:r>
        <w:t xml:space="preserve">8- </w:t>
      </w:r>
      <w:r>
        <w:rPr>
          <w:spacing w:val="-4"/>
        </w:rPr>
        <w:t>16.</w:t>
      </w:r>
    </w:p>
    <w:p w14:paraId="2536BB27">
      <w:pPr>
        <w:spacing w:before="120" w:after="120" w:line="360" w:lineRule="auto"/>
        <w:ind w:left="567" w:hanging="567"/>
        <w:jc w:val="both"/>
        <w:rPr>
          <w:sz w:val="24"/>
          <w:szCs w:val="24"/>
        </w:rPr>
      </w:pPr>
      <w:r>
        <w:rPr>
          <w:sz w:val="24"/>
          <w:szCs w:val="24"/>
        </w:rPr>
        <w:t>Erdem, D., &amp; Bozkurt, A. K. (2023). Dijital Rekreasyon Kavramına Genel Bir Bakış Ve Bibliyometrik Analizi.</w:t>
      </w:r>
      <w:r>
        <w:rPr>
          <w:spacing w:val="-3"/>
          <w:sz w:val="24"/>
          <w:szCs w:val="24"/>
        </w:rPr>
        <w:t xml:space="preserve"> </w:t>
      </w:r>
      <w:r>
        <w:rPr>
          <w:i/>
          <w:sz w:val="24"/>
          <w:szCs w:val="24"/>
        </w:rPr>
        <w:t>Ordu Üniversitesi Sosyal Bilimler Enstitüsü Sosyal Bilimler Araştırmaları Dergisi</w:t>
      </w:r>
      <w:r>
        <w:rPr>
          <w:sz w:val="24"/>
          <w:szCs w:val="24"/>
        </w:rPr>
        <w:t xml:space="preserve">, </w:t>
      </w:r>
      <w:r>
        <w:rPr>
          <w:i/>
          <w:sz w:val="24"/>
          <w:szCs w:val="24"/>
        </w:rPr>
        <w:t>13</w:t>
      </w:r>
      <w:r>
        <w:rPr>
          <w:sz w:val="24"/>
          <w:szCs w:val="24"/>
        </w:rPr>
        <w:t>(3), 3491-3508.</w:t>
      </w:r>
    </w:p>
    <w:p w14:paraId="4D4B569E">
      <w:pPr>
        <w:widowControl/>
        <w:autoSpaceDE/>
        <w:autoSpaceDN/>
        <w:spacing w:before="120" w:after="120" w:line="360" w:lineRule="auto"/>
        <w:ind w:left="567" w:hanging="567"/>
        <w:jc w:val="both"/>
        <w:rPr>
          <w:rFonts w:eastAsia="Calibri"/>
          <w:color w:val="222222"/>
          <w:sz w:val="24"/>
          <w:szCs w:val="24"/>
          <w:shd w:val="clear" w:color="auto" w:fill="FFFFFF"/>
        </w:rPr>
      </w:pPr>
      <w:r>
        <w:rPr>
          <w:rFonts w:eastAsia="Calibri"/>
          <w:color w:val="222222"/>
          <w:sz w:val="24"/>
          <w:szCs w:val="24"/>
          <w:shd w:val="clear" w:color="auto" w:fill="FFFFFF"/>
        </w:rPr>
        <w:t>Erdem, D., &amp; Bozkurt, A. K. Dijital Rekreasyon Kavramına Genel Bir Bakış Ve Bibliyometrik Analizi. </w:t>
      </w:r>
      <w:r>
        <w:rPr>
          <w:rFonts w:eastAsia="Calibri"/>
          <w:i/>
          <w:iCs/>
          <w:color w:val="222222"/>
          <w:sz w:val="24"/>
          <w:szCs w:val="24"/>
          <w:shd w:val="clear" w:color="auto" w:fill="FFFFFF"/>
        </w:rPr>
        <w:t>Ordu Üniversitesi Sosyal Bilimler Enstitüsü Sosyal Bilimler Araştırmaları Dergisi</w:t>
      </w:r>
      <w:r>
        <w:rPr>
          <w:rFonts w:eastAsia="Calibri"/>
          <w:color w:val="222222"/>
          <w:sz w:val="24"/>
          <w:szCs w:val="24"/>
          <w:shd w:val="clear" w:color="auto" w:fill="FFFFFF"/>
        </w:rPr>
        <w:t>, </w:t>
      </w:r>
      <w:r>
        <w:rPr>
          <w:rFonts w:eastAsia="Calibri"/>
          <w:i/>
          <w:iCs/>
          <w:color w:val="222222"/>
          <w:sz w:val="24"/>
          <w:szCs w:val="24"/>
          <w:shd w:val="clear" w:color="auto" w:fill="FFFFFF"/>
        </w:rPr>
        <w:t>13</w:t>
      </w:r>
      <w:r>
        <w:rPr>
          <w:rFonts w:eastAsia="Calibri"/>
          <w:color w:val="222222"/>
          <w:sz w:val="24"/>
          <w:szCs w:val="24"/>
          <w:shd w:val="clear" w:color="auto" w:fill="FFFFFF"/>
        </w:rPr>
        <w:t>(3), 3491-3508.</w:t>
      </w:r>
    </w:p>
    <w:p w14:paraId="237E668A">
      <w:pPr>
        <w:pStyle w:val="9"/>
        <w:spacing w:before="120" w:after="120" w:line="360" w:lineRule="auto"/>
        <w:ind w:left="567" w:hanging="567"/>
      </w:pPr>
      <w:r>
        <w:t>Eriş, H. M. (2012). “Üniversite Öğrencilerinin Yaşam Kalitesi Düzeylerinin Bazı Değişkenlere</w:t>
      </w:r>
      <w:r>
        <w:rPr>
          <w:spacing w:val="33"/>
        </w:rPr>
        <w:t xml:space="preserve"> </w:t>
      </w:r>
      <w:r>
        <w:t>Göre</w:t>
      </w:r>
      <w:r>
        <w:rPr>
          <w:spacing w:val="36"/>
        </w:rPr>
        <w:t xml:space="preserve"> </w:t>
      </w:r>
      <w:r>
        <w:t>İncelenmesi”,</w:t>
      </w:r>
      <w:r>
        <w:rPr>
          <w:spacing w:val="35"/>
        </w:rPr>
        <w:t xml:space="preserve"> </w:t>
      </w:r>
      <w:r>
        <w:t>Hacettepe</w:t>
      </w:r>
      <w:r>
        <w:rPr>
          <w:spacing w:val="35"/>
        </w:rPr>
        <w:t xml:space="preserve"> </w:t>
      </w:r>
      <w:r>
        <w:t>Üniversitesi</w:t>
      </w:r>
      <w:r>
        <w:rPr>
          <w:spacing w:val="35"/>
        </w:rPr>
        <w:t xml:space="preserve"> </w:t>
      </w:r>
      <w:r>
        <w:t>Sosyal</w:t>
      </w:r>
      <w:r>
        <w:rPr>
          <w:spacing w:val="37"/>
        </w:rPr>
        <w:t xml:space="preserve"> </w:t>
      </w:r>
      <w:r>
        <w:rPr>
          <w:spacing w:val="-2"/>
        </w:rPr>
        <w:t>Bilimler</w:t>
      </w:r>
    </w:p>
    <w:p w14:paraId="0721739F">
      <w:pPr>
        <w:pStyle w:val="9"/>
        <w:spacing w:before="120" w:after="120" w:line="360" w:lineRule="auto"/>
        <w:ind w:left="567" w:hanging="567"/>
      </w:pPr>
      <w:r>
        <w:t>Erken, K. (2008). Öğretmenlerin Serbest Zamanlarında Spor Faaliyetlerine Katılmalarının İncelenmesi. Yüksek Lisans Tezi, Sakarya Üniversitesi Sağlık Bilimleri Enstitüsü, Sakarya.</w:t>
      </w:r>
    </w:p>
    <w:p w14:paraId="17962D83">
      <w:pPr>
        <w:pStyle w:val="9"/>
        <w:spacing w:before="120" w:after="120" w:line="360" w:lineRule="auto"/>
        <w:ind w:left="567" w:hanging="567"/>
      </w:pPr>
      <w:r>
        <w:t>Esentaş,</w:t>
      </w:r>
      <w:r>
        <w:rPr>
          <w:spacing w:val="-3"/>
        </w:rPr>
        <w:t xml:space="preserve"> </w:t>
      </w:r>
      <w:r>
        <w:t>M.,</w:t>
      </w:r>
      <w:r>
        <w:rPr>
          <w:spacing w:val="-2"/>
        </w:rPr>
        <w:t xml:space="preserve"> </w:t>
      </w:r>
      <w:r>
        <w:t>Güzel,</w:t>
      </w:r>
      <w:r>
        <w:rPr>
          <w:spacing w:val="-4"/>
        </w:rPr>
        <w:t xml:space="preserve"> </w:t>
      </w:r>
      <w:r>
        <w:t>P.</w:t>
      </w:r>
      <w:r>
        <w:rPr>
          <w:spacing w:val="-2"/>
        </w:rPr>
        <w:t xml:space="preserve"> </w:t>
      </w:r>
      <w:r>
        <w:t>ve</w:t>
      </w:r>
      <w:r>
        <w:rPr>
          <w:spacing w:val="-5"/>
        </w:rPr>
        <w:t xml:space="preserve"> </w:t>
      </w:r>
      <w:r>
        <w:t>Vural,</w:t>
      </w:r>
      <w:r>
        <w:rPr>
          <w:spacing w:val="-2"/>
        </w:rPr>
        <w:t xml:space="preserve"> </w:t>
      </w:r>
      <w:r>
        <w:t>M.</w:t>
      </w:r>
      <w:r>
        <w:rPr>
          <w:spacing w:val="-2"/>
        </w:rPr>
        <w:t xml:space="preserve"> </w:t>
      </w:r>
      <w:r>
        <w:t>(2018).</w:t>
      </w:r>
      <w:r>
        <w:rPr>
          <w:spacing w:val="-3"/>
        </w:rPr>
        <w:t xml:space="preserve"> </w:t>
      </w:r>
      <w:r>
        <w:t>Popüler</w:t>
      </w:r>
      <w:r>
        <w:rPr>
          <w:spacing w:val="-3"/>
        </w:rPr>
        <w:t xml:space="preserve"> </w:t>
      </w:r>
      <w:r>
        <w:t>Kültürde</w:t>
      </w:r>
      <w:r>
        <w:rPr>
          <w:spacing w:val="-3"/>
        </w:rPr>
        <w:t xml:space="preserve"> </w:t>
      </w:r>
      <w:r>
        <w:t>Rekreatif</w:t>
      </w:r>
      <w:r>
        <w:rPr>
          <w:spacing w:val="-1"/>
        </w:rPr>
        <w:t xml:space="preserve"> </w:t>
      </w:r>
      <w:r>
        <w:t>Bir Etkinlik</w:t>
      </w:r>
      <w:r>
        <w:rPr>
          <w:spacing w:val="-4"/>
        </w:rPr>
        <w:t xml:space="preserve"> </w:t>
      </w:r>
      <w:r>
        <w:t>Olarak Dijital Sporlar, Atatürk Üniversitesi Beden Eğitimi ve Spor Bilimleri Dergisi, 20(1): 71-79.</w:t>
      </w:r>
    </w:p>
    <w:p w14:paraId="3A8E5E1E">
      <w:pPr>
        <w:pStyle w:val="9"/>
        <w:spacing w:before="120" w:after="120" w:line="360" w:lineRule="auto"/>
        <w:ind w:left="567" w:hanging="567"/>
      </w:pPr>
      <w:r>
        <w:t>Eser E. (2004). Yasam Kalitesinin Sınıflandırılması ve Sağlıkla İlgili Yasam Kalitesinin Ölçümü. Sağlıkta Yasam Kalitesi Sempozyumu Özet Kitabı, ss 4-6, 8-10 Ege Üniversitesi, İzmir.</w:t>
      </w:r>
    </w:p>
    <w:p w14:paraId="44D83EBA">
      <w:pPr>
        <w:spacing w:before="120" w:after="120" w:line="360" w:lineRule="auto"/>
        <w:ind w:left="567" w:hanging="567"/>
        <w:jc w:val="both"/>
        <w:rPr>
          <w:sz w:val="24"/>
          <w:szCs w:val="24"/>
        </w:rPr>
      </w:pPr>
      <w:r>
        <w:rPr>
          <w:sz w:val="24"/>
          <w:szCs w:val="24"/>
        </w:rPr>
        <w:t>Eser,</w:t>
      </w:r>
      <w:r>
        <w:rPr>
          <w:spacing w:val="-4"/>
          <w:sz w:val="24"/>
          <w:szCs w:val="24"/>
        </w:rPr>
        <w:t xml:space="preserve"> </w:t>
      </w:r>
      <w:r>
        <w:rPr>
          <w:sz w:val="24"/>
          <w:szCs w:val="24"/>
        </w:rPr>
        <w:t>E.,</w:t>
      </w:r>
      <w:r>
        <w:rPr>
          <w:spacing w:val="-4"/>
          <w:sz w:val="24"/>
          <w:szCs w:val="24"/>
        </w:rPr>
        <w:t xml:space="preserve"> </w:t>
      </w:r>
      <w:r>
        <w:rPr>
          <w:sz w:val="24"/>
          <w:szCs w:val="24"/>
        </w:rPr>
        <w:t>Fidaner,</w:t>
      </w:r>
      <w:r>
        <w:rPr>
          <w:spacing w:val="-4"/>
          <w:sz w:val="24"/>
          <w:szCs w:val="24"/>
        </w:rPr>
        <w:t xml:space="preserve"> </w:t>
      </w:r>
      <w:r>
        <w:rPr>
          <w:sz w:val="24"/>
          <w:szCs w:val="24"/>
        </w:rPr>
        <w:t>H.,</w:t>
      </w:r>
      <w:r>
        <w:rPr>
          <w:spacing w:val="-4"/>
          <w:sz w:val="24"/>
          <w:szCs w:val="24"/>
        </w:rPr>
        <w:t xml:space="preserve"> </w:t>
      </w:r>
      <w:r>
        <w:rPr>
          <w:sz w:val="24"/>
          <w:szCs w:val="24"/>
        </w:rPr>
        <w:t>Fidaner,</w:t>
      </w:r>
      <w:r>
        <w:rPr>
          <w:spacing w:val="-4"/>
          <w:sz w:val="24"/>
          <w:szCs w:val="24"/>
        </w:rPr>
        <w:t xml:space="preserve"> </w:t>
      </w:r>
      <w:r>
        <w:rPr>
          <w:sz w:val="24"/>
          <w:szCs w:val="24"/>
        </w:rPr>
        <w:t>C.,</w:t>
      </w:r>
      <w:r>
        <w:rPr>
          <w:spacing w:val="-4"/>
          <w:sz w:val="24"/>
          <w:szCs w:val="24"/>
        </w:rPr>
        <w:t xml:space="preserve"> </w:t>
      </w:r>
      <w:r>
        <w:rPr>
          <w:sz w:val="24"/>
          <w:szCs w:val="24"/>
        </w:rPr>
        <w:t>Eser,</w:t>
      </w:r>
      <w:r>
        <w:rPr>
          <w:spacing w:val="-4"/>
          <w:sz w:val="24"/>
          <w:szCs w:val="24"/>
        </w:rPr>
        <w:t xml:space="preserve"> </w:t>
      </w:r>
      <w:r>
        <w:rPr>
          <w:sz w:val="24"/>
          <w:szCs w:val="24"/>
        </w:rPr>
        <w:t>S.</w:t>
      </w:r>
      <w:r>
        <w:rPr>
          <w:spacing w:val="-4"/>
          <w:sz w:val="24"/>
          <w:szCs w:val="24"/>
        </w:rPr>
        <w:t xml:space="preserve"> </w:t>
      </w:r>
      <w:r>
        <w:rPr>
          <w:sz w:val="24"/>
          <w:szCs w:val="24"/>
        </w:rPr>
        <w:t>Y.,</w:t>
      </w:r>
      <w:r>
        <w:rPr>
          <w:spacing w:val="-4"/>
          <w:sz w:val="24"/>
          <w:szCs w:val="24"/>
        </w:rPr>
        <w:t xml:space="preserve"> </w:t>
      </w:r>
      <w:r>
        <w:rPr>
          <w:sz w:val="24"/>
          <w:szCs w:val="24"/>
        </w:rPr>
        <w:t>Elbi,</w:t>
      </w:r>
      <w:r>
        <w:rPr>
          <w:spacing w:val="-4"/>
          <w:sz w:val="24"/>
          <w:szCs w:val="24"/>
        </w:rPr>
        <w:t xml:space="preserve"> </w:t>
      </w:r>
      <w:r>
        <w:rPr>
          <w:sz w:val="24"/>
          <w:szCs w:val="24"/>
        </w:rPr>
        <w:t>H.,</w:t>
      </w:r>
      <w:r>
        <w:rPr>
          <w:spacing w:val="-4"/>
          <w:sz w:val="24"/>
          <w:szCs w:val="24"/>
        </w:rPr>
        <w:t xml:space="preserve"> </w:t>
      </w:r>
      <w:r>
        <w:rPr>
          <w:sz w:val="24"/>
          <w:szCs w:val="24"/>
        </w:rPr>
        <w:t>&amp;</w:t>
      </w:r>
      <w:r>
        <w:rPr>
          <w:spacing w:val="-7"/>
          <w:sz w:val="24"/>
          <w:szCs w:val="24"/>
        </w:rPr>
        <w:t xml:space="preserve"> </w:t>
      </w:r>
      <w:r>
        <w:rPr>
          <w:sz w:val="24"/>
          <w:szCs w:val="24"/>
        </w:rPr>
        <w:t>Göker,</w:t>
      </w:r>
      <w:r>
        <w:rPr>
          <w:spacing w:val="-4"/>
          <w:sz w:val="24"/>
          <w:szCs w:val="24"/>
        </w:rPr>
        <w:t xml:space="preserve"> </w:t>
      </w:r>
      <w:r>
        <w:rPr>
          <w:sz w:val="24"/>
          <w:szCs w:val="24"/>
        </w:rPr>
        <w:t>E.</w:t>
      </w:r>
      <w:r>
        <w:rPr>
          <w:spacing w:val="-4"/>
          <w:sz w:val="24"/>
          <w:szCs w:val="24"/>
        </w:rPr>
        <w:t xml:space="preserve"> </w:t>
      </w:r>
      <w:r>
        <w:rPr>
          <w:sz w:val="24"/>
          <w:szCs w:val="24"/>
        </w:rPr>
        <w:t>(1999).</w:t>
      </w:r>
      <w:r>
        <w:rPr>
          <w:spacing w:val="-4"/>
          <w:sz w:val="24"/>
          <w:szCs w:val="24"/>
        </w:rPr>
        <w:t xml:space="preserve"> </w:t>
      </w:r>
      <w:r>
        <w:rPr>
          <w:sz w:val="24"/>
          <w:szCs w:val="24"/>
        </w:rPr>
        <w:t xml:space="preserve">WHOQOL-100 ve WHOQOL-BREF'in psikometrik özellikleri. </w:t>
      </w:r>
      <w:r>
        <w:rPr>
          <w:i/>
          <w:sz w:val="24"/>
          <w:szCs w:val="24"/>
        </w:rPr>
        <w:t>Psikiyatri Psikoloji Psikofarmakoloji (3P) Dergisi</w:t>
      </w:r>
      <w:r>
        <w:rPr>
          <w:sz w:val="24"/>
          <w:szCs w:val="24"/>
        </w:rPr>
        <w:t xml:space="preserve">, </w:t>
      </w:r>
      <w:r>
        <w:rPr>
          <w:i/>
          <w:sz w:val="24"/>
          <w:szCs w:val="24"/>
        </w:rPr>
        <w:t>7</w:t>
      </w:r>
      <w:r>
        <w:rPr>
          <w:sz w:val="24"/>
          <w:szCs w:val="24"/>
        </w:rPr>
        <w:t>(Suppl 2), 23-40.</w:t>
      </w:r>
    </w:p>
    <w:p w14:paraId="1A11DF11">
      <w:pPr>
        <w:pStyle w:val="9"/>
        <w:spacing w:before="120" w:after="120" w:line="360" w:lineRule="auto"/>
        <w:ind w:left="567" w:hanging="567"/>
      </w:pPr>
      <w:r>
        <w:rPr>
          <w:spacing w:val="-2"/>
        </w:rPr>
        <w:t>European Foundation</w:t>
      </w:r>
      <w:r>
        <w:rPr>
          <w:spacing w:val="-5"/>
        </w:rPr>
        <w:t xml:space="preserve"> </w:t>
      </w:r>
      <w:r>
        <w:rPr>
          <w:spacing w:val="-2"/>
        </w:rPr>
        <w:t>for</w:t>
      </w:r>
      <w:r>
        <w:rPr>
          <w:spacing w:val="-4"/>
        </w:rPr>
        <w:t xml:space="preserve"> </w:t>
      </w:r>
      <w:r>
        <w:rPr>
          <w:spacing w:val="-2"/>
        </w:rPr>
        <w:t>the</w:t>
      </w:r>
      <w:r>
        <w:rPr>
          <w:spacing w:val="-3"/>
        </w:rPr>
        <w:t xml:space="preserve"> </w:t>
      </w:r>
      <w:r>
        <w:rPr>
          <w:spacing w:val="-2"/>
        </w:rPr>
        <w:t>Improvemnt</w:t>
      </w:r>
      <w:r>
        <w:rPr>
          <w:spacing w:val="-4"/>
        </w:rPr>
        <w:t xml:space="preserve"> </w:t>
      </w:r>
      <w:r>
        <w:rPr>
          <w:spacing w:val="-2"/>
        </w:rPr>
        <w:t>of</w:t>
      </w:r>
      <w:r>
        <w:rPr>
          <w:spacing w:val="-3"/>
        </w:rPr>
        <w:t xml:space="preserve"> </w:t>
      </w:r>
      <w:r>
        <w:rPr>
          <w:spacing w:val="-2"/>
        </w:rPr>
        <w:t>Living</w:t>
      </w:r>
      <w:r>
        <w:rPr>
          <w:spacing w:val="-5"/>
        </w:rPr>
        <w:t xml:space="preserve"> </w:t>
      </w:r>
      <w:r>
        <w:rPr>
          <w:spacing w:val="-2"/>
        </w:rPr>
        <w:t>and</w:t>
      </w:r>
      <w:r>
        <w:rPr>
          <w:spacing w:val="-5"/>
        </w:rPr>
        <w:t xml:space="preserve"> </w:t>
      </w:r>
      <w:r>
        <w:rPr>
          <w:spacing w:val="-2"/>
        </w:rPr>
        <w:t>Working</w:t>
      </w:r>
      <w:r>
        <w:rPr>
          <w:spacing w:val="-9"/>
        </w:rPr>
        <w:t xml:space="preserve"> </w:t>
      </w:r>
      <w:r>
        <w:rPr>
          <w:spacing w:val="-2"/>
        </w:rPr>
        <w:t>Conditions</w:t>
      </w:r>
      <w:r>
        <w:rPr>
          <w:spacing w:val="-8"/>
        </w:rPr>
        <w:t xml:space="preserve"> </w:t>
      </w:r>
      <w:r>
        <w:rPr>
          <w:spacing w:val="-2"/>
        </w:rPr>
        <w:t>(2004).</w:t>
      </w:r>
      <w:r>
        <w:rPr>
          <w:spacing w:val="-6"/>
        </w:rPr>
        <w:t xml:space="preserve"> </w:t>
      </w:r>
      <w:r>
        <w:rPr>
          <w:spacing w:val="-2"/>
        </w:rPr>
        <w:t xml:space="preserve">Quality </w:t>
      </w:r>
      <w:r>
        <w:t>of Life in Europe: an Illustrative Report, Dublin</w:t>
      </w:r>
    </w:p>
    <w:p w14:paraId="6D768117">
      <w:pPr>
        <w:pStyle w:val="9"/>
        <w:spacing w:before="120" w:after="120" w:line="360" w:lineRule="auto"/>
        <w:ind w:left="567" w:hanging="567"/>
      </w:pPr>
      <w:r>
        <w:t>Evans, G. W. (2003). The Built Environment and Mental Health. Journal of Urban Health, 80(4), 536-555.</w:t>
      </w:r>
    </w:p>
    <w:p w14:paraId="19BC855B">
      <w:pPr>
        <w:pStyle w:val="9"/>
        <w:spacing w:before="120" w:after="120" w:line="360" w:lineRule="auto"/>
        <w:ind w:left="567" w:hanging="567"/>
      </w:pPr>
      <w:r>
        <w:t>F.</w:t>
      </w:r>
      <w:r>
        <w:rPr>
          <w:spacing w:val="-4"/>
        </w:rPr>
        <w:t xml:space="preserve"> </w:t>
      </w:r>
      <w:r>
        <w:t>Ardahan</w:t>
      </w:r>
      <w:r>
        <w:rPr>
          <w:spacing w:val="-2"/>
        </w:rPr>
        <w:t xml:space="preserve"> </w:t>
      </w:r>
      <w:r>
        <w:t>(Ed.),</w:t>
      </w:r>
      <w:r>
        <w:rPr>
          <w:spacing w:val="-2"/>
        </w:rPr>
        <w:t xml:space="preserve"> </w:t>
      </w:r>
      <w:r>
        <w:t>Her</w:t>
      </w:r>
      <w:r>
        <w:rPr>
          <w:spacing w:val="-2"/>
        </w:rPr>
        <w:t xml:space="preserve"> </w:t>
      </w:r>
      <w:r>
        <w:t>Yönüyle</w:t>
      </w:r>
      <w:r>
        <w:rPr>
          <w:spacing w:val="-1"/>
        </w:rPr>
        <w:t xml:space="preserve"> </w:t>
      </w:r>
      <w:r>
        <w:t>Rekreasyon, Detay</w:t>
      </w:r>
      <w:r>
        <w:rPr>
          <w:spacing w:val="-5"/>
        </w:rPr>
        <w:t xml:space="preserve"> </w:t>
      </w:r>
      <w:r>
        <w:t>Yayıncılık,</w:t>
      </w:r>
      <w:r>
        <w:rPr>
          <w:spacing w:val="-1"/>
        </w:rPr>
        <w:t xml:space="preserve"> </w:t>
      </w:r>
      <w:r>
        <w:rPr>
          <w:spacing w:val="-2"/>
        </w:rPr>
        <w:t>Ankara.</w:t>
      </w:r>
    </w:p>
    <w:p w14:paraId="2AF93D9D">
      <w:pPr>
        <w:pStyle w:val="9"/>
        <w:spacing w:before="120" w:after="120" w:line="360" w:lineRule="auto"/>
        <w:ind w:left="567" w:hanging="567"/>
      </w:pPr>
      <w:r>
        <w:t>Felce, D., &amp; Perry, J. (1995). Quality of life: Its definition and measurement. Research in developmental disabilities, 16(1), 51-74.</w:t>
      </w:r>
    </w:p>
    <w:p w14:paraId="1C229734">
      <w:pPr>
        <w:widowControl/>
        <w:autoSpaceDE/>
        <w:autoSpaceDN/>
        <w:spacing w:before="120" w:after="120" w:line="360" w:lineRule="auto"/>
        <w:ind w:left="567" w:hanging="567"/>
        <w:jc w:val="both"/>
        <w:rPr>
          <w:rFonts w:eastAsia="Calibri"/>
          <w:color w:val="222222"/>
          <w:sz w:val="24"/>
          <w:szCs w:val="24"/>
          <w:shd w:val="clear" w:color="auto" w:fill="FFFFFF"/>
        </w:rPr>
      </w:pPr>
      <w:r>
        <w:rPr>
          <w:rFonts w:eastAsia="Calibri"/>
          <w:color w:val="222222"/>
          <w:sz w:val="24"/>
          <w:szCs w:val="24"/>
          <w:shd w:val="clear" w:color="auto" w:fill="FFFFFF"/>
        </w:rPr>
        <w:t>Ferguson, C., Shade, M. Y., Blaskewicz Boron, J., Lyden, E., &amp; Manley, N. A. (2020). Virtual reality for therapeutic recreation in dementia hospice care: A feasibility study. </w:t>
      </w:r>
      <w:r>
        <w:rPr>
          <w:rFonts w:eastAsia="Calibri"/>
          <w:i/>
          <w:iCs/>
          <w:color w:val="222222"/>
          <w:sz w:val="24"/>
          <w:szCs w:val="24"/>
          <w:shd w:val="clear" w:color="auto" w:fill="FFFFFF"/>
        </w:rPr>
        <w:t>American Journal of Hospice and Palliative Medicine®</w:t>
      </w:r>
      <w:r>
        <w:rPr>
          <w:rFonts w:eastAsia="Calibri"/>
          <w:color w:val="222222"/>
          <w:sz w:val="24"/>
          <w:szCs w:val="24"/>
          <w:shd w:val="clear" w:color="auto" w:fill="FFFFFF"/>
        </w:rPr>
        <w:t>, </w:t>
      </w:r>
      <w:r>
        <w:rPr>
          <w:rFonts w:eastAsia="Calibri"/>
          <w:i/>
          <w:iCs/>
          <w:color w:val="222222"/>
          <w:sz w:val="24"/>
          <w:szCs w:val="24"/>
          <w:shd w:val="clear" w:color="auto" w:fill="FFFFFF"/>
        </w:rPr>
        <w:t>37</w:t>
      </w:r>
      <w:r>
        <w:rPr>
          <w:rFonts w:eastAsia="Calibri"/>
          <w:color w:val="222222"/>
          <w:sz w:val="24"/>
          <w:szCs w:val="24"/>
          <w:shd w:val="clear" w:color="auto" w:fill="FFFFFF"/>
        </w:rPr>
        <w:t>(10), 809-815.</w:t>
      </w:r>
    </w:p>
    <w:p w14:paraId="0E7DE79D">
      <w:pPr>
        <w:pStyle w:val="9"/>
        <w:spacing w:before="120" w:after="120" w:line="360" w:lineRule="auto"/>
        <w:ind w:left="567" w:hanging="567"/>
      </w:pPr>
      <w:r>
        <w:t>Ferhat, S. (2016). Dijital dünyanın gerçekliği, gerçek dünyanın sanallığı bir dijital medya ürünü olarak sanal gerçeklik. Trt Akademi, 1(2), 724-746.</w:t>
      </w:r>
    </w:p>
    <w:p w14:paraId="6A16DD8E">
      <w:pPr>
        <w:pStyle w:val="9"/>
        <w:spacing w:before="120" w:after="120" w:line="360" w:lineRule="auto"/>
        <w:ind w:left="567" w:hanging="567"/>
      </w:pPr>
      <w:r>
        <w:t>Fishbein,</w:t>
      </w:r>
      <w:r>
        <w:rPr>
          <w:spacing w:val="-5"/>
        </w:rPr>
        <w:t xml:space="preserve"> </w:t>
      </w:r>
      <w:r>
        <w:t>M.,</w:t>
      </w:r>
      <w:r>
        <w:rPr>
          <w:spacing w:val="-5"/>
        </w:rPr>
        <w:t xml:space="preserve"> </w:t>
      </w:r>
      <w:r>
        <w:t>&amp;</w:t>
      </w:r>
      <w:r>
        <w:rPr>
          <w:spacing w:val="-7"/>
        </w:rPr>
        <w:t xml:space="preserve"> </w:t>
      </w:r>
      <w:r>
        <w:t>Ajzen,</w:t>
      </w:r>
      <w:r>
        <w:rPr>
          <w:spacing w:val="-3"/>
        </w:rPr>
        <w:t xml:space="preserve"> </w:t>
      </w:r>
      <w:r>
        <w:t>I.</w:t>
      </w:r>
      <w:r>
        <w:rPr>
          <w:spacing w:val="-3"/>
        </w:rPr>
        <w:t xml:space="preserve"> </w:t>
      </w:r>
      <w:r>
        <w:t>(1975).</w:t>
      </w:r>
      <w:r>
        <w:rPr>
          <w:spacing w:val="-5"/>
        </w:rPr>
        <w:t xml:space="preserve"> </w:t>
      </w:r>
      <w:r>
        <w:t>Belief,</w:t>
      </w:r>
      <w:r>
        <w:rPr>
          <w:spacing w:val="-5"/>
        </w:rPr>
        <w:t xml:space="preserve"> </w:t>
      </w:r>
      <w:r>
        <w:t>Attitude,</w:t>
      </w:r>
      <w:r>
        <w:rPr>
          <w:spacing w:val="-5"/>
        </w:rPr>
        <w:t xml:space="preserve"> </w:t>
      </w:r>
      <w:r>
        <w:t>Intention,</w:t>
      </w:r>
      <w:r>
        <w:rPr>
          <w:spacing w:val="-5"/>
        </w:rPr>
        <w:t xml:space="preserve"> </w:t>
      </w:r>
      <w:r>
        <w:t>and</w:t>
      </w:r>
      <w:r>
        <w:rPr>
          <w:spacing w:val="-5"/>
        </w:rPr>
        <w:t xml:space="preserve"> </w:t>
      </w:r>
      <w:r>
        <w:t>Behavior:</w:t>
      </w:r>
      <w:r>
        <w:rPr>
          <w:spacing w:val="-3"/>
        </w:rPr>
        <w:t xml:space="preserve"> </w:t>
      </w:r>
      <w:r>
        <w:t>An</w:t>
      </w:r>
      <w:r>
        <w:rPr>
          <w:spacing w:val="-4"/>
        </w:rPr>
        <w:t xml:space="preserve"> </w:t>
      </w:r>
      <w:r>
        <w:t>Introduction to Theory and Research. Reading, Mass: Addison-Wesley.</w:t>
      </w:r>
    </w:p>
    <w:p w14:paraId="28E2702F">
      <w:pPr>
        <w:pStyle w:val="9"/>
        <w:spacing w:before="120" w:after="120" w:line="360" w:lineRule="auto"/>
        <w:ind w:left="567" w:hanging="567"/>
      </w:pPr>
      <w:r>
        <w:t>Flavell,</w:t>
      </w:r>
      <w:r>
        <w:rPr>
          <w:spacing w:val="-13"/>
        </w:rPr>
        <w:t xml:space="preserve"> </w:t>
      </w:r>
      <w:r>
        <w:t>J.</w:t>
      </w:r>
      <w:r>
        <w:rPr>
          <w:spacing w:val="-13"/>
        </w:rPr>
        <w:t xml:space="preserve"> </w:t>
      </w:r>
      <w:r>
        <w:t>(1976).</w:t>
      </w:r>
      <w:r>
        <w:rPr>
          <w:spacing w:val="-14"/>
        </w:rPr>
        <w:t xml:space="preserve"> </w:t>
      </w:r>
      <w:r>
        <w:t>Metacognitive</w:t>
      </w:r>
      <w:r>
        <w:rPr>
          <w:spacing w:val="-14"/>
        </w:rPr>
        <w:t xml:space="preserve"> </w:t>
      </w:r>
      <w:r>
        <w:t>aspects</w:t>
      </w:r>
      <w:r>
        <w:rPr>
          <w:spacing w:val="-12"/>
        </w:rPr>
        <w:t xml:space="preserve"> </w:t>
      </w:r>
      <w:r>
        <w:t>of</w:t>
      </w:r>
      <w:r>
        <w:rPr>
          <w:spacing w:val="-14"/>
        </w:rPr>
        <w:t xml:space="preserve"> </w:t>
      </w:r>
      <w:r>
        <w:t>problem</w:t>
      </w:r>
      <w:r>
        <w:rPr>
          <w:spacing w:val="-13"/>
        </w:rPr>
        <w:t xml:space="preserve"> </w:t>
      </w:r>
      <w:r>
        <w:t>solving.</w:t>
      </w:r>
      <w:r>
        <w:rPr>
          <w:spacing w:val="-11"/>
        </w:rPr>
        <w:t xml:space="preserve"> </w:t>
      </w:r>
      <w:r>
        <w:t>In</w:t>
      </w:r>
      <w:r>
        <w:rPr>
          <w:spacing w:val="-11"/>
        </w:rPr>
        <w:t xml:space="preserve"> </w:t>
      </w:r>
      <w:r>
        <w:t>L.</w:t>
      </w:r>
      <w:r>
        <w:rPr>
          <w:spacing w:val="-13"/>
        </w:rPr>
        <w:t xml:space="preserve"> </w:t>
      </w:r>
      <w:r>
        <w:t>Resnick</w:t>
      </w:r>
      <w:r>
        <w:rPr>
          <w:spacing w:val="-11"/>
        </w:rPr>
        <w:t xml:space="preserve"> </w:t>
      </w:r>
      <w:r>
        <w:t>(Ed.),</w:t>
      </w:r>
      <w:r>
        <w:rPr>
          <w:spacing w:val="-14"/>
        </w:rPr>
        <w:t xml:space="preserve"> </w:t>
      </w:r>
      <w:r>
        <w:t>The</w:t>
      </w:r>
      <w:r>
        <w:rPr>
          <w:spacing w:val="-14"/>
        </w:rPr>
        <w:t xml:space="preserve"> </w:t>
      </w:r>
      <w:r>
        <w:t>nature of intelligence. (pp. 231-235) Hillsdale, NJ: Erlbaum.</w:t>
      </w:r>
    </w:p>
    <w:p w14:paraId="325FBCBC">
      <w:pPr>
        <w:pStyle w:val="9"/>
        <w:spacing w:before="120" w:after="120" w:line="360" w:lineRule="auto"/>
        <w:ind w:left="567" w:hanging="567"/>
      </w:pPr>
      <w:r>
        <w:t>Fox, J., Arena, D. Ve Baılenson, J. N.: 2009. “Virtual Reality”, Journal Of Media Psychology, 21(3), 95-113.</w:t>
      </w:r>
    </w:p>
    <w:p w14:paraId="4A4F8994">
      <w:pPr>
        <w:pStyle w:val="9"/>
        <w:spacing w:before="120" w:after="120" w:line="360" w:lineRule="auto"/>
        <w:ind w:left="567" w:hanging="567"/>
      </w:pPr>
      <w:r>
        <w:t>Frıgo, M. A., Da Sılva, E. C. Ve Barbosa, G. F.: 2016 “Augmented Reality İn Aerospace Manufacturing:</w:t>
      </w:r>
      <w:r>
        <w:rPr>
          <w:spacing w:val="-3"/>
        </w:rPr>
        <w:t xml:space="preserve"> </w:t>
      </w:r>
      <w:r>
        <w:t>A</w:t>
      </w:r>
      <w:r>
        <w:rPr>
          <w:spacing w:val="-4"/>
        </w:rPr>
        <w:t xml:space="preserve"> </w:t>
      </w:r>
      <w:r>
        <w:t>Review”,</w:t>
      </w:r>
      <w:r>
        <w:rPr>
          <w:spacing w:val="-3"/>
        </w:rPr>
        <w:t xml:space="preserve"> </w:t>
      </w:r>
      <w:r>
        <w:t>Journal</w:t>
      </w:r>
      <w:r>
        <w:rPr>
          <w:spacing w:val="-3"/>
        </w:rPr>
        <w:t xml:space="preserve"> </w:t>
      </w:r>
      <w:r>
        <w:t>Of</w:t>
      </w:r>
      <w:r>
        <w:rPr>
          <w:spacing w:val="-2"/>
        </w:rPr>
        <w:t xml:space="preserve"> </w:t>
      </w:r>
      <w:r>
        <w:t>Industrial</w:t>
      </w:r>
      <w:r>
        <w:rPr>
          <w:spacing w:val="-1"/>
        </w:rPr>
        <w:t xml:space="preserve"> </w:t>
      </w:r>
      <w:r>
        <w:t>And</w:t>
      </w:r>
      <w:r>
        <w:rPr>
          <w:spacing w:val="-1"/>
        </w:rPr>
        <w:t xml:space="preserve"> </w:t>
      </w:r>
      <w:r>
        <w:t>Intelligent Information,</w:t>
      </w:r>
      <w:r>
        <w:rPr>
          <w:spacing w:val="-3"/>
        </w:rPr>
        <w:t xml:space="preserve"> </w:t>
      </w:r>
      <w:r>
        <w:t xml:space="preserve">4(2), </w:t>
      </w:r>
      <w:r>
        <w:rPr>
          <w:spacing w:val="-2"/>
        </w:rPr>
        <w:t>125-130.</w:t>
      </w:r>
    </w:p>
    <w:p w14:paraId="3BF1DF1B">
      <w:pPr>
        <w:pStyle w:val="9"/>
        <w:spacing w:before="120" w:after="120" w:line="360" w:lineRule="auto"/>
        <w:ind w:left="567" w:hanging="567"/>
      </w:pPr>
      <w:r>
        <w:t>Frisch, M. B. (2000). Improving mental and physical health care through quality of life therapy</w:t>
      </w:r>
      <w:r>
        <w:rPr>
          <w:spacing w:val="-8"/>
        </w:rPr>
        <w:t xml:space="preserve"> </w:t>
      </w:r>
      <w:r>
        <w:t>and</w:t>
      </w:r>
      <w:r>
        <w:rPr>
          <w:spacing w:val="-1"/>
        </w:rPr>
        <w:t xml:space="preserve"> </w:t>
      </w:r>
      <w:r>
        <w:t>assessment.</w:t>
      </w:r>
      <w:r>
        <w:rPr>
          <w:spacing w:val="-1"/>
        </w:rPr>
        <w:t xml:space="preserve"> </w:t>
      </w:r>
      <w:r>
        <w:t>In</w:t>
      </w:r>
      <w:r>
        <w:rPr>
          <w:spacing w:val="-3"/>
        </w:rPr>
        <w:t xml:space="preserve"> </w:t>
      </w:r>
      <w:r>
        <w:t>Advances</w:t>
      </w:r>
      <w:r>
        <w:rPr>
          <w:spacing w:val="-3"/>
        </w:rPr>
        <w:t xml:space="preserve"> </w:t>
      </w:r>
      <w:r>
        <w:t>in</w:t>
      </w:r>
      <w:r>
        <w:rPr>
          <w:spacing w:val="-3"/>
        </w:rPr>
        <w:t xml:space="preserve"> </w:t>
      </w:r>
      <w:r>
        <w:t>quality</w:t>
      </w:r>
      <w:r>
        <w:rPr>
          <w:spacing w:val="-8"/>
        </w:rPr>
        <w:t xml:space="preserve"> </w:t>
      </w:r>
      <w:r>
        <w:t>of life</w:t>
      </w:r>
      <w:r>
        <w:rPr>
          <w:spacing w:val="-5"/>
        </w:rPr>
        <w:t xml:space="preserve"> </w:t>
      </w:r>
      <w:r>
        <w:t>theory</w:t>
      </w:r>
      <w:r>
        <w:rPr>
          <w:spacing w:val="-8"/>
        </w:rPr>
        <w:t xml:space="preserve"> </w:t>
      </w:r>
      <w:r>
        <w:t>and</w:t>
      </w:r>
      <w:r>
        <w:rPr>
          <w:spacing w:val="-1"/>
        </w:rPr>
        <w:t xml:space="preserve"> </w:t>
      </w:r>
      <w:r>
        <w:t>research (pp.</w:t>
      </w:r>
      <w:r>
        <w:rPr>
          <w:spacing w:val="-3"/>
        </w:rPr>
        <w:t xml:space="preserve"> </w:t>
      </w:r>
      <w:r>
        <w:t>207- 241). Dordrecht: Springer Netherlands.</w:t>
      </w:r>
    </w:p>
    <w:p w14:paraId="091C572C">
      <w:pPr>
        <w:pStyle w:val="9"/>
        <w:spacing w:before="120" w:after="120" w:line="360" w:lineRule="auto"/>
        <w:ind w:left="567" w:hanging="567"/>
      </w:pPr>
      <w:r>
        <w:t>Gallagher, A. G., Ritter, E. M., Champion, H., Higgins, G., Fried, M. P., Moses, G., et al. (2005). Virtual reality simulation for the operating room: proficiency-based training as a paradigm shift in surgical skills training. Ann. Surg. 241:364.</w:t>
      </w:r>
    </w:p>
    <w:p w14:paraId="2049926D">
      <w:pPr>
        <w:pStyle w:val="9"/>
        <w:spacing w:before="120" w:after="120" w:line="360" w:lineRule="auto"/>
        <w:ind w:left="567" w:hanging="567"/>
      </w:pPr>
      <w:r>
        <w:t xml:space="preserve">Gallagher, S. (2007). Logical and phenomenological arguments against simulation theory. In Hutto, D. &amp; Ratcliffe M. (Eds.), Folk psychology re-assessed (pp. 63-78). </w:t>
      </w:r>
      <w:r>
        <w:rPr>
          <w:spacing w:val="-2"/>
        </w:rPr>
        <w:t>Springer.</w:t>
      </w:r>
    </w:p>
    <w:p w14:paraId="238655C0">
      <w:pPr>
        <w:pStyle w:val="9"/>
        <w:spacing w:before="120" w:after="120" w:line="360" w:lineRule="auto"/>
        <w:ind w:left="567" w:hanging="567"/>
      </w:pPr>
      <w:r>
        <w:t>Gallese,</w:t>
      </w:r>
      <w:r>
        <w:rPr>
          <w:spacing w:val="30"/>
        </w:rPr>
        <w:t xml:space="preserve"> </w:t>
      </w:r>
      <w:r>
        <w:t>V.</w:t>
      </w:r>
      <w:r>
        <w:rPr>
          <w:spacing w:val="34"/>
        </w:rPr>
        <w:t xml:space="preserve"> </w:t>
      </w:r>
      <w:r>
        <w:t>(2001).</w:t>
      </w:r>
      <w:r>
        <w:rPr>
          <w:spacing w:val="32"/>
        </w:rPr>
        <w:t xml:space="preserve"> </w:t>
      </w:r>
      <w:r>
        <w:t>The</w:t>
      </w:r>
      <w:r>
        <w:rPr>
          <w:spacing w:val="33"/>
        </w:rPr>
        <w:t xml:space="preserve"> </w:t>
      </w:r>
      <w:r>
        <w:t>‘shared</w:t>
      </w:r>
      <w:r>
        <w:rPr>
          <w:spacing w:val="32"/>
        </w:rPr>
        <w:t xml:space="preserve"> </w:t>
      </w:r>
      <w:r>
        <w:t>manifold’</w:t>
      </w:r>
      <w:r>
        <w:rPr>
          <w:spacing w:val="34"/>
        </w:rPr>
        <w:t xml:space="preserve"> </w:t>
      </w:r>
      <w:r>
        <w:t>hypothesis:</w:t>
      </w:r>
      <w:r>
        <w:rPr>
          <w:spacing w:val="33"/>
        </w:rPr>
        <w:t xml:space="preserve"> </w:t>
      </w:r>
      <w:r>
        <w:t>from</w:t>
      </w:r>
      <w:r>
        <w:rPr>
          <w:spacing w:val="32"/>
        </w:rPr>
        <w:t xml:space="preserve"> </w:t>
      </w:r>
      <w:r>
        <w:t>mirror</w:t>
      </w:r>
      <w:r>
        <w:rPr>
          <w:spacing w:val="31"/>
        </w:rPr>
        <w:t xml:space="preserve"> </w:t>
      </w:r>
      <w:r>
        <w:t>neurons</w:t>
      </w:r>
      <w:r>
        <w:rPr>
          <w:spacing w:val="33"/>
        </w:rPr>
        <w:t xml:space="preserve"> </w:t>
      </w:r>
      <w:r>
        <w:t>to</w:t>
      </w:r>
      <w:r>
        <w:rPr>
          <w:spacing w:val="32"/>
        </w:rPr>
        <w:t xml:space="preserve"> </w:t>
      </w:r>
      <w:r>
        <w:rPr>
          <w:spacing w:val="-2"/>
        </w:rPr>
        <w:t>empathy.</w:t>
      </w:r>
    </w:p>
    <w:p w14:paraId="6FC5AAA2">
      <w:pPr>
        <w:pStyle w:val="9"/>
        <w:spacing w:before="120" w:after="120" w:line="360" w:lineRule="auto"/>
        <w:ind w:left="567" w:hanging="567"/>
      </w:pPr>
      <w:r>
        <w:t>Gerharz,</w:t>
      </w:r>
      <w:r>
        <w:rPr>
          <w:spacing w:val="-6"/>
        </w:rPr>
        <w:t xml:space="preserve"> </w:t>
      </w:r>
      <w:r>
        <w:t>E.W.,</w:t>
      </w:r>
      <w:r>
        <w:rPr>
          <w:spacing w:val="-6"/>
        </w:rPr>
        <w:t xml:space="preserve"> </w:t>
      </w:r>
      <w:r>
        <w:t>Emberton,</w:t>
      </w:r>
      <w:r>
        <w:rPr>
          <w:spacing w:val="-6"/>
        </w:rPr>
        <w:t xml:space="preserve"> </w:t>
      </w:r>
      <w:r>
        <w:t>M.,</w:t>
      </w:r>
      <w:r>
        <w:rPr>
          <w:spacing w:val="-6"/>
        </w:rPr>
        <w:t xml:space="preserve"> </w:t>
      </w:r>
      <w:r>
        <w:t>(1999).</w:t>
      </w:r>
      <w:r>
        <w:rPr>
          <w:spacing w:val="-7"/>
        </w:rPr>
        <w:t xml:space="preserve"> </w:t>
      </w:r>
      <w:r>
        <w:t>Quality</w:t>
      </w:r>
      <w:r>
        <w:rPr>
          <w:spacing w:val="-10"/>
        </w:rPr>
        <w:t xml:space="preserve"> </w:t>
      </w:r>
      <w:r>
        <w:t>of</w:t>
      </w:r>
      <w:r>
        <w:rPr>
          <w:spacing w:val="-7"/>
        </w:rPr>
        <w:t xml:space="preserve"> </w:t>
      </w:r>
      <w:r>
        <w:t>life</w:t>
      </w:r>
      <w:r>
        <w:rPr>
          <w:spacing w:val="-7"/>
        </w:rPr>
        <w:t xml:space="preserve"> </w:t>
      </w:r>
      <w:r>
        <w:t>research</w:t>
      </w:r>
      <w:r>
        <w:rPr>
          <w:spacing w:val="-6"/>
        </w:rPr>
        <w:t xml:space="preserve"> </w:t>
      </w:r>
      <w:r>
        <w:t>in</w:t>
      </w:r>
      <w:r>
        <w:rPr>
          <w:spacing w:val="-5"/>
        </w:rPr>
        <w:t xml:space="preserve"> </w:t>
      </w:r>
      <w:r>
        <w:t>urology.</w:t>
      </w:r>
      <w:r>
        <w:rPr>
          <w:spacing w:val="-6"/>
        </w:rPr>
        <w:t xml:space="preserve"> </w:t>
      </w:r>
      <w:r>
        <w:t>World</w:t>
      </w:r>
      <w:r>
        <w:rPr>
          <w:spacing w:val="-6"/>
        </w:rPr>
        <w:t xml:space="preserve"> </w:t>
      </w:r>
      <w:r>
        <w:t>J</w:t>
      </w:r>
      <w:r>
        <w:rPr>
          <w:spacing w:val="-3"/>
        </w:rPr>
        <w:t xml:space="preserve"> </w:t>
      </w:r>
      <w:r>
        <w:t>Urol;</w:t>
      </w:r>
      <w:r>
        <w:rPr>
          <w:spacing w:val="-5"/>
        </w:rPr>
        <w:t xml:space="preserve"> </w:t>
      </w:r>
      <w:r>
        <w:t>17: 191- 2.</w:t>
      </w:r>
    </w:p>
    <w:p w14:paraId="2C47F27D">
      <w:pPr>
        <w:pStyle w:val="9"/>
        <w:spacing w:before="120" w:after="120" w:line="360" w:lineRule="auto"/>
        <w:ind w:left="567" w:hanging="567"/>
      </w:pPr>
      <w:r>
        <w:t>Geri, S., Açıkdilli, R. &amp; Şen, M. (2019). Rekreasyon, İçinde, F. Çalık (Ed.), Psiko-Sosyal Boyutlarıyla</w:t>
      </w:r>
      <w:r>
        <w:rPr>
          <w:spacing w:val="-11"/>
        </w:rPr>
        <w:t xml:space="preserve"> </w:t>
      </w:r>
      <w:r>
        <w:t>Boş</w:t>
      </w:r>
      <w:r>
        <w:rPr>
          <w:spacing w:val="-5"/>
        </w:rPr>
        <w:t xml:space="preserve"> </w:t>
      </w:r>
      <w:r>
        <w:t>Zaman</w:t>
      </w:r>
      <w:r>
        <w:rPr>
          <w:spacing w:val="-7"/>
        </w:rPr>
        <w:t xml:space="preserve"> </w:t>
      </w:r>
      <w:r>
        <w:t>ve</w:t>
      </w:r>
      <w:r>
        <w:rPr>
          <w:spacing w:val="-8"/>
        </w:rPr>
        <w:t xml:space="preserve"> </w:t>
      </w:r>
      <w:r>
        <w:t>Rekreasyon</w:t>
      </w:r>
      <w:r>
        <w:rPr>
          <w:spacing w:val="-5"/>
        </w:rPr>
        <w:t xml:space="preserve"> </w:t>
      </w:r>
      <w:r>
        <w:t>Bilimi,</w:t>
      </w:r>
      <w:r>
        <w:rPr>
          <w:spacing w:val="-7"/>
        </w:rPr>
        <w:t xml:space="preserve"> </w:t>
      </w:r>
      <w:r>
        <w:t>ss.</w:t>
      </w:r>
      <w:r>
        <w:rPr>
          <w:spacing w:val="-9"/>
        </w:rPr>
        <w:t xml:space="preserve"> </w:t>
      </w:r>
      <w:r>
        <w:t>39-71,</w:t>
      </w:r>
      <w:r>
        <w:rPr>
          <w:spacing w:val="-7"/>
        </w:rPr>
        <w:t xml:space="preserve"> </w:t>
      </w:r>
      <w:r>
        <w:t>Efe</w:t>
      </w:r>
      <w:r>
        <w:rPr>
          <w:spacing w:val="-8"/>
        </w:rPr>
        <w:t xml:space="preserve"> </w:t>
      </w:r>
      <w:r>
        <w:t>Akademi,</w:t>
      </w:r>
      <w:r>
        <w:rPr>
          <w:spacing w:val="-5"/>
        </w:rPr>
        <w:t xml:space="preserve"> </w:t>
      </w:r>
      <w:r>
        <w:rPr>
          <w:spacing w:val="-2"/>
        </w:rPr>
        <w:t>İstanbul.</w:t>
      </w:r>
    </w:p>
    <w:p w14:paraId="4A6C1897">
      <w:pPr>
        <w:pStyle w:val="9"/>
        <w:spacing w:before="120" w:after="120" w:line="360" w:lineRule="auto"/>
        <w:ind w:left="567" w:hanging="567"/>
      </w:pPr>
      <w:r>
        <w:t>Gıbson, A. Ve O'rawe, M.: “Virtual Reality As A Travel Promotional Tool: Insights From A Consumer Travel Fair”, 2017. Augmented Reality And Virtual Reality - Empowering</w:t>
      </w:r>
      <w:r>
        <w:rPr>
          <w:spacing w:val="-8"/>
        </w:rPr>
        <w:t xml:space="preserve"> </w:t>
      </w:r>
      <w:r>
        <w:t>Human,</w:t>
      </w:r>
      <w:r>
        <w:rPr>
          <w:spacing w:val="-6"/>
        </w:rPr>
        <w:t xml:space="preserve"> </w:t>
      </w:r>
      <w:r>
        <w:t>Place</w:t>
      </w:r>
      <w:r>
        <w:rPr>
          <w:spacing w:val="-7"/>
        </w:rPr>
        <w:t xml:space="preserve"> </w:t>
      </w:r>
      <w:r>
        <w:t>And</w:t>
      </w:r>
      <w:r>
        <w:rPr>
          <w:spacing w:val="-6"/>
        </w:rPr>
        <w:t xml:space="preserve"> </w:t>
      </w:r>
      <w:r>
        <w:t>Business</w:t>
      </w:r>
      <w:r>
        <w:rPr>
          <w:spacing w:val="-5"/>
        </w:rPr>
        <w:t xml:space="preserve"> </w:t>
      </w:r>
      <w:r>
        <w:t>(Ss.</w:t>
      </w:r>
      <w:r>
        <w:rPr>
          <w:spacing w:val="-5"/>
        </w:rPr>
        <w:t xml:space="preserve"> </w:t>
      </w:r>
      <w:r>
        <w:t>93-107),</w:t>
      </w:r>
      <w:r>
        <w:rPr>
          <w:spacing w:val="-7"/>
        </w:rPr>
        <w:t xml:space="preserve"> </w:t>
      </w:r>
      <w:r>
        <w:t>Ed.</w:t>
      </w:r>
      <w:r>
        <w:rPr>
          <w:spacing w:val="-6"/>
        </w:rPr>
        <w:t xml:space="preserve"> </w:t>
      </w:r>
      <w:r>
        <w:t>Jung</w:t>
      </w:r>
      <w:r>
        <w:rPr>
          <w:spacing w:val="-8"/>
        </w:rPr>
        <w:t xml:space="preserve"> </w:t>
      </w:r>
      <w:r>
        <w:t>T.,</w:t>
      </w:r>
      <w:r>
        <w:rPr>
          <w:spacing w:val="-6"/>
        </w:rPr>
        <w:t xml:space="preserve"> </w:t>
      </w:r>
      <w:r>
        <w:t>Tom</w:t>
      </w:r>
      <w:r>
        <w:rPr>
          <w:spacing w:val="-6"/>
        </w:rPr>
        <w:t xml:space="preserve"> </w:t>
      </w:r>
      <w:r>
        <w:t>Dieck,</w:t>
      </w:r>
      <w:r>
        <w:rPr>
          <w:spacing w:val="-6"/>
        </w:rPr>
        <w:t xml:space="preserve"> </w:t>
      </w:r>
      <w:r>
        <w:t>M. C., London, Springer.</w:t>
      </w:r>
    </w:p>
    <w:p w14:paraId="61D90E80">
      <w:pPr>
        <w:pStyle w:val="9"/>
        <w:spacing w:before="120" w:after="120" w:line="360" w:lineRule="auto"/>
        <w:ind w:left="567" w:hanging="567"/>
      </w:pPr>
      <w:r>
        <w:t>Gigante,</w:t>
      </w:r>
      <w:r>
        <w:rPr>
          <w:spacing w:val="19"/>
        </w:rPr>
        <w:t xml:space="preserve"> </w:t>
      </w:r>
      <w:r>
        <w:t>M.</w:t>
      </w:r>
      <w:r>
        <w:rPr>
          <w:spacing w:val="20"/>
        </w:rPr>
        <w:t xml:space="preserve"> </w:t>
      </w:r>
      <w:r>
        <w:t>A.</w:t>
      </w:r>
      <w:r>
        <w:rPr>
          <w:spacing w:val="19"/>
        </w:rPr>
        <w:t xml:space="preserve"> </w:t>
      </w:r>
      <w:r>
        <w:t>(1993).</w:t>
      </w:r>
      <w:r>
        <w:rPr>
          <w:spacing w:val="21"/>
        </w:rPr>
        <w:t xml:space="preserve"> </w:t>
      </w:r>
      <w:r>
        <w:t>Virtual</w:t>
      </w:r>
      <w:r>
        <w:rPr>
          <w:spacing w:val="20"/>
        </w:rPr>
        <w:t xml:space="preserve"> </w:t>
      </w:r>
      <w:r>
        <w:t>reality:</w:t>
      </w:r>
      <w:r>
        <w:rPr>
          <w:spacing w:val="20"/>
        </w:rPr>
        <w:t xml:space="preserve"> </w:t>
      </w:r>
      <w:r>
        <w:t>definitions,</w:t>
      </w:r>
      <w:r>
        <w:rPr>
          <w:spacing w:val="20"/>
        </w:rPr>
        <w:t xml:space="preserve"> </w:t>
      </w:r>
      <w:r>
        <w:t>history</w:t>
      </w:r>
      <w:r>
        <w:rPr>
          <w:spacing w:val="14"/>
        </w:rPr>
        <w:t xml:space="preserve"> </w:t>
      </w:r>
      <w:r>
        <w:t>and</w:t>
      </w:r>
      <w:r>
        <w:rPr>
          <w:spacing w:val="20"/>
        </w:rPr>
        <w:t xml:space="preserve"> </w:t>
      </w:r>
      <w:r>
        <w:t>applications.</w:t>
      </w:r>
      <w:r>
        <w:rPr>
          <w:spacing w:val="20"/>
        </w:rPr>
        <w:t xml:space="preserve"> </w:t>
      </w:r>
      <w:r>
        <w:t>Virtual</w:t>
      </w:r>
      <w:r>
        <w:rPr>
          <w:spacing w:val="20"/>
        </w:rPr>
        <w:t xml:space="preserve"> </w:t>
      </w:r>
      <w:r>
        <w:rPr>
          <w:spacing w:val="-2"/>
        </w:rPr>
        <w:t>Real.</w:t>
      </w:r>
    </w:p>
    <w:p w14:paraId="30C1BD8C">
      <w:pPr>
        <w:pStyle w:val="9"/>
        <w:spacing w:before="120" w:after="120" w:line="360" w:lineRule="auto"/>
        <w:ind w:left="567" w:hanging="567"/>
      </w:pPr>
      <w:r>
        <w:t>Gomez,</w:t>
      </w:r>
      <w:r>
        <w:rPr>
          <w:spacing w:val="-1"/>
        </w:rPr>
        <w:t xml:space="preserve"> </w:t>
      </w:r>
      <w:r>
        <w:t>D.,</w:t>
      </w:r>
      <w:r>
        <w:rPr>
          <w:spacing w:val="-2"/>
        </w:rPr>
        <w:t xml:space="preserve"> </w:t>
      </w:r>
      <w:r>
        <w:t>Burdea, G. Ve Langrana, N.:</w:t>
      </w:r>
      <w:r>
        <w:rPr>
          <w:spacing w:val="-1"/>
        </w:rPr>
        <w:t xml:space="preserve"> </w:t>
      </w:r>
      <w:r>
        <w:t>1995. “Integration</w:t>
      </w:r>
      <w:r>
        <w:rPr>
          <w:spacing w:val="-1"/>
        </w:rPr>
        <w:t xml:space="preserve"> </w:t>
      </w:r>
      <w:r>
        <w:t>Of</w:t>
      </w:r>
      <w:r>
        <w:rPr>
          <w:spacing w:val="-2"/>
        </w:rPr>
        <w:t xml:space="preserve"> </w:t>
      </w:r>
      <w:r>
        <w:t>The</w:t>
      </w:r>
      <w:r>
        <w:rPr>
          <w:spacing w:val="-2"/>
        </w:rPr>
        <w:t xml:space="preserve"> </w:t>
      </w:r>
      <w:r>
        <w:t>Rutgers</w:t>
      </w:r>
      <w:r>
        <w:rPr>
          <w:spacing w:val="-2"/>
        </w:rPr>
        <w:t xml:space="preserve"> </w:t>
      </w:r>
      <w:r>
        <w:t>Master Iı İn A Virtual Reality Simulation”, Virtual Reality Annual International Symposium, March 11-15, Research Triangle Park, North Carolina, Ss. 198-202.</w:t>
      </w:r>
    </w:p>
    <w:p w14:paraId="1B8ADD6F">
      <w:pPr>
        <w:pStyle w:val="9"/>
        <w:tabs>
          <w:tab w:val="left" w:pos="3152"/>
          <w:tab w:val="left" w:pos="4373"/>
          <w:tab w:val="left" w:pos="6520"/>
          <w:tab w:val="left" w:pos="8472"/>
        </w:tabs>
        <w:spacing w:before="120" w:after="120" w:line="360" w:lineRule="auto"/>
        <w:ind w:left="567" w:hanging="567"/>
      </w:pPr>
      <w:r>
        <w:t>Gordon, R. (2004). Folk psychology</w:t>
      </w:r>
      <w:r>
        <w:rPr>
          <w:spacing w:val="-1"/>
        </w:rPr>
        <w:t xml:space="preserve"> </w:t>
      </w:r>
      <w:r>
        <w:t xml:space="preserve">as mental simulation. In Zalta, N. (Ed.), The Stanford </w:t>
      </w:r>
      <w:r>
        <w:rPr>
          <w:spacing w:val="-2"/>
        </w:rPr>
        <w:t>encyclopedia</w:t>
      </w:r>
      <w:r>
        <w:tab/>
      </w:r>
      <w:r>
        <w:rPr>
          <w:spacing w:val="-6"/>
        </w:rPr>
        <w:t>of</w:t>
      </w:r>
      <w:r>
        <w:tab/>
      </w:r>
      <w:r>
        <w:rPr>
          <w:spacing w:val="-2"/>
        </w:rPr>
        <w:t>philosophy.</w:t>
      </w:r>
      <w:r>
        <w:tab/>
      </w:r>
      <w:r>
        <w:rPr>
          <w:spacing w:val="-2"/>
        </w:rPr>
        <w:t>Retrieved</w:t>
      </w:r>
      <w:r>
        <w:tab/>
      </w:r>
      <w:r>
        <w:rPr>
          <w:spacing w:val="-4"/>
        </w:rPr>
        <w:t xml:space="preserve">from </w:t>
      </w:r>
      <w:r>
        <w:fldChar w:fldCharType="begin"/>
      </w:r>
      <w:r>
        <w:instrText xml:space="preserve"> HYPERLINK "http://plato.stanford.edu/archives/fall2004/entries/folkpsych-simulation/" \h </w:instrText>
      </w:r>
      <w:r>
        <w:fldChar w:fldCharType="separate"/>
      </w:r>
      <w:r>
        <w:rPr>
          <w:spacing w:val="-2"/>
          <w:u w:val="single"/>
        </w:rPr>
        <w:t>http://plato.stanford.edu/archives/fall2004/entries/folkpsych-simulation/</w:t>
      </w:r>
      <w:r>
        <w:rPr>
          <w:spacing w:val="-2"/>
          <w:u w:val="single"/>
        </w:rPr>
        <w:fldChar w:fldCharType="end"/>
      </w:r>
    </w:p>
    <w:p w14:paraId="60B337FB">
      <w:pPr>
        <w:pStyle w:val="9"/>
        <w:spacing w:before="120" w:after="120" w:line="360" w:lineRule="auto"/>
        <w:ind w:left="567" w:hanging="567"/>
      </w:pPr>
      <w:r>
        <w:t>Gordon,</w:t>
      </w:r>
      <w:r>
        <w:rPr>
          <w:spacing w:val="-2"/>
        </w:rPr>
        <w:t xml:space="preserve"> </w:t>
      </w:r>
      <w:r>
        <w:t>R.M.</w:t>
      </w:r>
      <w:r>
        <w:rPr>
          <w:spacing w:val="-1"/>
        </w:rPr>
        <w:t xml:space="preserve"> </w:t>
      </w:r>
      <w:r>
        <w:t>(1986).</w:t>
      </w:r>
      <w:r>
        <w:rPr>
          <w:spacing w:val="-1"/>
        </w:rPr>
        <w:t xml:space="preserve"> </w:t>
      </w:r>
      <w:r>
        <w:t>Folk</w:t>
      </w:r>
      <w:r>
        <w:rPr>
          <w:spacing w:val="-2"/>
        </w:rPr>
        <w:t xml:space="preserve"> </w:t>
      </w:r>
      <w:r>
        <w:t>psychology</w:t>
      </w:r>
      <w:r>
        <w:rPr>
          <w:spacing w:val="-6"/>
        </w:rPr>
        <w:t xml:space="preserve"> </w:t>
      </w:r>
      <w:r>
        <w:t>as</w:t>
      </w:r>
      <w:r>
        <w:rPr>
          <w:spacing w:val="-1"/>
        </w:rPr>
        <w:t xml:space="preserve"> </w:t>
      </w:r>
      <w:r>
        <w:t>simulation.</w:t>
      </w:r>
      <w:r>
        <w:rPr>
          <w:spacing w:val="-1"/>
        </w:rPr>
        <w:t xml:space="preserve"> </w:t>
      </w:r>
      <w:r>
        <w:t>Mind</w:t>
      </w:r>
      <w:r>
        <w:rPr>
          <w:spacing w:val="-2"/>
        </w:rPr>
        <w:t xml:space="preserve"> </w:t>
      </w:r>
      <w:r>
        <w:t>and</w:t>
      </w:r>
      <w:r>
        <w:rPr>
          <w:spacing w:val="1"/>
        </w:rPr>
        <w:t xml:space="preserve"> </w:t>
      </w:r>
      <w:r>
        <w:t>Language,</w:t>
      </w:r>
      <w:r>
        <w:rPr>
          <w:spacing w:val="1"/>
        </w:rPr>
        <w:t xml:space="preserve"> </w:t>
      </w:r>
      <w:r>
        <w:t>1(2),</w:t>
      </w:r>
      <w:r>
        <w:rPr>
          <w:spacing w:val="-1"/>
        </w:rPr>
        <w:t xml:space="preserve"> </w:t>
      </w:r>
      <w:r>
        <w:t>158-</w:t>
      </w:r>
      <w:r>
        <w:rPr>
          <w:spacing w:val="-4"/>
        </w:rPr>
        <w:t>171.</w:t>
      </w:r>
    </w:p>
    <w:p w14:paraId="336463FB">
      <w:pPr>
        <w:pStyle w:val="9"/>
        <w:spacing w:before="120" w:after="120" w:line="360" w:lineRule="auto"/>
        <w:ind w:left="567" w:hanging="567"/>
      </w:pPr>
      <w:r>
        <w:t xml:space="preserve">Gökmen, Ö. F. (2014), “Rekreasyon Aktiviteleri. Ders Notları ve Özetler”. </w:t>
      </w:r>
      <w:r>
        <w:fldChar w:fldCharType="begin"/>
      </w:r>
      <w:r>
        <w:instrText xml:space="preserve"> HYPERLINK "http://ders-not-/" \h </w:instrText>
      </w:r>
      <w:r>
        <w:fldChar w:fldCharType="separate"/>
      </w:r>
      <w:r>
        <w:t>http://ders-not-</w:t>
      </w:r>
      <w:r>
        <w:fldChar w:fldCharType="end"/>
      </w:r>
      <w:r>
        <w:t xml:space="preserve"> </w:t>
      </w:r>
      <w:r>
        <w:rPr>
          <w:spacing w:val="-2"/>
        </w:rPr>
        <w:t>ozet.blogspot.com/2014/04/rekreasyon-aktiviteleri.html</w:t>
      </w:r>
    </w:p>
    <w:p w14:paraId="35616CD6">
      <w:pPr>
        <w:pStyle w:val="9"/>
        <w:spacing w:before="120" w:after="120" w:line="360" w:lineRule="auto"/>
        <w:ind w:left="567" w:hanging="567"/>
      </w:pPr>
      <w:r>
        <w:t>Greenbaum,</w:t>
      </w:r>
      <w:r>
        <w:rPr>
          <w:spacing w:val="-2"/>
        </w:rPr>
        <w:t xml:space="preserve"> </w:t>
      </w:r>
      <w:r>
        <w:t>P.:</w:t>
      </w:r>
      <w:r>
        <w:rPr>
          <w:spacing w:val="-1"/>
        </w:rPr>
        <w:t xml:space="preserve"> </w:t>
      </w:r>
      <w:r>
        <w:t>1992.</w:t>
      </w:r>
      <w:r>
        <w:rPr>
          <w:spacing w:val="-1"/>
        </w:rPr>
        <w:t xml:space="preserve"> </w:t>
      </w:r>
      <w:r>
        <w:t>“The</w:t>
      </w:r>
      <w:r>
        <w:rPr>
          <w:spacing w:val="-2"/>
        </w:rPr>
        <w:t xml:space="preserve"> </w:t>
      </w:r>
      <w:r>
        <w:t>Lawnmower</w:t>
      </w:r>
      <w:r>
        <w:rPr>
          <w:spacing w:val="-1"/>
        </w:rPr>
        <w:t xml:space="preserve"> </w:t>
      </w:r>
      <w:r>
        <w:t>Man”,</w:t>
      </w:r>
      <w:r>
        <w:rPr>
          <w:spacing w:val="-1"/>
        </w:rPr>
        <w:t xml:space="preserve"> </w:t>
      </w:r>
      <w:r>
        <w:t>Film</w:t>
      </w:r>
      <w:r>
        <w:rPr>
          <w:spacing w:val="-2"/>
        </w:rPr>
        <w:t xml:space="preserve"> </w:t>
      </w:r>
      <w:r>
        <w:t>and</w:t>
      </w:r>
      <w:r>
        <w:rPr>
          <w:spacing w:val="-1"/>
        </w:rPr>
        <w:t xml:space="preserve"> </w:t>
      </w:r>
      <w:r>
        <w:t>Video,</w:t>
      </w:r>
      <w:r>
        <w:rPr>
          <w:spacing w:val="-1"/>
        </w:rPr>
        <w:t xml:space="preserve"> </w:t>
      </w:r>
      <w:r>
        <w:t>9(3),</w:t>
      </w:r>
      <w:r>
        <w:rPr>
          <w:spacing w:val="-1"/>
        </w:rPr>
        <w:t xml:space="preserve"> </w:t>
      </w:r>
      <w:r>
        <w:t>58-</w:t>
      </w:r>
      <w:r>
        <w:rPr>
          <w:spacing w:val="-5"/>
        </w:rPr>
        <w:t>62.</w:t>
      </w:r>
    </w:p>
    <w:p w14:paraId="475A5338">
      <w:pPr>
        <w:pStyle w:val="9"/>
        <w:spacing w:before="120" w:after="120" w:line="360" w:lineRule="auto"/>
        <w:ind w:left="567" w:hanging="567"/>
      </w:pPr>
      <w:r>
        <w:t>Greenleaf, W.J. (1996). Developing the Tools for Practical VR Applications. IEEE Engineering in Medicine and Biology, 15(2), 23-30.</w:t>
      </w:r>
    </w:p>
    <w:p w14:paraId="2577039F">
      <w:pPr>
        <w:spacing w:before="120" w:after="120" w:line="360" w:lineRule="auto"/>
        <w:ind w:left="567" w:hanging="567"/>
        <w:jc w:val="both"/>
        <w:rPr>
          <w:sz w:val="24"/>
          <w:szCs w:val="24"/>
        </w:rPr>
      </w:pPr>
      <w:r>
        <w:rPr>
          <w:sz w:val="24"/>
          <w:szCs w:val="24"/>
        </w:rPr>
        <w:t>Grischkan, S. (2022). Augmented Virtuality and Augmented Reality: Transcendental- Phenomenological</w:t>
      </w:r>
      <w:r>
        <w:rPr>
          <w:spacing w:val="-6"/>
          <w:sz w:val="24"/>
          <w:szCs w:val="24"/>
        </w:rPr>
        <w:t xml:space="preserve"> </w:t>
      </w:r>
      <w:r>
        <w:rPr>
          <w:sz w:val="24"/>
          <w:szCs w:val="24"/>
        </w:rPr>
        <w:t>Analysis.</w:t>
      </w:r>
      <w:r>
        <w:rPr>
          <w:spacing w:val="-3"/>
          <w:sz w:val="24"/>
          <w:szCs w:val="24"/>
        </w:rPr>
        <w:t xml:space="preserve"> </w:t>
      </w:r>
      <w:r>
        <w:rPr>
          <w:i/>
          <w:sz w:val="24"/>
          <w:szCs w:val="24"/>
        </w:rPr>
        <w:t>Augmented</w:t>
      </w:r>
      <w:r>
        <w:rPr>
          <w:i/>
          <w:spacing w:val="-7"/>
          <w:sz w:val="24"/>
          <w:szCs w:val="24"/>
        </w:rPr>
        <w:t xml:space="preserve"> </w:t>
      </w:r>
      <w:r>
        <w:rPr>
          <w:i/>
          <w:sz w:val="24"/>
          <w:szCs w:val="24"/>
        </w:rPr>
        <w:t>Images:</w:t>
      </w:r>
      <w:r>
        <w:rPr>
          <w:i/>
          <w:spacing w:val="-8"/>
          <w:sz w:val="24"/>
          <w:szCs w:val="24"/>
        </w:rPr>
        <w:t xml:space="preserve"> </w:t>
      </w:r>
      <w:r>
        <w:rPr>
          <w:i/>
          <w:sz w:val="24"/>
          <w:szCs w:val="24"/>
        </w:rPr>
        <w:t>Trilogy</w:t>
      </w:r>
      <w:r>
        <w:rPr>
          <w:i/>
          <w:spacing w:val="-8"/>
          <w:sz w:val="24"/>
          <w:szCs w:val="24"/>
        </w:rPr>
        <w:t xml:space="preserve"> </w:t>
      </w:r>
      <w:r>
        <w:rPr>
          <w:i/>
          <w:sz w:val="24"/>
          <w:szCs w:val="24"/>
        </w:rPr>
        <w:t>of</w:t>
      </w:r>
      <w:r>
        <w:rPr>
          <w:i/>
          <w:spacing w:val="-6"/>
          <w:sz w:val="24"/>
          <w:szCs w:val="24"/>
        </w:rPr>
        <w:t xml:space="preserve"> </w:t>
      </w:r>
      <w:r>
        <w:rPr>
          <w:i/>
          <w:sz w:val="24"/>
          <w:szCs w:val="24"/>
        </w:rPr>
        <w:t>Synthetic</w:t>
      </w:r>
      <w:r>
        <w:rPr>
          <w:i/>
          <w:spacing w:val="-7"/>
          <w:sz w:val="24"/>
          <w:szCs w:val="24"/>
        </w:rPr>
        <w:t xml:space="preserve"> </w:t>
      </w:r>
      <w:r>
        <w:rPr>
          <w:i/>
          <w:sz w:val="24"/>
          <w:szCs w:val="24"/>
        </w:rPr>
        <w:t>Realities</w:t>
      </w:r>
      <w:r>
        <w:rPr>
          <w:i/>
          <w:spacing w:val="-7"/>
          <w:sz w:val="24"/>
          <w:szCs w:val="24"/>
        </w:rPr>
        <w:t xml:space="preserve"> </w:t>
      </w:r>
      <w:r>
        <w:rPr>
          <w:i/>
          <w:sz w:val="24"/>
          <w:szCs w:val="24"/>
        </w:rPr>
        <w:t>II</w:t>
      </w:r>
      <w:r>
        <w:rPr>
          <w:sz w:val="24"/>
          <w:szCs w:val="24"/>
        </w:rPr>
        <w:t>,</w:t>
      </w:r>
      <w:r>
        <w:rPr>
          <w:spacing w:val="-4"/>
          <w:sz w:val="24"/>
          <w:szCs w:val="24"/>
        </w:rPr>
        <w:t xml:space="preserve"> </w:t>
      </w:r>
      <w:r>
        <w:rPr>
          <w:i/>
          <w:sz w:val="24"/>
          <w:szCs w:val="24"/>
        </w:rPr>
        <w:t>6</w:t>
      </w:r>
      <w:r>
        <w:rPr>
          <w:sz w:val="24"/>
          <w:szCs w:val="24"/>
        </w:rPr>
        <w:t xml:space="preserve">, </w:t>
      </w:r>
      <w:r>
        <w:rPr>
          <w:spacing w:val="-4"/>
          <w:sz w:val="24"/>
          <w:szCs w:val="24"/>
        </w:rPr>
        <w:t>62.</w:t>
      </w:r>
    </w:p>
    <w:p w14:paraId="76106686">
      <w:pPr>
        <w:pStyle w:val="9"/>
        <w:spacing w:before="120" w:after="120" w:line="360" w:lineRule="auto"/>
        <w:ind w:left="567" w:hanging="567"/>
      </w:pPr>
      <w:r>
        <w:t>Guerra, J. P., Pınto, M. M. Ve Beato, C.: 2015. “Virtual Reality-Shows A New Vision For Tourism And Heritage”, European Scientific Journal, 201 March 2015 Special Edition, 49-54.</w:t>
      </w:r>
    </w:p>
    <w:p w14:paraId="590F4036">
      <w:pPr>
        <w:pStyle w:val="9"/>
        <w:spacing w:before="120" w:after="120" w:line="360" w:lineRule="auto"/>
        <w:ind w:left="567" w:hanging="567"/>
      </w:pPr>
      <w:r>
        <w:t>Gulliford, M., Figueroa-Munoz, J., Morgan, M., Hughes, D., Gibson, B., Beech, R., &amp; Hudson, M. (2002). What does 'access to health care' mean? Journal of Health Services Research &amp; Policy, 7(3), 186-188.</w:t>
      </w:r>
    </w:p>
    <w:p w14:paraId="78DB5952">
      <w:pPr>
        <w:pStyle w:val="9"/>
        <w:spacing w:before="120" w:after="120" w:line="360" w:lineRule="auto"/>
        <w:ind w:left="567" w:hanging="567"/>
      </w:pPr>
      <w:r>
        <w:t xml:space="preserve">Gutıerrez, M., Vexo, F. Ve Thalmann, D.: 2008. Stepping Into Virtual Reality, London, </w:t>
      </w:r>
      <w:r>
        <w:rPr>
          <w:spacing w:val="-2"/>
        </w:rPr>
        <w:t>Springer.</w:t>
      </w:r>
    </w:p>
    <w:p w14:paraId="18D21428">
      <w:pPr>
        <w:pStyle w:val="9"/>
        <w:spacing w:before="120" w:after="120" w:line="360" w:lineRule="auto"/>
        <w:ind w:left="567" w:hanging="567"/>
      </w:pPr>
      <w:r>
        <w:t>Gül,</w:t>
      </w:r>
      <w:r>
        <w:rPr>
          <w:spacing w:val="-7"/>
        </w:rPr>
        <w:t xml:space="preserve"> </w:t>
      </w:r>
      <w:r>
        <w:t>T.</w:t>
      </w:r>
      <w:r>
        <w:rPr>
          <w:spacing w:val="-7"/>
        </w:rPr>
        <w:t xml:space="preserve"> </w:t>
      </w:r>
      <w:r>
        <w:t>(2014).</w:t>
      </w:r>
      <w:r>
        <w:rPr>
          <w:spacing w:val="-8"/>
        </w:rPr>
        <w:t xml:space="preserve"> </w:t>
      </w:r>
      <w:r>
        <w:t>Rekreasyon</w:t>
      </w:r>
      <w:r>
        <w:rPr>
          <w:spacing w:val="-7"/>
        </w:rPr>
        <w:t xml:space="preserve"> </w:t>
      </w:r>
      <w:r>
        <w:t>Olgusuna</w:t>
      </w:r>
      <w:r>
        <w:rPr>
          <w:spacing w:val="-6"/>
        </w:rPr>
        <w:t xml:space="preserve"> </w:t>
      </w:r>
      <w:r>
        <w:t>Genel</w:t>
      </w:r>
      <w:r>
        <w:rPr>
          <w:spacing w:val="-6"/>
        </w:rPr>
        <w:t xml:space="preserve"> </w:t>
      </w:r>
      <w:r>
        <w:t>Yaklaşım,</w:t>
      </w:r>
      <w:r>
        <w:rPr>
          <w:spacing w:val="-4"/>
        </w:rPr>
        <w:t xml:space="preserve"> </w:t>
      </w:r>
      <w:r>
        <w:t>İçinde,</w:t>
      </w:r>
      <w:r>
        <w:rPr>
          <w:spacing w:val="-7"/>
        </w:rPr>
        <w:t xml:space="preserve"> </w:t>
      </w:r>
      <w:r>
        <w:t>A.</w:t>
      </w:r>
      <w:r>
        <w:rPr>
          <w:spacing w:val="-4"/>
        </w:rPr>
        <w:t xml:space="preserve"> </w:t>
      </w:r>
      <w:r>
        <w:t>Yaylı</w:t>
      </w:r>
      <w:r>
        <w:rPr>
          <w:spacing w:val="-6"/>
        </w:rPr>
        <w:t xml:space="preserve"> </w:t>
      </w:r>
      <w:r>
        <w:t>(Ed.),</w:t>
      </w:r>
      <w:r>
        <w:rPr>
          <w:spacing w:val="-8"/>
        </w:rPr>
        <w:t xml:space="preserve"> </w:t>
      </w:r>
      <w:r>
        <w:t>Rekreasyona Giriş, ss. 1-67, Detay Yayıncılık, Ankara.</w:t>
      </w:r>
    </w:p>
    <w:p w14:paraId="7D343833">
      <w:pPr>
        <w:spacing w:before="120" w:after="120" w:line="360" w:lineRule="auto"/>
        <w:ind w:left="567" w:hanging="567"/>
        <w:jc w:val="both"/>
        <w:rPr>
          <w:sz w:val="24"/>
          <w:szCs w:val="24"/>
        </w:rPr>
      </w:pPr>
      <w:r>
        <w:rPr>
          <w:sz w:val="24"/>
          <w:szCs w:val="24"/>
        </w:rPr>
        <w:t>Güldür, B., &amp; Yaşartürk, F. (2020). Okul öncesi öğretmenlerinin rekreasyon faaliyetlerine katılımındaki fayda ve yaşam doyum düzeyleri arasındaki ilişkinin incelenmesi. </w:t>
      </w:r>
      <w:r>
        <w:rPr>
          <w:i/>
          <w:iCs/>
          <w:sz w:val="24"/>
          <w:szCs w:val="24"/>
        </w:rPr>
        <w:t>Uluslararası Güncel Eğitim Araştırmaları Dergisi</w:t>
      </w:r>
      <w:r>
        <w:rPr>
          <w:sz w:val="24"/>
          <w:szCs w:val="24"/>
        </w:rPr>
        <w:t>, </w:t>
      </w:r>
      <w:r>
        <w:rPr>
          <w:i/>
          <w:iCs/>
          <w:sz w:val="24"/>
          <w:szCs w:val="24"/>
        </w:rPr>
        <w:t>6</w:t>
      </w:r>
      <w:r>
        <w:rPr>
          <w:sz w:val="24"/>
          <w:szCs w:val="24"/>
        </w:rPr>
        <w:t>(2), 495-506.</w:t>
      </w:r>
    </w:p>
    <w:p w14:paraId="0DFB7AB1">
      <w:pPr>
        <w:widowControl/>
        <w:autoSpaceDE/>
        <w:autoSpaceDN/>
        <w:spacing w:before="120" w:after="120" w:line="360" w:lineRule="auto"/>
        <w:ind w:left="567" w:hanging="567"/>
        <w:jc w:val="both"/>
        <w:rPr>
          <w:rFonts w:eastAsia="Calibri"/>
          <w:color w:val="222222"/>
          <w:sz w:val="24"/>
          <w:szCs w:val="24"/>
          <w:shd w:val="clear" w:color="auto" w:fill="FFFFFF"/>
        </w:rPr>
      </w:pPr>
      <w:r>
        <w:rPr>
          <w:rFonts w:eastAsia="Calibri"/>
          <w:color w:val="222222"/>
          <w:sz w:val="24"/>
          <w:szCs w:val="24"/>
          <w:shd w:val="clear" w:color="auto" w:fill="FFFFFF"/>
        </w:rPr>
        <w:t>GÜLER, H., ALTINIŞIK, Ü., &amp; BULUT, Ç. (2022). " Meta Evrende Spor ve Rekreasyon (Metaverse Spor ve Rekreasyon İlişkisi). </w:t>
      </w:r>
      <w:r>
        <w:rPr>
          <w:rFonts w:eastAsia="Calibri"/>
          <w:i/>
          <w:iCs/>
          <w:color w:val="222222"/>
          <w:sz w:val="24"/>
          <w:szCs w:val="24"/>
          <w:shd w:val="clear" w:color="auto" w:fill="FFFFFF"/>
        </w:rPr>
        <w:t>Spor Bilimlerinde Betimsel Metinler</w:t>
      </w:r>
      <w:r>
        <w:rPr>
          <w:rFonts w:eastAsia="Calibri"/>
          <w:color w:val="222222"/>
          <w:sz w:val="24"/>
          <w:szCs w:val="24"/>
          <w:shd w:val="clear" w:color="auto" w:fill="FFFFFF"/>
        </w:rPr>
        <w:t>, 125.</w:t>
      </w:r>
    </w:p>
    <w:p w14:paraId="44B350DC">
      <w:pPr>
        <w:pStyle w:val="9"/>
        <w:spacing w:before="120" w:after="120" w:line="360" w:lineRule="auto"/>
        <w:ind w:left="567" w:hanging="567"/>
      </w:pPr>
      <w:r>
        <w:t>Gülmez,</w:t>
      </w:r>
      <w:r>
        <w:rPr>
          <w:spacing w:val="-9"/>
        </w:rPr>
        <w:t xml:space="preserve"> </w:t>
      </w:r>
      <w:r>
        <w:t>H.</w:t>
      </w:r>
      <w:r>
        <w:rPr>
          <w:spacing w:val="-10"/>
        </w:rPr>
        <w:t xml:space="preserve"> </w:t>
      </w:r>
      <w:r>
        <w:t>(2013).</w:t>
      </w:r>
      <w:r>
        <w:rPr>
          <w:spacing w:val="-10"/>
        </w:rPr>
        <w:t xml:space="preserve"> </w:t>
      </w:r>
      <w:r>
        <w:t>“Çalışanların</w:t>
      </w:r>
      <w:r>
        <w:rPr>
          <w:spacing w:val="-9"/>
        </w:rPr>
        <w:t xml:space="preserve"> </w:t>
      </w:r>
      <w:r>
        <w:t>Yaşam</w:t>
      </w:r>
      <w:r>
        <w:rPr>
          <w:spacing w:val="-9"/>
        </w:rPr>
        <w:t xml:space="preserve"> </w:t>
      </w:r>
      <w:r>
        <w:t>Kalitesini</w:t>
      </w:r>
      <w:r>
        <w:rPr>
          <w:spacing w:val="-9"/>
        </w:rPr>
        <w:t xml:space="preserve"> </w:t>
      </w:r>
      <w:r>
        <w:t>Etkileyen</w:t>
      </w:r>
      <w:r>
        <w:rPr>
          <w:spacing w:val="-9"/>
        </w:rPr>
        <w:t xml:space="preserve"> </w:t>
      </w:r>
      <w:r>
        <w:t>Faktörler”,</w:t>
      </w:r>
      <w:r>
        <w:rPr>
          <w:spacing w:val="-9"/>
        </w:rPr>
        <w:t xml:space="preserve"> </w:t>
      </w:r>
      <w:r>
        <w:t>Turkish</w:t>
      </w:r>
      <w:r>
        <w:rPr>
          <w:spacing w:val="-9"/>
        </w:rPr>
        <w:t xml:space="preserve"> </w:t>
      </w:r>
      <w:r>
        <w:t>Journal</w:t>
      </w:r>
      <w:r>
        <w:rPr>
          <w:spacing w:val="-9"/>
        </w:rPr>
        <w:t xml:space="preserve"> </w:t>
      </w:r>
      <w:r>
        <w:t>of Family Medicine and Primary Care, 7(4), 74-82.</w:t>
      </w:r>
    </w:p>
    <w:p w14:paraId="749707D1">
      <w:pPr>
        <w:pStyle w:val="9"/>
        <w:spacing w:before="120" w:after="120" w:line="360" w:lineRule="auto"/>
        <w:ind w:left="567" w:hanging="567"/>
      </w:pPr>
      <w:r>
        <w:t>Güncan,</w:t>
      </w:r>
      <w:r>
        <w:rPr>
          <w:spacing w:val="-4"/>
        </w:rPr>
        <w:t xml:space="preserve"> </w:t>
      </w:r>
      <w:r>
        <w:t>Ö.</w:t>
      </w:r>
      <w:r>
        <w:rPr>
          <w:spacing w:val="-3"/>
        </w:rPr>
        <w:t xml:space="preserve"> </w:t>
      </w:r>
      <w:r>
        <w:t>(2021).</w:t>
      </w:r>
      <w:r>
        <w:rPr>
          <w:spacing w:val="-4"/>
        </w:rPr>
        <w:t xml:space="preserve"> </w:t>
      </w:r>
      <w:r>
        <w:t>Elektronik</w:t>
      </w:r>
      <w:r>
        <w:rPr>
          <w:spacing w:val="-4"/>
        </w:rPr>
        <w:t xml:space="preserve"> </w:t>
      </w:r>
      <w:r>
        <w:t>Boş</w:t>
      </w:r>
      <w:r>
        <w:rPr>
          <w:spacing w:val="-2"/>
        </w:rPr>
        <w:t xml:space="preserve"> </w:t>
      </w:r>
      <w:r>
        <w:t>Zaman</w:t>
      </w:r>
      <w:r>
        <w:rPr>
          <w:spacing w:val="-4"/>
        </w:rPr>
        <w:t xml:space="preserve"> </w:t>
      </w:r>
      <w:r>
        <w:t>Uygulamaları</w:t>
      </w:r>
      <w:r>
        <w:rPr>
          <w:spacing w:val="-4"/>
        </w:rPr>
        <w:t xml:space="preserve"> </w:t>
      </w:r>
      <w:r>
        <w:t>“Sanal</w:t>
      </w:r>
      <w:r>
        <w:rPr>
          <w:spacing w:val="-4"/>
        </w:rPr>
        <w:t xml:space="preserve"> </w:t>
      </w:r>
      <w:r>
        <w:t>Rekreasyon”</w:t>
      </w:r>
      <w:r>
        <w:rPr>
          <w:spacing w:val="-5"/>
        </w:rPr>
        <w:t xml:space="preserve"> </w:t>
      </w:r>
      <w:r>
        <w:t>mudur yoksa “Dijital</w:t>
      </w:r>
      <w:r>
        <w:rPr>
          <w:spacing w:val="-17"/>
        </w:rPr>
        <w:t xml:space="preserve"> </w:t>
      </w:r>
      <w:r>
        <w:t>Rekreasyon”</w:t>
      </w:r>
      <w:r>
        <w:rPr>
          <w:spacing w:val="-15"/>
        </w:rPr>
        <w:t xml:space="preserve"> </w:t>
      </w:r>
      <w:r>
        <w:t xml:space="preserve">mu? </w:t>
      </w:r>
      <w:r>
        <w:rPr>
          <w:spacing w:val="-14"/>
        </w:rPr>
        <w:t xml:space="preserve"> </w:t>
      </w:r>
      <w:r>
        <w:t>Sosyal,</w:t>
      </w:r>
      <w:r>
        <w:rPr>
          <w:spacing w:val="-11"/>
        </w:rPr>
        <w:t xml:space="preserve"> </w:t>
      </w:r>
      <w:r>
        <w:t>Beşeri</w:t>
      </w:r>
      <w:r>
        <w:rPr>
          <w:spacing w:val="-15"/>
        </w:rPr>
        <w:t xml:space="preserve"> </w:t>
      </w:r>
      <w:r>
        <w:t>ve</w:t>
      </w:r>
      <w:r>
        <w:rPr>
          <w:spacing w:val="-13"/>
        </w:rPr>
        <w:t xml:space="preserve"> </w:t>
      </w:r>
      <w:r>
        <w:t>İdari</w:t>
      </w:r>
      <w:r>
        <w:rPr>
          <w:spacing w:val="-15"/>
        </w:rPr>
        <w:t xml:space="preserve"> </w:t>
      </w:r>
      <w:r>
        <w:t>Bilimler</w:t>
      </w:r>
      <w:r>
        <w:rPr>
          <w:spacing w:val="-15"/>
        </w:rPr>
        <w:t xml:space="preserve"> </w:t>
      </w:r>
      <w:r>
        <w:t>Dergisi,</w:t>
      </w:r>
      <w:r>
        <w:rPr>
          <w:spacing w:val="-14"/>
        </w:rPr>
        <w:t xml:space="preserve"> </w:t>
      </w:r>
      <w:r>
        <w:t>4(2),</w:t>
      </w:r>
      <w:r>
        <w:rPr>
          <w:spacing w:val="-13"/>
        </w:rPr>
        <w:t xml:space="preserve"> </w:t>
      </w:r>
      <w:r>
        <w:t>163-</w:t>
      </w:r>
      <w:r>
        <w:rPr>
          <w:spacing w:val="-4"/>
        </w:rPr>
        <w:t>181.</w:t>
      </w:r>
    </w:p>
    <w:p w14:paraId="22908674">
      <w:pPr>
        <w:pStyle w:val="9"/>
        <w:spacing w:before="120" w:after="120" w:line="360" w:lineRule="auto"/>
        <w:ind w:left="567" w:hanging="567"/>
      </w:pPr>
      <w:r>
        <w:t>Güven T, (2007) Diabetes Mellitus’lu Hastalarda Yaşam Kalitesi Ve Depresyon Etkisinin Araştırılması Uzmanlık Tezi. Sağlık Bakanlığı Şişli Etfal Eğitim Ve Araştırma Hastanesi Psikiyatri Kliniği.</w:t>
      </w:r>
    </w:p>
    <w:p w14:paraId="184F5785">
      <w:pPr>
        <w:pStyle w:val="9"/>
        <w:spacing w:before="120" w:after="120" w:line="360" w:lineRule="auto"/>
        <w:ind w:left="567" w:hanging="567"/>
      </w:pPr>
      <w:r>
        <w:t>Güven, S. ve Şener, A. (2010). “Factors Affecting Life Satisfaction in Old Age”, Turkish Journal of Geriatrics, 14(2), 179-186.</w:t>
      </w:r>
    </w:p>
    <w:p w14:paraId="75BB7137">
      <w:pPr>
        <w:pStyle w:val="9"/>
        <w:spacing w:before="120" w:after="120" w:line="360" w:lineRule="auto"/>
        <w:ind w:left="567" w:hanging="567"/>
      </w:pPr>
      <w:r>
        <w:t>Güzel, M. (2015). Gerçeklik İlkesinin Yitimi: Baudrillard’ın Simülasyon Teorisinin Temel Kavramları. FLSF Felsefe ve Sosyal Bilimler Dergisi, (19), 65-84.</w:t>
      </w:r>
    </w:p>
    <w:p w14:paraId="16728C7A">
      <w:pPr>
        <w:spacing w:before="120" w:after="120" w:line="360" w:lineRule="auto"/>
        <w:ind w:left="567" w:hanging="567"/>
        <w:jc w:val="both"/>
        <w:rPr>
          <w:sz w:val="24"/>
          <w:szCs w:val="24"/>
        </w:rPr>
      </w:pPr>
      <w:r>
        <w:rPr>
          <w:sz w:val="24"/>
          <w:szCs w:val="24"/>
        </w:rPr>
        <w:t>Ham, J., Hong, J., Jang, Y., Ko, S. H., &amp; Woo, W. (2014). Smart wristband: Touch-and- motion–tracking wearable 3D input device for smart glasses. In</w:t>
      </w:r>
      <w:r>
        <w:rPr>
          <w:spacing w:val="-2"/>
          <w:sz w:val="24"/>
          <w:szCs w:val="24"/>
        </w:rPr>
        <w:t xml:space="preserve"> </w:t>
      </w:r>
      <w:r>
        <w:rPr>
          <w:i/>
          <w:sz w:val="24"/>
          <w:szCs w:val="24"/>
        </w:rPr>
        <w:t>Distributed, Ambient,</w:t>
      </w:r>
      <w:r>
        <w:rPr>
          <w:i/>
          <w:spacing w:val="-8"/>
          <w:sz w:val="24"/>
          <w:szCs w:val="24"/>
        </w:rPr>
        <w:t xml:space="preserve"> </w:t>
      </w:r>
      <w:r>
        <w:rPr>
          <w:i/>
          <w:sz w:val="24"/>
          <w:szCs w:val="24"/>
        </w:rPr>
        <w:t>and</w:t>
      </w:r>
      <w:r>
        <w:rPr>
          <w:i/>
          <w:spacing w:val="-8"/>
          <w:sz w:val="24"/>
          <w:szCs w:val="24"/>
        </w:rPr>
        <w:t xml:space="preserve"> </w:t>
      </w:r>
      <w:r>
        <w:rPr>
          <w:i/>
          <w:sz w:val="24"/>
          <w:szCs w:val="24"/>
        </w:rPr>
        <w:t>Pervasive</w:t>
      </w:r>
      <w:r>
        <w:rPr>
          <w:i/>
          <w:spacing w:val="-8"/>
          <w:sz w:val="24"/>
          <w:szCs w:val="24"/>
        </w:rPr>
        <w:t xml:space="preserve"> </w:t>
      </w:r>
      <w:r>
        <w:rPr>
          <w:i/>
          <w:sz w:val="24"/>
          <w:szCs w:val="24"/>
        </w:rPr>
        <w:t>Interactions:</w:t>
      </w:r>
      <w:r>
        <w:rPr>
          <w:i/>
          <w:spacing w:val="-8"/>
          <w:sz w:val="24"/>
          <w:szCs w:val="24"/>
        </w:rPr>
        <w:t xml:space="preserve"> </w:t>
      </w:r>
      <w:r>
        <w:rPr>
          <w:i/>
          <w:sz w:val="24"/>
          <w:szCs w:val="24"/>
        </w:rPr>
        <w:t>Second</w:t>
      </w:r>
      <w:r>
        <w:rPr>
          <w:i/>
          <w:spacing w:val="-8"/>
          <w:sz w:val="24"/>
          <w:szCs w:val="24"/>
        </w:rPr>
        <w:t xml:space="preserve"> </w:t>
      </w:r>
      <w:r>
        <w:rPr>
          <w:i/>
          <w:sz w:val="24"/>
          <w:szCs w:val="24"/>
        </w:rPr>
        <w:t>International</w:t>
      </w:r>
      <w:r>
        <w:rPr>
          <w:i/>
          <w:spacing w:val="-7"/>
          <w:sz w:val="24"/>
          <w:szCs w:val="24"/>
        </w:rPr>
        <w:t xml:space="preserve"> </w:t>
      </w:r>
      <w:r>
        <w:rPr>
          <w:i/>
          <w:sz w:val="24"/>
          <w:szCs w:val="24"/>
        </w:rPr>
        <w:t>Conference,</w:t>
      </w:r>
      <w:r>
        <w:rPr>
          <w:i/>
          <w:spacing w:val="-8"/>
          <w:sz w:val="24"/>
          <w:szCs w:val="24"/>
        </w:rPr>
        <w:t xml:space="preserve"> </w:t>
      </w:r>
      <w:r>
        <w:rPr>
          <w:i/>
          <w:sz w:val="24"/>
          <w:szCs w:val="24"/>
        </w:rPr>
        <w:t>DAPI</w:t>
      </w:r>
      <w:r>
        <w:rPr>
          <w:i/>
          <w:spacing w:val="-8"/>
          <w:sz w:val="24"/>
          <w:szCs w:val="24"/>
        </w:rPr>
        <w:t xml:space="preserve"> </w:t>
      </w:r>
      <w:r>
        <w:rPr>
          <w:i/>
          <w:sz w:val="24"/>
          <w:szCs w:val="24"/>
        </w:rPr>
        <w:t>2014, Held</w:t>
      </w:r>
      <w:r>
        <w:rPr>
          <w:i/>
          <w:spacing w:val="-5"/>
          <w:sz w:val="24"/>
          <w:szCs w:val="24"/>
        </w:rPr>
        <w:t xml:space="preserve"> </w:t>
      </w:r>
      <w:r>
        <w:rPr>
          <w:i/>
          <w:sz w:val="24"/>
          <w:szCs w:val="24"/>
        </w:rPr>
        <w:t>as</w:t>
      </w:r>
      <w:r>
        <w:rPr>
          <w:i/>
          <w:spacing w:val="-6"/>
          <w:sz w:val="24"/>
          <w:szCs w:val="24"/>
        </w:rPr>
        <w:t xml:space="preserve"> </w:t>
      </w:r>
      <w:r>
        <w:rPr>
          <w:i/>
          <w:sz w:val="24"/>
          <w:szCs w:val="24"/>
        </w:rPr>
        <w:t>Part</w:t>
      </w:r>
      <w:r>
        <w:rPr>
          <w:i/>
          <w:spacing w:val="-5"/>
          <w:sz w:val="24"/>
          <w:szCs w:val="24"/>
        </w:rPr>
        <w:t xml:space="preserve"> </w:t>
      </w:r>
      <w:r>
        <w:rPr>
          <w:i/>
          <w:sz w:val="24"/>
          <w:szCs w:val="24"/>
        </w:rPr>
        <w:t>of</w:t>
      </w:r>
      <w:r>
        <w:rPr>
          <w:i/>
          <w:spacing w:val="-5"/>
          <w:sz w:val="24"/>
          <w:szCs w:val="24"/>
        </w:rPr>
        <w:t xml:space="preserve"> </w:t>
      </w:r>
      <w:r>
        <w:rPr>
          <w:i/>
          <w:sz w:val="24"/>
          <w:szCs w:val="24"/>
        </w:rPr>
        <w:t>HCI</w:t>
      </w:r>
      <w:r>
        <w:rPr>
          <w:i/>
          <w:spacing w:val="-6"/>
          <w:sz w:val="24"/>
          <w:szCs w:val="24"/>
        </w:rPr>
        <w:t xml:space="preserve"> </w:t>
      </w:r>
      <w:r>
        <w:rPr>
          <w:i/>
          <w:sz w:val="24"/>
          <w:szCs w:val="24"/>
        </w:rPr>
        <w:t>Interational</w:t>
      </w:r>
      <w:r>
        <w:rPr>
          <w:i/>
          <w:spacing w:val="-5"/>
          <w:sz w:val="24"/>
          <w:szCs w:val="24"/>
        </w:rPr>
        <w:t xml:space="preserve"> </w:t>
      </w:r>
      <w:r>
        <w:rPr>
          <w:i/>
          <w:sz w:val="24"/>
          <w:szCs w:val="24"/>
        </w:rPr>
        <w:t>2014,</w:t>
      </w:r>
      <w:r>
        <w:rPr>
          <w:i/>
          <w:spacing w:val="-6"/>
          <w:sz w:val="24"/>
          <w:szCs w:val="24"/>
        </w:rPr>
        <w:t xml:space="preserve"> </w:t>
      </w:r>
      <w:r>
        <w:rPr>
          <w:i/>
          <w:sz w:val="24"/>
          <w:szCs w:val="24"/>
        </w:rPr>
        <w:t>Heraklion,</w:t>
      </w:r>
      <w:r>
        <w:rPr>
          <w:i/>
          <w:spacing w:val="-6"/>
          <w:sz w:val="24"/>
          <w:szCs w:val="24"/>
        </w:rPr>
        <w:t xml:space="preserve"> </w:t>
      </w:r>
      <w:r>
        <w:rPr>
          <w:i/>
          <w:sz w:val="24"/>
          <w:szCs w:val="24"/>
        </w:rPr>
        <w:t>Crete,</w:t>
      </w:r>
      <w:r>
        <w:rPr>
          <w:i/>
          <w:spacing w:val="-6"/>
          <w:sz w:val="24"/>
          <w:szCs w:val="24"/>
        </w:rPr>
        <w:t xml:space="preserve"> </w:t>
      </w:r>
      <w:r>
        <w:rPr>
          <w:i/>
          <w:sz w:val="24"/>
          <w:szCs w:val="24"/>
        </w:rPr>
        <w:t>Greece,</w:t>
      </w:r>
      <w:r>
        <w:rPr>
          <w:i/>
          <w:spacing w:val="-6"/>
          <w:sz w:val="24"/>
          <w:szCs w:val="24"/>
        </w:rPr>
        <w:t xml:space="preserve"> </w:t>
      </w:r>
      <w:r>
        <w:rPr>
          <w:i/>
          <w:sz w:val="24"/>
          <w:szCs w:val="24"/>
        </w:rPr>
        <w:t>June</w:t>
      </w:r>
      <w:r>
        <w:rPr>
          <w:i/>
          <w:spacing w:val="-7"/>
          <w:sz w:val="24"/>
          <w:szCs w:val="24"/>
        </w:rPr>
        <w:t xml:space="preserve"> </w:t>
      </w:r>
      <w:r>
        <w:rPr>
          <w:i/>
          <w:sz w:val="24"/>
          <w:szCs w:val="24"/>
        </w:rPr>
        <w:t>22-27,</w:t>
      </w:r>
      <w:r>
        <w:rPr>
          <w:i/>
          <w:spacing w:val="-6"/>
          <w:sz w:val="24"/>
          <w:szCs w:val="24"/>
        </w:rPr>
        <w:t xml:space="preserve"> </w:t>
      </w:r>
      <w:r>
        <w:rPr>
          <w:i/>
          <w:sz w:val="24"/>
          <w:szCs w:val="24"/>
        </w:rPr>
        <w:t xml:space="preserve">2014. Proceedings 2 </w:t>
      </w:r>
      <w:r>
        <w:rPr>
          <w:sz w:val="24"/>
          <w:szCs w:val="24"/>
        </w:rPr>
        <w:t>(pp. 109-118). Springer International Publishing.</w:t>
      </w:r>
    </w:p>
    <w:p w14:paraId="7F617D4A">
      <w:pPr>
        <w:pStyle w:val="9"/>
        <w:spacing w:before="120" w:after="120" w:line="360" w:lineRule="auto"/>
        <w:ind w:left="567" w:hanging="567"/>
      </w:pPr>
      <w:r>
        <w:t>Hattie, J. (2009). Visible learning: A synthesis of over 800 meta-analyses relating to achievement. New York, NY: Routledge</w:t>
      </w:r>
    </w:p>
    <w:p w14:paraId="12BC3AE7">
      <w:pPr>
        <w:pStyle w:val="9"/>
        <w:spacing w:before="120" w:after="120" w:line="360" w:lineRule="auto"/>
        <w:ind w:left="567" w:hanging="567"/>
      </w:pPr>
      <w:r>
        <w:t>Hattie,</w:t>
      </w:r>
      <w:r>
        <w:rPr>
          <w:spacing w:val="-7"/>
        </w:rPr>
        <w:t xml:space="preserve"> </w:t>
      </w:r>
      <w:r>
        <w:t>J.,</w:t>
      </w:r>
      <w:r>
        <w:rPr>
          <w:spacing w:val="-7"/>
        </w:rPr>
        <w:t xml:space="preserve"> </w:t>
      </w:r>
      <w:r>
        <w:t>&amp;</w:t>
      </w:r>
      <w:r>
        <w:rPr>
          <w:spacing w:val="-8"/>
        </w:rPr>
        <w:t xml:space="preserve"> </w:t>
      </w:r>
      <w:r>
        <w:t>Timperley,</w:t>
      </w:r>
      <w:r>
        <w:rPr>
          <w:spacing w:val="-4"/>
        </w:rPr>
        <w:t xml:space="preserve"> </w:t>
      </w:r>
      <w:r>
        <w:t>H.</w:t>
      </w:r>
      <w:r>
        <w:rPr>
          <w:spacing w:val="-7"/>
        </w:rPr>
        <w:t xml:space="preserve"> </w:t>
      </w:r>
      <w:r>
        <w:t>(2007).</w:t>
      </w:r>
      <w:r>
        <w:rPr>
          <w:spacing w:val="-7"/>
        </w:rPr>
        <w:t xml:space="preserve"> </w:t>
      </w:r>
      <w:r>
        <w:t>The</w:t>
      </w:r>
      <w:r>
        <w:rPr>
          <w:spacing w:val="-7"/>
        </w:rPr>
        <w:t xml:space="preserve"> </w:t>
      </w:r>
      <w:r>
        <w:t>power</w:t>
      </w:r>
      <w:r>
        <w:rPr>
          <w:spacing w:val="-7"/>
        </w:rPr>
        <w:t xml:space="preserve"> </w:t>
      </w:r>
      <w:r>
        <w:t>of</w:t>
      </w:r>
      <w:r>
        <w:rPr>
          <w:spacing w:val="-4"/>
        </w:rPr>
        <w:t xml:space="preserve"> </w:t>
      </w:r>
      <w:r>
        <w:t>feedback.</w:t>
      </w:r>
      <w:r>
        <w:rPr>
          <w:spacing w:val="-7"/>
        </w:rPr>
        <w:t xml:space="preserve"> </w:t>
      </w:r>
      <w:r>
        <w:t>Review</w:t>
      </w:r>
      <w:r>
        <w:rPr>
          <w:spacing w:val="-7"/>
        </w:rPr>
        <w:t xml:space="preserve"> </w:t>
      </w:r>
      <w:r>
        <w:t>of</w:t>
      </w:r>
      <w:r>
        <w:rPr>
          <w:spacing w:val="-4"/>
        </w:rPr>
        <w:t xml:space="preserve"> </w:t>
      </w:r>
      <w:r>
        <w:t>educational</w:t>
      </w:r>
      <w:r>
        <w:rPr>
          <w:spacing w:val="-6"/>
        </w:rPr>
        <w:t xml:space="preserve"> </w:t>
      </w:r>
      <w:r>
        <w:t>research, 77(1), 81-112.</w:t>
      </w:r>
    </w:p>
    <w:p w14:paraId="3C08C542">
      <w:pPr>
        <w:spacing w:before="120" w:after="120" w:line="360" w:lineRule="auto"/>
        <w:ind w:left="567" w:hanging="567"/>
        <w:jc w:val="both"/>
        <w:rPr>
          <w:sz w:val="24"/>
          <w:szCs w:val="24"/>
        </w:rPr>
      </w:pPr>
      <w:r>
        <w:rPr>
          <w:sz w:val="24"/>
          <w:szCs w:val="24"/>
        </w:rPr>
        <w:t>Hattie, J., &amp; Timperley, H. (2007). The power of feedback.</w:t>
      </w:r>
      <w:r>
        <w:rPr>
          <w:spacing w:val="-1"/>
          <w:sz w:val="24"/>
          <w:szCs w:val="24"/>
        </w:rPr>
        <w:t xml:space="preserve"> </w:t>
      </w:r>
      <w:r>
        <w:rPr>
          <w:i/>
          <w:sz w:val="24"/>
          <w:szCs w:val="24"/>
        </w:rPr>
        <w:t>Review of educational research</w:t>
      </w:r>
      <w:r>
        <w:rPr>
          <w:sz w:val="24"/>
          <w:szCs w:val="24"/>
        </w:rPr>
        <w:t xml:space="preserve">, </w:t>
      </w:r>
      <w:r>
        <w:rPr>
          <w:i/>
          <w:sz w:val="24"/>
          <w:szCs w:val="24"/>
        </w:rPr>
        <w:t>77</w:t>
      </w:r>
      <w:r>
        <w:rPr>
          <w:sz w:val="24"/>
          <w:szCs w:val="24"/>
        </w:rPr>
        <w:t>(1), 81-112.</w:t>
      </w:r>
    </w:p>
    <w:p w14:paraId="28069CAC">
      <w:pPr>
        <w:pStyle w:val="9"/>
        <w:spacing w:before="120" w:after="120" w:line="360" w:lineRule="auto"/>
        <w:ind w:left="567" w:hanging="567"/>
      </w:pPr>
      <w:r>
        <w:t>Hawkley,</w:t>
      </w:r>
      <w:r>
        <w:rPr>
          <w:spacing w:val="-4"/>
        </w:rPr>
        <w:t xml:space="preserve"> </w:t>
      </w:r>
      <w:r>
        <w:t>L.</w:t>
      </w:r>
      <w:r>
        <w:rPr>
          <w:spacing w:val="-7"/>
        </w:rPr>
        <w:t xml:space="preserve"> </w:t>
      </w:r>
      <w:r>
        <w:t>C.,</w:t>
      </w:r>
      <w:r>
        <w:rPr>
          <w:spacing w:val="-7"/>
        </w:rPr>
        <w:t xml:space="preserve"> </w:t>
      </w:r>
      <w:r>
        <w:t>&amp;</w:t>
      </w:r>
      <w:r>
        <w:rPr>
          <w:spacing w:val="-9"/>
        </w:rPr>
        <w:t xml:space="preserve"> </w:t>
      </w:r>
      <w:r>
        <w:t>Cacioppo,</w:t>
      </w:r>
      <w:r>
        <w:rPr>
          <w:spacing w:val="-6"/>
        </w:rPr>
        <w:t xml:space="preserve"> </w:t>
      </w:r>
      <w:r>
        <w:t>J.</w:t>
      </w:r>
      <w:r>
        <w:rPr>
          <w:spacing w:val="-7"/>
        </w:rPr>
        <w:t xml:space="preserve"> </w:t>
      </w:r>
      <w:r>
        <w:t>T.</w:t>
      </w:r>
      <w:r>
        <w:rPr>
          <w:spacing w:val="-7"/>
        </w:rPr>
        <w:t xml:space="preserve"> </w:t>
      </w:r>
      <w:r>
        <w:t>(2010).</w:t>
      </w:r>
      <w:r>
        <w:rPr>
          <w:spacing w:val="-8"/>
        </w:rPr>
        <w:t xml:space="preserve"> </w:t>
      </w:r>
      <w:r>
        <w:t>Loneliness</w:t>
      </w:r>
      <w:r>
        <w:rPr>
          <w:spacing w:val="-6"/>
        </w:rPr>
        <w:t xml:space="preserve"> </w:t>
      </w:r>
      <w:r>
        <w:t>Matters:</w:t>
      </w:r>
      <w:r>
        <w:rPr>
          <w:spacing w:val="-7"/>
        </w:rPr>
        <w:t xml:space="preserve"> </w:t>
      </w:r>
      <w:r>
        <w:t>A</w:t>
      </w:r>
      <w:r>
        <w:rPr>
          <w:spacing w:val="-7"/>
        </w:rPr>
        <w:t xml:space="preserve"> </w:t>
      </w:r>
      <w:r>
        <w:t>Theoretical</w:t>
      </w:r>
      <w:r>
        <w:rPr>
          <w:spacing w:val="-6"/>
        </w:rPr>
        <w:t xml:space="preserve"> </w:t>
      </w:r>
      <w:r>
        <w:t>and</w:t>
      </w:r>
      <w:r>
        <w:rPr>
          <w:spacing w:val="-7"/>
        </w:rPr>
        <w:t xml:space="preserve"> </w:t>
      </w:r>
      <w:r>
        <w:t xml:space="preserve">Empirical Review of Consequences and Mechanisms. Annals of Behavioral Medicine, 40(2), </w:t>
      </w:r>
      <w:r>
        <w:rPr>
          <w:spacing w:val="-2"/>
        </w:rPr>
        <w:t>218-227.</w:t>
      </w:r>
    </w:p>
    <w:p w14:paraId="5050C4F4">
      <w:pPr>
        <w:pStyle w:val="9"/>
        <w:spacing w:before="120" w:after="120" w:line="360" w:lineRule="auto"/>
        <w:ind w:left="567" w:hanging="567"/>
      </w:pPr>
      <w:r>
        <w:t>Hazar, A. (2014). Rekreasyon ve Animasyon (Genişletilmiş 4. Baskı), Detay Yayıncılık,</w:t>
      </w:r>
      <w:r>
        <w:rPr>
          <w:spacing w:val="40"/>
        </w:rPr>
        <w:t xml:space="preserve"> </w:t>
      </w:r>
      <w:r>
        <w:rPr>
          <w:spacing w:val="-2"/>
        </w:rPr>
        <w:t>Ankara.</w:t>
      </w:r>
    </w:p>
    <w:p w14:paraId="7F4A0D04">
      <w:pPr>
        <w:spacing w:before="120" w:after="120" w:line="360" w:lineRule="auto"/>
        <w:ind w:left="567" w:hanging="567"/>
        <w:jc w:val="both"/>
        <w:rPr>
          <w:sz w:val="24"/>
          <w:szCs w:val="24"/>
        </w:rPr>
      </w:pPr>
      <w:r>
        <w:rPr>
          <w:sz w:val="24"/>
          <w:szCs w:val="24"/>
        </w:rPr>
        <w:t>Heeter,</w:t>
      </w:r>
      <w:r>
        <w:rPr>
          <w:spacing w:val="80"/>
          <w:sz w:val="24"/>
          <w:szCs w:val="24"/>
        </w:rPr>
        <w:t xml:space="preserve"> </w:t>
      </w:r>
      <w:r>
        <w:rPr>
          <w:sz w:val="24"/>
          <w:szCs w:val="24"/>
        </w:rPr>
        <w:t>C.</w:t>
      </w:r>
      <w:r>
        <w:rPr>
          <w:spacing w:val="80"/>
          <w:sz w:val="24"/>
          <w:szCs w:val="24"/>
        </w:rPr>
        <w:t xml:space="preserve"> </w:t>
      </w:r>
      <w:r>
        <w:rPr>
          <w:sz w:val="24"/>
          <w:szCs w:val="24"/>
        </w:rPr>
        <w:t>(1992).</w:t>
      </w:r>
      <w:r>
        <w:rPr>
          <w:spacing w:val="80"/>
          <w:sz w:val="24"/>
          <w:szCs w:val="24"/>
        </w:rPr>
        <w:t xml:space="preserve"> </w:t>
      </w:r>
      <w:r>
        <w:rPr>
          <w:sz w:val="24"/>
          <w:szCs w:val="24"/>
        </w:rPr>
        <w:t>Being</w:t>
      </w:r>
      <w:r>
        <w:rPr>
          <w:spacing w:val="80"/>
          <w:sz w:val="24"/>
          <w:szCs w:val="24"/>
        </w:rPr>
        <w:t xml:space="preserve"> </w:t>
      </w:r>
      <w:r>
        <w:rPr>
          <w:sz w:val="24"/>
          <w:szCs w:val="24"/>
        </w:rPr>
        <w:t>there:</w:t>
      </w:r>
      <w:r>
        <w:rPr>
          <w:spacing w:val="80"/>
          <w:sz w:val="24"/>
          <w:szCs w:val="24"/>
        </w:rPr>
        <w:t xml:space="preserve"> </w:t>
      </w:r>
      <w:r>
        <w:rPr>
          <w:sz w:val="24"/>
          <w:szCs w:val="24"/>
        </w:rPr>
        <w:t>The</w:t>
      </w:r>
      <w:r>
        <w:rPr>
          <w:spacing w:val="80"/>
          <w:sz w:val="24"/>
          <w:szCs w:val="24"/>
        </w:rPr>
        <w:t xml:space="preserve"> </w:t>
      </w:r>
      <w:r>
        <w:rPr>
          <w:sz w:val="24"/>
          <w:szCs w:val="24"/>
        </w:rPr>
        <w:t>subjective</w:t>
      </w:r>
      <w:r>
        <w:rPr>
          <w:spacing w:val="80"/>
          <w:sz w:val="24"/>
          <w:szCs w:val="24"/>
        </w:rPr>
        <w:t xml:space="preserve"> </w:t>
      </w:r>
      <w:r>
        <w:rPr>
          <w:sz w:val="24"/>
          <w:szCs w:val="24"/>
        </w:rPr>
        <w:t>experience</w:t>
      </w:r>
      <w:r>
        <w:rPr>
          <w:spacing w:val="80"/>
          <w:sz w:val="24"/>
          <w:szCs w:val="24"/>
        </w:rPr>
        <w:t xml:space="preserve"> </w:t>
      </w:r>
      <w:r>
        <w:rPr>
          <w:sz w:val="24"/>
          <w:szCs w:val="24"/>
        </w:rPr>
        <w:t>of</w:t>
      </w:r>
      <w:r>
        <w:rPr>
          <w:spacing w:val="80"/>
          <w:sz w:val="24"/>
          <w:szCs w:val="24"/>
        </w:rPr>
        <w:t xml:space="preserve"> </w:t>
      </w:r>
      <w:r>
        <w:rPr>
          <w:sz w:val="24"/>
          <w:szCs w:val="24"/>
        </w:rPr>
        <w:t>presence.</w:t>
      </w:r>
      <w:r>
        <w:rPr>
          <w:spacing w:val="80"/>
          <w:sz w:val="24"/>
          <w:szCs w:val="24"/>
        </w:rPr>
        <w:t xml:space="preserve"> </w:t>
      </w:r>
      <w:r>
        <w:rPr>
          <w:i/>
          <w:sz w:val="24"/>
          <w:szCs w:val="24"/>
        </w:rPr>
        <w:t>Presence: Teleoperators and Virtual Environments</w:t>
      </w:r>
      <w:r>
        <w:rPr>
          <w:sz w:val="24"/>
          <w:szCs w:val="24"/>
        </w:rPr>
        <w:t>, 1(2), 262-271.</w:t>
      </w:r>
    </w:p>
    <w:p w14:paraId="430D2890">
      <w:pPr>
        <w:pStyle w:val="9"/>
        <w:spacing w:before="120" w:after="120" w:line="360" w:lineRule="auto"/>
        <w:ind w:left="567" w:hanging="567"/>
      </w:pPr>
      <w:r>
        <w:t>Heijden,</w:t>
      </w:r>
      <w:r>
        <w:rPr>
          <w:spacing w:val="38"/>
        </w:rPr>
        <w:t xml:space="preserve"> </w:t>
      </w:r>
      <w:r>
        <w:t>H.</w:t>
      </w:r>
      <w:r>
        <w:rPr>
          <w:spacing w:val="38"/>
        </w:rPr>
        <w:t xml:space="preserve"> </w:t>
      </w:r>
      <w:r>
        <w:t>(2004).</w:t>
      </w:r>
      <w:r>
        <w:rPr>
          <w:spacing w:val="40"/>
        </w:rPr>
        <w:t xml:space="preserve"> </w:t>
      </w:r>
      <w:r>
        <w:t>User</w:t>
      </w:r>
      <w:r>
        <w:rPr>
          <w:spacing w:val="38"/>
        </w:rPr>
        <w:t xml:space="preserve"> </w:t>
      </w:r>
      <w:r>
        <w:t>Acceptance</w:t>
      </w:r>
      <w:r>
        <w:rPr>
          <w:spacing w:val="40"/>
        </w:rPr>
        <w:t xml:space="preserve"> </w:t>
      </w:r>
      <w:r>
        <w:t>of</w:t>
      </w:r>
      <w:r>
        <w:rPr>
          <w:spacing w:val="38"/>
        </w:rPr>
        <w:t xml:space="preserve"> </w:t>
      </w:r>
      <w:r>
        <w:t>Hedonic</w:t>
      </w:r>
      <w:r>
        <w:rPr>
          <w:spacing w:val="40"/>
        </w:rPr>
        <w:t xml:space="preserve"> </w:t>
      </w:r>
      <w:r>
        <w:t>Information</w:t>
      </w:r>
      <w:r>
        <w:rPr>
          <w:spacing w:val="39"/>
        </w:rPr>
        <w:t xml:space="preserve"> </w:t>
      </w:r>
      <w:r>
        <w:t>Systems.</w:t>
      </w:r>
      <w:r>
        <w:rPr>
          <w:spacing w:val="39"/>
        </w:rPr>
        <w:t xml:space="preserve"> </w:t>
      </w:r>
      <w:r>
        <w:t>MIS</w:t>
      </w:r>
      <w:r>
        <w:rPr>
          <w:spacing w:val="39"/>
        </w:rPr>
        <w:t xml:space="preserve"> </w:t>
      </w:r>
      <w:r>
        <w:t>Quarterly, 28(4), 695-704.</w:t>
      </w:r>
    </w:p>
    <w:p w14:paraId="772F8202">
      <w:pPr>
        <w:pStyle w:val="9"/>
        <w:spacing w:before="120" w:after="120" w:line="360" w:lineRule="auto"/>
        <w:ind w:left="567" w:hanging="567"/>
      </w:pPr>
      <w:r>
        <w:t>Helgeson,</w:t>
      </w:r>
      <w:r>
        <w:rPr>
          <w:spacing w:val="-6"/>
        </w:rPr>
        <w:t xml:space="preserve"> </w:t>
      </w:r>
      <w:r>
        <w:t>V.</w:t>
      </w:r>
      <w:r>
        <w:rPr>
          <w:spacing w:val="-6"/>
        </w:rPr>
        <w:t xml:space="preserve"> </w:t>
      </w:r>
      <w:r>
        <w:t>S.</w:t>
      </w:r>
      <w:r>
        <w:rPr>
          <w:spacing w:val="-6"/>
        </w:rPr>
        <w:t xml:space="preserve"> </w:t>
      </w:r>
      <w:r>
        <w:t>(2003).</w:t>
      </w:r>
      <w:r>
        <w:rPr>
          <w:spacing w:val="-7"/>
        </w:rPr>
        <w:t xml:space="preserve"> </w:t>
      </w:r>
      <w:r>
        <w:t>Social</w:t>
      </w:r>
      <w:r>
        <w:rPr>
          <w:spacing w:val="-6"/>
        </w:rPr>
        <w:t xml:space="preserve"> </w:t>
      </w:r>
      <w:r>
        <w:t>support</w:t>
      </w:r>
      <w:r>
        <w:rPr>
          <w:spacing w:val="-6"/>
        </w:rPr>
        <w:t xml:space="preserve"> </w:t>
      </w:r>
      <w:r>
        <w:t>and</w:t>
      </w:r>
      <w:r>
        <w:rPr>
          <w:spacing w:val="-6"/>
        </w:rPr>
        <w:t xml:space="preserve"> </w:t>
      </w:r>
      <w:r>
        <w:t>quality</w:t>
      </w:r>
      <w:r>
        <w:rPr>
          <w:spacing w:val="-10"/>
        </w:rPr>
        <w:t xml:space="preserve"> </w:t>
      </w:r>
      <w:r>
        <w:t>of</w:t>
      </w:r>
      <w:r>
        <w:rPr>
          <w:spacing w:val="-7"/>
        </w:rPr>
        <w:t xml:space="preserve"> </w:t>
      </w:r>
      <w:r>
        <w:t>life.</w:t>
      </w:r>
      <w:r>
        <w:rPr>
          <w:spacing w:val="-1"/>
        </w:rPr>
        <w:t xml:space="preserve"> </w:t>
      </w:r>
      <w:r>
        <w:t>Quality</w:t>
      </w:r>
      <w:r>
        <w:rPr>
          <w:spacing w:val="-10"/>
        </w:rPr>
        <w:t xml:space="preserve"> </w:t>
      </w:r>
      <w:r>
        <w:t>of</w:t>
      </w:r>
      <w:r>
        <w:rPr>
          <w:spacing w:val="-7"/>
        </w:rPr>
        <w:t xml:space="preserve"> </w:t>
      </w:r>
      <w:r>
        <w:t>life</w:t>
      </w:r>
      <w:r>
        <w:rPr>
          <w:spacing w:val="-8"/>
        </w:rPr>
        <w:t xml:space="preserve"> </w:t>
      </w:r>
      <w:r>
        <w:t>research,</w:t>
      </w:r>
      <w:r>
        <w:rPr>
          <w:spacing w:val="-2"/>
        </w:rPr>
        <w:t xml:space="preserve"> </w:t>
      </w:r>
      <w:r>
        <w:t>12(Suppl 1), 25-31.</w:t>
      </w:r>
    </w:p>
    <w:p w14:paraId="0D405F22">
      <w:pPr>
        <w:spacing w:before="120" w:after="120" w:line="360" w:lineRule="auto"/>
        <w:ind w:left="567" w:hanging="567"/>
        <w:jc w:val="both"/>
        <w:rPr>
          <w:sz w:val="24"/>
          <w:szCs w:val="24"/>
        </w:rPr>
      </w:pPr>
      <w:r>
        <w:rPr>
          <w:sz w:val="24"/>
          <w:szCs w:val="24"/>
        </w:rPr>
        <w:t>Hjalager,</w:t>
      </w:r>
      <w:r>
        <w:rPr>
          <w:spacing w:val="40"/>
          <w:sz w:val="24"/>
          <w:szCs w:val="24"/>
        </w:rPr>
        <w:t xml:space="preserve"> </w:t>
      </w:r>
      <w:r>
        <w:rPr>
          <w:sz w:val="24"/>
          <w:szCs w:val="24"/>
        </w:rPr>
        <w:t>A.</w:t>
      </w:r>
      <w:r>
        <w:rPr>
          <w:spacing w:val="40"/>
          <w:sz w:val="24"/>
          <w:szCs w:val="24"/>
        </w:rPr>
        <w:t xml:space="preserve"> </w:t>
      </w:r>
      <w:r>
        <w:rPr>
          <w:sz w:val="24"/>
          <w:szCs w:val="24"/>
        </w:rPr>
        <w:t>M.</w:t>
      </w:r>
      <w:r>
        <w:rPr>
          <w:spacing w:val="40"/>
          <w:sz w:val="24"/>
          <w:szCs w:val="24"/>
        </w:rPr>
        <w:t xml:space="preserve"> </w:t>
      </w:r>
      <w:r>
        <w:rPr>
          <w:sz w:val="24"/>
          <w:szCs w:val="24"/>
        </w:rPr>
        <w:t>(2015).</w:t>
      </w:r>
      <w:r>
        <w:rPr>
          <w:spacing w:val="40"/>
          <w:sz w:val="24"/>
          <w:szCs w:val="24"/>
        </w:rPr>
        <w:t xml:space="preserve"> </w:t>
      </w:r>
      <w:r>
        <w:rPr>
          <w:sz w:val="24"/>
          <w:szCs w:val="24"/>
        </w:rPr>
        <w:t>100</w:t>
      </w:r>
      <w:r>
        <w:rPr>
          <w:spacing w:val="40"/>
          <w:sz w:val="24"/>
          <w:szCs w:val="24"/>
        </w:rPr>
        <w:t xml:space="preserve"> </w:t>
      </w:r>
      <w:r>
        <w:rPr>
          <w:sz w:val="24"/>
          <w:szCs w:val="24"/>
        </w:rPr>
        <w:t>innovations</w:t>
      </w:r>
      <w:r>
        <w:rPr>
          <w:spacing w:val="40"/>
          <w:sz w:val="24"/>
          <w:szCs w:val="24"/>
        </w:rPr>
        <w:t xml:space="preserve"> </w:t>
      </w:r>
      <w:r>
        <w:rPr>
          <w:sz w:val="24"/>
          <w:szCs w:val="24"/>
        </w:rPr>
        <w:t>that</w:t>
      </w:r>
      <w:r>
        <w:rPr>
          <w:spacing w:val="40"/>
          <w:sz w:val="24"/>
          <w:szCs w:val="24"/>
        </w:rPr>
        <w:t xml:space="preserve"> </w:t>
      </w:r>
      <w:r>
        <w:rPr>
          <w:sz w:val="24"/>
          <w:szCs w:val="24"/>
        </w:rPr>
        <w:t>transformed</w:t>
      </w:r>
      <w:r>
        <w:rPr>
          <w:spacing w:val="40"/>
          <w:sz w:val="24"/>
          <w:szCs w:val="24"/>
        </w:rPr>
        <w:t xml:space="preserve"> </w:t>
      </w:r>
      <w:r>
        <w:rPr>
          <w:sz w:val="24"/>
          <w:szCs w:val="24"/>
        </w:rPr>
        <w:t xml:space="preserve">tourism. </w:t>
      </w:r>
      <w:r>
        <w:rPr>
          <w:i/>
          <w:sz w:val="24"/>
          <w:szCs w:val="24"/>
        </w:rPr>
        <w:t>Journal</w:t>
      </w:r>
      <w:r>
        <w:rPr>
          <w:i/>
          <w:spacing w:val="40"/>
          <w:sz w:val="24"/>
          <w:szCs w:val="24"/>
        </w:rPr>
        <w:t xml:space="preserve"> </w:t>
      </w:r>
      <w:r>
        <w:rPr>
          <w:i/>
          <w:sz w:val="24"/>
          <w:szCs w:val="24"/>
        </w:rPr>
        <w:t>of</w:t>
      </w:r>
      <w:r>
        <w:rPr>
          <w:i/>
          <w:spacing w:val="40"/>
          <w:sz w:val="24"/>
          <w:szCs w:val="24"/>
        </w:rPr>
        <w:t xml:space="preserve"> </w:t>
      </w:r>
      <w:r>
        <w:rPr>
          <w:i/>
          <w:sz w:val="24"/>
          <w:szCs w:val="24"/>
        </w:rPr>
        <w:t>Travel</w:t>
      </w:r>
      <w:r>
        <w:rPr>
          <w:i/>
          <w:spacing w:val="80"/>
          <w:sz w:val="24"/>
          <w:szCs w:val="24"/>
        </w:rPr>
        <w:t xml:space="preserve"> </w:t>
      </w:r>
      <w:r>
        <w:rPr>
          <w:i/>
          <w:sz w:val="24"/>
          <w:szCs w:val="24"/>
        </w:rPr>
        <w:t>Research</w:t>
      </w:r>
      <w:r>
        <w:rPr>
          <w:sz w:val="24"/>
          <w:szCs w:val="24"/>
        </w:rPr>
        <w:t xml:space="preserve">, </w:t>
      </w:r>
      <w:r>
        <w:rPr>
          <w:i/>
          <w:sz w:val="24"/>
          <w:szCs w:val="24"/>
        </w:rPr>
        <w:t>54</w:t>
      </w:r>
      <w:r>
        <w:rPr>
          <w:sz w:val="24"/>
          <w:szCs w:val="24"/>
        </w:rPr>
        <w:t>(1), 3-21.</w:t>
      </w:r>
    </w:p>
    <w:p w14:paraId="2CD92410">
      <w:pPr>
        <w:pStyle w:val="9"/>
        <w:spacing w:before="120" w:after="120" w:line="360" w:lineRule="auto"/>
        <w:ind w:left="567" w:hanging="567"/>
      </w:pPr>
      <w:r>
        <w:t>Hollar, D. (2003). “A Holistic Theoretical Model for Examining Welfare Reform: Quality of Life”, Public Administration Review, 63(1), 90-99.</w:t>
      </w:r>
    </w:p>
    <w:p w14:paraId="618FBFF0">
      <w:pPr>
        <w:pStyle w:val="9"/>
        <w:tabs>
          <w:tab w:val="left" w:pos="1206"/>
          <w:tab w:val="left" w:pos="1870"/>
          <w:tab w:val="left" w:pos="2446"/>
          <w:tab w:val="left" w:pos="3521"/>
          <w:tab w:val="left" w:pos="5015"/>
          <w:tab w:val="left" w:pos="6140"/>
          <w:tab w:val="left" w:pos="7819"/>
        </w:tabs>
        <w:spacing w:before="120" w:after="120" w:line="360" w:lineRule="auto"/>
        <w:ind w:left="0"/>
      </w:pPr>
      <w:r>
        <w:rPr>
          <w:spacing w:val="-2"/>
        </w:rPr>
        <w:t>Hosch,</w:t>
      </w:r>
      <w:r>
        <w:t xml:space="preserve"> </w:t>
      </w:r>
      <w:r>
        <w:rPr>
          <w:spacing w:val="-6"/>
        </w:rPr>
        <w:t>W.</w:t>
      </w:r>
      <w:r>
        <w:tab/>
      </w:r>
      <w:r>
        <w:rPr>
          <w:spacing w:val="-6"/>
        </w:rPr>
        <w:t>L.</w:t>
      </w:r>
      <w:r>
        <w:tab/>
      </w:r>
      <w:r>
        <w:rPr>
          <w:spacing w:val="-2"/>
        </w:rPr>
        <w:t>(2022).</w:t>
      </w:r>
      <w:r>
        <w:tab/>
      </w:r>
      <w:r>
        <w:rPr>
          <w:spacing w:val="-2"/>
        </w:rPr>
        <w:t>Augmented</w:t>
      </w:r>
      <w:r>
        <w:tab/>
      </w:r>
      <w:r>
        <w:rPr>
          <w:spacing w:val="-2"/>
        </w:rPr>
        <w:t>Reality,</w:t>
      </w:r>
      <w:r>
        <w:tab/>
      </w:r>
      <w:r>
        <w:rPr>
          <w:spacing w:val="-2"/>
        </w:rPr>
        <w:t>Encyclopedia</w:t>
      </w:r>
      <w:r>
        <w:tab/>
      </w:r>
      <w:r>
        <w:rPr>
          <w:spacing w:val="-2"/>
        </w:rPr>
        <w:t xml:space="preserve">Britannica., </w:t>
      </w:r>
      <w:r>
        <w:rPr>
          <w:spacing w:val="-2"/>
        </w:rPr>
        <w:tab/>
      </w:r>
      <w:r>
        <w:rPr>
          <w:spacing w:val="-2"/>
        </w:rPr>
        <w:t>https:/</w:t>
      </w:r>
      <w:r>
        <w:fldChar w:fldCharType="begin"/>
      </w:r>
      <w:r>
        <w:instrText xml:space="preserve"> HYPERLINK "http://www.britannica.com/technology/scientific-visualization" \h </w:instrText>
      </w:r>
      <w:r>
        <w:fldChar w:fldCharType="separate"/>
      </w:r>
      <w:r>
        <w:rPr>
          <w:spacing w:val="-2"/>
        </w:rPr>
        <w:t>/www.britannica.com/t</w:t>
      </w:r>
      <w:r>
        <w:rPr>
          <w:spacing w:val="-2"/>
        </w:rPr>
        <w:fldChar w:fldCharType="end"/>
      </w:r>
      <w:r>
        <w:rPr>
          <w:spacing w:val="-2"/>
        </w:rPr>
        <w:t>e</w:t>
      </w:r>
      <w:r>
        <w:fldChar w:fldCharType="begin"/>
      </w:r>
      <w:r>
        <w:instrText xml:space="preserve"> HYPERLINK "http://www.britannica.com/technology/scientific-visualization" \h </w:instrText>
      </w:r>
      <w:r>
        <w:fldChar w:fldCharType="separate"/>
      </w:r>
      <w:r>
        <w:rPr>
          <w:spacing w:val="-2"/>
        </w:rPr>
        <w:t>chnology/scientific-visualization</w:t>
      </w:r>
      <w:r>
        <w:rPr>
          <w:spacing w:val="-2"/>
        </w:rPr>
        <w:fldChar w:fldCharType="end"/>
      </w:r>
    </w:p>
    <w:p w14:paraId="0D365116">
      <w:pPr>
        <w:pStyle w:val="9"/>
        <w:spacing w:before="120" w:after="120" w:line="360" w:lineRule="auto"/>
        <w:ind w:left="567" w:hanging="567"/>
      </w:pPr>
      <w:r>
        <w:t>Hove</w:t>
      </w:r>
      <w:r>
        <w:rPr>
          <w:spacing w:val="-3"/>
        </w:rPr>
        <w:t xml:space="preserve"> </w:t>
      </w:r>
      <w:r>
        <w:t>(East</w:t>
      </w:r>
      <w:r>
        <w:rPr>
          <w:spacing w:val="-1"/>
        </w:rPr>
        <w:t xml:space="preserve"> </w:t>
      </w:r>
      <w:r>
        <w:rPr>
          <w:spacing w:val="-2"/>
        </w:rPr>
        <w:t>Sussex).</w:t>
      </w:r>
    </w:p>
    <w:p w14:paraId="36279481">
      <w:pPr>
        <w:pStyle w:val="9"/>
        <w:spacing w:before="120" w:after="120" w:line="360" w:lineRule="auto"/>
        <w:ind w:left="567" w:hanging="567"/>
      </w:pPr>
      <w:r>
        <w:t>Howe,</w:t>
      </w:r>
      <w:r>
        <w:rPr>
          <w:spacing w:val="80"/>
        </w:rPr>
        <w:t xml:space="preserve"> </w:t>
      </w:r>
      <w:r>
        <w:t>CZ.,</w:t>
      </w:r>
      <w:r>
        <w:rPr>
          <w:spacing w:val="80"/>
        </w:rPr>
        <w:t xml:space="preserve"> </w:t>
      </w:r>
      <w:r>
        <w:t>Carpenter,</w:t>
      </w:r>
      <w:r>
        <w:rPr>
          <w:spacing w:val="80"/>
        </w:rPr>
        <w:t xml:space="preserve"> </w:t>
      </w:r>
      <w:r>
        <w:t>GM.</w:t>
      </w:r>
      <w:r>
        <w:rPr>
          <w:spacing w:val="80"/>
        </w:rPr>
        <w:t xml:space="preserve"> </w:t>
      </w:r>
      <w:r>
        <w:t>(1985).</w:t>
      </w:r>
      <w:r>
        <w:rPr>
          <w:spacing w:val="80"/>
        </w:rPr>
        <w:t xml:space="preserve"> </w:t>
      </w:r>
      <w:r>
        <w:t>Programming</w:t>
      </w:r>
      <w:r>
        <w:rPr>
          <w:spacing w:val="80"/>
        </w:rPr>
        <w:t xml:space="preserve"> </w:t>
      </w:r>
      <w:r>
        <w:t>Leisure</w:t>
      </w:r>
      <w:r>
        <w:rPr>
          <w:spacing w:val="80"/>
        </w:rPr>
        <w:t xml:space="preserve"> </w:t>
      </w:r>
      <w:r>
        <w:t>Experiences,</w:t>
      </w:r>
      <w:r>
        <w:rPr>
          <w:spacing w:val="80"/>
        </w:rPr>
        <w:t xml:space="preserve"> </w:t>
      </w:r>
      <w:r>
        <w:t>A</w:t>
      </w:r>
      <w:r>
        <w:rPr>
          <w:spacing w:val="80"/>
        </w:rPr>
        <w:t xml:space="preserve"> </w:t>
      </w:r>
      <w:r>
        <w:t>Cyclical Approach. New Jersey: Prentice-Hall.</w:t>
      </w:r>
    </w:p>
    <w:p w14:paraId="5CAD7030">
      <w:pPr>
        <w:pStyle w:val="9"/>
        <w:spacing w:before="120" w:after="120" w:line="360" w:lineRule="auto"/>
        <w:ind w:left="567" w:hanging="567"/>
      </w:pPr>
      <w:r>
        <w:t>Huı-Zhen, R. Ve Zong-Fa, L.: 2013. “Application And Prospect Of The Virtual Reality Technology İn College Ideological Education”, 2013 Fourth International Conference</w:t>
      </w:r>
      <w:r>
        <w:rPr>
          <w:spacing w:val="-1"/>
        </w:rPr>
        <w:t xml:space="preserve"> </w:t>
      </w:r>
      <w:r>
        <w:t>On Intelligent Systems Design And Engineering</w:t>
      </w:r>
      <w:r>
        <w:rPr>
          <w:spacing w:val="-2"/>
        </w:rPr>
        <w:t xml:space="preserve"> </w:t>
      </w:r>
      <w:r>
        <w:t>Applications (Ss. 125- 128), Ieee.</w:t>
      </w:r>
    </w:p>
    <w:p w14:paraId="1F1D4EA7">
      <w:pPr>
        <w:pStyle w:val="9"/>
        <w:spacing w:before="120" w:after="120" w:line="360" w:lineRule="auto"/>
        <w:ind w:left="567" w:hanging="567"/>
      </w:pPr>
      <w:r>
        <w:t>Hussain, S. B., Sumiea, E. H. H., Ahmad, M. H., Kumar, S., &amp; Moshood, T. D. (2023). Factors</w:t>
      </w:r>
      <w:r>
        <w:rPr>
          <w:spacing w:val="-7"/>
        </w:rPr>
        <w:t xml:space="preserve"> </w:t>
      </w:r>
      <w:r>
        <w:t>affecting</w:t>
      </w:r>
      <w:r>
        <w:rPr>
          <w:spacing w:val="-11"/>
        </w:rPr>
        <w:t xml:space="preserve"> </w:t>
      </w:r>
      <w:r>
        <w:t>the</w:t>
      </w:r>
      <w:r>
        <w:rPr>
          <w:spacing w:val="-10"/>
        </w:rPr>
        <w:t xml:space="preserve"> </w:t>
      </w:r>
      <w:r>
        <w:t>public</w:t>
      </w:r>
      <w:r>
        <w:rPr>
          <w:spacing w:val="-8"/>
        </w:rPr>
        <w:t xml:space="preserve"> </w:t>
      </w:r>
      <w:r>
        <w:t>higher</w:t>
      </w:r>
      <w:r>
        <w:rPr>
          <w:spacing w:val="-10"/>
        </w:rPr>
        <w:t xml:space="preserve"> </w:t>
      </w:r>
      <w:r>
        <w:t>education</w:t>
      </w:r>
      <w:r>
        <w:rPr>
          <w:spacing w:val="-9"/>
        </w:rPr>
        <w:t xml:space="preserve"> </w:t>
      </w:r>
      <w:r>
        <w:t>institution</w:t>
      </w:r>
      <w:r>
        <w:rPr>
          <w:spacing w:val="-9"/>
        </w:rPr>
        <w:t xml:space="preserve"> </w:t>
      </w:r>
      <w:r>
        <w:t>(PHEI)</w:t>
      </w:r>
      <w:r>
        <w:rPr>
          <w:spacing w:val="-10"/>
        </w:rPr>
        <w:t xml:space="preserve"> </w:t>
      </w:r>
      <w:r>
        <w:t>acceptance</w:t>
      </w:r>
      <w:r>
        <w:rPr>
          <w:spacing w:val="-8"/>
        </w:rPr>
        <w:t xml:space="preserve"> </w:t>
      </w:r>
      <w:r>
        <w:t>of</w:t>
      </w:r>
      <w:r>
        <w:rPr>
          <w:spacing w:val="-10"/>
        </w:rPr>
        <w:t xml:space="preserve"> </w:t>
      </w:r>
      <w:r>
        <w:t>online meetings applications during COVID-19 pandemic: an empirical study. Journal of Applied Research in Higher Education, 15(4), 1146- 1166.</w:t>
      </w:r>
    </w:p>
    <w:p w14:paraId="28E82C50">
      <w:pPr>
        <w:pStyle w:val="9"/>
        <w:spacing w:before="120" w:after="120" w:line="360" w:lineRule="auto"/>
        <w:ind w:left="567" w:hanging="567"/>
      </w:pPr>
      <w:r>
        <w:t>Igbaria, M., Guimaraes, T., &amp; Davis, G. B. (1995). Testing the Determinants of Microcomputer Usage via a Structural Equation Model. Journal of Management Information Systems, 11(4), 87-114.</w:t>
      </w:r>
    </w:p>
    <w:p w14:paraId="05FC8B16">
      <w:pPr>
        <w:pStyle w:val="9"/>
        <w:spacing w:before="120" w:after="120" w:line="360" w:lineRule="auto"/>
        <w:ind w:left="567" w:hanging="567"/>
      </w:pPr>
      <w:r>
        <w:tab/>
      </w:r>
      <w:r>
        <w:t>Information</w:t>
      </w:r>
      <w:r>
        <w:rPr>
          <w:spacing w:val="-3"/>
        </w:rPr>
        <w:t xml:space="preserve"> </w:t>
      </w:r>
      <w:r>
        <w:t>&amp;</w:t>
      </w:r>
      <w:r>
        <w:rPr>
          <w:spacing w:val="-3"/>
        </w:rPr>
        <w:t xml:space="preserve"> </w:t>
      </w:r>
      <w:r>
        <w:t>Management,</w:t>
      </w:r>
      <w:r>
        <w:rPr>
          <w:spacing w:val="-1"/>
        </w:rPr>
        <w:t xml:space="preserve"> </w:t>
      </w:r>
      <w:r>
        <w:t>38(4),</w:t>
      </w:r>
      <w:r>
        <w:rPr>
          <w:spacing w:val="-1"/>
        </w:rPr>
        <w:t xml:space="preserve"> </w:t>
      </w:r>
      <w:r>
        <w:t>217-</w:t>
      </w:r>
      <w:r>
        <w:rPr>
          <w:spacing w:val="-4"/>
        </w:rPr>
        <w:t>230.</w:t>
      </w:r>
    </w:p>
    <w:p w14:paraId="5548F1B7">
      <w:pPr>
        <w:pStyle w:val="9"/>
        <w:spacing w:before="120" w:after="120" w:line="360" w:lineRule="auto"/>
        <w:ind w:left="567" w:hanging="567"/>
      </w:pPr>
      <w:r>
        <w:t>İçten, T., &amp; Bal, G. (2017). Artırılmış gerçeklik üzerine son gelişmelerin ve uygulamaların incelenmesi. </w:t>
      </w:r>
      <w:r>
        <w:rPr>
          <w:i/>
          <w:iCs/>
        </w:rPr>
        <w:t>Gazi University Journal of Science Part C: Design and Technology</w:t>
      </w:r>
      <w:r>
        <w:t>, </w:t>
      </w:r>
      <w:r>
        <w:rPr>
          <w:i/>
          <w:iCs/>
        </w:rPr>
        <w:t>5</w:t>
      </w:r>
      <w:r>
        <w:t>(2), 111-136.</w:t>
      </w:r>
    </w:p>
    <w:p w14:paraId="1778BABA">
      <w:pPr>
        <w:widowControl/>
        <w:autoSpaceDE/>
        <w:autoSpaceDN/>
        <w:spacing w:before="120" w:after="120" w:line="360" w:lineRule="auto"/>
        <w:ind w:left="567" w:hanging="567"/>
        <w:jc w:val="both"/>
        <w:rPr>
          <w:rFonts w:eastAsia="Calibri"/>
          <w:color w:val="222222"/>
          <w:sz w:val="24"/>
          <w:szCs w:val="24"/>
          <w:shd w:val="clear" w:color="auto" w:fill="FFFFFF"/>
        </w:rPr>
      </w:pPr>
      <w:r>
        <w:rPr>
          <w:rFonts w:eastAsia="Calibri"/>
          <w:color w:val="222222"/>
          <w:sz w:val="24"/>
          <w:szCs w:val="24"/>
          <w:shd w:val="clear" w:color="auto" w:fill="FFFFFF"/>
        </w:rPr>
        <w:t>Jaung, W. (2022). Digital forest recreation in the metaverse: Opportunities and challenges. </w:t>
      </w:r>
      <w:r>
        <w:rPr>
          <w:rFonts w:eastAsia="Calibri"/>
          <w:i/>
          <w:iCs/>
          <w:color w:val="222222"/>
          <w:sz w:val="24"/>
          <w:szCs w:val="24"/>
          <w:shd w:val="clear" w:color="auto" w:fill="FFFFFF"/>
        </w:rPr>
        <w:t>Technological Forecasting and Social Change</w:t>
      </w:r>
      <w:r>
        <w:rPr>
          <w:rFonts w:eastAsia="Calibri"/>
          <w:color w:val="222222"/>
          <w:sz w:val="24"/>
          <w:szCs w:val="24"/>
          <w:shd w:val="clear" w:color="auto" w:fill="FFFFFF"/>
        </w:rPr>
        <w:t>, </w:t>
      </w:r>
      <w:r>
        <w:rPr>
          <w:rFonts w:eastAsia="Calibri"/>
          <w:i/>
          <w:iCs/>
          <w:color w:val="222222"/>
          <w:sz w:val="24"/>
          <w:szCs w:val="24"/>
          <w:shd w:val="clear" w:color="auto" w:fill="FFFFFF"/>
        </w:rPr>
        <w:t>185</w:t>
      </w:r>
      <w:r>
        <w:rPr>
          <w:rFonts w:eastAsia="Calibri"/>
          <w:color w:val="222222"/>
          <w:sz w:val="24"/>
          <w:szCs w:val="24"/>
          <w:shd w:val="clear" w:color="auto" w:fill="FFFFFF"/>
        </w:rPr>
        <w:t>, 122090.</w:t>
      </w:r>
    </w:p>
    <w:p w14:paraId="57818AEB">
      <w:pPr>
        <w:pStyle w:val="9"/>
        <w:spacing w:before="120" w:after="120" w:line="360" w:lineRule="auto"/>
        <w:ind w:left="567" w:hanging="567"/>
      </w:pPr>
      <w:r>
        <w:t>Journal</w:t>
      </w:r>
      <w:r>
        <w:rPr>
          <w:spacing w:val="-3"/>
        </w:rPr>
        <w:t xml:space="preserve"> </w:t>
      </w:r>
      <w:r>
        <w:t>of Consciousness</w:t>
      </w:r>
      <w:r>
        <w:rPr>
          <w:spacing w:val="-1"/>
        </w:rPr>
        <w:t xml:space="preserve"> </w:t>
      </w:r>
      <w:r>
        <w:t xml:space="preserve">Studies, 8(5-6), </w:t>
      </w:r>
      <w:r>
        <w:rPr>
          <w:spacing w:val="-2"/>
        </w:rPr>
        <w:t>33–50.</w:t>
      </w:r>
    </w:p>
    <w:p w14:paraId="7321D590">
      <w:pPr>
        <w:pStyle w:val="9"/>
        <w:spacing w:before="120" w:after="120" w:line="360" w:lineRule="auto"/>
        <w:ind w:left="567" w:hanging="567"/>
      </w:pPr>
      <w:r>
        <w:t>Kabasakal, Z. ve Uz Baş, A. (2013). “Öğretmen Adaylarında Yaşam Doyumunun Yordayıcısı</w:t>
      </w:r>
      <w:r>
        <w:rPr>
          <w:spacing w:val="-8"/>
        </w:rPr>
        <w:t xml:space="preserve"> </w:t>
      </w:r>
      <w:r>
        <w:t>Olarak</w:t>
      </w:r>
      <w:r>
        <w:rPr>
          <w:spacing w:val="-9"/>
        </w:rPr>
        <w:t xml:space="preserve"> </w:t>
      </w:r>
      <w:r>
        <w:t>Problem</w:t>
      </w:r>
      <w:r>
        <w:rPr>
          <w:spacing w:val="-8"/>
        </w:rPr>
        <w:t xml:space="preserve"> </w:t>
      </w:r>
      <w:r>
        <w:t>Çözme</w:t>
      </w:r>
      <w:r>
        <w:rPr>
          <w:spacing w:val="-12"/>
        </w:rPr>
        <w:t xml:space="preserve"> </w:t>
      </w:r>
      <w:r>
        <w:t>Becerileri”,</w:t>
      </w:r>
      <w:r>
        <w:rPr>
          <w:spacing w:val="-9"/>
        </w:rPr>
        <w:t xml:space="preserve"> </w:t>
      </w:r>
      <w:r>
        <w:t>Eğitim</w:t>
      </w:r>
      <w:r>
        <w:rPr>
          <w:spacing w:val="-8"/>
        </w:rPr>
        <w:t xml:space="preserve"> </w:t>
      </w:r>
      <w:r>
        <w:t>ve</w:t>
      </w:r>
      <w:r>
        <w:rPr>
          <w:spacing w:val="-7"/>
        </w:rPr>
        <w:t xml:space="preserve"> </w:t>
      </w:r>
      <w:r>
        <w:t>Öğretim</w:t>
      </w:r>
      <w:r>
        <w:rPr>
          <w:spacing w:val="-8"/>
        </w:rPr>
        <w:t xml:space="preserve"> </w:t>
      </w:r>
      <w:r>
        <w:t>Araştırmaları Dergisi, 2(1), 27-35.</w:t>
      </w:r>
    </w:p>
    <w:p w14:paraId="3FE41C34">
      <w:pPr>
        <w:pStyle w:val="9"/>
        <w:spacing w:before="120" w:after="120" w:line="360" w:lineRule="auto"/>
        <w:ind w:left="567" w:hanging="567"/>
        <w:rPr>
          <w:color w:val="0000FF"/>
          <w:u w:val="single" w:color="0000FF"/>
        </w:rPr>
      </w:pPr>
      <w:r>
        <w:t xml:space="preserve">Kahraman, H. (2022). Artırılmış Gerçeklik (Augmented Reality), Türkiye’nin Endüstri 4.0 Platformu, </w:t>
      </w:r>
      <w:r>
        <w:fldChar w:fldCharType="begin"/>
      </w:r>
      <w:r>
        <w:instrText xml:space="preserve"> HYPERLINK "https://www.endustri40.com/artirilmis-gerceklik-augmented-reality/" \h </w:instrText>
      </w:r>
      <w:r>
        <w:fldChar w:fldCharType="separate"/>
      </w:r>
      <w:r>
        <w:rPr>
          <w:u w:val="single"/>
        </w:rPr>
        <w:t>https://www.endustri40.com/artirilmis-gerceklik-augmented-reality/</w:t>
      </w:r>
      <w:r>
        <w:rPr>
          <w:u w:val="single"/>
        </w:rPr>
        <w:fldChar w:fldCharType="end"/>
      </w:r>
    </w:p>
    <w:p w14:paraId="4EE5D931">
      <w:pPr>
        <w:pStyle w:val="9"/>
        <w:spacing w:before="120" w:after="120" w:line="360" w:lineRule="auto"/>
        <w:ind w:left="567" w:hanging="567"/>
      </w:pPr>
      <w:r>
        <w:t>Kaplan, M., &amp; Eren, M. E. (2018). İş sağlığı ve güvenliği algısının iş stresi üzerindeki etkisi: Kamu hastanesinde bir araştırma. </w:t>
      </w:r>
      <w:r>
        <w:rPr>
          <w:i/>
          <w:iCs/>
        </w:rPr>
        <w:t>Mukaddime</w:t>
      </w:r>
      <w:r>
        <w:t>, </w:t>
      </w:r>
      <w:r>
        <w:rPr>
          <w:i/>
          <w:iCs/>
        </w:rPr>
        <w:t>9</w:t>
      </w:r>
      <w:r>
        <w:t>(2), 181-194.</w:t>
      </w:r>
    </w:p>
    <w:p w14:paraId="514D5443">
      <w:pPr>
        <w:pStyle w:val="9"/>
        <w:spacing w:before="120" w:after="120" w:line="360" w:lineRule="auto"/>
        <w:ind w:left="567" w:hanging="567"/>
      </w:pPr>
      <w:r>
        <w:t>Kaplan, S. (2014). Gestalt Görsel Algı Teorilerinin Bauhaus Ekolü İçinde Seramik Temel Teknikleriyle Uygulanması (Doctoral dissertation, Anadolu University (Turkey)).</w:t>
      </w:r>
    </w:p>
    <w:p w14:paraId="7FE513F1">
      <w:pPr>
        <w:spacing w:before="120" w:after="120" w:line="360" w:lineRule="auto"/>
        <w:ind w:left="567" w:hanging="567"/>
        <w:jc w:val="both"/>
        <w:rPr>
          <w:sz w:val="24"/>
          <w:szCs w:val="24"/>
        </w:rPr>
      </w:pPr>
      <w:r>
        <w:rPr>
          <w:sz w:val="24"/>
          <w:szCs w:val="24"/>
        </w:rPr>
        <w:t>Karagün, E., &amp; Tapşın, F. O. (2024). Spor Yapan Bireylerin Sosyal Medya Bağımlılık Düzeylerinin Cinsiyet Açısından İncelenmesi. </w:t>
      </w:r>
      <w:r>
        <w:rPr>
          <w:i/>
          <w:iCs/>
          <w:sz w:val="24"/>
          <w:szCs w:val="24"/>
        </w:rPr>
        <w:t>Spor ve Rekreasyon Araştırmaları Dergisi</w:t>
      </w:r>
      <w:r>
        <w:rPr>
          <w:sz w:val="24"/>
          <w:szCs w:val="24"/>
        </w:rPr>
        <w:t>, </w:t>
      </w:r>
      <w:r>
        <w:rPr>
          <w:i/>
          <w:iCs/>
          <w:sz w:val="24"/>
          <w:szCs w:val="24"/>
        </w:rPr>
        <w:t>6</w:t>
      </w:r>
      <w:r>
        <w:rPr>
          <w:sz w:val="24"/>
          <w:szCs w:val="24"/>
        </w:rPr>
        <w:t>(1), 36-45.</w:t>
      </w:r>
    </w:p>
    <w:p w14:paraId="04E35F7B">
      <w:pPr>
        <w:pStyle w:val="9"/>
        <w:spacing w:before="120" w:after="120" w:line="360" w:lineRule="auto"/>
        <w:ind w:left="567" w:hanging="567"/>
      </w:pPr>
      <w:r>
        <w:t>Karakuş, G. (2008). Hafif Düzeyde Zihinsel Engelli Çocuklara Uygulanan Serbest Zaman Aktivitelerinin Fiziksel Uygunluk ve Motor Gelişimleri Üzerine Etkisi, Doktora Tezi, Sakarya Üniversitesi Eğitim Bilimleri Enstitüsü, Sakarya, 66-67.</w:t>
      </w:r>
    </w:p>
    <w:p w14:paraId="01D46715">
      <w:pPr>
        <w:pStyle w:val="9"/>
        <w:spacing w:before="120" w:after="120" w:line="360" w:lineRule="auto"/>
        <w:ind w:left="567" w:hanging="567"/>
      </w:pPr>
      <w:r>
        <w:t>Karaküçük,</w:t>
      </w:r>
      <w:r>
        <w:rPr>
          <w:spacing w:val="-5"/>
        </w:rPr>
        <w:t xml:space="preserve"> </w:t>
      </w:r>
      <w:r>
        <w:t>S.</w:t>
      </w:r>
      <w:r>
        <w:rPr>
          <w:spacing w:val="-5"/>
        </w:rPr>
        <w:t xml:space="preserve"> </w:t>
      </w:r>
      <w:r>
        <w:t>(2005).</w:t>
      </w:r>
      <w:r>
        <w:rPr>
          <w:spacing w:val="-5"/>
        </w:rPr>
        <w:t xml:space="preserve"> </w:t>
      </w:r>
      <w:r>
        <w:t>Rekreasyon:</w:t>
      </w:r>
      <w:r>
        <w:rPr>
          <w:spacing w:val="-3"/>
        </w:rPr>
        <w:t xml:space="preserve"> </w:t>
      </w:r>
      <w:r>
        <w:t>Boş</w:t>
      </w:r>
      <w:r>
        <w:rPr>
          <w:spacing w:val="-3"/>
        </w:rPr>
        <w:t xml:space="preserve"> </w:t>
      </w:r>
      <w:r>
        <w:t>Zamanları</w:t>
      </w:r>
      <w:r>
        <w:rPr>
          <w:spacing w:val="-5"/>
        </w:rPr>
        <w:t xml:space="preserve"> </w:t>
      </w:r>
      <w:r>
        <w:t>Değerlendirme.</w:t>
      </w:r>
      <w:r>
        <w:rPr>
          <w:spacing w:val="-5"/>
        </w:rPr>
        <w:t xml:space="preserve"> </w:t>
      </w:r>
      <w:r>
        <w:t>Ankara:</w:t>
      </w:r>
      <w:r>
        <w:rPr>
          <w:spacing w:val="-3"/>
        </w:rPr>
        <w:t xml:space="preserve"> </w:t>
      </w:r>
      <w:r>
        <w:t>Gazi</w:t>
      </w:r>
      <w:r>
        <w:rPr>
          <w:spacing w:val="-5"/>
        </w:rPr>
        <w:t xml:space="preserve"> </w:t>
      </w:r>
      <w:r>
        <w:t>Kitabevi. Karaküçük,</w:t>
      </w:r>
      <w:r>
        <w:rPr>
          <w:spacing w:val="-5"/>
        </w:rPr>
        <w:t xml:space="preserve"> </w:t>
      </w:r>
      <w:r>
        <w:t>S.</w:t>
      </w:r>
      <w:r>
        <w:rPr>
          <w:spacing w:val="-5"/>
        </w:rPr>
        <w:t xml:space="preserve"> </w:t>
      </w:r>
      <w:r>
        <w:t>(2008).</w:t>
      </w:r>
      <w:r>
        <w:rPr>
          <w:spacing w:val="-5"/>
        </w:rPr>
        <w:t xml:space="preserve"> </w:t>
      </w:r>
      <w:r>
        <w:t>Rekreasyon:</w:t>
      </w:r>
      <w:r>
        <w:rPr>
          <w:spacing w:val="-3"/>
        </w:rPr>
        <w:t xml:space="preserve"> </w:t>
      </w:r>
      <w:r>
        <w:t>Boş</w:t>
      </w:r>
      <w:r>
        <w:rPr>
          <w:spacing w:val="-3"/>
        </w:rPr>
        <w:t xml:space="preserve"> </w:t>
      </w:r>
      <w:r>
        <w:t>Zamanları</w:t>
      </w:r>
      <w:r>
        <w:rPr>
          <w:spacing w:val="-5"/>
        </w:rPr>
        <w:t xml:space="preserve"> </w:t>
      </w:r>
      <w:r>
        <w:t>Değerlendirme.</w:t>
      </w:r>
      <w:r>
        <w:rPr>
          <w:spacing w:val="-5"/>
        </w:rPr>
        <w:t xml:space="preserve"> </w:t>
      </w:r>
      <w:r>
        <w:t>Ankara:</w:t>
      </w:r>
      <w:r>
        <w:rPr>
          <w:spacing w:val="-3"/>
        </w:rPr>
        <w:t xml:space="preserve"> </w:t>
      </w:r>
      <w:r>
        <w:t>Gazi</w:t>
      </w:r>
      <w:r>
        <w:rPr>
          <w:spacing w:val="-5"/>
        </w:rPr>
        <w:t xml:space="preserve"> </w:t>
      </w:r>
      <w:r>
        <w:t>Kitabevi. Karaküçük, S. (2019). Boş Zaman Rekreasyon ve İslamiyet, Gazi Kitabevi, Ankara.</w:t>
      </w:r>
    </w:p>
    <w:p w14:paraId="76090391">
      <w:pPr>
        <w:pStyle w:val="9"/>
        <w:spacing w:before="120" w:after="120" w:line="360" w:lineRule="auto"/>
        <w:ind w:left="567" w:hanging="567"/>
      </w:pPr>
      <w:r>
        <w:t>Karaküçük,</w:t>
      </w:r>
      <w:r>
        <w:rPr>
          <w:spacing w:val="-3"/>
        </w:rPr>
        <w:t xml:space="preserve"> </w:t>
      </w:r>
      <w:r>
        <w:t>S.</w:t>
      </w:r>
      <w:r>
        <w:rPr>
          <w:spacing w:val="-1"/>
        </w:rPr>
        <w:t xml:space="preserve"> </w:t>
      </w:r>
      <w:r>
        <w:t>ve</w:t>
      </w:r>
      <w:r>
        <w:rPr>
          <w:spacing w:val="-2"/>
        </w:rPr>
        <w:t xml:space="preserve"> </w:t>
      </w:r>
      <w:r>
        <w:t>Gürbüz,</w:t>
      </w:r>
      <w:r>
        <w:rPr>
          <w:spacing w:val="-1"/>
        </w:rPr>
        <w:t xml:space="preserve"> </w:t>
      </w:r>
      <w:r>
        <w:t>B.</w:t>
      </w:r>
      <w:r>
        <w:rPr>
          <w:spacing w:val="-1"/>
        </w:rPr>
        <w:t xml:space="preserve"> </w:t>
      </w:r>
      <w:r>
        <w:t>(2007). Rekreasyon</w:t>
      </w:r>
      <w:r>
        <w:rPr>
          <w:spacing w:val="3"/>
        </w:rPr>
        <w:t xml:space="preserve"> </w:t>
      </w:r>
      <w:r>
        <w:t>ve</w:t>
      </w:r>
      <w:r>
        <w:rPr>
          <w:spacing w:val="-2"/>
        </w:rPr>
        <w:t xml:space="preserve"> </w:t>
      </w:r>
      <w:r>
        <w:t>Kent(li)leşme.</w:t>
      </w:r>
      <w:r>
        <w:rPr>
          <w:spacing w:val="-1"/>
        </w:rPr>
        <w:t xml:space="preserve"> </w:t>
      </w:r>
      <w:r>
        <w:t>Ankara:</w:t>
      </w:r>
      <w:r>
        <w:rPr>
          <w:spacing w:val="-1"/>
        </w:rPr>
        <w:t xml:space="preserve"> </w:t>
      </w:r>
      <w:r>
        <w:t xml:space="preserve">Gazi </w:t>
      </w:r>
      <w:r>
        <w:rPr>
          <w:spacing w:val="-2"/>
        </w:rPr>
        <w:t>Kitabevi.</w:t>
      </w:r>
    </w:p>
    <w:p w14:paraId="5A7AD391">
      <w:pPr>
        <w:pStyle w:val="9"/>
        <w:spacing w:before="120" w:after="120" w:line="360" w:lineRule="auto"/>
        <w:ind w:left="567" w:hanging="567"/>
      </w:pPr>
      <w:r>
        <w:t>Karavelioğlu, B. (2024). Teknolojinin Spor ve Sportif Rekreasyon Üzerine Etkisi: Bir Derleme Makalesi. </w:t>
      </w:r>
      <w:r>
        <w:rPr>
          <w:i/>
          <w:iCs/>
        </w:rPr>
        <w:t>Spor ve Bilim Dergisi</w:t>
      </w:r>
      <w:r>
        <w:t>, </w:t>
      </w:r>
      <w:r>
        <w:rPr>
          <w:i/>
          <w:iCs/>
        </w:rPr>
        <w:t>2</w:t>
      </w:r>
      <w:r>
        <w:t>(2), 60-72.</w:t>
      </w:r>
    </w:p>
    <w:p w14:paraId="4B6F901B">
      <w:pPr>
        <w:pStyle w:val="9"/>
        <w:spacing w:before="120" w:after="120" w:line="360" w:lineRule="auto"/>
        <w:ind w:left="567" w:hanging="567"/>
      </w:pPr>
      <w:r>
        <w:t>Kart, E. (2014). Boş Zamanın Çoklu Tüketim Mekanı Olarak İnternet ve Yeni Yaşam Tarzlarının İnşası, Global Media Journal: TR Edition, 5(9): 180-218.</w:t>
      </w:r>
    </w:p>
    <w:p w14:paraId="1545A1B6">
      <w:pPr>
        <w:pStyle w:val="9"/>
        <w:spacing w:before="120" w:after="120" w:line="360" w:lineRule="auto"/>
        <w:ind w:left="567" w:hanging="567"/>
      </w:pPr>
      <w:r>
        <w:t>Kaya, P., İpekçi Çetin, E. ve Kuruüzüm, A. (2011). “Çok Kriterli Karar Verme ile Avrupa Birliği ve Aday Ülkelerin Yaşam Kalitesinin Analizi”, İstanbul Üniversitesi İktisat Fakültesi Ekonometri ve İstatistik Dergisi, 13, 80-94.</w:t>
      </w:r>
    </w:p>
    <w:p w14:paraId="2632CE4F">
      <w:pPr>
        <w:spacing w:before="120" w:after="120" w:line="360" w:lineRule="auto"/>
        <w:ind w:left="567" w:hanging="567"/>
        <w:jc w:val="both"/>
        <w:rPr>
          <w:color w:val="0000FF"/>
          <w:spacing w:val="-2"/>
          <w:sz w:val="24"/>
          <w:szCs w:val="24"/>
          <w:u w:val="single" w:color="0000FF"/>
        </w:rPr>
      </w:pPr>
      <w:r>
        <w:rPr>
          <w:sz w:val="24"/>
          <w:szCs w:val="24"/>
        </w:rPr>
        <w:t xml:space="preserve">Kayhalak, F. (2018). “Rekreasyon İhtiyacı ve Rekreasyonun Yararları”, </w:t>
      </w:r>
      <w:r>
        <w:fldChar w:fldCharType="begin"/>
      </w:r>
      <w:r>
        <w:instrText xml:space="preserve"> HYPERLINK "https://www.rekreasyonist.com/rekreasyon-ihtiyaci-ve-rekreasyonun-yararları" \h </w:instrText>
      </w:r>
      <w:r>
        <w:fldChar w:fldCharType="separate"/>
      </w:r>
      <w:r>
        <w:rPr>
          <w:spacing w:val="-2"/>
          <w:sz w:val="24"/>
          <w:szCs w:val="24"/>
        </w:rPr>
        <w:t>https://www.rekreasyonist.com/rekreasyon-ihtiyaci-ve-rekreasyonun-yararları</w:t>
      </w:r>
      <w:r>
        <w:rPr>
          <w:spacing w:val="-2"/>
          <w:sz w:val="24"/>
          <w:szCs w:val="24"/>
        </w:rPr>
        <w:fldChar w:fldCharType="end"/>
      </w:r>
    </w:p>
    <w:p w14:paraId="36DA863E">
      <w:pPr>
        <w:pStyle w:val="9"/>
        <w:spacing w:before="120" w:after="120" w:line="360" w:lineRule="auto"/>
        <w:ind w:left="567" w:hanging="567"/>
      </w:pPr>
      <w:r>
        <w:t>Kessler,</w:t>
      </w:r>
      <w:r>
        <w:rPr>
          <w:spacing w:val="-14"/>
        </w:rPr>
        <w:t xml:space="preserve"> </w:t>
      </w:r>
      <w:r>
        <w:t>R.</w:t>
      </w:r>
      <w:r>
        <w:rPr>
          <w:spacing w:val="-13"/>
        </w:rPr>
        <w:t xml:space="preserve"> </w:t>
      </w:r>
      <w:r>
        <w:t>C.,</w:t>
      </w:r>
      <w:r>
        <w:rPr>
          <w:spacing w:val="-13"/>
        </w:rPr>
        <w:t xml:space="preserve"> </w:t>
      </w:r>
      <w:r>
        <w:t>Berglund,</w:t>
      </w:r>
      <w:r>
        <w:rPr>
          <w:spacing w:val="-10"/>
        </w:rPr>
        <w:t xml:space="preserve"> </w:t>
      </w:r>
      <w:r>
        <w:t>P.,</w:t>
      </w:r>
      <w:r>
        <w:rPr>
          <w:spacing w:val="-13"/>
        </w:rPr>
        <w:t xml:space="preserve"> </w:t>
      </w:r>
      <w:r>
        <w:t>Demler,</w:t>
      </w:r>
      <w:r>
        <w:rPr>
          <w:spacing w:val="-14"/>
        </w:rPr>
        <w:t xml:space="preserve"> </w:t>
      </w:r>
      <w:r>
        <w:t>O.,</w:t>
      </w:r>
      <w:r>
        <w:rPr>
          <w:spacing w:val="-15"/>
        </w:rPr>
        <w:t xml:space="preserve"> </w:t>
      </w:r>
      <w:r>
        <w:t>Jin,</w:t>
      </w:r>
      <w:r>
        <w:rPr>
          <w:spacing w:val="-15"/>
        </w:rPr>
        <w:t xml:space="preserve"> </w:t>
      </w:r>
      <w:r>
        <w:t>R.,</w:t>
      </w:r>
      <w:r>
        <w:rPr>
          <w:spacing w:val="-13"/>
        </w:rPr>
        <w:t xml:space="preserve"> </w:t>
      </w:r>
      <w:r>
        <w:t>Merikangas,</w:t>
      </w:r>
      <w:r>
        <w:rPr>
          <w:spacing w:val="-13"/>
        </w:rPr>
        <w:t xml:space="preserve"> </w:t>
      </w:r>
      <w:r>
        <w:t>K.</w:t>
      </w:r>
      <w:r>
        <w:rPr>
          <w:spacing w:val="-14"/>
        </w:rPr>
        <w:t xml:space="preserve"> </w:t>
      </w:r>
      <w:r>
        <w:t>R.,</w:t>
      </w:r>
      <w:r>
        <w:rPr>
          <w:spacing w:val="-13"/>
        </w:rPr>
        <w:t xml:space="preserve"> </w:t>
      </w:r>
      <w:r>
        <w:t>&amp;</w:t>
      </w:r>
      <w:r>
        <w:rPr>
          <w:spacing w:val="-15"/>
        </w:rPr>
        <w:t xml:space="preserve"> </w:t>
      </w:r>
      <w:r>
        <w:t>Walters,</w:t>
      </w:r>
      <w:r>
        <w:rPr>
          <w:spacing w:val="-14"/>
        </w:rPr>
        <w:t xml:space="preserve"> </w:t>
      </w:r>
      <w:r>
        <w:t>E.</w:t>
      </w:r>
      <w:r>
        <w:rPr>
          <w:spacing w:val="-13"/>
        </w:rPr>
        <w:t xml:space="preserve"> </w:t>
      </w:r>
      <w:r>
        <w:t>E.</w:t>
      </w:r>
      <w:r>
        <w:rPr>
          <w:spacing w:val="-13"/>
        </w:rPr>
        <w:t xml:space="preserve"> </w:t>
      </w:r>
      <w:r>
        <w:t>(2005). Lifetime</w:t>
      </w:r>
      <w:r>
        <w:rPr>
          <w:spacing w:val="-7"/>
        </w:rPr>
        <w:t xml:space="preserve"> </w:t>
      </w:r>
      <w:r>
        <w:t>Prevalence</w:t>
      </w:r>
      <w:r>
        <w:rPr>
          <w:spacing w:val="-6"/>
        </w:rPr>
        <w:t xml:space="preserve"> </w:t>
      </w:r>
      <w:r>
        <w:t>and</w:t>
      </w:r>
      <w:r>
        <w:rPr>
          <w:spacing w:val="-4"/>
        </w:rPr>
        <w:t xml:space="preserve"> </w:t>
      </w:r>
      <w:r>
        <w:t>Age-of-Onset</w:t>
      </w:r>
      <w:r>
        <w:rPr>
          <w:spacing w:val="-6"/>
        </w:rPr>
        <w:t xml:space="preserve"> </w:t>
      </w:r>
      <w:r>
        <w:t>Distributions</w:t>
      </w:r>
      <w:r>
        <w:rPr>
          <w:spacing w:val="-7"/>
        </w:rPr>
        <w:t xml:space="preserve"> </w:t>
      </w:r>
      <w:r>
        <w:t>of</w:t>
      </w:r>
      <w:r>
        <w:rPr>
          <w:spacing w:val="-8"/>
        </w:rPr>
        <w:t xml:space="preserve"> </w:t>
      </w:r>
      <w:r>
        <w:t>DSM-IV</w:t>
      </w:r>
      <w:r>
        <w:rPr>
          <w:spacing w:val="-5"/>
        </w:rPr>
        <w:t xml:space="preserve"> </w:t>
      </w:r>
      <w:r>
        <w:t>Disorders</w:t>
      </w:r>
      <w:r>
        <w:rPr>
          <w:spacing w:val="-4"/>
        </w:rPr>
        <w:t xml:space="preserve"> </w:t>
      </w:r>
      <w:r>
        <w:t>in</w:t>
      </w:r>
      <w:r>
        <w:rPr>
          <w:spacing w:val="-7"/>
        </w:rPr>
        <w:t xml:space="preserve"> </w:t>
      </w:r>
      <w:r>
        <w:t>the National</w:t>
      </w:r>
      <w:r>
        <w:rPr>
          <w:spacing w:val="-15"/>
        </w:rPr>
        <w:t xml:space="preserve"> </w:t>
      </w:r>
      <w:r>
        <w:t>Comorbidity</w:t>
      </w:r>
      <w:r>
        <w:rPr>
          <w:spacing w:val="-15"/>
        </w:rPr>
        <w:t xml:space="preserve"> </w:t>
      </w:r>
      <w:r>
        <w:t>Survey</w:t>
      </w:r>
      <w:r>
        <w:rPr>
          <w:spacing w:val="-15"/>
        </w:rPr>
        <w:t xml:space="preserve"> </w:t>
      </w:r>
      <w:r>
        <w:t>Replication.</w:t>
      </w:r>
      <w:r>
        <w:rPr>
          <w:spacing w:val="-15"/>
        </w:rPr>
        <w:t xml:space="preserve"> </w:t>
      </w:r>
      <w:r>
        <w:t>Archives</w:t>
      </w:r>
      <w:r>
        <w:rPr>
          <w:spacing w:val="-12"/>
        </w:rPr>
        <w:t xml:space="preserve"> </w:t>
      </w:r>
      <w:r>
        <w:t>of</w:t>
      </w:r>
      <w:r>
        <w:rPr>
          <w:spacing w:val="-11"/>
        </w:rPr>
        <w:t xml:space="preserve"> </w:t>
      </w:r>
      <w:r>
        <w:t>General</w:t>
      </w:r>
      <w:r>
        <w:rPr>
          <w:spacing w:val="-13"/>
        </w:rPr>
        <w:t xml:space="preserve"> </w:t>
      </w:r>
      <w:r>
        <w:t>Psychiatry,</w:t>
      </w:r>
      <w:r>
        <w:rPr>
          <w:spacing w:val="-9"/>
        </w:rPr>
        <w:t xml:space="preserve"> </w:t>
      </w:r>
      <w:r>
        <w:t xml:space="preserve">62(6), </w:t>
      </w:r>
      <w:r>
        <w:rPr>
          <w:spacing w:val="-2"/>
        </w:rPr>
        <w:t>593-602.</w:t>
      </w:r>
    </w:p>
    <w:p w14:paraId="01D5A363">
      <w:pPr>
        <w:pStyle w:val="9"/>
        <w:spacing w:before="120" w:after="120" w:line="360" w:lineRule="auto"/>
        <w:ind w:left="567" w:hanging="567"/>
      </w:pPr>
      <w:r>
        <w:t>Kılbaş,</w:t>
      </w:r>
      <w:r>
        <w:rPr>
          <w:spacing w:val="-4"/>
        </w:rPr>
        <w:t xml:space="preserve"> </w:t>
      </w:r>
      <w:r>
        <w:t>Ş.</w:t>
      </w:r>
      <w:r>
        <w:rPr>
          <w:spacing w:val="-1"/>
        </w:rPr>
        <w:t xml:space="preserve"> </w:t>
      </w:r>
      <w:r>
        <w:t>(2010).</w:t>
      </w:r>
      <w:r>
        <w:rPr>
          <w:spacing w:val="-1"/>
        </w:rPr>
        <w:t xml:space="preserve"> </w:t>
      </w:r>
      <w:r>
        <w:t>Rekreasyon</w:t>
      </w:r>
      <w:r>
        <w:rPr>
          <w:spacing w:val="-1"/>
        </w:rPr>
        <w:t xml:space="preserve"> </w:t>
      </w:r>
      <w:r>
        <w:t>boş</w:t>
      </w:r>
      <w:r>
        <w:rPr>
          <w:spacing w:val="-2"/>
        </w:rPr>
        <w:t xml:space="preserve"> </w:t>
      </w:r>
      <w:r>
        <w:t>zamanı</w:t>
      </w:r>
      <w:r>
        <w:rPr>
          <w:spacing w:val="-1"/>
        </w:rPr>
        <w:t xml:space="preserve"> </w:t>
      </w:r>
      <w:r>
        <w:t>değerlendirme.</w:t>
      </w:r>
      <w:r>
        <w:rPr>
          <w:spacing w:val="-1"/>
        </w:rPr>
        <w:t xml:space="preserve"> </w:t>
      </w:r>
      <w:r>
        <w:t>Gazi</w:t>
      </w:r>
      <w:r>
        <w:rPr>
          <w:spacing w:val="-1"/>
        </w:rPr>
        <w:t xml:space="preserve"> </w:t>
      </w:r>
      <w:r>
        <w:t>Kitapevi,</w:t>
      </w:r>
      <w:r>
        <w:rPr>
          <w:spacing w:val="-1"/>
        </w:rPr>
        <w:t xml:space="preserve"> </w:t>
      </w:r>
      <w:r>
        <w:rPr>
          <w:spacing w:val="-2"/>
        </w:rPr>
        <w:t>Ankara.</w:t>
      </w:r>
    </w:p>
    <w:p w14:paraId="377AA4EE">
      <w:pPr>
        <w:pStyle w:val="9"/>
        <w:spacing w:before="120" w:after="120" w:line="360" w:lineRule="auto"/>
        <w:ind w:left="567" w:hanging="567"/>
      </w:pPr>
      <w:r>
        <w:t>Kılıç,</w:t>
      </w:r>
      <w:r>
        <w:rPr>
          <w:spacing w:val="-15"/>
        </w:rPr>
        <w:t xml:space="preserve"> </w:t>
      </w:r>
      <w:r>
        <w:t>M.</w:t>
      </w:r>
      <w:r>
        <w:rPr>
          <w:spacing w:val="-15"/>
        </w:rPr>
        <w:t xml:space="preserve"> </w:t>
      </w:r>
      <w:r>
        <w:t>(2009),</w:t>
      </w:r>
      <w:r>
        <w:rPr>
          <w:spacing w:val="-15"/>
        </w:rPr>
        <w:t xml:space="preserve"> </w:t>
      </w:r>
      <w:r>
        <w:t>“Rekreasyonun</w:t>
      </w:r>
      <w:r>
        <w:rPr>
          <w:spacing w:val="-15"/>
        </w:rPr>
        <w:t xml:space="preserve"> </w:t>
      </w:r>
      <w:r>
        <w:t>Yararları”,</w:t>
      </w:r>
      <w:r>
        <w:rPr>
          <w:spacing w:val="-15"/>
        </w:rPr>
        <w:t xml:space="preserve"> </w:t>
      </w:r>
      <w:r>
        <w:fldChar w:fldCharType="begin"/>
      </w:r>
      <w:r>
        <w:instrText xml:space="preserve"> HYPERLINK "http://sosyologum.com/esder_makale-34-1-60-" \h </w:instrText>
      </w:r>
      <w:r>
        <w:fldChar w:fldCharType="separate"/>
      </w:r>
      <w:r>
        <w:t>http://sosyologum.com/esder_makale-34-1-60-</w:t>
      </w:r>
      <w:r>
        <w:fldChar w:fldCharType="end"/>
      </w:r>
      <w:r>
        <w:t xml:space="preserve"> </w:t>
      </w:r>
      <w:r>
        <w:rPr>
          <w:spacing w:val="-2"/>
        </w:rPr>
        <w:t>Rekreasyonun_Yararları</w:t>
      </w:r>
    </w:p>
    <w:p w14:paraId="70491316">
      <w:pPr>
        <w:pStyle w:val="9"/>
        <w:spacing w:before="120" w:after="120" w:line="360" w:lineRule="auto"/>
        <w:ind w:left="567" w:hanging="567"/>
      </w:pPr>
      <w:r>
        <w:t>Kılıç, R. ve Keklik, B. (2012). “Sağlık Çalışanlarında İş Yaşam Kalitesi ve Motivasyona Etkisi Üzerine Bir Araştırma”, Afyon Kocatepe Üniversitesi İktisadi İdari Bilimler Fakültesi Dergisi, 14(2), 147-160.</w:t>
      </w:r>
    </w:p>
    <w:p w14:paraId="56CD47C0">
      <w:pPr>
        <w:pStyle w:val="9"/>
        <w:spacing w:before="120" w:after="120" w:line="360" w:lineRule="auto"/>
        <w:ind w:left="567" w:hanging="567"/>
      </w:pPr>
      <w:r>
        <w:t>Koçoğlu, D. ve Akın, B. (2009). “Sosyoekonomik Eşitsizliklerin Sağlıklı Yaşam Biçimi Davranışları</w:t>
      </w:r>
      <w:r>
        <w:rPr>
          <w:spacing w:val="-8"/>
        </w:rPr>
        <w:t xml:space="preserve"> </w:t>
      </w:r>
      <w:r>
        <w:t>ve</w:t>
      </w:r>
      <w:r>
        <w:rPr>
          <w:spacing w:val="-9"/>
        </w:rPr>
        <w:t xml:space="preserve"> </w:t>
      </w:r>
      <w:r>
        <w:t>Yaşam</w:t>
      </w:r>
      <w:r>
        <w:rPr>
          <w:spacing w:val="-7"/>
        </w:rPr>
        <w:t xml:space="preserve"> </w:t>
      </w:r>
      <w:r>
        <w:t>Kalitesi</w:t>
      </w:r>
      <w:r>
        <w:rPr>
          <w:spacing w:val="-8"/>
        </w:rPr>
        <w:t xml:space="preserve"> </w:t>
      </w:r>
      <w:r>
        <w:t>ile</w:t>
      </w:r>
      <w:r>
        <w:rPr>
          <w:spacing w:val="-6"/>
        </w:rPr>
        <w:t xml:space="preserve"> </w:t>
      </w:r>
      <w:r>
        <w:t>İlişkisi”,</w:t>
      </w:r>
      <w:r>
        <w:rPr>
          <w:spacing w:val="-8"/>
        </w:rPr>
        <w:t xml:space="preserve"> </w:t>
      </w:r>
      <w:r>
        <w:t>Dokuz</w:t>
      </w:r>
      <w:r>
        <w:rPr>
          <w:spacing w:val="-7"/>
        </w:rPr>
        <w:t xml:space="preserve"> </w:t>
      </w:r>
      <w:r>
        <w:t>Eylül</w:t>
      </w:r>
      <w:r>
        <w:rPr>
          <w:spacing w:val="-7"/>
        </w:rPr>
        <w:t xml:space="preserve"> </w:t>
      </w:r>
      <w:r>
        <w:t>Üniversitesi</w:t>
      </w:r>
      <w:r>
        <w:rPr>
          <w:spacing w:val="-8"/>
        </w:rPr>
        <w:t xml:space="preserve"> </w:t>
      </w:r>
      <w:r>
        <w:t>Hemşirelik Yüksekokulu Elektronik Dergisi, 2(4), 145-154.</w:t>
      </w:r>
    </w:p>
    <w:p w14:paraId="33E24F70">
      <w:pPr>
        <w:pStyle w:val="9"/>
        <w:spacing w:before="120" w:after="120" w:line="360" w:lineRule="auto"/>
        <w:ind w:left="567" w:hanging="567"/>
      </w:pPr>
      <w:r>
        <w:t>Koçyiğit,</w:t>
      </w:r>
      <w:r>
        <w:rPr>
          <w:spacing w:val="-2"/>
        </w:rPr>
        <w:t xml:space="preserve"> </w:t>
      </w:r>
      <w:r>
        <w:t>M.</w:t>
      </w:r>
      <w:r>
        <w:rPr>
          <w:spacing w:val="-2"/>
        </w:rPr>
        <w:t xml:space="preserve"> </w:t>
      </w:r>
      <w:r>
        <w:t>ve</w:t>
      </w:r>
      <w:r>
        <w:rPr>
          <w:spacing w:val="-3"/>
        </w:rPr>
        <w:t xml:space="preserve"> </w:t>
      </w:r>
      <w:r>
        <w:t>Yıldız,</w:t>
      </w:r>
      <w:r>
        <w:rPr>
          <w:spacing w:val="-2"/>
        </w:rPr>
        <w:t xml:space="preserve"> </w:t>
      </w:r>
      <w:r>
        <w:t>M.</w:t>
      </w:r>
      <w:r>
        <w:rPr>
          <w:spacing w:val="-2"/>
        </w:rPr>
        <w:t xml:space="preserve"> </w:t>
      </w:r>
      <w:r>
        <w:t>(2014),</w:t>
      </w:r>
      <w:r>
        <w:rPr>
          <w:spacing w:val="-1"/>
        </w:rPr>
        <w:t xml:space="preserve"> </w:t>
      </w:r>
      <w:r>
        <w:t>“Yerel</w:t>
      </w:r>
      <w:r>
        <w:rPr>
          <w:spacing w:val="-2"/>
        </w:rPr>
        <w:t xml:space="preserve"> </w:t>
      </w:r>
      <w:r>
        <w:t>Yönetimlerde</w:t>
      </w:r>
      <w:r>
        <w:rPr>
          <w:spacing w:val="-4"/>
        </w:rPr>
        <w:t xml:space="preserve"> </w:t>
      </w:r>
      <w:r>
        <w:t>Rekreasyon Uygulamaları:</w:t>
      </w:r>
      <w:r>
        <w:rPr>
          <w:spacing w:val="-2"/>
        </w:rPr>
        <w:t xml:space="preserve"> </w:t>
      </w:r>
      <w:r>
        <w:t>Konya Örneği”, International Journal of Science Culture and Sport, s. 211-223.</w:t>
      </w:r>
    </w:p>
    <w:p w14:paraId="6F740FE3">
      <w:pPr>
        <w:pStyle w:val="9"/>
        <w:spacing w:before="120" w:after="120" w:line="360" w:lineRule="auto"/>
        <w:ind w:left="567" w:hanging="567"/>
      </w:pPr>
      <w:r>
        <w:t>Korolov,</w:t>
      </w:r>
      <w:r>
        <w:rPr>
          <w:spacing w:val="-4"/>
        </w:rPr>
        <w:t xml:space="preserve"> </w:t>
      </w:r>
      <w:r>
        <w:t>M.</w:t>
      </w:r>
      <w:r>
        <w:rPr>
          <w:spacing w:val="-1"/>
        </w:rPr>
        <w:t xml:space="preserve"> </w:t>
      </w:r>
      <w:r>
        <w:t>(2014).</w:t>
      </w:r>
      <w:r>
        <w:rPr>
          <w:spacing w:val="-1"/>
        </w:rPr>
        <w:t xml:space="preserve"> </w:t>
      </w:r>
      <w:r>
        <w:t>The real</w:t>
      </w:r>
      <w:r>
        <w:rPr>
          <w:spacing w:val="-2"/>
        </w:rPr>
        <w:t xml:space="preserve"> </w:t>
      </w:r>
      <w:r>
        <w:t>risks</w:t>
      </w:r>
      <w:r>
        <w:rPr>
          <w:spacing w:val="-1"/>
        </w:rPr>
        <w:t xml:space="preserve"> </w:t>
      </w:r>
      <w:r>
        <w:t>of</w:t>
      </w:r>
      <w:r>
        <w:rPr>
          <w:spacing w:val="-1"/>
        </w:rPr>
        <w:t xml:space="preserve"> </w:t>
      </w:r>
      <w:r>
        <w:t>virtual</w:t>
      </w:r>
      <w:r>
        <w:rPr>
          <w:spacing w:val="-1"/>
        </w:rPr>
        <w:t xml:space="preserve"> </w:t>
      </w:r>
      <w:r>
        <w:t>reality. Risk</w:t>
      </w:r>
      <w:r>
        <w:rPr>
          <w:spacing w:val="-1"/>
        </w:rPr>
        <w:t xml:space="preserve"> </w:t>
      </w:r>
      <w:r>
        <w:t>Manag.</w:t>
      </w:r>
      <w:r>
        <w:rPr>
          <w:spacing w:val="-1"/>
        </w:rPr>
        <w:t xml:space="preserve"> </w:t>
      </w:r>
      <w:r>
        <w:t>61,</w:t>
      </w:r>
      <w:r>
        <w:rPr>
          <w:spacing w:val="-1"/>
        </w:rPr>
        <w:t xml:space="preserve"> </w:t>
      </w:r>
      <w:r>
        <w:rPr>
          <w:spacing w:val="-2"/>
        </w:rPr>
        <w:t>20–24.</w:t>
      </w:r>
    </w:p>
    <w:p w14:paraId="10A4A5E7">
      <w:pPr>
        <w:pStyle w:val="9"/>
        <w:spacing w:before="120" w:after="120" w:line="360" w:lineRule="auto"/>
        <w:ind w:left="567" w:hanging="567"/>
      </w:pPr>
      <w:r>
        <w:t>Kowaltowski,</w:t>
      </w:r>
      <w:r>
        <w:rPr>
          <w:spacing w:val="8"/>
        </w:rPr>
        <w:t xml:space="preserve"> </w:t>
      </w:r>
      <w:r>
        <w:t>D.</w:t>
      </w:r>
      <w:r>
        <w:rPr>
          <w:spacing w:val="8"/>
        </w:rPr>
        <w:t xml:space="preserve"> </w:t>
      </w:r>
      <w:r>
        <w:t>C.</w:t>
      </w:r>
      <w:r>
        <w:rPr>
          <w:spacing w:val="8"/>
        </w:rPr>
        <w:t xml:space="preserve"> </w:t>
      </w:r>
      <w:r>
        <w:t>C.</w:t>
      </w:r>
      <w:r>
        <w:rPr>
          <w:spacing w:val="11"/>
        </w:rPr>
        <w:t xml:space="preserve"> </w:t>
      </w:r>
      <w:r>
        <w:t>K.,</w:t>
      </w:r>
      <w:r>
        <w:rPr>
          <w:spacing w:val="7"/>
        </w:rPr>
        <w:t xml:space="preserve"> </w:t>
      </w:r>
      <w:r>
        <w:t>Gomes</w:t>
      </w:r>
      <w:r>
        <w:rPr>
          <w:spacing w:val="9"/>
        </w:rPr>
        <w:t xml:space="preserve"> </w:t>
      </w:r>
      <w:r>
        <w:t>da</w:t>
      </w:r>
      <w:r>
        <w:rPr>
          <w:spacing w:val="8"/>
        </w:rPr>
        <w:t xml:space="preserve"> </w:t>
      </w:r>
      <w:r>
        <w:t>Silva,</w:t>
      </w:r>
      <w:r>
        <w:rPr>
          <w:spacing w:val="8"/>
        </w:rPr>
        <w:t xml:space="preserve"> </w:t>
      </w:r>
      <w:r>
        <w:t>V.,</w:t>
      </w:r>
      <w:r>
        <w:rPr>
          <w:spacing w:val="11"/>
        </w:rPr>
        <w:t xml:space="preserve"> </w:t>
      </w:r>
      <w:r>
        <w:t>Pina,</w:t>
      </w:r>
      <w:r>
        <w:rPr>
          <w:spacing w:val="7"/>
        </w:rPr>
        <w:t xml:space="preserve"> </w:t>
      </w:r>
      <w:r>
        <w:t>S.</w:t>
      </w:r>
      <w:r>
        <w:rPr>
          <w:spacing w:val="9"/>
        </w:rPr>
        <w:t xml:space="preserve"> </w:t>
      </w:r>
      <w:r>
        <w:t>A.</w:t>
      </w:r>
      <w:r>
        <w:rPr>
          <w:spacing w:val="8"/>
        </w:rPr>
        <w:t xml:space="preserve"> </w:t>
      </w:r>
      <w:r>
        <w:t>M.</w:t>
      </w:r>
      <w:r>
        <w:rPr>
          <w:spacing w:val="8"/>
        </w:rPr>
        <w:t xml:space="preserve"> </w:t>
      </w:r>
      <w:r>
        <w:t>G.,</w:t>
      </w:r>
      <w:r>
        <w:rPr>
          <w:spacing w:val="11"/>
        </w:rPr>
        <w:t xml:space="preserve"> </w:t>
      </w:r>
      <w:r>
        <w:t>Labaki,</w:t>
      </w:r>
      <w:r>
        <w:rPr>
          <w:spacing w:val="11"/>
        </w:rPr>
        <w:t xml:space="preserve"> </w:t>
      </w:r>
      <w:r>
        <w:t>L.</w:t>
      </w:r>
      <w:r>
        <w:rPr>
          <w:spacing w:val="9"/>
        </w:rPr>
        <w:t xml:space="preserve"> </w:t>
      </w:r>
      <w:r>
        <w:t>C.,</w:t>
      </w:r>
      <w:r>
        <w:rPr>
          <w:spacing w:val="11"/>
        </w:rPr>
        <w:t xml:space="preserve"> </w:t>
      </w:r>
      <w:r>
        <w:rPr>
          <w:spacing w:val="-2"/>
        </w:rPr>
        <w:t>Ruschel,</w:t>
      </w:r>
    </w:p>
    <w:p w14:paraId="64911BE1">
      <w:pPr>
        <w:spacing w:before="120" w:after="120" w:line="360" w:lineRule="auto"/>
        <w:ind w:left="567" w:hanging="567"/>
        <w:jc w:val="both"/>
        <w:rPr>
          <w:sz w:val="24"/>
          <w:szCs w:val="24"/>
        </w:rPr>
      </w:pPr>
      <w:r>
        <w:rPr>
          <w:sz w:val="24"/>
          <w:szCs w:val="24"/>
        </w:rPr>
        <w:t>Kulakoğlu, D.N. (2022). Rekreasyon İşletmelerinde Kullanılan Sanal Gerçeklik Teknolojisine Yönelik Kullanıcıların Görüş ve Deneyimlerinin İncelenmesi. GSI Journals Serie A: Advancements in Tourism, Recreation and Sports Sciences (ATRSS), 5 (2): 204-222</w:t>
      </w:r>
    </w:p>
    <w:p w14:paraId="6357ADFD">
      <w:pPr>
        <w:pStyle w:val="9"/>
        <w:spacing w:before="120" w:after="120" w:line="360" w:lineRule="auto"/>
        <w:ind w:left="567" w:hanging="567"/>
      </w:pPr>
      <w:r>
        <w:t>Kurar, İ. ve Baltacı, F. (2014). “Halkın Boş Zaman Değerlendirme Alışkanlıkları: Alanya Örneği”,</w:t>
      </w:r>
      <w:r>
        <w:rPr>
          <w:spacing w:val="-5"/>
        </w:rPr>
        <w:t xml:space="preserve"> </w:t>
      </w:r>
      <w:r>
        <w:t>International</w:t>
      </w:r>
      <w:r>
        <w:rPr>
          <w:spacing w:val="-7"/>
        </w:rPr>
        <w:t xml:space="preserve"> </w:t>
      </w:r>
      <w:r>
        <w:t>Journal</w:t>
      </w:r>
      <w:r>
        <w:rPr>
          <w:spacing w:val="-7"/>
        </w:rPr>
        <w:t xml:space="preserve"> </w:t>
      </w:r>
      <w:r>
        <w:t>of</w:t>
      </w:r>
      <w:r>
        <w:rPr>
          <w:spacing w:val="-9"/>
        </w:rPr>
        <w:t xml:space="preserve"> </w:t>
      </w:r>
      <w:r>
        <w:t>Science</w:t>
      </w:r>
      <w:r>
        <w:rPr>
          <w:spacing w:val="-9"/>
        </w:rPr>
        <w:t xml:space="preserve"> </w:t>
      </w:r>
      <w:r>
        <w:t>Culture</w:t>
      </w:r>
      <w:r>
        <w:rPr>
          <w:spacing w:val="-9"/>
        </w:rPr>
        <w:t xml:space="preserve"> </w:t>
      </w:r>
      <w:r>
        <w:t>and</w:t>
      </w:r>
      <w:r>
        <w:rPr>
          <w:spacing w:val="-8"/>
        </w:rPr>
        <w:t xml:space="preserve"> </w:t>
      </w:r>
      <w:r>
        <w:t>Sport,</w:t>
      </w:r>
      <w:r>
        <w:rPr>
          <w:spacing w:val="-8"/>
        </w:rPr>
        <w:t xml:space="preserve"> </w:t>
      </w:r>
      <w:r>
        <w:t>2014,</w:t>
      </w:r>
      <w:r>
        <w:rPr>
          <w:spacing w:val="-8"/>
        </w:rPr>
        <w:t xml:space="preserve"> </w:t>
      </w:r>
      <w:r>
        <w:t>Özel</w:t>
      </w:r>
      <w:r>
        <w:rPr>
          <w:spacing w:val="-7"/>
        </w:rPr>
        <w:t xml:space="preserve"> </w:t>
      </w:r>
      <w:r>
        <w:t>Sayı</w:t>
      </w:r>
      <w:r>
        <w:rPr>
          <w:spacing w:val="-7"/>
        </w:rPr>
        <w:t xml:space="preserve"> </w:t>
      </w:r>
      <w:r>
        <w:t>2,</w:t>
      </w:r>
      <w:r>
        <w:rPr>
          <w:spacing w:val="-8"/>
        </w:rPr>
        <w:t xml:space="preserve"> </w:t>
      </w:r>
      <w:r>
        <w:t xml:space="preserve">s. </w:t>
      </w:r>
      <w:r>
        <w:rPr>
          <w:spacing w:val="-2"/>
        </w:rPr>
        <w:t>39-52.</w:t>
      </w:r>
    </w:p>
    <w:p w14:paraId="4CE4CA05">
      <w:pPr>
        <w:pStyle w:val="9"/>
        <w:spacing w:before="120" w:after="120" w:line="360" w:lineRule="auto"/>
        <w:ind w:left="567" w:hanging="567"/>
      </w:pPr>
      <w:r>
        <w:t>Kurbanoğlu, S. S. (1996), "Sanal Gerçeklik, Gerçek mi, Değil mi?", Türk Kütüphaneciliği, sayı:1, Ankara</w:t>
      </w:r>
    </w:p>
    <w:p w14:paraId="75C13EC6">
      <w:pPr>
        <w:pStyle w:val="9"/>
        <w:spacing w:before="120" w:after="120" w:line="360" w:lineRule="auto"/>
        <w:ind w:left="567" w:hanging="567"/>
      </w:pPr>
      <w:r>
        <w:t>Kuruüzümcü,</w:t>
      </w:r>
      <w:r>
        <w:rPr>
          <w:spacing w:val="-6"/>
        </w:rPr>
        <w:t xml:space="preserve"> </w:t>
      </w:r>
      <w:r>
        <w:t>R.</w:t>
      </w:r>
      <w:r>
        <w:rPr>
          <w:spacing w:val="-6"/>
        </w:rPr>
        <w:t xml:space="preserve"> </w:t>
      </w:r>
      <w:r>
        <w:t>(2009),</w:t>
      </w:r>
      <w:r>
        <w:rPr>
          <w:spacing w:val="-4"/>
        </w:rPr>
        <w:t xml:space="preserve"> </w:t>
      </w:r>
      <w:r>
        <w:t>"Bir</w:t>
      </w:r>
      <w:r>
        <w:rPr>
          <w:spacing w:val="-6"/>
        </w:rPr>
        <w:t xml:space="preserve"> </w:t>
      </w:r>
      <w:r>
        <w:t>Dijital</w:t>
      </w:r>
      <w:r>
        <w:rPr>
          <w:spacing w:val="-6"/>
        </w:rPr>
        <w:t xml:space="preserve"> </w:t>
      </w:r>
      <w:r>
        <w:t>Ortam</w:t>
      </w:r>
      <w:r>
        <w:rPr>
          <w:spacing w:val="-6"/>
        </w:rPr>
        <w:t xml:space="preserve"> </w:t>
      </w:r>
      <w:r>
        <w:t>ve</w:t>
      </w:r>
      <w:r>
        <w:rPr>
          <w:spacing w:val="-5"/>
        </w:rPr>
        <w:t xml:space="preserve"> </w:t>
      </w:r>
      <w:r>
        <w:t>Sanat</w:t>
      </w:r>
      <w:r>
        <w:rPr>
          <w:spacing w:val="-5"/>
        </w:rPr>
        <w:t xml:space="preserve"> </w:t>
      </w:r>
      <w:r>
        <w:t>Formu</w:t>
      </w:r>
      <w:r>
        <w:rPr>
          <w:spacing w:val="-6"/>
        </w:rPr>
        <w:t xml:space="preserve"> </w:t>
      </w:r>
      <w:r>
        <w:t>Olarak</w:t>
      </w:r>
      <w:r>
        <w:rPr>
          <w:spacing w:val="-6"/>
        </w:rPr>
        <w:t xml:space="preserve"> </w:t>
      </w:r>
      <w:r>
        <w:t>Sanal</w:t>
      </w:r>
      <w:r>
        <w:rPr>
          <w:spacing w:val="-5"/>
        </w:rPr>
        <w:t xml:space="preserve"> </w:t>
      </w:r>
      <w:r>
        <w:t>Gerçeklik",</w:t>
      </w:r>
      <w:r>
        <w:rPr>
          <w:spacing w:val="-6"/>
        </w:rPr>
        <w:t xml:space="preserve"> </w:t>
      </w:r>
      <w:r>
        <w:t>Sanat Dergisi, Yıldız Teknik Üniversitesi, İstanbul.</w:t>
      </w:r>
    </w:p>
    <w:p w14:paraId="25B1D284">
      <w:pPr>
        <w:pStyle w:val="9"/>
        <w:spacing w:before="120" w:after="120" w:line="360" w:lineRule="auto"/>
        <w:ind w:left="567" w:hanging="567"/>
      </w:pPr>
      <w:r>
        <w:t>Küçüksaraç, B. Ve Sayımer, İ.: 2016. “Deneyimsel Pazarlama Aracı Olarak Artırılmış̧ Gerçeklik: Türkı̇Ye’dekı̇ Marka Deneyimlerinin Etkilerı̇ Üzerine Bir Araştırma”, İstanbul Üniversitesi İletişim Fakültesi Dergisi, (51), 73-95.</w:t>
      </w:r>
    </w:p>
    <w:p w14:paraId="2501AF0F">
      <w:pPr>
        <w:spacing w:before="120" w:after="120" w:line="360" w:lineRule="auto"/>
        <w:ind w:left="567" w:hanging="567"/>
        <w:jc w:val="both"/>
        <w:rPr>
          <w:sz w:val="24"/>
          <w:szCs w:val="24"/>
        </w:rPr>
      </w:pPr>
      <w:r>
        <w:rPr>
          <w:sz w:val="24"/>
          <w:szCs w:val="24"/>
        </w:rPr>
        <w:t>LaValle,</w:t>
      </w:r>
      <w:r>
        <w:rPr>
          <w:spacing w:val="-4"/>
          <w:sz w:val="24"/>
          <w:szCs w:val="24"/>
        </w:rPr>
        <w:t xml:space="preserve"> </w:t>
      </w:r>
      <w:r>
        <w:rPr>
          <w:sz w:val="24"/>
          <w:szCs w:val="24"/>
        </w:rPr>
        <w:t>S.</w:t>
      </w:r>
      <w:r>
        <w:rPr>
          <w:spacing w:val="-1"/>
          <w:sz w:val="24"/>
          <w:szCs w:val="24"/>
        </w:rPr>
        <w:t xml:space="preserve"> </w:t>
      </w:r>
      <w:r>
        <w:rPr>
          <w:sz w:val="24"/>
          <w:szCs w:val="24"/>
        </w:rPr>
        <w:t>M.</w:t>
      </w:r>
      <w:r>
        <w:rPr>
          <w:spacing w:val="-1"/>
          <w:sz w:val="24"/>
          <w:szCs w:val="24"/>
        </w:rPr>
        <w:t xml:space="preserve"> </w:t>
      </w:r>
      <w:r>
        <w:rPr>
          <w:sz w:val="24"/>
          <w:szCs w:val="24"/>
        </w:rPr>
        <w:t xml:space="preserve">(2023). </w:t>
      </w:r>
      <w:r>
        <w:rPr>
          <w:i/>
          <w:sz w:val="24"/>
          <w:szCs w:val="24"/>
        </w:rPr>
        <w:t>Virtual</w:t>
      </w:r>
      <w:r>
        <w:rPr>
          <w:i/>
          <w:spacing w:val="-1"/>
          <w:sz w:val="24"/>
          <w:szCs w:val="24"/>
        </w:rPr>
        <w:t xml:space="preserve"> </w:t>
      </w:r>
      <w:r>
        <w:rPr>
          <w:i/>
          <w:sz w:val="24"/>
          <w:szCs w:val="24"/>
        </w:rPr>
        <w:t>reality</w:t>
      </w:r>
      <w:r>
        <w:rPr>
          <w:sz w:val="24"/>
          <w:szCs w:val="24"/>
        </w:rPr>
        <w:t>.</w:t>
      </w:r>
      <w:r>
        <w:rPr>
          <w:spacing w:val="-1"/>
          <w:sz w:val="24"/>
          <w:szCs w:val="24"/>
        </w:rPr>
        <w:t xml:space="preserve"> </w:t>
      </w:r>
      <w:r>
        <w:rPr>
          <w:sz w:val="24"/>
          <w:szCs w:val="24"/>
        </w:rPr>
        <w:t>Cambridge university</w:t>
      </w:r>
      <w:r>
        <w:rPr>
          <w:spacing w:val="-6"/>
          <w:sz w:val="24"/>
          <w:szCs w:val="24"/>
        </w:rPr>
        <w:t xml:space="preserve"> </w:t>
      </w:r>
      <w:r>
        <w:rPr>
          <w:spacing w:val="-2"/>
          <w:sz w:val="24"/>
          <w:szCs w:val="24"/>
        </w:rPr>
        <w:t>press.</w:t>
      </w:r>
    </w:p>
    <w:p w14:paraId="225ADBB9">
      <w:pPr>
        <w:pStyle w:val="9"/>
        <w:spacing w:before="120" w:after="120" w:line="360" w:lineRule="auto"/>
        <w:ind w:left="567" w:hanging="567"/>
        <w:rPr>
          <w:spacing w:val="-2"/>
        </w:rPr>
      </w:pPr>
      <w:r>
        <w:t xml:space="preserve">Lazarus, R. S., &amp; Folkman, S. (1984). Stress, Appraisal, and Coping. Springer Publishing </w:t>
      </w:r>
      <w:r>
        <w:rPr>
          <w:spacing w:val="-2"/>
        </w:rPr>
        <w:t>Company.</w:t>
      </w:r>
    </w:p>
    <w:p w14:paraId="26071504">
      <w:pPr>
        <w:pStyle w:val="9"/>
        <w:spacing w:before="120" w:after="120" w:line="360" w:lineRule="auto"/>
        <w:ind w:left="567" w:hanging="567"/>
      </w:pPr>
      <w:r>
        <w:t xml:space="preserve">Lee, Y.H., Yin, K., and Wu, S.T. (2017). Reflective polarization volume gratings for high efficiency waveguide-coupling augmented reality displays. Opt. Express 25, </w:t>
      </w:r>
      <w:r>
        <w:rPr>
          <w:spacing w:val="-2"/>
        </w:rPr>
        <w:t>27008-27014.</w:t>
      </w:r>
    </w:p>
    <w:p w14:paraId="3389D4CC">
      <w:pPr>
        <w:pStyle w:val="9"/>
        <w:spacing w:before="120" w:after="120" w:line="360" w:lineRule="auto"/>
        <w:ind w:left="567" w:hanging="567"/>
        <w:rPr>
          <w:spacing w:val="-2"/>
        </w:rPr>
      </w:pPr>
      <w:r>
        <w:rPr>
          <w:spacing w:val="-2"/>
        </w:rPr>
        <w:t>Legris, P., Ingham, J., &amp; Collerette, P. (2003). Why do people use information technology? A critical review of the technology acceptance model. Information &amp; Management, 40(3), 191-204.</w:t>
      </w:r>
    </w:p>
    <w:p w14:paraId="23A0A003">
      <w:pPr>
        <w:pStyle w:val="9"/>
        <w:spacing w:before="120" w:after="120" w:line="360" w:lineRule="auto"/>
        <w:ind w:left="567" w:hanging="567"/>
      </w:pPr>
      <w:r>
        <w:t>Levine,</w:t>
      </w:r>
      <w:r>
        <w:rPr>
          <w:spacing w:val="-1"/>
        </w:rPr>
        <w:t xml:space="preserve"> </w:t>
      </w:r>
      <w:r>
        <w:t>R.J.,</w:t>
      </w:r>
      <w:r>
        <w:rPr>
          <w:spacing w:val="-4"/>
        </w:rPr>
        <w:t xml:space="preserve"> </w:t>
      </w:r>
      <w:r>
        <w:t>(1996).</w:t>
      </w:r>
      <w:r>
        <w:rPr>
          <w:spacing w:val="-2"/>
        </w:rPr>
        <w:t xml:space="preserve"> </w:t>
      </w:r>
      <w:r>
        <w:t>Quality</w:t>
      </w:r>
      <w:r>
        <w:rPr>
          <w:spacing w:val="-9"/>
        </w:rPr>
        <w:t xml:space="preserve"> </w:t>
      </w:r>
      <w:r>
        <w:t>of</w:t>
      </w:r>
      <w:r>
        <w:rPr>
          <w:spacing w:val="-2"/>
        </w:rPr>
        <w:t xml:space="preserve"> </w:t>
      </w:r>
      <w:r>
        <w:t>life</w:t>
      </w:r>
      <w:r>
        <w:rPr>
          <w:spacing w:val="-3"/>
        </w:rPr>
        <w:t xml:space="preserve"> </w:t>
      </w:r>
      <w:r>
        <w:t>assessments</w:t>
      </w:r>
      <w:r>
        <w:rPr>
          <w:spacing w:val="-1"/>
        </w:rPr>
        <w:t xml:space="preserve"> </w:t>
      </w:r>
      <w:r>
        <w:t>in</w:t>
      </w:r>
      <w:r>
        <w:rPr>
          <w:spacing w:val="-1"/>
        </w:rPr>
        <w:t xml:space="preserve"> </w:t>
      </w:r>
      <w:r>
        <w:t>clinical</w:t>
      </w:r>
      <w:r>
        <w:rPr>
          <w:spacing w:val="-1"/>
        </w:rPr>
        <w:t xml:space="preserve"> </w:t>
      </w:r>
      <w:r>
        <w:t>trials: an</w:t>
      </w:r>
      <w:r>
        <w:rPr>
          <w:spacing w:val="-1"/>
        </w:rPr>
        <w:t xml:space="preserve"> </w:t>
      </w:r>
      <w:r>
        <w:t>ethical</w:t>
      </w:r>
      <w:r>
        <w:rPr>
          <w:spacing w:val="-3"/>
        </w:rPr>
        <w:t xml:space="preserve"> </w:t>
      </w:r>
      <w:r>
        <w:t>perspective. In: Spilker B (editor). Quality of Life and Pharmacoeconomics in Clinical Trials. 2nd edition. Philedelphia, Lippincott-Raven Publishers 51:489-95.</w:t>
      </w:r>
    </w:p>
    <w:p w14:paraId="0CE99686">
      <w:pPr>
        <w:spacing w:before="120" w:after="120" w:line="360" w:lineRule="auto"/>
        <w:ind w:left="567" w:hanging="567"/>
        <w:jc w:val="both"/>
        <w:rPr>
          <w:sz w:val="24"/>
          <w:szCs w:val="24"/>
        </w:rPr>
      </w:pPr>
      <w:r>
        <w:rPr>
          <w:sz w:val="24"/>
          <w:szCs w:val="24"/>
        </w:rPr>
        <w:t>Li,</w:t>
      </w:r>
      <w:r>
        <w:rPr>
          <w:spacing w:val="-8"/>
          <w:sz w:val="24"/>
          <w:szCs w:val="24"/>
        </w:rPr>
        <w:t xml:space="preserve"> </w:t>
      </w:r>
      <w:r>
        <w:rPr>
          <w:sz w:val="24"/>
          <w:szCs w:val="24"/>
        </w:rPr>
        <w:t>L.,</w:t>
      </w:r>
      <w:r>
        <w:rPr>
          <w:spacing w:val="-10"/>
          <w:sz w:val="24"/>
          <w:szCs w:val="24"/>
        </w:rPr>
        <w:t xml:space="preserve"> </w:t>
      </w:r>
      <w:r>
        <w:rPr>
          <w:sz w:val="24"/>
          <w:szCs w:val="24"/>
        </w:rPr>
        <w:t>Yu,</w:t>
      </w:r>
      <w:r>
        <w:rPr>
          <w:spacing w:val="-10"/>
          <w:sz w:val="24"/>
          <w:szCs w:val="24"/>
        </w:rPr>
        <w:t xml:space="preserve"> </w:t>
      </w:r>
      <w:r>
        <w:rPr>
          <w:sz w:val="24"/>
          <w:szCs w:val="24"/>
        </w:rPr>
        <w:t>F.,</w:t>
      </w:r>
      <w:r>
        <w:rPr>
          <w:spacing w:val="-10"/>
          <w:sz w:val="24"/>
          <w:szCs w:val="24"/>
        </w:rPr>
        <w:t xml:space="preserve"> </w:t>
      </w:r>
      <w:r>
        <w:rPr>
          <w:sz w:val="24"/>
          <w:szCs w:val="24"/>
        </w:rPr>
        <w:t>Shi,</w:t>
      </w:r>
      <w:r>
        <w:rPr>
          <w:spacing w:val="-10"/>
          <w:sz w:val="24"/>
          <w:szCs w:val="24"/>
        </w:rPr>
        <w:t xml:space="preserve"> </w:t>
      </w:r>
      <w:r>
        <w:rPr>
          <w:sz w:val="24"/>
          <w:szCs w:val="24"/>
        </w:rPr>
        <w:t>D.,</w:t>
      </w:r>
      <w:r>
        <w:rPr>
          <w:spacing w:val="-13"/>
          <w:sz w:val="24"/>
          <w:szCs w:val="24"/>
        </w:rPr>
        <w:t xml:space="preserve"> </w:t>
      </w:r>
      <w:r>
        <w:rPr>
          <w:sz w:val="24"/>
          <w:szCs w:val="24"/>
        </w:rPr>
        <w:t>Shi,</w:t>
      </w:r>
      <w:r>
        <w:rPr>
          <w:spacing w:val="-12"/>
          <w:sz w:val="24"/>
          <w:szCs w:val="24"/>
        </w:rPr>
        <w:t xml:space="preserve"> </w:t>
      </w:r>
      <w:r>
        <w:rPr>
          <w:sz w:val="24"/>
          <w:szCs w:val="24"/>
        </w:rPr>
        <w:t>J.,</w:t>
      </w:r>
      <w:r>
        <w:rPr>
          <w:spacing w:val="-10"/>
          <w:sz w:val="24"/>
          <w:szCs w:val="24"/>
        </w:rPr>
        <w:t xml:space="preserve"> </w:t>
      </w:r>
      <w:r>
        <w:rPr>
          <w:sz w:val="24"/>
          <w:szCs w:val="24"/>
        </w:rPr>
        <w:t>Tian,</w:t>
      </w:r>
      <w:r>
        <w:rPr>
          <w:spacing w:val="-9"/>
          <w:sz w:val="24"/>
          <w:szCs w:val="24"/>
        </w:rPr>
        <w:t xml:space="preserve"> </w:t>
      </w:r>
      <w:r>
        <w:rPr>
          <w:sz w:val="24"/>
          <w:szCs w:val="24"/>
        </w:rPr>
        <w:t>Z.,</w:t>
      </w:r>
      <w:r>
        <w:rPr>
          <w:spacing w:val="-10"/>
          <w:sz w:val="24"/>
          <w:szCs w:val="24"/>
        </w:rPr>
        <w:t xml:space="preserve"> </w:t>
      </w:r>
      <w:r>
        <w:rPr>
          <w:sz w:val="24"/>
          <w:szCs w:val="24"/>
        </w:rPr>
        <w:t>Yang,</w:t>
      </w:r>
      <w:r>
        <w:rPr>
          <w:spacing w:val="-10"/>
          <w:sz w:val="24"/>
          <w:szCs w:val="24"/>
        </w:rPr>
        <w:t xml:space="preserve"> </w:t>
      </w:r>
      <w:r>
        <w:rPr>
          <w:sz w:val="24"/>
          <w:szCs w:val="24"/>
        </w:rPr>
        <w:t>J.,</w:t>
      </w:r>
      <w:r>
        <w:rPr>
          <w:spacing w:val="-10"/>
          <w:sz w:val="24"/>
          <w:szCs w:val="24"/>
        </w:rPr>
        <w:t xml:space="preserve"> </w:t>
      </w:r>
      <w:r>
        <w:rPr>
          <w:sz w:val="24"/>
          <w:szCs w:val="24"/>
        </w:rPr>
        <w:t>...</w:t>
      </w:r>
      <w:r>
        <w:rPr>
          <w:spacing w:val="-12"/>
          <w:sz w:val="24"/>
          <w:szCs w:val="24"/>
        </w:rPr>
        <w:t xml:space="preserve"> </w:t>
      </w:r>
      <w:r>
        <w:rPr>
          <w:sz w:val="24"/>
          <w:szCs w:val="24"/>
        </w:rPr>
        <w:t>&amp;</w:t>
      </w:r>
      <w:r>
        <w:rPr>
          <w:spacing w:val="-12"/>
          <w:sz w:val="24"/>
          <w:szCs w:val="24"/>
        </w:rPr>
        <w:t xml:space="preserve"> </w:t>
      </w:r>
      <w:r>
        <w:rPr>
          <w:sz w:val="24"/>
          <w:szCs w:val="24"/>
        </w:rPr>
        <w:t>Jiang,</w:t>
      </w:r>
      <w:r>
        <w:rPr>
          <w:spacing w:val="-10"/>
          <w:sz w:val="24"/>
          <w:szCs w:val="24"/>
        </w:rPr>
        <w:t xml:space="preserve"> </w:t>
      </w:r>
      <w:r>
        <w:rPr>
          <w:sz w:val="24"/>
          <w:szCs w:val="24"/>
        </w:rPr>
        <w:t>Q.</w:t>
      </w:r>
      <w:r>
        <w:rPr>
          <w:spacing w:val="-10"/>
          <w:sz w:val="24"/>
          <w:szCs w:val="24"/>
        </w:rPr>
        <w:t xml:space="preserve"> </w:t>
      </w:r>
      <w:r>
        <w:rPr>
          <w:sz w:val="24"/>
          <w:szCs w:val="24"/>
        </w:rPr>
        <w:t>(2017).</w:t>
      </w:r>
      <w:r>
        <w:rPr>
          <w:spacing w:val="-10"/>
          <w:sz w:val="24"/>
          <w:szCs w:val="24"/>
        </w:rPr>
        <w:t xml:space="preserve"> </w:t>
      </w:r>
      <w:r>
        <w:rPr>
          <w:sz w:val="24"/>
          <w:szCs w:val="24"/>
        </w:rPr>
        <w:t>Application</w:t>
      </w:r>
      <w:r>
        <w:rPr>
          <w:spacing w:val="-10"/>
          <w:sz w:val="24"/>
          <w:szCs w:val="24"/>
        </w:rPr>
        <w:t xml:space="preserve"> </w:t>
      </w:r>
      <w:r>
        <w:rPr>
          <w:sz w:val="24"/>
          <w:szCs w:val="24"/>
        </w:rPr>
        <w:t>of</w:t>
      </w:r>
      <w:r>
        <w:rPr>
          <w:spacing w:val="-10"/>
          <w:sz w:val="24"/>
          <w:szCs w:val="24"/>
        </w:rPr>
        <w:t xml:space="preserve"> </w:t>
      </w:r>
      <w:r>
        <w:rPr>
          <w:sz w:val="24"/>
          <w:szCs w:val="24"/>
        </w:rPr>
        <w:t>virtual reality</w:t>
      </w:r>
      <w:r>
        <w:rPr>
          <w:spacing w:val="40"/>
          <w:sz w:val="24"/>
          <w:szCs w:val="24"/>
        </w:rPr>
        <w:t xml:space="preserve"> </w:t>
      </w:r>
      <w:r>
        <w:rPr>
          <w:sz w:val="24"/>
          <w:szCs w:val="24"/>
        </w:rPr>
        <w:t>technology</w:t>
      </w:r>
      <w:r>
        <w:rPr>
          <w:spacing w:val="40"/>
          <w:sz w:val="24"/>
          <w:szCs w:val="24"/>
        </w:rPr>
        <w:t xml:space="preserve"> </w:t>
      </w:r>
      <w:r>
        <w:rPr>
          <w:sz w:val="24"/>
          <w:szCs w:val="24"/>
        </w:rPr>
        <w:t>in</w:t>
      </w:r>
      <w:r>
        <w:rPr>
          <w:spacing w:val="40"/>
          <w:sz w:val="24"/>
          <w:szCs w:val="24"/>
        </w:rPr>
        <w:t xml:space="preserve"> </w:t>
      </w:r>
      <w:r>
        <w:rPr>
          <w:sz w:val="24"/>
          <w:szCs w:val="24"/>
        </w:rPr>
        <w:t>clinical</w:t>
      </w:r>
      <w:r>
        <w:rPr>
          <w:spacing w:val="40"/>
          <w:sz w:val="24"/>
          <w:szCs w:val="24"/>
        </w:rPr>
        <w:t xml:space="preserve"> </w:t>
      </w:r>
      <w:r>
        <w:rPr>
          <w:sz w:val="24"/>
          <w:szCs w:val="24"/>
        </w:rPr>
        <w:t xml:space="preserve">medicine. </w:t>
      </w:r>
      <w:r>
        <w:rPr>
          <w:i/>
          <w:sz w:val="24"/>
          <w:szCs w:val="24"/>
        </w:rPr>
        <w:t>American</w:t>
      </w:r>
      <w:r>
        <w:rPr>
          <w:i/>
          <w:spacing w:val="40"/>
          <w:sz w:val="24"/>
          <w:szCs w:val="24"/>
        </w:rPr>
        <w:t xml:space="preserve"> </w:t>
      </w:r>
      <w:r>
        <w:rPr>
          <w:i/>
          <w:sz w:val="24"/>
          <w:szCs w:val="24"/>
        </w:rPr>
        <w:t>journal</w:t>
      </w:r>
      <w:r>
        <w:rPr>
          <w:i/>
          <w:spacing w:val="40"/>
          <w:sz w:val="24"/>
          <w:szCs w:val="24"/>
        </w:rPr>
        <w:t xml:space="preserve"> </w:t>
      </w:r>
      <w:r>
        <w:rPr>
          <w:i/>
          <w:sz w:val="24"/>
          <w:szCs w:val="24"/>
        </w:rPr>
        <w:t>of</w:t>
      </w:r>
      <w:r>
        <w:rPr>
          <w:i/>
          <w:spacing w:val="40"/>
          <w:sz w:val="24"/>
          <w:szCs w:val="24"/>
        </w:rPr>
        <w:t xml:space="preserve"> </w:t>
      </w:r>
      <w:r>
        <w:rPr>
          <w:i/>
          <w:sz w:val="24"/>
          <w:szCs w:val="24"/>
        </w:rPr>
        <w:t>translational research</w:t>
      </w:r>
      <w:r>
        <w:rPr>
          <w:sz w:val="24"/>
          <w:szCs w:val="24"/>
        </w:rPr>
        <w:t xml:space="preserve">, </w:t>
      </w:r>
      <w:r>
        <w:rPr>
          <w:i/>
          <w:sz w:val="24"/>
          <w:szCs w:val="24"/>
        </w:rPr>
        <w:t>9</w:t>
      </w:r>
      <w:r>
        <w:rPr>
          <w:sz w:val="24"/>
          <w:szCs w:val="24"/>
        </w:rPr>
        <w:t>(9), 3867.</w:t>
      </w:r>
    </w:p>
    <w:p w14:paraId="3007A399">
      <w:pPr>
        <w:pStyle w:val="9"/>
        <w:spacing w:before="120" w:after="120" w:line="360" w:lineRule="auto"/>
        <w:ind w:left="567" w:hanging="567"/>
      </w:pPr>
      <w:r>
        <w:t>Liang,</w:t>
      </w:r>
      <w:r>
        <w:rPr>
          <w:spacing w:val="-5"/>
        </w:rPr>
        <w:t xml:space="preserve"> </w:t>
      </w:r>
      <w:r>
        <w:t>Y.,</w:t>
      </w:r>
      <w:r>
        <w:rPr>
          <w:spacing w:val="-2"/>
        </w:rPr>
        <w:t xml:space="preserve"> </w:t>
      </w:r>
      <w:r>
        <w:t>&amp;</w:t>
      </w:r>
      <w:r>
        <w:rPr>
          <w:spacing w:val="-7"/>
        </w:rPr>
        <w:t xml:space="preserve"> </w:t>
      </w:r>
      <w:r>
        <w:t>Guo,</w:t>
      </w:r>
      <w:r>
        <w:rPr>
          <w:spacing w:val="-5"/>
        </w:rPr>
        <w:t xml:space="preserve"> </w:t>
      </w:r>
      <w:r>
        <w:t>M.</w:t>
      </w:r>
      <w:r>
        <w:rPr>
          <w:spacing w:val="-5"/>
        </w:rPr>
        <w:t xml:space="preserve"> </w:t>
      </w:r>
      <w:r>
        <w:t>(2015).</w:t>
      </w:r>
      <w:r>
        <w:rPr>
          <w:spacing w:val="-6"/>
        </w:rPr>
        <w:t xml:space="preserve"> </w:t>
      </w:r>
      <w:r>
        <w:t>Utilization</w:t>
      </w:r>
      <w:r>
        <w:rPr>
          <w:spacing w:val="-5"/>
        </w:rPr>
        <w:t xml:space="preserve"> </w:t>
      </w:r>
      <w:r>
        <w:t>of</w:t>
      </w:r>
      <w:r>
        <w:rPr>
          <w:spacing w:val="-6"/>
        </w:rPr>
        <w:t xml:space="preserve"> </w:t>
      </w:r>
      <w:r>
        <w:t>health</w:t>
      </w:r>
      <w:r>
        <w:rPr>
          <w:spacing w:val="-7"/>
        </w:rPr>
        <w:t xml:space="preserve"> </w:t>
      </w:r>
      <w:r>
        <w:t>services</w:t>
      </w:r>
      <w:r>
        <w:rPr>
          <w:spacing w:val="-5"/>
        </w:rPr>
        <w:t xml:space="preserve"> </w:t>
      </w:r>
      <w:r>
        <w:t>and</w:t>
      </w:r>
      <w:r>
        <w:rPr>
          <w:spacing w:val="-5"/>
        </w:rPr>
        <w:t xml:space="preserve"> </w:t>
      </w:r>
      <w:r>
        <w:t>health-related</w:t>
      </w:r>
      <w:r>
        <w:rPr>
          <w:spacing w:val="-5"/>
        </w:rPr>
        <w:t xml:space="preserve"> </w:t>
      </w:r>
      <w:r>
        <w:t>quality</w:t>
      </w:r>
      <w:r>
        <w:rPr>
          <w:spacing w:val="-12"/>
        </w:rPr>
        <w:t xml:space="preserve"> </w:t>
      </w:r>
      <w:r>
        <w:t>of</w:t>
      </w:r>
      <w:r>
        <w:rPr>
          <w:spacing w:val="-6"/>
        </w:rPr>
        <w:t xml:space="preserve"> </w:t>
      </w:r>
      <w:r>
        <w:t>life research of rural-to-urban migrants in China: a cross-sectional analysis. Social Indicators Research, 120, 277-295.</w:t>
      </w:r>
    </w:p>
    <w:p w14:paraId="3B43F634">
      <w:pPr>
        <w:spacing w:before="120" w:after="120" w:line="360" w:lineRule="auto"/>
        <w:ind w:left="567" w:hanging="567"/>
        <w:jc w:val="both"/>
        <w:rPr>
          <w:sz w:val="24"/>
          <w:szCs w:val="24"/>
        </w:rPr>
      </w:pPr>
      <w:r>
        <w:rPr>
          <w:sz w:val="24"/>
          <w:szCs w:val="24"/>
        </w:rPr>
        <w:t>Lokki,</w:t>
      </w:r>
      <w:r>
        <w:rPr>
          <w:spacing w:val="-3"/>
          <w:sz w:val="24"/>
          <w:szCs w:val="24"/>
        </w:rPr>
        <w:t xml:space="preserve"> </w:t>
      </w:r>
      <w:r>
        <w:rPr>
          <w:sz w:val="24"/>
          <w:szCs w:val="24"/>
        </w:rPr>
        <w:t>T., &amp;</w:t>
      </w:r>
      <w:r>
        <w:rPr>
          <w:spacing w:val="-5"/>
          <w:sz w:val="24"/>
          <w:szCs w:val="24"/>
        </w:rPr>
        <w:t xml:space="preserve"> </w:t>
      </w:r>
      <w:r>
        <w:rPr>
          <w:sz w:val="24"/>
          <w:szCs w:val="24"/>
        </w:rPr>
        <w:t>Grohn,</w:t>
      </w:r>
      <w:r>
        <w:rPr>
          <w:spacing w:val="-3"/>
          <w:sz w:val="24"/>
          <w:szCs w:val="24"/>
        </w:rPr>
        <w:t xml:space="preserve"> </w:t>
      </w:r>
      <w:r>
        <w:rPr>
          <w:sz w:val="24"/>
          <w:szCs w:val="24"/>
        </w:rPr>
        <w:t>M.</w:t>
      </w:r>
      <w:r>
        <w:rPr>
          <w:spacing w:val="-1"/>
          <w:sz w:val="24"/>
          <w:szCs w:val="24"/>
        </w:rPr>
        <w:t xml:space="preserve"> </w:t>
      </w:r>
      <w:r>
        <w:rPr>
          <w:sz w:val="24"/>
          <w:szCs w:val="24"/>
        </w:rPr>
        <w:t>(2005).</w:t>
      </w:r>
      <w:r>
        <w:rPr>
          <w:spacing w:val="-3"/>
          <w:sz w:val="24"/>
          <w:szCs w:val="24"/>
        </w:rPr>
        <w:t xml:space="preserve"> </w:t>
      </w:r>
      <w:r>
        <w:rPr>
          <w:sz w:val="24"/>
          <w:szCs w:val="24"/>
        </w:rPr>
        <w:t>Creating</w:t>
      </w:r>
      <w:r>
        <w:rPr>
          <w:spacing w:val="-6"/>
          <w:sz w:val="24"/>
          <w:szCs w:val="24"/>
        </w:rPr>
        <w:t xml:space="preserve"> </w:t>
      </w:r>
      <w:r>
        <w:rPr>
          <w:sz w:val="24"/>
          <w:szCs w:val="24"/>
        </w:rPr>
        <w:t>interactive</w:t>
      </w:r>
      <w:r>
        <w:rPr>
          <w:spacing w:val="-4"/>
          <w:sz w:val="24"/>
          <w:szCs w:val="24"/>
        </w:rPr>
        <w:t xml:space="preserve"> </w:t>
      </w:r>
      <w:r>
        <w:rPr>
          <w:sz w:val="24"/>
          <w:szCs w:val="24"/>
        </w:rPr>
        <w:t>virtual</w:t>
      </w:r>
      <w:r>
        <w:rPr>
          <w:spacing w:val="-1"/>
          <w:sz w:val="24"/>
          <w:szCs w:val="24"/>
        </w:rPr>
        <w:t xml:space="preserve"> </w:t>
      </w:r>
      <w:r>
        <w:rPr>
          <w:sz w:val="24"/>
          <w:szCs w:val="24"/>
        </w:rPr>
        <w:t>auditory</w:t>
      </w:r>
      <w:r>
        <w:rPr>
          <w:spacing w:val="-8"/>
          <w:sz w:val="24"/>
          <w:szCs w:val="24"/>
        </w:rPr>
        <w:t xml:space="preserve"> </w:t>
      </w:r>
      <w:r>
        <w:rPr>
          <w:sz w:val="24"/>
          <w:szCs w:val="24"/>
        </w:rPr>
        <w:t xml:space="preserve">environments. </w:t>
      </w:r>
      <w:r>
        <w:rPr>
          <w:i/>
          <w:sz w:val="24"/>
          <w:szCs w:val="24"/>
        </w:rPr>
        <w:t>Journal of the Audio Engineering Society</w:t>
      </w:r>
      <w:r>
        <w:rPr>
          <w:sz w:val="24"/>
          <w:szCs w:val="24"/>
        </w:rPr>
        <w:t>, 53(9), 883-900.</w:t>
      </w:r>
    </w:p>
    <w:p w14:paraId="4A91D466">
      <w:pPr>
        <w:spacing w:before="120" w:after="120" w:line="360" w:lineRule="auto"/>
        <w:ind w:left="567" w:hanging="567"/>
        <w:jc w:val="both"/>
        <w:rPr>
          <w:sz w:val="24"/>
          <w:szCs w:val="24"/>
        </w:rPr>
      </w:pPr>
      <w:r>
        <w:rPr>
          <w:sz w:val="24"/>
          <w:szCs w:val="24"/>
        </w:rPr>
        <w:t>Lombard,</w:t>
      </w:r>
      <w:r>
        <w:rPr>
          <w:spacing w:val="-8"/>
          <w:sz w:val="24"/>
          <w:szCs w:val="24"/>
        </w:rPr>
        <w:t xml:space="preserve"> </w:t>
      </w:r>
      <w:r>
        <w:rPr>
          <w:sz w:val="24"/>
          <w:szCs w:val="24"/>
        </w:rPr>
        <w:t>M.,</w:t>
      </w:r>
      <w:r>
        <w:rPr>
          <w:spacing w:val="-7"/>
          <w:sz w:val="24"/>
          <w:szCs w:val="24"/>
        </w:rPr>
        <w:t xml:space="preserve"> </w:t>
      </w:r>
      <w:r>
        <w:rPr>
          <w:sz w:val="24"/>
          <w:szCs w:val="24"/>
        </w:rPr>
        <w:t>&amp;</w:t>
      </w:r>
      <w:r>
        <w:rPr>
          <w:spacing w:val="-9"/>
          <w:sz w:val="24"/>
          <w:szCs w:val="24"/>
        </w:rPr>
        <w:t xml:space="preserve"> </w:t>
      </w:r>
      <w:r>
        <w:rPr>
          <w:sz w:val="24"/>
          <w:szCs w:val="24"/>
        </w:rPr>
        <w:t>Ditton,</w:t>
      </w:r>
      <w:r>
        <w:rPr>
          <w:spacing w:val="-5"/>
          <w:sz w:val="24"/>
          <w:szCs w:val="24"/>
        </w:rPr>
        <w:t xml:space="preserve"> </w:t>
      </w:r>
      <w:r>
        <w:rPr>
          <w:sz w:val="24"/>
          <w:szCs w:val="24"/>
        </w:rPr>
        <w:t>T.</w:t>
      </w:r>
      <w:r>
        <w:rPr>
          <w:spacing w:val="-8"/>
          <w:sz w:val="24"/>
          <w:szCs w:val="24"/>
        </w:rPr>
        <w:t xml:space="preserve"> </w:t>
      </w:r>
      <w:r>
        <w:rPr>
          <w:sz w:val="24"/>
          <w:szCs w:val="24"/>
        </w:rPr>
        <w:t>(1997).</w:t>
      </w:r>
      <w:r>
        <w:rPr>
          <w:spacing w:val="-8"/>
          <w:sz w:val="24"/>
          <w:szCs w:val="24"/>
        </w:rPr>
        <w:t xml:space="preserve"> </w:t>
      </w:r>
      <w:r>
        <w:rPr>
          <w:sz w:val="24"/>
          <w:szCs w:val="24"/>
        </w:rPr>
        <w:t>At</w:t>
      </w:r>
      <w:r>
        <w:rPr>
          <w:spacing w:val="-7"/>
          <w:sz w:val="24"/>
          <w:szCs w:val="24"/>
        </w:rPr>
        <w:t xml:space="preserve"> </w:t>
      </w:r>
      <w:r>
        <w:rPr>
          <w:sz w:val="24"/>
          <w:szCs w:val="24"/>
        </w:rPr>
        <w:t>the</w:t>
      </w:r>
      <w:r>
        <w:rPr>
          <w:spacing w:val="-8"/>
          <w:sz w:val="24"/>
          <w:szCs w:val="24"/>
        </w:rPr>
        <w:t xml:space="preserve"> </w:t>
      </w:r>
      <w:r>
        <w:rPr>
          <w:sz w:val="24"/>
          <w:szCs w:val="24"/>
        </w:rPr>
        <w:t>heart</w:t>
      </w:r>
      <w:r>
        <w:rPr>
          <w:spacing w:val="-8"/>
          <w:sz w:val="24"/>
          <w:szCs w:val="24"/>
        </w:rPr>
        <w:t xml:space="preserve"> </w:t>
      </w:r>
      <w:r>
        <w:rPr>
          <w:sz w:val="24"/>
          <w:szCs w:val="24"/>
        </w:rPr>
        <w:t>of</w:t>
      </w:r>
      <w:r>
        <w:rPr>
          <w:spacing w:val="-6"/>
          <w:sz w:val="24"/>
          <w:szCs w:val="24"/>
        </w:rPr>
        <w:t xml:space="preserve"> </w:t>
      </w:r>
      <w:r>
        <w:rPr>
          <w:sz w:val="24"/>
          <w:szCs w:val="24"/>
        </w:rPr>
        <w:t>it</w:t>
      </w:r>
      <w:r>
        <w:rPr>
          <w:spacing w:val="-7"/>
          <w:sz w:val="24"/>
          <w:szCs w:val="24"/>
        </w:rPr>
        <w:t xml:space="preserve"> </w:t>
      </w:r>
      <w:r>
        <w:rPr>
          <w:sz w:val="24"/>
          <w:szCs w:val="24"/>
        </w:rPr>
        <w:t>all:</w:t>
      </w:r>
      <w:r>
        <w:rPr>
          <w:spacing w:val="-7"/>
          <w:sz w:val="24"/>
          <w:szCs w:val="24"/>
        </w:rPr>
        <w:t xml:space="preserve"> </w:t>
      </w:r>
      <w:r>
        <w:rPr>
          <w:sz w:val="24"/>
          <w:szCs w:val="24"/>
        </w:rPr>
        <w:t>The</w:t>
      </w:r>
      <w:r>
        <w:rPr>
          <w:spacing w:val="-8"/>
          <w:sz w:val="24"/>
          <w:szCs w:val="24"/>
        </w:rPr>
        <w:t xml:space="preserve"> </w:t>
      </w:r>
      <w:r>
        <w:rPr>
          <w:sz w:val="24"/>
          <w:szCs w:val="24"/>
        </w:rPr>
        <w:t>concept</w:t>
      </w:r>
      <w:r>
        <w:rPr>
          <w:spacing w:val="-7"/>
          <w:sz w:val="24"/>
          <w:szCs w:val="24"/>
        </w:rPr>
        <w:t xml:space="preserve"> </w:t>
      </w:r>
      <w:r>
        <w:rPr>
          <w:sz w:val="24"/>
          <w:szCs w:val="24"/>
        </w:rPr>
        <w:t>of</w:t>
      </w:r>
      <w:r>
        <w:rPr>
          <w:spacing w:val="-8"/>
          <w:sz w:val="24"/>
          <w:szCs w:val="24"/>
        </w:rPr>
        <w:t xml:space="preserve"> </w:t>
      </w:r>
      <w:r>
        <w:rPr>
          <w:sz w:val="24"/>
          <w:szCs w:val="24"/>
        </w:rPr>
        <w:t>presence.</w:t>
      </w:r>
      <w:r>
        <w:rPr>
          <w:spacing w:val="-2"/>
          <w:sz w:val="24"/>
          <w:szCs w:val="24"/>
        </w:rPr>
        <w:t xml:space="preserve"> </w:t>
      </w:r>
      <w:r>
        <w:rPr>
          <w:i/>
          <w:sz w:val="24"/>
          <w:szCs w:val="24"/>
        </w:rPr>
        <w:t>Journal</w:t>
      </w:r>
      <w:r>
        <w:rPr>
          <w:i/>
          <w:spacing w:val="-7"/>
          <w:sz w:val="24"/>
          <w:szCs w:val="24"/>
        </w:rPr>
        <w:t xml:space="preserve"> </w:t>
      </w:r>
      <w:r>
        <w:rPr>
          <w:i/>
          <w:sz w:val="24"/>
          <w:szCs w:val="24"/>
        </w:rPr>
        <w:t>of Computer-Mediated Communication</w:t>
      </w:r>
      <w:r>
        <w:rPr>
          <w:sz w:val="24"/>
          <w:szCs w:val="24"/>
        </w:rPr>
        <w:t>, 3(2).</w:t>
      </w:r>
    </w:p>
    <w:p w14:paraId="0D52B7DF">
      <w:pPr>
        <w:pStyle w:val="9"/>
        <w:spacing w:before="120" w:after="120" w:line="360" w:lineRule="auto"/>
        <w:ind w:left="567" w:hanging="567"/>
      </w:pPr>
      <w:r>
        <w:t>Long,</w:t>
      </w:r>
      <w:r>
        <w:rPr>
          <w:spacing w:val="-1"/>
        </w:rPr>
        <w:t xml:space="preserve"> </w:t>
      </w:r>
      <w:r>
        <w:t>P.H., (1960). On</w:t>
      </w:r>
      <w:r>
        <w:rPr>
          <w:spacing w:val="-1"/>
        </w:rPr>
        <w:t xml:space="preserve"> </w:t>
      </w:r>
      <w:r>
        <w:t>the</w:t>
      </w:r>
      <w:r>
        <w:rPr>
          <w:spacing w:val="-1"/>
        </w:rPr>
        <w:t xml:space="preserve"> </w:t>
      </w:r>
      <w:r>
        <w:t>Quantity</w:t>
      </w:r>
      <w:r>
        <w:rPr>
          <w:spacing w:val="-3"/>
        </w:rPr>
        <w:t xml:space="preserve"> </w:t>
      </w:r>
      <w:r>
        <w:t>and</w:t>
      </w:r>
      <w:r>
        <w:rPr>
          <w:spacing w:val="-1"/>
        </w:rPr>
        <w:t xml:space="preserve"> </w:t>
      </w:r>
      <w:r>
        <w:t>Quality</w:t>
      </w:r>
      <w:r>
        <w:rPr>
          <w:spacing w:val="-3"/>
        </w:rPr>
        <w:t xml:space="preserve"> </w:t>
      </w:r>
      <w:r>
        <w:t>of</w:t>
      </w:r>
      <w:r>
        <w:rPr>
          <w:spacing w:val="1"/>
        </w:rPr>
        <w:t xml:space="preserve"> </w:t>
      </w:r>
      <w:r>
        <w:t>Life.</w:t>
      </w:r>
      <w:r>
        <w:rPr>
          <w:spacing w:val="-1"/>
        </w:rPr>
        <w:t xml:space="preserve"> </w:t>
      </w:r>
      <w:r>
        <w:t>Med Times, 88:613-</w:t>
      </w:r>
      <w:r>
        <w:rPr>
          <w:spacing w:val="-5"/>
        </w:rPr>
        <w:t>9.</w:t>
      </w:r>
    </w:p>
    <w:p w14:paraId="676D8AC4">
      <w:pPr>
        <w:pStyle w:val="9"/>
        <w:spacing w:before="120" w:after="120" w:line="360" w:lineRule="auto"/>
        <w:ind w:left="567" w:hanging="567"/>
      </w:pPr>
      <w:r>
        <w:t xml:space="preserve">Lowood, H. E. (2022). Virtual reality. Encyclopedia Britannica. </w:t>
      </w:r>
      <w:r>
        <w:rPr>
          <w:spacing w:val="-2"/>
        </w:rPr>
        <w:t>https:/</w:t>
      </w:r>
      <w:r>
        <w:fldChar w:fldCharType="begin"/>
      </w:r>
      <w:r>
        <w:instrText xml:space="preserve"> HYPERLINK "http://www.britannica.com/technology/virtual-reality" \h </w:instrText>
      </w:r>
      <w:r>
        <w:fldChar w:fldCharType="separate"/>
      </w:r>
      <w:r>
        <w:rPr>
          <w:spacing w:val="-2"/>
        </w:rPr>
        <w:t>/www.britannica.com/technolog</w:t>
      </w:r>
      <w:r>
        <w:rPr>
          <w:spacing w:val="-2"/>
        </w:rPr>
        <w:fldChar w:fldCharType="end"/>
      </w:r>
      <w:r>
        <w:rPr>
          <w:spacing w:val="-2"/>
        </w:rPr>
        <w:t>y</w:t>
      </w:r>
      <w:r>
        <w:fldChar w:fldCharType="begin"/>
      </w:r>
      <w:r>
        <w:instrText xml:space="preserve"> HYPERLINK "http://www.britannica.com/technology/virtual-reality" \h </w:instrText>
      </w:r>
      <w:r>
        <w:fldChar w:fldCharType="separate"/>
      </w:r>
      <w:r>
        <w:rPr>
          <w:spacing w:val="-2"/>
        </w:rPr>
        <w:t>/virtual-reality</w:t>
      </w:r>
      <w:r>
        <w:rPr>
          <w:spacing w:val="-2"/>
        </w:rPr>
        <w:fldChar w:fldCharType="end"/>
      </w:r>
    </w:p>
    <w:p w14:paraId="2E705E48">
      <w:pPr>
        <w:pStyle w:val="9"/>
        <w:spacing w:before="120" w:after="120" w:line="360" w:lineRule="auto"/>
        <w:ind w:left="567" w:hanging="567"/>
      </w:pPr>
      <w:r>
        <w:t>Luckerson,</w:t>
      </w:r>
      <w:r>
        <w:rPr>
          <w:spacing w:val="22"/>
        </w:rPr>
        <w:t xml:space="preserve"> </w:t>
      </w:r>
      <w:r>
        <w:t>V.</w:t>
      </w:r>
      <w:r>
        <w:rPr>
          <w:spacing w:val="20"/>
        </w:rPr>
        <w:t xml:space="preserve"> </w:t>
      </w:r>
      <w:r>
        <w:t>(2014).</w:t>
      </w:r>
      <w:r>
        <w:rPr>
          <w:spacing w:val="20"/>
        </w:rPr>
        <w:t xml:space="preserve"> </w:t>
      </w:r>
      <w:r>
        <w:t>Facebook</w:t>
      </w:r>
      <w:r>
        <w:rPr>
          <w:spacing w:val="22"/>
        </w:rPr>
        <w:t xml:space="preserve"> </w:t>
      </w:r>
      <w:r>
        <w:t>Buying</w:t>
      </w:r>
      <w:r>
        <w:rPr>
          <w:spacing w:val="21"/>
        </w:rPr>
        <w:t xml:space="preserve"> </w:t>
      </w:r>
      <w:r>
        <w:t>Oculus</w:t>
      </w:r>
      <w:r>
        <w:rPr>
          <w:spacing w:val="24"/>
        </w:rPr>
        <w:t xml:space="preserve"> </w:t>
      </w:r>
      <w:r>
        <w:t>Virtual-Reality</w:t>
      </w:r>
      <w:r>
        <w:rPr>
          <w:spacing w:val="15"/>
        </w:rPr>
        <w:t xml:space="preserve"> </w:t>
      </w:r>
      <w:r>
        <w:t>Company</w:t>
      </w:r>
      <w:r>
        <w:rPr>
          <w:spacing w:val="18"/>
        </w:rPr>
        <w:t xml:space="preserve"> </w:t>
      </w:r>
      <w:r>
        <w:t>for</w:t>
      </w:r>
      <w:r>
        <w:rPr>
          <w:spacing w:val="20"/>
        </w:rPr>
        <w:t xml:space="preserve"> </w:t>
      </w:r>
      <w:r>
        <w:t>$2</w:t>
      </w:r>
      <w:r>
        <w:rPr>
          <w:spacing w:val="23"/>
        </w:rPr>
        <w:t xml:space="preserve"> </w:t>
      </w:r>
      <w:r>
        <w:rPr>
          <w:spacing w:val="-2"/>
        </w:rPr>
        <w:t>Billion.</w:t>
      </w:r>
    </w:p>
    <w:p w14:paraId="21DDA35C">
      <w:pPr>
        <w:pStyle w:val="9"/>
        <w:spacing w:before="120" w:after="120" w:line="360" w:lineRule="auto"/>
        <w:ind w:left="567" w:hanging="567"/>
      </w:pPr>
      <w:r>
        <w:t>Mannıng, R. E. ve Valliere, WA., (2001). Coping in Outdoor Recreation: Causes and Consequences of Crowding and Conflict Among Community</w:t>
      </w:r>
      <w:r>
        <w:rPr>
          <w:spacing w:val="-1"/>
        </w:rPr>
        <w:t xml:space="preserve"> </w:t>
      </w:r>
      <w:r>
        <w:t>Residents. Journal of Leisure Research,, C. 33, S. 4, s. 410-426.</w:t>
      </w:r>
    </w:p>
    <w:p w14:paraId="4DFBBCFA">
      <w:pPr>
        <w:pStyle w:val="9"/>
        <w:spacing w:before="120" w:after="120" w:line="360" w:lineRule="auto"/>
        <w:ind w:left="567" w:hanging="567"/>
      </w:pPr>
      <w:r>
        <w:t>Mansuroğlu,</w:t>
      </w:r>
      <w:r>
        <w:rPr>
          <w:spacing w:val="-7"/>
        </w:rPr>
        <w:t xml:space="preserve"> </w:t>
      </w:r>
      <w:r>
        <w:t>S.</w:t>
      </w:r>
      <w:r>
        <w:rPr>
          <w:spacing w:val="-8"/>
        </w:rPr>
        <w:t xml:space="preserve"> </w:t>
      </w:r>
      <w:r>
        <w:t>(2002).</w:t>
      </w:r>
      <w:r>
        <w:rPr>
          <w:spacing w:val="-9"/>
        </w:rPr>
        <w:t xml:space="preserve"> </w:t>
      </w:r>
      <w:r>
        <w:t>“Akdeniz</w:t>
      </w:r>
      <w:r>
        <w:rPr>
          <w:spacing w:val="-6"/>
        </w:rPr>
        <w:t xml:space="preserve"> </w:t>
      </w:r>
      <w:r>
        <w:t>Üniversitesi</w:t>
      </w:r>
      <w:r>
        <w:rPr>
          <w:spacing w:val="-8"/>
        </w:rPr>
        <w:t xml:space="preserve"> </w:t>
      </w:r>
      <w:r>
        <w:t>Öğrencilerinin</w:t>
      </w:r>
      <w:r>
        <w:rPr>
          <w:spacing w:val="-8"/>
        </w:rPr>
        <w:t xml:space="preserve"> </w:t>
      </w:r>
      <w:r>
        <w:t>Serbest</w:t>
      </w:r>
      <w:r>
        <w:rPr>
          <w:spacing w:val="-7"/>
        </w:rPr>
        <w:t xml:space="preserve"> </w:t>
      </w:r>
      <w:r>
        <w:t>Zaman</w:t>
      </w:r>
      <w:r>
        <w:rPr>
          <w:spacing w:val="40"/>
        </w:rPr>
        <w:t xml:space="preserve"> </w:t>
      </w:r>
      <w:r>
        <w:t>Özellikleri</w:t>
      </w:r>
      <w:r>
        <w:rPr>
          <w:spacing w:val="-8"/>
        </w:rPr>
        <w:t xml:space="preserve"> </w:t>
      </w:r>
      <w:r>
        <w:t>ve Dış</w:t>
      </w:r>
      <w:r>
        <w:rPr>
          <w:spacing w:val="-4"/>
        </w:rPr>
        <w:t xml:space="preserve"> </w:t>
      </w:r>
      <w:r>
        <w:t>Mekân</w:t>
      </w:r>
      <w:r>
        <w:rPr>
          <w:spacing w:val="-4"/>
        </w:rPr>
        <w:t xml:space="preserve"> </w:t>
      </w:r>
      <w:r>
        <w:t>Rekreasyon</w:t>
      </w:r>
      <w:r>
        <w:rPr>
          <w:spacing w:val="-2"/>
        </w:rPr>
        <w:t xml:space="preserve"> </w:t>
      </w:r>
      <w:r>
        <w:t>Eğilimlerinin</w:t>
      </w:r>
      <w:r>
        <w:rPr>
          <w:spacing w:val="-4"/>
        </w:rPr>
        <w:t xml:space="preserve"> </w:t>
      </w:r>
      <w:r>
        <w:t>Belirlenmesi”,</w:t>
      </w:r>
      <w:r>
        <w:rPr>
          <w:spacing w:val="-4"/>
        </w:rPr>
        <w:t xml:space="preserve"> </w:t>
      </w:r>
      <w:r>
        <w:t>Akdeniz</w:t>
      </w:r>
      <w:r>
        <w:rPr>
          <w:spacing w:val="-3"/>
        </w:rPr>
        <w:t xml:space="preserve"> </w:t>
      </w:r>
      <w:r>
        <w:t>Üniversitesi</w:t>
      </w:r>
      <w:r>
        <w:rPr>
          <w:spacing w:val="-4"/>
        </w:rPr>
        <w:t xml:space="preserve"> </w:t>
      </w:r>
      <w:r>
        <w:t>Ziraat Fakültesi Dergisi, 15(2), 53-62.</w:t>
      </w:r>
    </w:p>
    <w:p w14:paraId="1E99D6F7">
      <w:pPr>
        <w:pStyle w:val="9"/>
        <w:spacing w:before="120" w:after="120" w:line="360" w:lineRule="auto"/>
        <w:ind w:left="567" w:hanging="567"/>
      </w:pPr>
      <w:r>
        <w:t>Mazuryk, T. Ve Gervautz, M.: 1996. Virtual Reality: History, Applications, Technology And Future (Technical Report, Tr-186-2-96-06), Technical University Of Vienna, Institute Of Computer Graphics.</w:t>
      </w:r>
    </w:p>
    <w:p w14:paraId="7964B719">
      <w:pPr>
        <w:pStyle w:val="9"/>
        <w:spacing w:before="120" w:after="120" w:line="360" w:lineRule="auto"/>
        <w:ind w:left="567" w:hanging="567"/>
      </w:pPr>
      <w:r>
        <w:t>McGrath,</w:t>
      </w:r>
      <w:r>
        <w:rPr>
          <w:spacing w:val="-13"/>
        </w:rPr>
        <w:t xml:space="preserve"> </w:t>
      </w:r>
      <w:r>
        <w:t>E.</w:t>
      </w:r>
      <w:r>
        <w:rPr>
          <w:spacing w:val="-11"/>
        </w:rPr>
        <w:t xml:space="preserve"> </w:t>
      </w:r>
      <w:r>
        <w:t>(1994).</w:t>
      </w:r>
      <w:r>
        <w:rPr>
          <w:spacing w:val="-12"/>
        </w:rPr>
        <w:t xml:space="preserve"> </w:t>
      </w:r>
      <w:r>
        <w:t>Team</w:t>
      </w:r>
      <w:r>
        <w:rPr>
          <w:spacing w:val="-13"/>
        </w:rPr>
        <w:t xml:space="preserve"> </w:t>
      </w:r>
      <w:r>
        <w:t>training</w:t>
      </w:r>
      <w:r>
        <w:rPr>
          <w:spacing w:val="-13"/>
        </w:rPr>
        <w:t xml:space="preserve"> </w:t>
      </w:r>
      <w:r>
        <w:t>at</w:t>
      </w:r>
      <w:r>
        <w:rPr>
          <w:spacing w:val="-13"/>
        </w:rPr>
        <w:t xml:space="preserve"> </w:t>
      </w:r>
      <w:r>
        <w:t>Virtual</w:t>
      </w:r>
      <w:r>
        <w:rPr>
          <w:spacing w:val="-10"/>
        </w:rPr>
        <w:t xml:space="preserve"> </w:t>
      </w:r>
      <w:r>
        <w:t>Worlds</w:t>
      </w:r>
      <w:r>
        <w:rPr>
          <w:spacing w:val="-13"/>
        </w:rPr>
        <w:t xml:space="preserve"> </w:t>
      </w:r>
      <w:r>
        <w:t>Center.</w:t>
      </w:r>
      <w:r>
        <w:rPr>
          <w:spacing w:val="-13"/>
        </w:rPr>
        <w:t xml:space="preserve"> </w:t>
      </w:r>
      <w:r>
        <w:t>Paper</w:t>
      </w:r>
      <w:r>
        <w:rPr>
          <w:spacing w:val="-14"/>
        </w:rPr>
        <w:t xml:space="preserve"> </w:t>
      </w:r>
      <w:r>
        <w:t>presented</w:t>
      </w:r>
      <w:r>
        <w:rPr>
          <w:spacing w:val="-13"/>
        </w:rPr>
        <w:t xml:space="preserve"> </w:t>
      </w:r>
      <w:r>
        <w:t>at</w:t>
      </w:r>
      <w:r>
        <w:rPr>
          <w:spacing w:val="-13"/>
        </w:rPr>
        <w:t xml:space="preserve"> </w:t>
      </w:r>
      <w:r>
        <w:t>the</w:t>
      </w:r>
      <w:r>
        <w:rPr>
          <w:spacing w:val="-11"/>
        </w:rPr>
        <w:t xml:space="preserve"> </w:t>
      </w:r>
      <w:r>
        <w:t>Meckler Virtual Reality '94 Conference. San Jose, California.</w:t>
      </w:r>
    </w:p>
    <w:p w14:paraId="21358358">
      <w:pPr>
        <w:pStyle w:val="9"/>
        <w:spacing w:before="120" w:after="120" w:line="360" w:lineRule="auto"/>
        <w:ind w:left="567" w:hanging="567"/>
      </w:pPr>
      <w:r>
        <w:t>Mclean,</w:t>
      </w:r>
      <w:r>
        <w:rPr>
          <w:spacing w:val="40"/>
        </w:rPr>
        <w:t xml:space="preserve"> </w:t>
      </w:r>
      <w:r>
        <w:t>D.D.,</w:t>
      </w:r>
      <w:r>
        <w:rPr>
          <w:spacing w:val="40"/>
        </w:rPr>
        <w:t xml:space="preserve"> </w:t>
      </w:r>
      <w:r>
        <w:t>Hurd,</w:t>
      </w:r>
      <w:r>
        <w:rPr>
          <w:spacing w:val="40"/>
        </w:rPr>
        <w:t xml:space="preserve"> </w:t>
      </w:r>
      <w:r>
        <w:t>A.R.</w:t>
      </w:r>
      <w:r>
        <w:rPr>
          <w:spacing w:val="40"/>
        </w:rPr>
        <w:t xml:space="preserve"> </w:t>
      </w:r>
      <w:r>
        <w:t>ve</w:t>
      </w:r>
      <w:r>
        <w:rPr>
          <w:spacing w:val="40"/>
        </w:rPr>
        <w:t xml:space="preserve"> </w:t>
      </w:r>
      <w:r>
        <w:t>Rogers,</w:t>
      </w:r>
      <w:r>
        <w:rPr>
          <w:spacing w:val="40"/>
        </w:rPr>
        <w:t xml:space="preserve"> </w:t>
      </w:r>
      <w:r>
        <w:t>N.B.</w:t>
      </w:r>
      <w:r>
        <w:rPr>
          <w:spacing w:val="40"/>
        </w:rPr>
        <w:t xml:space="preserve"> </w:t>
      </w:r>
      <w:r>
        <w:t>(2005).</w:t>
      </w:r>
      <w:r>
        <w:rPr>
          <w:spacing w:val="40"/>
        </w:rPr>
        <w:t xml:space="preserve"> </w:t>
      </w:r>
      <w:r>
        <w:t>Recreation</w:t>
      </w:r>
      <w:r>
        <w:rPr>
          <w:spacing w:val="40"/>
        </w:rPr>
        <w:t xml:space="preserve"> </w:t>
      </w:r>
      <w:r>
        <w:t>and</w:t>
      </w:r>
      <w:r>
        <w:rPr>
          <w:spacing w:val="40"/>
        </w:rPr>
        <w:t xml:space="preserve"> </w:t>
      </w:r>
      <w:r>
        <w:t>Leisure</w:t>
      </w:r>
      <w:r>
        <w:rPr>
          <w:spacing w:val="40"/>
        </w:rPr>
        <w:t xml:space="preserve"> </w:t>
      </w:r>
      <w:r>
        <w:t>in</w:t>
      </w:r>
      <w:r>
        <w:rPr>
          <w:spacing w:val="40"/>
        </w:rPr>
        <w:t xml:space="preserve"> </w:t>
      </w:r>
      <w:r>
        <w:t>Modern Society, USA: Johns and Bartlett Publishers.</w:t>
      </w:r>
    </w:p>
    <w:p w14:paraId="19CCD604">
      <w:pPr>
        <w:pStyle w:val="9"/>
        <w:spacing w:before="120" w:after="120" w:line="360" w:lineRule="auto"/>
        <w:ind w:left="567" w:hanging="567"/>
      </w:pPr>
      <w:r>
        <w:t>McLellan,</w:t>
      </w:r>
      <w:r>
        <w:rPr>
          <w:spacing w:val="-9"/>
        </w:rPr>
        <w:t xml:space="preserve"> </w:t>
      </w:r>
      <w:r>
        <w:t>H.</w:t>
      </w:r>
      <w:r>
        <w:rPr>
          <w:spacing w:val="-7"/>
        </w:rPr>
        <w:t xml:space="preserve"> </w:t>
      </w:r>
      <w:r>
        <w:t>(1991).</w:t>
      </w:r>
      <w:r>
        <w:rPr>
          <w:spacing w:val="-8"/>
        </w:rPr>
        <w:t xml:space="preserve"> </w:t>
      </w:r>
      <w:r>
        <w:t>Virtual</w:t>
      </w:r>
      <w:r>
        <w:rPr>
          <w:spacing w:val="-9"/>
        </w:rPr>
        <w:t xml:space="preserve"> </w:t>
      </w:r>
      <w:r>
        <w:t>environments</w:t>
      </w:r>
      <w:r>
        <w:rPr>
          <w:spacing w:val="-9"/>
        </w:rPr>
        <w:t xml:space="preserve"> </w:t>
      </w:r>
      <w:r>
        <w:t>and</w:t>
      </w:r>
      <w:r>
        <w:rPr>
          <w:spacing w:val="-9"/>
        </w:rPr>
        <w:t xml:space="preserve"> </w:t>
      </w:r>
      <w:r>
        <w:t>situated</w:t>
      </w:r>
      <w:r>
        <w:rPr>
          <w:spacing w:val="-10"/>
        </w:rPr>
        <w:t xml:space="preserve"> </w:t>
      </w:r>
      <w:r>
        <w:t>learning.</w:t>
      </w:r>
      <w:r>
        <w:rPr>
          <w:spacing w:val="-7"/>
        </w:rPr>
        <w:t xml:space="preserve"> </w:t>
      </w:r>
      <w:r>
        <w:t>Multimedia</w:t>
      </w:r>
      <w:r>
        <w:rPr>
          <w:spacing w:val="-10"/>
        </w:rPr>
        <w:t xml:space="preserve"> </w:t>
      </w:r>
      <w:r>
        <w:t>Review.</w:t>
      </w:r>
      <w:r>
        <w:rPr>
          <w:spacing w:val="-9"/>
        </w:rPr>
        <w:t xml:space="preserve"> </w:t>
      </w:r>
      <w:r>
        <w:t xml:space="preserve">2(3), </w:t>
      </w:r>
      <w:r>
        <w:rPr>
          <w:spacing w:val="-2"/>
        </w:rPr>
        <w:t>25-37.</w:t>
      </w:r>
    </w:p>
    <w:p w14:paraId="59F0FEC1">
      <w:pPr>
        <w:spacing w:before="120" w:after="120" w:line="360" w:lineRule="auto"/>
        <w:ind w:left="567" w:hanging="567"/>
        <w:jc w:val="both"/>
        <w:rPr>
          <w:sz w:val="24"/>
          <w:szCs w:val="24"/>
        </w:rPr>
      </w:pPr>
      <w:r>
        <w:rPr>
          <w:color w:val="212121"/>
          <w:sz w:val="24"/>
          <w:szCs w:val="24"/>
        </w:rPr>
        <w:t>McLellan,</w:t>
      </w:r>
      <w:r>
        <w:rPr>
          <w:color w:val="212121"/>
          <w:spacing w:val="40"/>
          <w:sz w:val="24"/>
          <w:szCs w:val="24"/>
        </w:rPr>
        <w:t xml:space="preserve"> </w:t>
      </w:r>
      <w:r>
        <w:rPr>
          <w:color w:val="212121"/>
          <w:sz w:val="24"/>
          <w:szCs w:val="24"/>
        </w:rPr>
        <w:t>H.</w:t>
      </w:r>
      <w:r>
        <w:rPr>
          <w:color w:val="212121"/>
          <w:spacing w:val="40"/>
          <w:sz w:val="24"/>
          <w:szCs w:val="24"/>
        </w:rPr>
        <w:t xml:space="preserve"> </w:t>
      </w:r>
      <w:r>
        <w:rPr>
          <w:color w:val="212121"/>
          <w:sz w:val="24"/>
          <w:szCs w:val="24"/>
        </w:rPr>
        <w:t>(1994).</w:t>
      </w:r>
      <w:r>
        <w:rPr>
          <w:color w:val="212121"/>
          <w:spacing w:val="40"/>
          <w:sz w:val="24"/>
          <w:szCs w:val="24"/>
        </w:rPr>
        <w:t xml:space="preserve"> </w:t>
      </w:r>
      <w:r>
        <w:rPr>
          <w:color w:val="212121"/>
          <w:sz w:val="24"/>
          <w:szCs w:val="24"/>
        </w:rPr>
        <w:t>Virtual</w:t>
      </w:r>
      <w:r>
        <w:rPr>
          <w:color w:val="212121"/>
          <w:spacing w:val="40"/>
          <w:sz w:val="24"/>
          <w:szCs w:val="24"/>
        </w:rPr>
        <w:t xml:space="preserve"> </w:t>
      </w:r>
      <w:r>
        <w:rPr>
          <w:color w:val="212121"/>
          <w:sz w:val="24"/>
          <w:szCs w:val="24"/>
        </w:rPr>
        <w:t>reality</w:t>
      </w:r>
      <w:r>
        <w:rPr>
          <w:color w:val="212121"/>
          <w:spacing w:val="40"/>
          <w:sz w:val="24"/>
          <w:szCs w:val="24"/>
        </w:rPr>
        <w:t xml:space="preserve"> </w:t>
      </w:r>
      <w:r>
        <w:rPr>
          <w:color w:val="212121"/>
          <w:sz w:val="24"/>
          <w:szCs w:val="24"/>
        </w:rPr>
        <w:t>and</w:t>
      </w:r>
      <w:r>
        <w:rPr>
          <w:color w:val="212121"/>
          <w:spacing w:val="40"/>
          <w:sz w:val="24"/>
          <w:szCs w:val="24"/>
        </w:rPr>
        <w:t xml:space="preserve"> </w:t>
      </w:r>
      <w:r>
        <w:rPr>
          <w:color w:val="212121"/>
          <w:sz w:val="24"/>
          <w:szCs w:val="24"/>
        </w:rPr>
        <w:t>multiple</w:t>
      </w:r>
      <w:r>
        <w:rPr>
          <w:color w:val="212121"/>
          <w:spacing w:val="40"/>
          <w:sz w:val="24"/>
          <w:szCs w:val="24"/>
        </w:rPr>
        <w:t xml:space="preserve"> </w:t>
      </w:r>
      <w:r>
        <w:rPr>
          <w:color w:val="212121"/>
          <w:sz w:val="24"/>
          <w:szCs w:val="24"/>
        </w:rPr>
        <w:t>intelligences:</w:t>
      </w:r>
      <w:r>
        <w:rPr>
          <w:color w:val="212121"/>
          <w:spacing w:val="40"/>
          <w:sz w:val="24"/>
          <w:szCs w:val="24"/>
        </w:rPr>
        <w:t xml:space="preserve"> </w:t>
      </w:r>
      <w:r>
        <w:rPr>
          <w:color w:val="212121"/>
          <w:sz w:val="24"/>
          <w:szCs w:val="24"/>
        </w:rPr>
        <w:t>Potentials</w:t>
      </w:r>
      <w:r>
        <w:rPr>
          <w:color w:val="212121"/>
          <w:spacing w:val="40"/>
          <w:sz w:val="24"/>
          <w:szCs w:val="24"/>
        </w:rPr>
        <w:t xml:space="preserve"> </w:t>
      </w:r>
      <w:r>
        <w:rPr>
          <w:color w:val="212121"/>
          <w:sz w:val="24"/>
          <w:szCs w:val="24"/>
        </w:rPr>
        <w:t>for</w:t>
      </w:r>
      <w:r>
        <w:rPr>
          <w:color w:val="212121"/>
          <w:spacing w:val="40"/>
          <w:sz w:val="24"/>
          <w:szCs w:val="24"/>
        </w:rPr>
        <w:t xml:space="preserve"> </w:t>
      </w:r>
      <w:r>
        <w:rPr>
          <w:color w:val="212121"/>
          <w:sz w:val="24"/>
          <w:szCs w:val="24"/>
        </w:rPr>
        <w:t xml:space="preserve">higher education. </w:t>
      </w:r>
      <w:r>
        <w:rPr>
          <w:i/>
          <w:color w:val="212121"/>
          <w:sz w:val="24"/>
          <w:szCs w:val="24"/>
        </w:rPr>
        <w:t>Journal of Computing in Higher Education</w:t>
      </w:r>
      <w:r>
        <w:rPr>
          <w:color w:val="212121"/>
          <w:sz w:val="24"/>
          <w:szCs w:val="24"/>
        </w:rPr>
        <w:t xml:space="preserve">, </w:t>
      </w:r>
      <w:r>
        <w:rPr>
          <w:i/>
          <w:color w:val="212121"/>
          <w:sz w:val="24"/>
          <w:szCs w:val="24"/>
        </w:rPr>
        <w:t>5</w:t>
      </w:r>
      <w:r>
        <w:rPr>
          <w:color w:val="212121"/>
          <w:sz w:val="24"/>
          <w:szCs w:val="24"/>
        </w:rPr>
        <w:t>, 33-66.</w:t>
      </w:r>
    </w:p>
    <w:p w14:paraId="391EC8C3">
      <w:pPr>
        <w:pStyle w:val="9"/>
        <w:spacing w:before="120" w:after="120" w:line="360" w:lineRule="auto"/>
        <w:ind w:left="567" w:hanging="567"/>
      </w:pPr>
      <w:r>
        <w:t xml:space="preserve">Meehan, M., Insko, B., Whitton, M., &amp; Brooks Jr, F. P. (2002). Physiological measures of presence in stressful virtual environments. </w:t>
      </w:r>
      <w:r>
        <w:rPr>
          <w:i/>
        </w:rPr>
        <w:t>ACM Transactions on Graphics</w:t>
      </w:r>
      <w:r>
        <w:t xml:space="preserve">, 21(3), </w:t>
      </w:r>
      <w:r>
        <w:rPr>
          <w:spacing w:val="-2"/>
        </w:rPr>
        <w:t>645-652.</w:t>
      </w:r>
    </w:p>
    <w:p w14:paraId="057B4091">
      <w:pPr>
        <w:pStyle w:val="9"/>
        <w:spacing w:before="120" w:after="120" w:line="360" w:lineRule="auto"/>
        <w:ind w:left="567" w:hanging="567"/>
      </w:pPr>
      <w:r>
        <w:t xml:space="preserve">Meldrum, D., Glennon, A., Herdman, S., Murray, D., and McConn-Walsh, R. (2012). </w:t>
      </w:r>
      <w:r>
        <w:rPr>
          <w:spacing w:val="-2"/>
        </w:rPr>
        <w:t>Virtual reality</w:t>
      </w:r>
      <w:r>
        <w:rPr>
          <w:spacing w:val="-10"/>
        </w:rPr>
        <w:t xml:space="preserve"> </w:t>
      </w:r>
      <w:r>
        <w:rPr>
          <w:spacing w:val="-2"/>
        </w:rPr>
        <w:t>rehabilitation</w:t>
      </w:r>
      <w:r>
        <w:rPr>
          <w:spacing w:val="-3"/>
        </w:rPr>
        <w:t xml:space="preserve"> </w:t>
      </w:r>
      <w:r>
        <w:rPr>
          <w:spacing w:val="-2"/>
        </w:rPr>
        <w:t>of</w:t>
      </w:r>
      <w:r>
        <w:rPr>
          <w:spacing w:val="-5"/>
        </w:rPr>
        <w:t xml:space="preserve"> </w:t>
      </w:r>
      <w:r>
        <w:rPr>
          <w:spacing w:val="-2"/>
        </w:rPr>
        <w:t>balance: assessment of</w:t>
      </w:r>
      <w:r>
        <w:rPr>
          <w:spacing w:val="-5"/>
        </w:rPr>
        <w:t xml:space="preserve"> </w:t>
      </w:r>
      <w:r>
        <w:rPr>
          <w:spacing w:val="-2"/>
        </w:rPr>
        <w:t>the</w:t>
      </w:r>
      <w:r>
        <w:rPr>
          <w:spacing w:val="-3"/>
        </w:rPr>
        <w:t xml:space="preserve"> </w:t>
      </w:r>
      <w:r>
        <w:rPr>
          <w:spacing w:val="-2"/>
        </w:rPr>
        <w:t>usability</w:t>
      </w:r>
      <w:r>
        <w:rPr>
          <w:spacing w:val="-12"/>
        </w:rPr>
        <w:t xml:space="preserve"> </w:t>
      </w:r>
      <w:r>
        <w:rPr>
          <w:spacing w:val="-2"/>
        </w:rPr>
        <w:t>of</w:t>
      </w:r>
      <w:r>
        <w:rPr>
          <w:spacing w:val="-5"/>
        </w:rPr>
        <w:t xml:space="preserve"> </w:t>
      </w:r>
      <w:r>
        <w:rPr>
          <w:spacing w:val="-2"/>
        </w:rPr>
        <w:t>the</w:t>
      </w:r>
      <w:r>
        <w:rPr>
          <w:spacing w:val="-3"/>
        </w:rPr>
        <w:t xml:space="preserve"> </w:t>
      </w:r>
      <w:r>
        <w:rPr>
          <w:spacing w:val="-2"/>
        </w:rPr>
        <w:t xml:space="preserve">nintendo </w:t>
      </w:r>
      <w:r>
        <w:t>Wii® fit plus. Disabil. Rehabil. 7, 205–210.</w:t>
      </w:r>
    </w:p>
    <w:p w14:paraId="21456BF7">
      <w:pPr>
        <w:pStyle w:val="9"/>
        <w:spacing w:before="120" w:after="120" w:line="360" w:lineRule="auto"/>
        <w:ind w:left="567" w:hanging="567"/>
      </w:pPr>
      <w:r>
        <w:t>Memik,</w:t>
      </w:r>
      <w:r>
        <w:rPr>
          <w:spacing w:val="-4"/>
        </w:rPr>
        <w:t xml:space="preserve"> </w:t>
      </w:r>
      <w:r>
        <w:t>N.</w:t>
      </w:r>
      <w:r>
        <w:rPr>
          <w:spacing w:val="-4"/>
        </w:rPr>
        <w:t xml:space="preserve"> </w:t>
      </w:r>
      <w:r>
        <w:t>Ç.,</w:t>
      </w:r>
      <w:r>
        <w:rPr>
          <w:spacing w:val="-4"/>
        </w:rPr>
        <w:t xml:space="preserve"> </w:t>
      </w:r>
      <w:r>
        <w:t>Ağaoğlu,</w:t>
      </w:r>
      <w:r>
        <w:rPr>
          <w:spacing w:val="-2"/>
        </w:rPr>
        <w:t xml:space="preserve"> </w:t>
      </w:r>
      <w:r>
        <w:t>B.,</w:t>
      </w:r>
      <w:r>
        <w:rPr>
          <w:spacing w:val="-4"/>
        </w:rPr>
        <w:t xml:space="preserve"> </w:t>
      </w:r>
      <w:r>
        <w:t>Coşkun,</w:t>
      </w:r>
      <w:r>
        <w:rPr>
          <w:spacing w:val="-4"/>
        </w:rPr>
        <w:t xml:space="preserve"> </w:t>
      </w:r>
      <w:r>
        <w:t>A.,</w:t>
      </w:r>
      <w:r>
        <w:rPr>
          <w:spacing w:val="-4"/>
        </w:rPr>
        <w:t xml:space="preserve"> </w:t>
      </w:r>
      <w:r>
        <w:t>Üneri,</w:t>
      </w:r>
      <w:r>
        <w:rPr>
          <w:spacing w:val="-4"/>
        </w:rPr>
        <w:t xml:space="preserve"> </w:t>
      </w:r>
      <w:r>
        <w:t>Ö.</w:t>
      </w:r>
      <w:r>
        <w:rPr>
          <w:spacing w:val="-2"/>
        </w:rPr>
        <w:t xml:space="preserve"> </w:t>
      </w:r>
      <w:r>
        <w:t>Ş.</w:t>
      </w:r>
      <w:r>
        <w:rPr>
          <w:spacing w:val="-4"/>
        </w:rPr>
        <w:t xml:space="preserve"> </w:t>
      </w:r>
      <w:r>
        <w:t>ve</w:t>
      </w:r>
      <w:r>
        <w:rPr>
          <w:spacing w:val="-5"/>
        </w:rPr>
        <w:t xml:space="preserve"> </w:t>
      </w:r>
      <w:r>
        <w:t>Karakaya</w:t>
      </w:r>
      <w:r>
        <w:rPr>
          <w:spacing w:val="-1"/>
        </w:rPr>
        <w:t xml:space="preserve"> </w:t>
      </w:r>
      <w:r>
        <w:t>I.</w:t>
      </w:r>
      <w:r>
        <w:rPr>
          <w:spacing w:val="-4"/>
        </w:rPr>
        <w:t xml:space="preserve"> </w:t>
      </w:r>
      <w:r>
        <w:t>(2007).</w:t>
      </w:r>
      <w:r>
        <w:rPr>
          <w:spacing w:val="-4"/>
        </w:rPr>
        <w:t xml:space="preserve"> </w:t>
      </w:r>
      <w:r>
        <w:t>“Çocuklar</w:t>
      </w:r>
      <w:r>
        <w:rPr>
          <w:spacing w:val="-5"/>
        </w:rPr>
        <w:t xml:space="preserve"> </w:t>
      </w:r>
      <w:r>
        <w:t>için Yaşam Kalitesi Ölçeğinin 13-18 Yaş Ergen Formunun Geçerlik ve Güvenirliği”, Türk Psikiyatri Dergisi, 18(4), 353-363.</w:t>
      </w:r>
    </w:p>
    <w:p w14:paraId="63A25D83">
      <w:pPr>
        <w:widowControl/>
        <w:autoSpaceDE/>
        <w:autoSpaceDN/>
        <w:spacing w:before="120" w:after="120" w:line="360" w:lineRule="auto"/>
        <w:ind w:left="567" w:hanging="567"/>
        <w:jc w:val="both"/>
        <w:rPr>
          <w:rFonts w:eastAsia="Calibri"/>
          <w:color w:val="222222"/>
          <w:sz w:val="24"/>
          <w:szCs w:val="24"/>
          <w:shd w:val="clear" w:color="auto" w:fill="FFFFFF"/>
        </w:rPr>
      </w:pPr>
      <w:r>
        <w:rPr>
          <w:rFonts w:eastAsia="Calibri"/>
          <w:color w:val="222222"/>
          <w:sz w:val="24"/>
          <w:szCs w:val="24"/>
          <w:shd w:val="clear" w:color="auto" w:fill="FFFFFF"/>
        </w:rPr>
        <w:t>Metin, T. C., Kesici, M., &amp; Kodaş, D. (2013). REKREASYON OLGUSUNA AKADEMİSYENLERİN YAKLAŞIMLARI. </w:t>
      </w:r>
      <w:r>
        <w:rPr>
          <w:rFonts w:eastAsia="Calibri"/>
          <w:i/>
          <w:iCs/>
          <w:color w:val="222222"/>
          <w:sz w:val="24"/>
          <w:szCs w:val="24"/>
          <w:shd w:val="clear" w:color="auto" w:fill="FFFFFF"/>
        </w:rPr>
        <w:t>Journal of Yaşar University/Yaşar Üniversitesi E-Dergisi</w:t>
      </w:r>
      <w:r>
        <w:rPr>
          <w:rFonts w:eastAsia="Calibri"/>
          <w:color w:val="222222"/>
          <w:sz w:val="24"/>
          <w:szCs w:val="24"/>
          <w:shd w:val="clear" w:color="auto" w:fill="FFFFFF"/>
        </w:rPr>
        <w:t>, </w:t>
      </w:r>
      <w:r>
        <w:rPr>
          <w:rFonts w:eastAsia="Calibri"/>
          <w:i/>
          <w:iCs/>
          <w:color w:val="222222"/>
          <w:sz w:val="24"/>
          <w:szCs w:val="24"/>
          <w:shd w:val="clear" w:color="auto" w:fill="FFFFFF"/>
        </w:rPr>
        <w:t>8</w:t>
      </w:r>
      <w:r>
        <w:rPr>
          <w:rFonts w:eastAsia="Calibri"/>
          <w:color w:val="222222"/>
          <w:sz w:val="24"/>
          <w:szCs w:val="24"/>
          <w:shd w:val="clear" w:color="auto" w:fill="FFFFFF"/>
        </w:rPr>
        <w:t>(30).</w:t>
      </w:r>
    </w:p>
    <w:p w14:paraId="4D6890A1">
      <w:pPr>
        <w:pStyle w:val="9"/>
        <w:spacing w:before="120" w:after="120" w:line="360" w:lineRule="auto"/>
        <w:ind w:left="567" w:hanging="567"/>
      </w:pPr>
      <w:r>
        <w:t>Metin,</w:t>
      </w:r>
      <w:r>
        <w:rPr>
          <w:spacing w:val="-3"/>
        </w:rPr>
        <w:t xml:space="preserve"> </w:t>
      </w:r>
      <w:r>
        <w:t>T.C.,</w:t>
      </w:r>
      <w:r>
        <w:rPr>
          <w:spacing w:val="-3"/>
        </w:rPr>
        <w:t xml:space="preserve"> </w:t>
      </w:r>
      <w:r>
        <w:t>Katırcı,</w:t>
      </w:r>
      <w:r>
        <w:rPr>
          <w:spacing w:val="-3"/>
        </w:rPr>
        <w:t xml:space="preserve"> </w:t>
      </w:r>
      <w:r>
        <w:t>H., Yüce,</w:t>
      </w:r>
      <w:r>
        <w:rPr>
          <w:spacing w:val="-1"/>
        </w:rPr>
        <w:t xml:space="preserve"> </w:t>
      </w:r>
      <w:r>
        <w:t>A.,</w:t>
      </w:r>
      <w:r>
        <w:rPr>
          <w:spacing w:val="-3"/>
        </w:rPr>
        <w:t xml:space="preserve"> </w:t>
      </w:r>
      <w:r>
        <w:t>Sarıçam,</w:t>
      </w:r>
      <w:r>
        <w:rPr>
          <w:spacing w:val="-3"/>
        </w:rPr>
        <w:t xml:space="preserve"> </w:t>
      </w:r>
      <w:r>
        <w:t>S.</w:t>
      </w:r>
      <w:r>
        <w:rPr>
          <w:spacing w:val="-3"/>
        </w:rPr>
        <w:t xml:space="preserve"> </w:t>
      </w:r>
      <w:r>
        <w:t>&amp;</w:t>
      </w:r>
      <w:r>
        <w:rPr>
          <w:spacing w:val="-1"/>
        </w:rPr>
        <w:t xml:space="preserve"> </w:t>
      </w:r>
      <w:r>
        <w:t>Çabuk,</w:t>
      </w:r>
      <w:r>
        <w:rPr>
          <w:spacing w:val="-3"/>
        </w:rPr>
        <w:t xml:space="preserve"> </w:t>
      </w:r>
      <w:r>
        <w:t>A.</w:t>
      </w:r>
      <w:r>
        <w:rPr>
          <w:spacing w:val="-3"/>
        </w:rPr>
        <w:t xml:space="preserve"> </w:t>
      </w:r>
      <w:r>
        <w:t>(2017).</w:t>
      </w:r>
      <w:r>
        <w:rPr>
          <w:spacing w:val="-3"/>
        </w:rPr>
        <w:t xml:space="preserve"> </w:t>
      </w:r>
      <w:r>
        <w:t>An Inventory</w:t>
      </w:r>
      <w:r>
        <w:rPr>
          <w:spacing w:val="-7"/>
        </w:rPr>
        <w:t xml:space="preserve"> </w:t>
      </w:r>
      <w:r>
        <w:t>Study</w:t>
      </w:r>
      <w:r>
        <w:rPr>
          <w:spacing w:val="-7"/>
        </w:rPr>
        <w:t xml:space="preserve"> </w:t>
      </w:r>
      <w:r>
        <w:t>on the</w:t>
      </w:r>
      <w:r>
        <w:rPr>
          <w:spacing w:val="-15"/>
        </w:rPr>
        <w:t xml:space="preserve"> </w:t>
      </w:r>
      <w:r>
        <w:t>Categorization</w:t>
      </w:r>
      <w:r>
        <w:rPr>
          <w:spacing w:val="-15"/>
        </w:rPr>
        <w:t xml:space="preserve"> </w:t>
      </w:r>
      <w:r>
        <w:t>and</w:t>
      </w:r>
      <w:r>
        <w:rPr>
          <w:spacing w:val="-15"/>
        </w:rPr>
        <w:t xml:space="preserve"> </w:t>
      </w:r>
      <w:r>
        <w:t>Types</w:t>
      </w:r>
      <w:r>
        <w:rPr>
          <w:spacing w:val="-15"/>
        </w:rPr>
        <w:t xml:space="preserve"> </w:t>
      </w:r>
      <w:r>
        <w:t>of</w:t>
      </w:r>
      <w:r>
        <w:rPr>
          <w:spacing w:val="-15"/>
        </w:rPr>
        <w:t xml:space="preserve"> </w:t>
      </w:r>
      <w:r>
        <w:t>Recreational</w:t>
      </w:r>
      <w:r>
        <w:rPr>
          <w:spacing w:val="-15"/>
        </w:rPr>
        <w:t xml:space="preserve"> </w:t>
      </w:r>
      <w:r>
        <w:t>Activities.</w:t>
      </w:r>
      <w:r>
        <w:rPr>
          <w:spacing w:val="-15"/>
        </w:rPr>
        <w:t xml:space="preserve"> </w:t>
      </w:r>
      <w:r>
        <w:t>The</w:t>
      </w:r>
      <w:r>
        <w:rPr>
          <w:spacing w:val="-15"/>
        </w:rPr>
        <w:t xml:space="preserve"> </w:t>
      </w:r>
      <w:r>
        <w:t>Journal</w:t>
      </w:r>
      <w:r>
        <w:rPr>
          <w:spacing w:val="-15"/>
        </w:rPr>
        <w:t xml:space="preserve"> </w:t>
      </w:r>
      <w:r>
        <w:t>of</w:t>
      </w:r>
      <w:r>
        <w:rPr>
          <w:spacing w:val="-14"/>
        </w:rPr>
        <w:t xml:space="preserve"> </w:t>
      </w:r>
      <w:r>
        <w:t>Academic Social Science Studies, 59, 547-561.</w:t>
      </w:r>
    </w:p>
    <w:p w14:paraId="078E03F8">
      <w:pPr>
        <w:pStyle w:val="9"/>
        <w:spacing w:before="120" w:after="120" w:line="360" w:lineRule="auto"/>
        <w:ind w:left="567" w:hanging="567"/>
      </w:pPr>
      <w:r>
        <w:t>Milgram, P., and Kishino, F. (1994). A taxonomy of mixed reality visual displays. IEICE Trans. Inform. Syst. 77, 1321–1329.</w:t>
      </w:r>
    </w:p>
    <w:p w14:paraId="31230596">
      <w:pPr>
        <w:spacing w:before="120" w:after="120" w:line="360" w:lineRule="auto"/>
        <w:ind w:left="567" w:hanging="567"/>
        <w:jc w:val="both"/>
        <w:rPr>
          <w:sz w:val="24"/>
          <w:szCs w:val="24"/>
        </w:rPr>
      </w:pPr>
      <w:r>
        <w:rPr>
          <w:sz w:val="24"/>
          <w:szCs w:val="24"/>
        </w:rPr>
        <w:t>Milgram, P., Takemura, H., Utsumi, A., &amp; Kishino, F. (1995, December). Augmented reality: A class of displays on the reality-virtuality continuum. In</w:t>
      </w:r>
      <w:r>
        <w:rPr>
          <w:spacing w:val="-1"/>
          <w:sz w:val="24"/>
          <w:szCs w:val="24"/>
        </w:rPr>
        <w:t xml:space="preserve"> </w:t>
      </w:r>
      <w:r>
        <w:rPr>
          <w:i/>
          <w:sz w:val="24"/>
          <w:szCs w:val="24"/>
        </w:rPr>
        <w:t xml:space="preserve">Telemanipulator and telepresence technologies </w:t>
      </w:r>
      <w:r>
        <w:rPr>
          <w:sz w:val="24"/>
          <w:szCs w:val="24"/>
        </w:rPr>
        <w:t>(Vol. 2351, pp. 282-292). Spie.</w:t>
      </w:r>
    </w:p>
    <w:p w14:paraId="46A2EA88">
      <w:pPr>
        <w:pStyle w:val="9"/>
        <w:spacing w:before="120" w:after="120" w:line="360" w:lineRule="auto"/>
        <w:ind w:left="567" w:hanging="567"/>
      </w:pPr>
      <w:r>
        <w:t>Moberg,</w:t>
      </w:r>
      <w:r>
        <w:rPr>
          <w:spacing w:val="-6"/>
        </w:rPr>
        <w:t xml:space="preserve"> </w:t>
      </w:r>
      <w:r>
        <w:t>D.</w:t>
      </w:r>
      <w:r>
        <w:rPr>
          <w:spacing w:val="-6"/>
        </w:rPr>
        <w:t xml:space="preserve"> </w:t>
      </w:r>
      <w:r>
        <w:t>O.,</w:t>
      </w:r>
      <w:r>
        <w:rPr>
          <w:spacing w:val="-6"/>
        </w:rPr>
        <w:t xml:space="preserve"> </w:t>
      </w:r>
      <w:r>
        <w:t>&amp;</w:t>
      </w:r>
      <w:r>
        <w:rPr>
          <w:spacing w:val="-8"/>
        </w:rPr>
        <w:t xml:space="preserve"> </w:t>
      </w:r>
      <w:r>
        <w:t>Brusek,</w:t>
      </w:r>
      <w:r>
        <w:rPr>
          <w:spacing w:val="-6"/>
        </w:rPr>
        <w:t xml:space="preserve"> </w:t>
      </w:r>
      <w:r>
        <w:t>P.</w:t>
      </w:r>
      <w:r>
        <w:rPr>
          <w:spacing w:val="-6"/>
        </w:rPr>
        <w:t xml:space="preserve"> </w:t>
      </w:r>
      <w:r>
        <w:t>M.</w:t>
      </w:r>
      <w:r>
        <w:rPr>
          <w:spacing w:val="-6"/>
        </w:rPr>
        <w:t xml:space="preserve"> </w:t>
      </w:r>
      <w:r>
        <w:t>(1978).</w:t>
      </w:r>
      <w:r>
        <w:rPr>
          <w:spacing w:val="-7"/>
        </w:rPr>
        <w:t xml:space="preserve"> </w:t>
      </w:r>
      <w:r>
        <w:t>Spiritual</w:t>
      </w:r>
      <w:r>
        <w:rPr>
          <w:spacing w:val="-8"/>
        </w:rPr>
        <w:t xml:space="preserve"> </w:t>
      </w:r>
      <w:r>
        <w:t>well-being:</w:t>
      </w:r>
      <w:r>
        <w:rPr>
          <w:spacing w:val="-5"/>
        </w:rPr>
        <w:t xml:space="preserve"> </w:t>
      </w:r>
      <w:r>
        <w:t>A</w:t>
      </w:r>
      <w:r>
        <w:rPr>
          <w:spacing w:val="-6"/>
        </w:rPr>
        <w:t xml:space="preserve"> </w:t>
      </w:r>
      <w:r>
        <w:t>neglected</w:t>
      </w:r>
      <w:r>
        <w:rPr>
          <w:spacing w:val="-6"/>
        </w:rPr>
        <w:t xml:space="preserve"> </w:t>
      </w:r>
      <w:r>
        <w:t>subject</w:t>
      </w:r>
      <w:r>
        <w:rPr>
          <w:spacing w:val="-5"/>
        </w:rPr>
        <w:t xml:space="preserve"> </w:t>
      </w:r>
      <w:r>
        <w:t>in</w:t>
      </w:r>
      <w:r>
        <w:rPr>
          <w:spacing w:val="-5"/>
        </w:rPr>
        <w:t xml:space="preserve"> </w:t>
      </w:r>
      <w:r>
        <w:t>quality of life research. Social Indicators Research, 5, 303-323.</w:t>
      </w:r>
    </w:p>
    <w:p w14:paraId="343D47BF">
      <w:pPr>
        <w:pStyle w:val="9"/>
        <w:spacing w:before="120" w:after="120" w:line="360" w:lineRule="auto"/>
        <w:ind w:left="567" w:hanging="567"/>
      </w:pPr>
      <w:r>
        <w:t>Moon,</w:t>
      </w:r>
      <w:r>
        <w:rPr>
          <w:spacing w:val="14"/>
        </w:rPr>
        <w:t xml:space="preserve"> </w:t>
      </w:r>
      <w:r>
        <w:t>J.-W.,</w:t>
      </w:r>
      <w:r>
        <w:rPr>
          <w:spacing w:val="18"/>
        </w:rPr>
        <w:t xml:space="preserve"> </w:t>
      </w:r>
      <w:r>
        <w:t>&amp;</w:t>
      </w:r>
      <w:r>
        <w:rPr>
          <w:spacing w:val="17"/>
        </w:rPr>
        <w:t xml:space="preserve"> </w:t>
      </w:r>
      <w:r>
        <w:t>Kim,</w:t>
      </w:r>
      <w:r>
        <w:rPr>
          <w:spacing w:val="17"/>
        </w:rPr>
        <w:t xml:space="preserve"> </w:t>
      </w:r>
      <w:r>
        <w:t>Y.-G.</w:t>
      </w:r>
      <w:r>
        <w:rPr>
          <w:spacing w:val="18"/>
        </w:rPr>
        <w:t xml:space="preserve"> </w:t>
      </w:r>
      <w:r>
        <w:t>(2001).</w:t>
      </w:r>
      <w:r>
        <w:rPr>
          <w:spacing w:val="18"/>
        </w:rPr>
        <w:t xml:space="preserve"> </w:t>
      </w:r>
      <w:r>
        <w:t>Extending</w:t>
      </w:r>
      <w:r>
        <w:rPr>
          <w:spacing w:val="16"/>
        </w:rPr>
        <w:t xml:space="preserve"> </w:t>
      </w:r>
      <w:r>
        <w:t>the</w:t>
      </w:r>
      <w:r>
        <w:rPr>
          <w:spacing w:val="18"/>
        </w:rPr>
        <w:t xml:space="preserve"> </w:t>
      </w:r>
      <w:r>
        <w:t>TAM</w:t>
      </w:r>
      <w:r>
        <w:rPr>
          <w:spacing w:val="19"/>
        </w:rPr>
        <w:t xml:space="preserve"> </w:t>
      </w:r>
      <w:r>
        <w:t>for</w:t>
      </w:r>
      <w:r>
        <w:rPr>
          <w:spacing w:val="17"/>
        </w:rPr>
        <w:t xml:space="preserve"> </w:t>
      </w:r>
      <w:r>
        <w:t>a</w:t>
      </w:r>
      <w:r>
        <w:rPr>
          <w:spacing w:val="18"/>
        </w:rPr>
        <w:t xml:space="preserve"> </w:t>
      </w:r>
      <w:r>
        <w:t>World-Wide-Web</w:t>
      </w:r>
      <w:r>
        <w:rPr>
          <w:spacing w:val="19"/>
        </w:rPr>
        <w:t xml:space="preserve"> </w:t>
      </w:r>
      <w:r>
        <w:rPr>
          <w:spacing w:val="-2"/>
        </w:rPr>
        <w:t>context.</w:t>
      </w:r>
    </w:p>
    <w:p w14:paraId="6F599462">
      <w:pPr>
        <w:pStyle w:val="9"/>
        <w:spacing w:before="120" w:after="120" w:line="360" w:lineRule="auto"/>
        <w:ind w:left="567" w:hanging="567"/>
      </w:pPr>
      <w:r>
        <w:t>Muhanna,</w:t>
      </w:r>
      <w:r>
        <w:rPr>
          <w:spacing w:val="-3"/>
        </w:rPr>
        <w:t xml:space="preserve"> </w:t>
      </w:r>
      <w:r>
        <w:t>M.</w:t>
      </w:r>
      <w:r>
        <w:rPr>
          <w:spacing w:val="-2"/>
        </w:rPr>
        <w:t xml:space="preserve"> </w:t>
      </w:r>
      <w:r>
        <w:t>A.:</w:t>
      </w:r>
      <w:r>
        <w:rPr>
          <w:spacing w:val="-3"/>
        </w:rPr>
        <w:t xml:space="preserve"> </w:t>
      </w:r>
      <w:r>
        <w:t>2015.</w:t>
      </w:r>
      <w:r>
        <w:rPr>
          <w:spacing w:val="-2"/>
        </w:rPr>
        <w:t xml:space="preserve"> </w:t>
      </w:r>
      <w:r>
        <w:t>“Virtual</w:t>
      </w:r>
      <w:r>
        <w:rPr>
          <w:spacing w:val="-3"/>
        </w:rPr>
        <w:t xml:space="preserve"> </w:t>
      </w:r>
      <w:r>
        <w:t>Reality</w:t>
      </w:r>
      <w:r>
        <w:rPr>
          <w:spacing w:val="-8"/>
        </w:rPr>
        <w:t xml:space="preserve"> </w:t>
      </w:r>
      <w:r>
        <w:t>And</w:t>
      </w:r>
      <w:r>
        <w:rPr>
          <w:spacing w:val="-2"/>
        </w:rPr>
        <w:t xml:space="preserve"> </w:t>
      </w:r>
      <w:r>
        <w:t>The</w:t>
      </w:r>
      <w:r>
        <w:rPr>
          <w:spacing w:val="-2"/>
        </w:rPr>
        <w:t xml:space="preserve"> </w:t>
      </w:r>
      <w:r>
        <w:t>Cave:</w:t>
      </w:r>
      <w:r>
        <w:rPr>
          <w:spacing w:val="-3"/>
        </w:rPr>
        <w:t xml:space="preserve"> </w:t>
      </w:r>
      <w:r>
        <w:t>Taxonomy, Interaction</w:t>
      </w:r>
      <w:r>
        <w:rPr>
          <w:spacing w:val="-3"/>
        </w:rPr>
        <w:t xml:space="preserve"> </w:t>
      </w:r>
      <w:r>
        <w:t>Challenges And Research Directions”, Journal Of King Saud University-Computer And Information Sciences, 27(3), 344-361.</w:t>
      </w:r>
    </w:p>
    <w:p w14:paraId="65690342">
      <w:pPr>
        <w:pStyle w:val="9"/>
        <w:spacing w:before="120" w:after="120" w:line="360" w:lineRule="auto"/>
        <w:ind w:left="567" w:hanging="567"/>
      </w:pPr>
      <w:r>
        <w:t>Nakamura, J., &amp; Csikszentmihalyi, M. (2009). Flow theory and research. Handbook of positive psychology, 195-206.</w:t>
      </w:r>
    </w:p>
    <w:p w14:paraId="30452FA7">
      <w:pPr>
        <w:pStyle w:val="9"/>
        <w:spacing w:before="120" w:after="120" w:line="360" w:lineRule="auto"/>
        <w:ind w:left="567" w:hanging="567"/>
        <w:rPr>
          <w:spacing w:val="-2"/>
        </w:rPr>
      </w:pPr>
      <w:r>
        <w:t xml:space="preserve">Nimrod, G. and Adoni, H. (2012). Conceptualizing E-Leisure, Society and Leisure, 35(1): </w:t>
      </w:r>
      <w:r>
        <w:rPr>
          <w:spacing w:val="-2"/>
        </w:rPr>
        <w:t>31-56.</w:t>
      </w:r>
    </w:p>
    <w:p w14:paraId="5293B1D8">
      <w:pPr>
        <w:pStyle w:val="9"/>
        <w:spacing w:before="120" w:after="120" w:line="360" w:lineRule="auto"/>
        <w:ind w:left="567" w:hanging="567"/>
      </w:pPr>
      <w:r>
        <w:t>O’Sullivan, E. (2006). Power, Promise, Potential, and Possibilities of Parks, Recreastion, and Leisure. In Human Kinetics (Ed.). Introduction to Recreation and Leisure. Human Kinetics, United States of America, 3-16 pp.</w:t>
      </w:r>
    </w:p>
    <w:p w14:paraId="2E72D807">
      <w:pPr>
        <w:pStyle w:val="9"/>
        <w:spacing w:before="120" w:after="120" w:line="360" w:lineRule="auto"/>
        <w:ind w:left="567" w:hanging="567"/>
        <w:rPr>
          <w:spacing w:val="-2"/>
        </w:rPr>
      </w:pPr>
      <w:r>
        <w:rPr>
          <w:spacing w:val="-2"/>
        </w:rPr>
        <w:t xml:space="preserve">Okul, T. (2022). “Turizm Rehberliği Eğitiminde Sanal Gerçeklik Uygulamaları Kullanımının Akademik Başarı ve Kalıcılığa Etkisi.” Aydın Adnan Menderes Üniversitesi SosyalBilimlerEnstütisi   Turizm İşletmeciliği Anabilimdalı Dalı,Doktora Tezi,Aydın.                                                                                                                  </w:t>
      </w:r>
    </w:p>
    <w:p w14:paraId="5D220F09">
      <w:pPr>
        <w:pStyle w:val="9"/>
        <w:spacing w:before="120" w:after="120" w:line="360" w:lineRule="auto"/>
        <w:ind w:left="567" w:hanging="567"/>
      </w:pPr>
      <w:r>
        <w:t>Osterfeld, E., (1994). Aristotle on the good life and quality of life. In: Nordenfelt L (ed.), Concepts and Measurement of Quality of Life in Health Care, Amsterdam, Kluwer,; 19-34</w:t>
      </w:r>
    </w:p>
    <w:p w14:paraId="221FEDCF">
      <w:pPr>
        <w:pStyle w:val="9"/>
        <w:spacing w:before="120" w:after="120" w:line="360" w:lineRule="auto"/>
        <w:ind w:left="567" w:hanging="567"/>
      </w:pPr>
      <w:r>
        <w:t>Özdemir, B. G. (2019). Film anlatılarındaki simülasyon mekanlarının Mieke Bal’ın açıkladığı mekân öğesi çerçevesinde Jean Baudrillard’ın simülasyon kuramı ile tartışması. Aurum Journal of Social Sciences, 4(1), 55-67.</w:t>
      </w:r>
    </w:p>
    <w:p w14:paraId="7CC0B4FC">
      <w:pPr>
        <w:pStyle w:val="9"/>
        <w:spacing w:before="120" w:after="120" w:line="360" w:lineRule="auto"/>
        <w:ind w:left="567" w:hanging="567"/>
      </w:pPr>
      <w:r>
        <w:t>Özdemir, Ö., &amp; Aykaç, E. (2021). Teknoloji Kabul Modeli Ve Turizm. </w:t>
      </w:r>
      <w:r>
        <w:rPr>
          <w:i/>
          <w:iCs/>
        </w:rPr>
        <w:t>Rekreasyon Ve Turizm Araştırmaları</w:t>
      </w:r>
      <w:r>
        <w:t>, 31</w:t>
      </w:r>
    </w:p>
    <w:p w14:paraId="1912DD20">
      <w:pPr>
        <w:pStyle w:val="9"/>
        <w:spacing w:before="120" w:after="120" w:line="360" w:lineRule="auto"/>
        <w:ind w:left="567" w:hanging="567"/>
      </w:pPr>
      <w:r>
        <w:t>Özkazanç, S., &amp; Esentürk, T. (2020). Sanal Gerçeklik Oyunlarındaki Mekân Algısı: Pubg Oyunu Örneği. Manisa Celal Bayar Üniversitesi Sosyal Bilimler Dergisi, 18(Özel Sayı), 308-320.</w:t>
      </w:r>
    </w:p>
    <w:p w14:paraId="7B1AFE72">
      <w:pPr>
        <w:pStyle w:val="9"/>
        <w:spacing w:before="120" w:after="120" w:line="360" w:lineRule="auto"/>
        <w:ind w:left="567" w:hanging="567"/>
      </w:pPr>
      <w:r>
        <w:t>Özkeroğlu, Ö. &amp; Akyıldız Munusturlar, M. (2020). Elektronik Boş Zaman, İçinde, M. Akyıldız Munusturlar (Ed.), Boş Zamanda Yeni Yönelimler, ss. 1-30, Gazi Kitabevi, Ankara.</w:t>
      </w:r>
    </w:p>
    <w:p w14:paraId="7322B459">
      <w:pPr>
        <w:pStyle w:val="9"/>
        <w:spacing w:before="120" w:after="120" w:line="360" w:lineRule="auto"/>
        <w:ind w:left="567" w:hanging="567"/>
      </w:pPr>
      <w:r>
        <w:t>Özmete, E. (2010). “Aile Yaşam Kalitesi Dinamikleri: Aile İletişimi, Ebeveyn Sorumlulukları, Duygusal, Duygusal Refah, Fiziksel/Materyal Refahın Algılanması”, Uluslararası Sosyal Araştırmalar Dergisi, 3(11), 455-465</w:t>
      </w:r>
    </w:p>
    <w:p w14:paraId="2FC8654E">
      <w:pPr>
        <w:pStyle w:val="9"/>
        <w:spacing w:before="120" w:after="120" w:line="360" w:lineRule="auto"/>
        <w:ind w:left="567" w:hanging="567"/>
      </w:pPr>
      <w:r>
        <w:t>Öztop, H., Şener, A., Güven, S. ve Doğan, N. (2009). “Influences of Intergenerational Support on Life Satisfaction of the Elderly: The Turkish Sample”, Social Behavior and Personality, 37(7), 957-970.</w:t>
      </w:r>
    </w:p>
    <w:p w14:paraId="01A23AD2">
      <w:pPr>
        <w:pStyle w:val="9"/>
        <w:spacing w:before="120" w:after="120" w:line="360" w:lineRule="auto"/>
        <w:ind w:left="567" w:hanging="567"/>
      </w:pPr>
      <w:r>
        <w:t>Öztürk, Y. (2018). Boş Zaman, Rekreasyon ve Turizm Kavramları Arasındaki İlişkinin Karşılaştırmalı Bir Analizi. Sosyal, Beşeri ve İdari Bilimler</w:t>
      </w:r>
      <w:r>
        <w:rPr>
          <w:spacing w:val="-2"/>
        </w:rPr>
        <w:t xml:space="preserve"> </w:t>
      </w:r>
      <w:r>
        <w:t>Dergisi, 1(2), 31-42.</w:t>
      </w:r>
    </w:p>
    <w:p w14:paraId="00881086">
      <w:pPr>
        <w:spacing w:before="120" w:after="120" w:line="360" w:lineRule="auto"/>
        <w:ind w:left="567" w:hanging="567"/>
        <w:jc w:val="both"/>
        <w:rPr>
          <w:sz w:val="24"/>
          <w:szCs w:val="24"/>
        </w:rPr>
      </w:pPr>
      <w:r>
        <w:rPr>
          <w:sz w:val="24"/>
          <w:szCs w:val="24"/>
        </w:rPr>
        <w:t>Öztürk, Y. (2022). Rekreasyon fayda farkındalığı ve yaşam doyum düzeyi arasındaki ilişkinin incelenmesine yönelik bir araştırma. </w:t>
      </w:r>
      <w:r>
        <w:rPr>
          <w:i/>
          <w:iCs/>
          <w:sz w:val="24"/>
          <w:szCs w:val="24"/>
        </w:rPr>
        <w:t>Süleyman Demirel Üniversitesi Vizyoner Dergisi</w:t>
      </w:r>
      <w:r>
        <w:rPr>
          <w:sz w:val="24"/>
          <w:szCs w:val="24"/>
        </w:rPr>
        <w:t>, </w:t>
      </w:r>
      <w:r>
        <w:rPr>
          <w:i/>
          <w:iCs/>
          <w:sz w:val="24"/>
          <w:szCs w:val="24"/>
        </w:rPr>
        <w:t>13</w:t>
      </w:r>
      <w:r>
        <w:rPr>
          <w:sz w:val="24"/>
          <w:szCs w:val="24"/>
        </w:rPr>
        <w:t>(36), 1237-1250.</w:t>
      </w:r>
    </w:p>
    <w:p w14:paraId="67D0A84F">
      <w:pPr>
        <w:pStyle w:val="9"/>
        <w:spacing w:before="120" w:after="120" w:line="360" w:lineRule="auto"/>
        <w:ind w:left="567" w:hanging="567"/>
      </w:pPr>
      <w:r>
        <w:t xml:space="preserve">Özyılkan Ö. (2004). Kanser Hastalarında Yaşam Kalitesinin Önemi. Sağlıkta Yaşam Kalitesi Sempozyumu Özet Kitabı, ss 14-16, 8-10 Nisan 2004, Ege Üniversitesi, </w:t>
      </w:r>
      <w:r>
        <w:rPr>
          <w:spacing w:val="-2"/>
        </w:rPr>
        <w:t>İzmir.</w:t>
      </w:r>
    </w:p>
    <w:p w14:paraId="678299D0">
      <w:pPr>
        <w:pStyle w:val="9"/>
        <w:spacing w:before="120" w:after="120" w:line="360" w:lineRule="auto"/>
        <w:ind w:left="567" w:hanging="567"/>
      </w:pPr>
      <w:r>
        <w:t>Pan,</w:t>
      </w:r>
      <w:r>
        <w:rPr>
          <w:spacing w:val="-15"/>
        </w:rPr>
        <w:t xml:space="preserve"> </w:t>
      </w:r>
      <w:r>
        <w:t>Z.,</w:t>
      </w:r>
      <w:r>
        <w:rPr>
          <w:spacing w:val="-15"/>
        </w:rPr>
        <w:t xml:space="preserve"> </w:t>
      </w:r>
      <w:r>
        <w:t>Cheok,</w:t>
      </w:r>
      <w:r>
        <w:rPr>
          <w:spacing w:val="-15"/>
        </w:rPr>
        <w:t xml:space="preserve"> </w:t>
      </w:r>
      <w:r>
        <w:t>A.</w:t>
      </w:r>
      <w:r>
        <w:rPr>
          <w:spacing w:val="-15"/>
        </w:rPr>
        <w:t xml:space="preserve"> </w:t>
      </w:r>
      <w:r>
        <w:t>D.,</w:t>
      </w:r>
      <w:r>
        <w:rPr>
          <w:spacing w:val="-15"/>
        </w:rPr>
        <w:t xml:space="preserve"> </w:t>
      </w:r>
      <w:r>
        <w:t>Yang,</w:t>
      </w:r>
      <w:r>
        <w:rPr>
          <w:spacing w:val="-15"/>
        </w:rPr>
        <w:t xml:space="preserve"> </w:t>
      </w:r>
      <w:r>
        <w:t>H.,</w:t>
      </w:r>
      <w:r>
        <w:rPr>
          <w:spacing w:val="-15"/>
        </w:rPr>
        <w:t xml:space="preserve"> </w:t>
      </w:r>
      <w:r>
        <w:t>Zhu,</w:t>
      </w:r>
      <w:r>
        <w:rPr>
          <w:spacing w:val="-15"/>
        </w:rPr>
        <w:t xml:space="preserve"> </w:t>
      </w:r>
      <w:r>
        <w:t>J.</w:t>
      </w:r>
      <w:r>
        <w:rPr>
          <w:spacing w:val="-15"/>
        </w:rPr>
        <w:t xml:space="preserve"> </w:t>
      </w:r>
      <w:r>
        <w:t>Ve</w:t>
      </w:r>
      <w:r>
        <w:rPr>
          <w:spacing w:val="-15"/>
        </w:rPr>
        <w:t xml:space="preserve"> </w:t>
      </w:r>
      <w:r>
        <w:t>Shı,</w:t>
      </w:r>
      <w:r>
        <w:rPr>
          <w:spacing w:val="-15"/>
        </w:rPr>
        <w:t xml:space="preserve"> </w:t>
      </w:r>
      <w:r>
        <w:t>J.:</w:t>
      </w:r>
      <w:r>
        <w:rPr>
          <w:spacing w:val="-15"/>
        </w:rPr>
        <w:t xml:space="preserve"> </w:t>
      </w:r>
      <w:r>
        <w:t>2006.</w:t>
      </w:r>
      <w:r>
        <w:rPr>
          <w:spacing w:val="-15"/>
        </w:rPr>
        <w:t xml:space="preserve"> </w:t>
      </w:r>
      <w:r>
        <w:t>“Virtual</w:t>
      </w:r>
      <w:r>
        <w:rPr>
          <w:spacing w:val="-15"/>
        </w:rPr>
        <w:t xml:space="preserve"> </w:t>
      </w:r>
      <w:r>
        <w:t>Reality</w:t>
      </w:r>
      <w:r>
        <w:rPr>
          <w:spacing w:val="-15"/>
        </w:rPr>
        <w:t xml:space="preserve"> </w:t>
      </w:r>
      <w:r>
        <w:t>And</w:t>
      </w:r>
      <w:r>
        <w:rPr>
          <w:spacing w:val="-15"/>
        </w:rPr>
        <w:t xml:space="preserve"> </w:t>
      </w:r>
      <w:r>
        <w:t>Mixed</w:t>
      </w:r>
      <w:r>
        <w:rPr>
          <w:spacing w:val="-15"/>
        </w:rPr>
        <w:t xml:space="preserve"> </w:t>
      </w:r>
      <w:r>
        <w:t>Reality For Virtual Learning Environments”, Computers &amp; Graphics, 30(1), 20-28.</w:t>
      </w:r>
    </w:p>
    <w:p w14:paraId="5ABEE495">
      <w:pPr>
        <w:pStyle w:val="9"/>
        <w:spacing w:before="120" w:after="120" w:line="360" w:lineRule="auto"/>
        <w:ind w:left="567" w:hanging="567"/>
      </w:pPr>
      <w:r>
        <w:t xml:space="preserve">Patrick, D. L., &amp; Erickson, P. (1993). Health Status and Health Policy: Quality of Life in </w:t>
      </w:r>
      <w:r>
        <w:tab/>
      </w:r>
      <w:r>
        <w:tab/>
      </w:r>
      <w:r>
        <w:t>Health Care Evaluation and Resource Allocation. Oxford University Press.</w:t>
      </w:r>
    </w:p>
    <w:p w14:paraId="579346BB">
      <w:pPr>
        <w:pStyle w:val="9"/>
        <w:spacing w:before="120" w:after="120" w:line="360" w:lineRule="auto"/>
        <w:ind w:left="567" w:hanging="567"/>
      </w:pPr>
      <w:r>
        <w:t>Perim, A. (2007). “Trakya Üniversitesi Eğitim, Araştırma ve Uygulama Hastanesi’nde Çalışan Hemşirelerin Kaliteli Yaşam Algısının Belirlenmesi”, Trakya Üniversitesi Sağlık Bilimleri Enstitüsü, Halk Sağlığı Anabilim Dalı, Yayınlanmamış Yüksek Lisans Tezi, Trakya.ss.1-88</w:t>
      </w:r>
    </w:p>
    <w:p w14:paraId="661E67DB">
      <w:pPr>
        <w:pStyle w:val="9"/>
        <w:spacing w:before="120" w:after="120" w:line="360" w:lineRule="auto"/>
        <w:ind w:left="567" w:hanging="567"/>
      </w:pPr>
      <w:r>
        <w:t>Pretty, J., Peacock, J., Sellens, M., &amp; Griffin, M. (2007). The mental and physical health outcomes of green exercise. International Journal of Environmental Health Research, 15(5), 319-337.</w:t>
      </w:r>
    </w:p>
    <w:p w14:paraId="5C08A180">
      <w:pPr>
        <w:pStyle w:val="9"/>
        <w:spacing w:before="120" w:after="120" w:line="360" w:lineRule="auto"/>
        <w:ind w:left="567" w:hanging="567"/>
      </w:pPr>
      <w:r>
        <w:t>Psychological</w:t>
      </w:r>
      <w:r>
        <w:rPr>
          <w:spacing w:val="-5"/>
        </w:rPr>
        <w:t xml:space="preserve"> </w:t>
      </w:r>
      <w:r>
        <w:t>Review,</w:t>
      </w:r>
      <w:r>
        <w:rPr>
          <w:spacing w:val="-2"/>
        </w:rPr>
        <w:t xml:space="preserve"> </w:t>
      </w:r>
      <w:r>
        <w:t>84(2),</w:t>
      </w:r>
      <w:r>
        <w:rPr>
          <w:spacing w:val="-2"/>
        </w:rPr>
        <w:t xml:space="preserve"> </w:t>
      </w:r>
      <w:r>
        <w:t>191-</w:t>
      </w:r>
      <w:r>
        <w:rPr>
          <w:spacing w:val="-4"/>
        </w:rPr>
        <w:t>215.</w:t>
      </w:r>
    </w:p>
    <w:p w14:paraId="63D65315">
      <w:pPr>
        <w:pStyle w:val="9"/>
        <w:spacing w:before="120" w:after="120" w:line="360" w:lineRule="auto"/>
        <w:ind w:left="567" w:hanging="567"/>
      </w:pPr>
      <w:r>
        <w:t>Putnam,</w:t>
      </w:r>
      <w:r>
        <w:rPr>
          <w:spacing w:val="-5"/>
        </w:rPr>
        <w:t xml:space="preserve"> </w:t>
      </w:r>
      <w:r>
        <w:t>R.</w:t>
      </w:r>
      <w:r>
        <w:rPr>
          <w:spacing w:val="-3"/>
        </w:rPr>
        <w:t xml:space="preserve"> </w:t>
      </w:r>
      <w:r>
        <w:t>D.</w:t>
      </w:r>
      <w:r>
        <w:rPr>
          <w:spacing w:val="-3"/>
        </w:rPr>
        <w:t xml:space="preserve"> </w:t>
      </w:r>
      <w:r>
        <w:t>(2000). Bowling</w:t>
      </w:r>
      <w:r>
        <w:rPr>
          <w:spacing w:val="-5"/>
        </w:rPr>
        <w:t xml:space="preserve"> </w:t>
      </w:r>
      <w:r>
        <w:t>Alone:</w:t>
      </w:r>
      <w:r>
        <w:rPr>
          <w:spacing w:val="-2"/>
        </w:rPr>
        <w:t xml:space="preserve"> </w:t>
      </w:r>
      <w:r>
        <w:t>The</w:t>
      </w:r>
      <w:r>
        <w:rPr>
          <w:spacing w:val="-4"/>
        </w:rPr>
        <w:t xml:space="preserve"> </w:t>
      </w:r>
      <w:r>
        <w:t>Collapse</w:t>
      </w:r>
      <w:r>
        <w:rPr>
          <w:spacing w:val="-4"/>
        </w:rPr>
        <w:t xml:space="preserve"> </w:t>
      </w:r>
      <w:r>
        <w:t>and</w:t>
      </w:r>
      <w:r>
        <w:rPr>
          <w:spacing w:val="-3"/>
        </w:rPr>
        <w:t xml:space="preserve"> </w:t>
      </w:r>
      <w:r>
        <w:t>Revival</w:t>
      </w:r>
      <w:r>
        <w:rPr>
          <w:spacing w:val="-3"/>
        </w:rPr>
        <w:t xml:space="preserve"> </w:t>
      </w:r>
      <w:r>
        <w:t>of</w:t>
      </w:r>
      <w:r>
        <w:rPr>
          <w:spacing w:val="-4"/>
        </w:rPr>
        <w:t xml:space="preserve"> </w:t>
      </w:r>
      <w:r>
        <w:t>American</w:t>
      </w:r>
      <w:r>
        <w:rPr>
          <w:spacing w:val="-3"/>
        </w:rPr>
        <w:t xml:space="preserve"> </w:t>
      </w:r>
      <w:r>
        <w:rPr>
          <w:spacing w:val="-2"/>
        </w:rPr>
        <w:t>Community.</w:t>
      </w:r>
      <w:r>
        <w:t xml:space="preserve"> Simon</w:t>
      </w:r>
      <w:r>
        <w:rPr>
          <w:spacing w:val="-1"/>
        </w:rPr>
        <w:t xml:space="preserve"> </w:t>
      </w:r>
      <w:r>
        <w:t xml:space="preserve">and </w:t>
      </w:r>
      <w:r>
        <w:rPr>
          <w:spacing w:val="-2"/>
        </w:rPr>
        <w:t>Schuster.</w:t>
      </w:r>
    </w:p>
    <w:p w14:paraId="65964D8A">
      <w:pPr>
        <w:pStyle w:val="9"/>
        <w:spacing w:before="120" w:after="120" w:line="360" w:lineRule="auto"/>
        <w:ind w:left="567" w:hanging="567"/>
      </w:pPr>
      <w:r>
        <w:t>R. C., Moreira, D. C. (2006). “Quality of Life and Sustainability Issues as Seen by the Population of Low-Income Housing in the Region of Campinas, Brazil”, Habitat International, 30, 1100-1114.</w:t>
      </w:r>
    </w:p>
    <w:p w14:paraId="47C2AE79">
      <w:pPr>
        <w:pStyle w:val="9"/>
        <w:spacing w:before="120" w:after="120" w:line="360" w:lineRule="auto"/>
        <w:ind w:left="567" w:hanging="567"/>
        <w:rPr>
          <w:spacing w:val="-5"/>
        </w:rPr>
      </w:pPr>
      <w:r>
        <w:rPr>
          <w:spacing w:val="-5"/>
        </w:rPr>
        <w:t xml:space="preserve">Rakoczy, K., Harks, B., Klieme, E., Blum, W., &amp; Hochweber, J. (2013). Written feedback in </w:t>
      </w:r>
      <w:r>
        <w:rPr>
          <w:spacing w:val="-5"/>
        </w:rPr>
        <w:tab/>
      </w:r>
      <w:r>
        <w:rPr>
          <w:spacing w:val="-5"/>
        </w:rPr>
        <w:tab/>
      </w:r>
      <w:r>
        <w:rPr>
          <w:spacing w:val="-5"/>
        </w:rPr>
        <w:t xml:space="preserve">mathematics: Mediated by students' perception, moderated by goal </w:t>
      </w:r>
      <w:r>
        <w:rPr>
          <w:spacing w:val="-5"/>
        </w:rPr>
        <w:tab/>
      </w:r>
      <w:r>
        <w:rPr>
          <w:spacing w:val="-5"/>
        </w:rPr>
        <w:t>orientation. Learning and Instruction, 27, 63-73.</w:t>
      </w:r>
      <w:r>
        <w:rPr>
          <w:spacing w:val="-5"/>
        </w:rPr>
        <w:tab/>
      </w:r>
      <w:r>
        <w:rPr>
          <w:spacing w:val="-5"/>
        </w:rPr>
        <w:tab/>
      </w:r>
      <w:r>
        <w:rPr>
          <w:spacing w:val="-5"/>
        </w:rPr>
        <w:tab/>
      </w:r>
    </w:p>
    <w:p w14:paraId="28258404">
      <w:pPr>
        <w:widowControl/>
        <w:autoSpaceDE/>
        <w:autoSpaceDN/>
        <w:spacing w:before="120" w:after="120" w:line="360" w:lineRule="auto"/>
        <w:ind w:left="567" w:hanging="567"/>
        <w:jc w:val="both"/>
        <w:rPr>
          <w:rFonts w:eastAsia="Calibri"/>
          <w:color w:val="222222"/>
          <w:sz w:val="24"/>
          <w:szCs w:val="24"/>
          <w:shd w:val="clear" w:color="auto" w:fill="FFFFFF"/>
        </w:rPr>
      </w:pPr>
      <w:r>
        <w:rPr>
          <w:rFonts w:eastAsia="Calibri"/>
          <w:color w:val="222222"/>
          <w:sz w:val="24"/>
          <w:szCs w:val="24"/>
          <w:shd w:val="clear" w:color="auto" w:fill="FFFFFF"/>
        </w:rPr>
        <w:t>Recio, A. C., Becker, D., Morgan, M., Saunders, N. R., Schramm, L. P., &amp; McDonald III, J. W. (2013). Use of a virtual reality physical ride-on sailing simulator as a rehabilitation tool for recreational sports and community reintegration: a pilot study. </w:t>
      </w:r>
      <w:r>
        <w:rPr>
          <w:rFonts w:eastAsia="Calibri"/>
          <w:i/>
          <w:iCs/>
          <w:color w:val="222222"/>
          <w:sz w:val="24"/>
          <w:szCs w:val="24"/>
          <w:shd w:val="clear" w:color="auto" w:fill="FFFFFF"/>
        </w:rPr>
        <w:t>American journal of physical medicine &amp; rehabilitation</w:t>
      </w:r>
      <w:r>
        <w:rPr>
          <w:rFonts w:eastAsia="Calibri"/>
          <w:color w:val="222222"/>
          <w:sz w:val="24"/>
          <w:szCs w:val="24"/>
          <w:shd w:val="clear" w:color="auto" w:fill="FFFFFF"/>
        </w:rPr>
        <w:t>, </w:t>
      </w:r>
      <w:r>
        <w:rPr>
          <w:rFonts w:eastAsia="Calibri"/>
          <w:i/>
          <w:iCs/>
          <w:color w:val="222222"/>
          <w:sz w:val="24"/>
          <w:szCs w:val="24"/>
          <w:shd w:val="clear" w:color="auto" w:fill="FFFFFF"/>
        </w:rPr>
        <w:t>92</w:t>
      </w:r>
      <w:r>
        <w:rPr>
          <w:rFonts w:eastAsia="Calibri"/>
          <w:color w:val="222222"/>
          <w:sz w:val="24"/>
          <w:szCs w:val="24"/>
          <w:shd w:val="clear" w:color="auto" w:fill="FFFFFF"/>
        </w:rPr>
        <w:t>(12), 1104-1109.</w:t>
      </w:r>
    </w:p>
    <w:p w14:paraId="62028DF4">
      <w:pPr>
        <w:pStyle w:val="9"/>
        <w:spacing w:before="120" w:after="120" w:line="360" w:lineRule="auto"/>
        <w:ind w:left="567" w:hanging="567"/>
      </w:pPr>
      <w:r>
        <w:t>Rheingold,</w:t>
      </w:r>
      <w:r>
        <w:rPr>
          <w:spacing w:val="-4"/>
        </w:rPr>
        <w:t xml:space="preserve"> </w:t>
      </w:r>
      <w:r>
        <w:t>H.</w:t>
      </w:r>
      <w:r>
        <w:rPr>
          <w:spacing w:val="-1"/>
        </w:rPr>
        <w:t xml:space="preserve"> </w:t>
      </w:r>
      <w:r>
        <w:t>(1991).</w:t>
      </w:r>
      <w:r>
        <w:rPr>
          <w:spacing w:val="-1"/>
        </w:rPr>
        <w:t xml:space="preserve"> </w:t>
      </w:r>
      <w:r>
        <w:t>Virtual</w:t>
      </w:r>
      <w:r>
        <w:rPr>
          <w:spacing w:val="-1"/>
        </w:rPr>
        <w:t xml:space="preserve"> </w:t>
      </w:r>
      <w:r>
        <w:t>reality.</w:t>
      </w:r>
      <w:r>
        <w:rPr>
          <w:spacing w:val="-1"/>
        </w:rPr>
        <w:t xml:space="preserve"> </w:t>
      </w:r>
      <w:r>
        <w:t>Reading,</w:t>
      </w:r>
      <w:r>
        <w:rPr>
          <w:spacing w:val="-1"/>
        </w:rPr>
        <w:t xml:space="preserve"> </w:t>
      </w:r>
      <w:r>
        <w:t>MA:</w:t>
      </w:r>
      <w:r>
        <w:rPr>
          <w:spacing w:val="-1"/>
        </w:rPr>
        <w:t xml:space="preserve"> </w:t>
      </w:r>
      <w:r>
        <w:t>Addison</w:t>
      </w:r>
      <w:r>
        <w:rPr>
          <w:spacing w:val="-1"/>
        </w:rPr>
        <w:t xml:space="preserve"> </w:t>
      </w:r>
      <w:r>
        <w:rPr>
          <w:spacing w:val="-2"/>
        </w:rPr>
        <w:t>Wesley.</w:t>
      </w:r>
    </w:p>
    <w:p w14:paraId="1442BA0F">
      <w:pPr>
        <w:pStyle w:val="9"/>
        <w:spacing w:before="120" w:after="120" w:line="360" w:lineRule="auto"/>
        <w:ind w:left="567" w:hanging="567"/>
      </w:pPr>
      <w:r>
        <w:t>Robinson,</w:t>
      </w:r>
      <w:r>
        <w:rPr>
          <w:spacing w:val="-11"/>
        </w:rPr>
        <w:t xml:space="preserve"> </w:t>
      </w:r>
      <w:r>
        <w:t>G.</w:t>
      </w:r>
      <w:r>
        <w:rPr>
          <w:spacing w:val="-12"/>
        </w:rPr>
        <w:t xml:space="preserve"> </w:t>
      </w:r>
      <w:r>
        <w:t>W.</w:t>
      </w:r>
      <w:r>
        <w:rPr>
          <w:spacing w:val="-9"/>
        </w:rPr>
        <w:t xml:space="preserve"> </w:t>
      </w:r>
      <w:r>
        <w:t>S.</w:t>
      </w:r>
      <w:r>
        <w:rPr>
          <w:spacing w:val="-10"/>
        </w:rPr>
        <w:t xml:space="preserve"> </w:t>
      </w:r>
      <w:r>
        <w:t>(1972).</w:t>
      </w:r>
      <w:r>
        <w:rPr>
          <w:spacing w:val="-9"/>
        </w:rPr>
        <w:t xml:space="preserve"> </w:t>
      </w:r>
      <w:r>
        <w:t>The</w:t>
      </w:r>
      <w:r>
        <w:rPr>
          <w:spacing w:val="-10"/>
        </w:rPr>
        <w:t xml:space="preserve"> </w:t>
      </w:r>
      <w:r>
        <w:t>Recreation</w:t>
      </w:r>
      <w:r>
        <w:rPr>
          <w:spacing w:val="-9"/>
        </w:rPr>
        <w:t xml:space="preserve"> </w:t>
      </w:r>
      <w:r>
        <w:t>Geography</w:t>
      </w:r>
      <w:r>
        <w:rPr>
          <w:spacing w:val="-12"/>
        </w:rPr>
        <w:t xml:space="preserve"> </w:t>
      </w:r>
      <w:r>
        <w:t>of</w:t>
      </w:r>
      <w:r>
        <w:rPr>
          <w:spacing w:val="-9"/>
        </w:rPr>
        <w:t xml:space="preserve"> </w:t>
      </w:r>
      <w:r>
        <w:t>South</w:t>
      </w:r>
      <w:r>
        <w:rPr>
          <w:spacing w:val="-8"/>
        </w:rPr>
        <w:t xml:space="preserve"> </w:t>
      </w:r>
      <w:r>
        <w:t>Asia,</w:t>
      </w:r>
      <w:r>
        <w:rPr>
          <w:spacing w:val="-9"/>
        </w:rPr>
        <w:t xml:space="preserve"> </w:t>
      </w:r>
      <w:r>
        <w:t>Geographical</w:t>
      </w:r>
      <w:r>
        <w:rPr>
          <w:spacing w:val="-7"/>
        </w:rPr>
        <w:t xml:space="preserve"> </w:t>
      </w:r>
      <w:r>
        <w:rPr>
          <w:spacing w:val="-2"/>
        </w:rPr>
        <w:t>Review</w:t>
      </w:r>
      <w:r>
        <w:t>,</w:t>
      </w:r>
      <w:r>
        <w:rPr>
          <w:spacing w:val="-1"/>
        </w:rPr>
        <w:t xml:space="preserve"> </w:t>
      </w:r>
      <w:r>
        <w:t>62</w:t>
      </w:r>
      <w:r>
        <w:rPr>
          <w:spacing w:val="-1"/>
        </w:rPr>
        <w:t xml:space="preserve"> </w:t>
      </w:r>
      <w:r>
        <w:t>(4), s.561-</w:t>
      </w:r>
      <w:r>
        <w:rPr>
          <w:spacing w:val="-5"/>
        </w:rPr>
        <w:t>572.</w:t>
      </w:r>
    </w:p>
    <w:p w14:paraId="04DE2B3A">
      <w:pPr>
        <w:pStyle w:val="9"/>
        <w:spacing w:before="120" w:after="120" w:line="360" w:lineRule="auto"/>
        <w:ind w:left="567" w:hanging="567"/>
      </w:pPr>
      <w:r>
        <w:rPr>
          <w:spacing w:val="-2"/>
        </w:rPr>
        <w:t>Ryff,</w:t>
      </w:r>
      <w:r>
        <w:rPr>
          <w:spacing w:val="-8"/>
        </w:rPr>
        <w:t xml:space="preserve"> </w:t>
      </w:r>
      <w:r>
        <w:rPr>
          <w:spacing w:val="-2"/>
        </w:rPr>
        <w:t>C.</w:t>
      </w:r>
      <w:r>
        <w:rPr>
          <w:spacing w:val="-6"/>
        </w:rPr>
        <w:t xml:space="preserve"> </w:t>
      </w:r>
      <w:r>
        <w:rPr>
          <w:spacing w:val="-2"/>
        </w:rPr>
        <w:t>D.,</w:t>
      </w:r>
      <w:r>
        <w:rPr>
          <w:spacing w:val="-4"/>
        </w:rPr>
        <w:t xml:space="preserve"> </w:t>
      </w:r>
      <w:r>
        <w:rPr>
          <w:spacing w:val="-2"/>
        </w:rPr>
        <w:t>&amp;</w:t>
      </w:r>
      <w:r>
        <w:rPr>
          <w:spacing w:val="-8"/>
        </w:rPr>
        <w:t xml:space="preserve"> </w:t>
      </w:r>
      <w:r>
        <w:rPr>
          <w:spacing w:val="-2"/>
        </w:rPr>
        <w:t>Keyes,</w:t>
      </w:r>
      <w:r>
        <w:rPr>
          <w:spacing w:val="-6"/>
        </w:rPr>
        <w:t xml:space="preserve"> </w:t>
      </w:r>
      <w:r>
        <w:rPr>
          <w:spacing w:val="-2"/>
        </w:rPr>
        <w:t>C.</w:t>
      </w:r>
      <w:r>
        <w:rPr>
          <w:spacing w:val="-6"/>
        </w:rPr>
        <w:t xml:space="preserve"> </w:t>
      </w:r>
      <w:r>
        <w:rPr>
          <w:spacing w:val="-2"/>
        </w:rPr>
        <w:t>L.</w:t>
      </w:r>
      <w:r>
        <w:rPr>
          <w:spacing w:val="-5"/>
        </w:rPr>
        <w:t xml:space="preserve"> </w:t>
      </w:r>
      <w:r>
        <w:rPr>
          <w:spacing w:val="-2"/>
        </w:rPr>
        <w:t>M.</w:t>
      </w:r>
      <w:r>
        <w:rPr>
          <w:spacing w:val="-6"/>
        </w:rPr>
        <w:t xml:space="preserve"> </w:t>
      </w:r>
      <w:r>
        <w:rPr>
          <w:spacing w:val="-2"/>
        </w:rPr>
        <w:t>(1995).</w:t>
      </w:r>
      <w:r>
        <w:rPr>
          <w:spacing w:val="-7"/>
        </w:rPr>
        <w:t xml:space="preserve"> </w:t>
      </w:r>
      <w:r>
        <w:rPr>
          <w:spacing w:val="-2"/>
        </w:rPr>
        <w:t>The</w:t>
      </w:r>
      <w:r>
        <w:rPr>
          <w:spacing w:val="-7"/>
        </w:rPr>
        <w:t xml:space="preserve"> </w:t>
      </w:r>
      <w:r>
        <w:rPr>
          <w:spacing w:val="-2"/>
        </w:rPr>
        <w:t>Structure</w:t>
      </w:r>
      <w:r>
        <w:rPr>
          <w:spacing w:val="-9"/>
        </w:rPr>
        <w:t xml:space="preserve"> </w:t>
      </w:r>
      <w:r>
        <w:rPr>
          <w:spacing w:val="-2"/>
        </w:rPr>
        <w:t>of</w:t>
      </w:r>
      <w:r>
        <w:rPr>
          <w:spacing w:val="-7"/>
        </w:rPr>
        <w:t xml:space="preserve"> </w:t>
      </w:r>
      <w:r>
        <w:rPr>
          <w:spacing w:val="-2"/>
        </w:rPr>
        <w:t>Psychological</w:t>
      </w:r>
      <w:r>
        <w:rPr>
          <w:spacing w:val="-4"/>
        </w:rPr>
        <w:t xml:space="preserve"> </w:t>
      </w:r>
      <w:r>
        <w:rPr>
          <w:spacing w:val="-2"/>
        </w:rPr>
        <w:t>Well-Being</w:t>
      </w:r>
      <w:r>
        <w:rPr>
          <w:spacing w:val="-8"/>
        </w:rPr>
        <w:t xml:space="preserve"> </w:t>
      </w:r>
      <w:r>
        <w:rPr>
          <w:spacing w:val="-2"/>
        </w:rPr>
        <w:t>Revisited.</w:t>
      </w:r>
      <w:r>
        <w:t>Journal</w:t>
      </w:r>
      <w:r>
        <w:rPr>
          <w:spacing w:val="-1"/>
        </w:rPr>
        <w:t xml:space="preserve"> </w:t>
      </w:r>
      <w:r>
        <w:t>of</w:t>
      </w:r>
      <w:r>
        <w:rPr>
          <w:spacing w:val="-1"/>
        </w:rPr>
        <w:t xml:space="preserve"> </w:t>
      </w:r>
      <w:r>
        <w:t>Personality</w:t>
      </w:r>
      <w:r>
        <w:rPr>
          <w:spacing w:val="-5"/>
        </w:rPr>
        <w:t xml:space="preserve"> </w:t>
      </w:r>
      <w:r>
        <w:t>and</w:t>
      </w:r>
      <w:r>
        <w:rPr>
          <w:spacing w:val="-1"/>
        </w:rPr>
        <w:t xml:space="preserve"> </w:t>
      </w:r>
      <w:r>
        <w:t>Social Psychology,</w:t>
      </w:r>
      <w:r>
        <w:rPr>
          <w:spacing w:val="-1"/>
        </w:rPr>
        <w:t xml:space="preserve"> </w:t>
      </w:r>
      <w:r>
        <w:t>69(4), 719-</w:t>
      </w:r>
      <w:r>
        <w:rPr>
          <w:spacing w:val="-4"/>
        </w:rPr>
        <w:t>727.</w:t>
      </w:r>
    </w:p>
    <w:p w14:paraId="45D09BD0">
      <w:pPr>
        <w:pStyle w:val="9"/>
        <w:spacing w:before="120" w:after="120" w:line="360" w:lineRule="auto"/>
        <w:ind w:left="567" w:hanging="567"/>
      </w:pPr>
      <w:r>
        <w:t>Sabbağ, Ç. ve Aksoy, E. (2011). “Üniversite Öğrencileri ve Çalışanların Boş Zaman Etkinlikleri:</w:t>
      </w:r>
      <w:r>
        <w:rPr>
          <w:spacing w:val="-15"/>
        </w:rPr>
        <w:t xml:space="preserve"> </w:t>
      </w:r>
      <w:r>
        <w:t>Adıyaman</w:t>
      </w:r>
      <w:r>
        <w:rPr>
          <w:spacing w:val="-15"/>
        </w:rPr>
        <w:t xml:space="preserve"> </w:t>
      </w:r>
      <w:r>
        <w:t>Örneği”,</w:t>
      </w:r>
      <w:r>
        <w:rPr>
          <w:spacing w:val="-15"/>
        </w:rPr>
        <w:t xml:space="preserve"> </w:t>
      </w:r>
      <w:r>
        <w:t>Mehmet</w:t>
      </w:r>
      <w:r>
        <w:rPr>
          <w:spacing w:val="-15"/>
        </w:rPr>
        <w:t xml:space="preserve"> </w:t>
      </w:r>
      <w:r>
        <w:t>Akif</w:t>
      </w:r>
      <w:r>
        <w:rPr>
          <w:spacing w:val="-15"/>
        </w:rPr>
        <w:t xml:space="preserve"> </w:t>
      </w:r>
      <w:r>
        <w:t>Ersoy</w:t>
      </w:r>
      <w:r>
        <w:rPr>
          <w:spacing w:val="-15"/>
        </w:rPr>
        <w:t xml:space="preserve"> </w:t>
      </w:r>
      <w:r>
        <w:t>Üniversitesi</w:t>
      </w:r>
      <w:r>
        <w:rPr>
          <w:spacing w:val="-15"/>
        </w:rPr>
        <w:t xml:space="preserve"> </w:t>
      </w:r>
      <w:r>
        <w:t>Sosyal</w:t>
      </w:r>
      <w:r>
        <w:rPr>
          <w:spacing w:val="-15"/>
        </w:rPr>
        <w:t xml:space="preserve"> </w:t>
      </w:r>
      <w:r>
        <w:t>Bilimler Enstitüsü Dergisi, 3(4), 10-23.</w:t>
      </w:r>
    </w:p>
    <w:p w14:paraId="75C7B585">
      <w:pPr>
        <w:pStyle w:val="9"/>
        <w:spacing w:before="120" w:after="120" w:line="360" w:lineRule="auto"/>
        <w:ind w:left="567" w:hanging="567"/>
      </w:pPr>
      <w:r>
        <w:t>Sabbah,</w:t>
      </w:r>
      <w:r>
        <w:rPr>
          <w:spacing w:val="-7"/>
        </w:rPr>
        <w:t xml:space="preserve"> </w:t>
      </w:r>
      <w:r>
        <w:t>I.,</w:t>
      </w:r>
      <w:r>
        <w:rPr>
          <w:spacing w:val="-9"/>
        </w:rPr>
        <w:t xml:space="preserve"> </w:t>
      </w:r>
      <w:r>
        <w:t>Drouby,</w:t>
      </w:r>
      <w:r>
        <w:rPr>
          <w:spacing w:val="-9"/>
        </w:rPr>
        <w:t xml:space="preserve"> </w:t>
      </w:r>
      <w:r>
        <w:t>N.,</w:t>
      </w:r>
      <w:r>
        <w:rPr>
          <w:spacing w:val="-10"/>
        </w:rPr>
        <w:t xml:space="preserve"> </w:t>
      </w:r>
      <w:r>
        <w:t>Sabbah,</w:t>
      </w:r>
      <w:r>
        <w:rPr>
          <w:spacing w:val="-9"/>
        </w:rPr>
        <w:t xml:space="preserve"> </w:t>
      </w:r>
      <w:r>
        <w:t>S.,</w:t>
      </w:r>
      <w:r>
        <w:rPr>
          <w:spacing w:val="-9"/>
        </w:rPr>
        <w:t xml:space="preserve"> </w:t>
      </w:r>
      <w:r>
        <w:t>Retel-Rude,</w:t>
      </w:r>
      <w:r>
        <w:rPr>
          <w:spacing w:val="-9"/>
        </w:rPr>
        <w:t xml:space="preserve"> </w:t>
      </w:r>
      <w:r>
        <w:t>N.</w:t>
      </w:r>
      <w:r>
        <w:rPr>
          <w:spacing w:val="-10"/>
        </w:rPr>
        <w:t xml:space="preserve"> </w:t>
      </w:r>
      <w:r>
        <w:t>and</w:t>
      </w:r>
      <w:r>
        <w:rPr>
          <w:spacing w:val="-9"/>
        </w:rPr>
        <w:t xml:space="preserve"> </w:t>
      </w:r>
      <w:r>
        <w:t>Mercier,</w:t>
      </w:r>
      <w:r>
        <w:rPr>
          <w:spacing w:val="-9"/>
        </w:rPr>
        <w:t xml:space="preserve"> </w:t>
      </w:r>
      <w:r>
        <w:t>M.</w:t>
      </w:r>
      <w:r>
        <w:rPr>
          <w:spacing w:val="-9"/>
        </w:rPr>
        <w:t xml:space="preserve"> </w:t>
      </w:r>
      <w:r>
        <w:t>(2003).</w:t>
      </w:r>
      <w:r>
        <w:rPr>
          <w:spacing w:val="-10"/>
        </w:rPr>
        <w:t xml:space="preserve"> </w:t>
      </w:r>
      <w:r>
        <w:t>“Quality</w:t>
      </w:r>
      <w:r>
        <w:rPr>
          <w:spacing w:val="-13"/>
        </w:rPr>
        <w:t xml:space="preserve"> </w:t>
      </w:r>
      <w:r>
        <w:t>of</w:t>
      </w:r>
      <w:r>
        <w:rPr>
          <w:spacing w:val="-8"/>
        </w:rPr>
        <w:t xml:space="preserve"> </w:t>
      </w:r>
      <w:r>
        <w:t>Life in</w:t>
      </w:r>
      <w:r>
        <w:rPr>
          <w:spacing w:val="-3"/>
        </w:rPr>
        <w:t xml:space="preserve"> </w:t>
      </w:r>
      <w:r>
        <w:t>Rural</w:t>
      </w:r>
      <w:r>
        <w:rPr>
          <w:spacing w:val="-3"/>
        </w:rPr>
        <w:t xml:space="preserve"> </w:t>
      </w:r>
      <w:r>
        <w:t>and</w:t>
      </w:r>
      <w:r>
        <w:rPr>
          <w:spacing w:val="-3"/>
        </w:rPr>
        <w:t xml:space="preserve"> </w:t>
      </w:r>
      <w:r>
        <w:t>Urban</w:t>
      </w:r>
      <w:r>
        <w:rPr>
          <w:spacing w:val="-3"/>
        </w:rPr>
        <w:t xml:space="preserve"> </w:t>
      </w:r>
      <w:r>
        <w:t>Populations</w:t>
      </w:r>
      <w:r>
        <w:rPr>
          <w:spacing w:val="-3"/>
        </w:rPr>
        <w:t xml:space="preserve"> </w:t>
      </w:r>
      <w:r>
        <w:t>in</w:t>
      </w:r>
      <w:r>
        <w:rPr>
          <w:spacing w:val="-3"/>
        </w:rPr>
        <w:t xml:space="preserve"> </w:t>
      </w:r>
      <w:r>
        <w:t>Lebanon</w:t>
      </w:r>
      <w:r>
        <w:rPr>
          <w:spacing w:val="-3"/>
        </w:rPr>
        <w:t xml:space="preserve"> </w:t>
      </w:r>
      <w:r>
        <w:t>Using</w:t>
      </w:r>
      <w:r>
        <w:rPr>
          <w:spacing w:val="-3"/>
        </w:rPr>
        <w:t xml:space="preserve"> </w:t>
      </w:r>
      <w:r>
        <w:t>SF-36</w:t>
      </w:r>
      <w:r>
        <w:rPr>
          <w:spacing w:val="-3"/>
        </w:rPr>
        <w:t xml:space="preserve"> </w:t>
      </w:r>
      <w:r>
        <w:t>Health</w:t>
      </w:r>
      <w:r>
        <w:rPr>
          <w:spacing w:val="-3"/>
        </w:rPr>
        <w:t xml:space="preserve"> </w:t>
      </w:r>
      <w:r>
        <w:t>Survey”,</w:t>
      </w:r>
      <w:r>
        <w:rPr>
          <w:spacing w:val="-3"/>
        </w:rPr>
        <w:t xml:space="preserve"> </w:t>
      </w:r>
      <w:r>
        <w:t>Health Quality Life, 1, 1-14.</w:t>
      </w:r>
    </w:p>
    <w:p w14:paraId="6BF5ED02">
      <w:pPr>
        <w:pStyle w:val="9"/>
        <w:spacing w:before="120" w:after="120" w:line="360" w:lineRule="auto"/>
        <w:ind w:left="567" w:hanging="567"/>
      </w:pPr>
      <w:r>
        <w:t>Sağcan,</w:t>
      </w:r>
      <w:r>
        <w:rPr>
          <w:spacing w:val="-4"/>
        </w:rPr>
        <w:t xml:space="preserve"> </w:t>
      </w:r>
      <w:r>
        <w:t>M.</w:t>
      </w:r>
      <w:r>
        <w:rPr>
          <w:spacing w:val="-2"/>
        </w:rPr>
        <w:t xml:space="preserve"> </w:t>
      </w:r>
      <w:r>
        <w:t>(1986).</w:t>
      </w:r>
      <w:r>
        <w:rPr>
          <w:spacing w:val="-2"/>
        </w:rPr>
        <w:t xml:space="preserve"> </w:t>
      </w:r>
      <w:r>
        <w:t>Rekreasyon</w:t>
      </w:r>
      <w:r>
        <w:rPr>
          <w:spacing w:val="-1"/>
        </w:rPr>
        <w:t xml:space="preserve"> </w:t>
      </w:r>
      <w:r>
        <w:t>ve</w:t>
      </w:r>
      <w:r>
        <w:rPr>
          <w:spacing w:val="-3"/>
        </w:rPr>
        <w:t xml:space="preserve"> </w:t>
      </w:r>
      <w:r>
        <w:t>Turizm,</w:t>
      </w:r>
      <w:r>
        <w:rPr>
          <w:spacing w:val="-2"/>
        </w:rPr>
        <w:t xml:space="preserve"> </w:t>
      </w:r>
      <w:r>
        <w:t>Cumhuriyet Basımevi,</w:t>
      </w:r>
      <w:r>
        <w:rPr>
          <w:spacing w:val="1"/>
        </w:rPr>
        <w:t xml:space="preserve"> </w:t>
      </w:r>
      <w:r>
        <w:rPr>
          <w:spacing w:val="-2"/>
        </w:rPr>
        <w:t>İzmir.</w:t>
      </w:r>
    </w:p>
    <w:p w14:paraId="00642B0B">
      <w:pPr>
        <w:pStyle w:val="9"/>
        <w:spacing w:before="120" w:after="120" w:line="360" w:lineRule="auto"/>
        <w:ind w:left="567" w:hanging="567"/>
      </w:pPr>
      <w:r>
        <w:t>Sahlsten, O. (2020). Immersive Mixed Reality (Conference Presentation). In Optical Architectures</w:t>
      </w:r>
      <w:r>
        <w:rPr>
          <w:spacing w:val="-14"/>
        </w:rPr>
        <w:t xml:space="preserve"> </w:t>
      </w:r>
      <w:r>
        <w:t>for</w:t>
      </w:r>
      <w:r>
        <w:rPr>
          <w:spacing w:val="-15"/>
        </w:rPr>
        <w:t xml:space="preserve"> </w:t>
      </w:r>
      <w:r>
        <w:t>Displays</w:t>
      </w:r>
      <w:r>
        <w:rPr>
          <w:spacing w:val="-14"/>
        </w:rPr>
        <w:t xml:space="preserve"> </w:t>
      </w:r>
      <w:r>
        <w:t>and</w:t>
      </w:r>
      <w:r>
        <w:rPr>
          <w:spacing w:val="-14"/>
        </w:rPr>
        <w:t xml:space="preserve"> </w:t>
      </w:r>
      <w:r>
        <w:t>Sensing</w:t>
      </w:r>
      <w:r>
        <w:rPr>
          <w:spacing w:val="-15"/>
        </w:rPr>
        <w:t xml:space="preserve"> </w:t>
      </w:r>
      <w:r>
        <w:t>in</w:t>
      </w:r>
      <w:r>
        <w:rPr>
          <w:spacing w:val="-14"/>
        </w:rPr>
        <w:t xml:space="preserve"> </w:t>
      </w:r>
      <w:r>
        <w:t>Augmented,</w:t>
      </w:r>
      <w:r>
        <w:rPr>
          <w:spacing w:val="-15"/>
        </w:rPr>
        <w:t xml:space="preserve"> </w:t>
      </w:r>
      <w:r>
        <w:t>Virtual,</w:t>
      </w:r>
      <w:r>
        <w:rPr>
          <w:spacing w:val="-14"/>
        </w:rPr>
        <w:t xml:space="preserve"> </w:t>
      </w:r>
      <w:r>
        <w:t>and</w:t>
      </w:r>
      <w:r>
        <w:rPr>
          <w:spacing w:val="-14"/>
        </w:rPr>
        <w:t xml:space="preserve"> </w:t>
      </w:r>
      <w:r>
        <w:t>Mixed</w:t>
      </w:r>
      <w:r>
        <w:rPr>
          <w:spacing w:val="-14"/>
        </w:rPr>
        <w:t xml:space="preserve"> </w:t>
      </w:r>
      <w:r>
        <w:t xml:space="preserve">Reality (AR,VR, MR) (Vol. 11310, p. 1131024). International Society for Optics and </w:t>
      </w:r>
      <w:r>
        <w:rPr>
          <w:spacing w:val="-2"/>
        </w:rPr>
        <w:t>Photonics.</w:t>
      </w:r>
    </w:p>
    <w:p w14:paraId="03BE349F">
      <w:pPr>
        <w:pStyle w:val="9"/>
        <w:spacing w:before="120" w:after="120" w:line="360" w:lineRule="auto"/>
        <w:ind w:left="567" w:hanging="567"/>
      </w:pPr>
      <w:r>
        <w:t>Saldamlı, A. (2008). “Otel İşletmelerinde Bölüm Yöneticilerinin İş ve Yaşam Tatminini Belirlemeye Yönelik Bir Alan Araştırması”, Marmara Üniversitesi İktisadi ve İdari Bilimler Fakültesi Dergisi, 25(2), 693-719.</w:t>
      </w:r>
    </w:p>
    <w:p w14:paraId="5DC48B84">
      <w:pPr>
        <w:widowControl/>
        <w:autoSpaceDE/>
        <w:autoSpaceDN/>
        <w:spacing w:before="120" w:after="120" w:line="360" w:lineRule="auto"/>
        <w:ind w:left="567" w:hanging="567"/>
        <w:jc w:val="both"/>
        <w:rPr>
          <w:rFonts w:eastAsia="Calibri"/>
          <w:color w:val="222222"/>
          <w:sz w:val="24"/>
          <w:szCs w:val="24"/>
          <w:shd w:val="clear" w:color="auto" w:fill="FFFFFF"/>
        </w:rPr>
      </w:pPr>
      <w:r>
        <w:rPr>
          <w:rFonts w:eastAsia="Calibri"/>
          <w:color w:val="222222"/>
          <w:sz w:val="24"/>
          <w:szCs w:val="24"/>
          <w:shd w:val="clear" w:color="auto" w:fill="FFFFFF"/>
        </w:rPr>
        <w:t>Sandıkçı, M. B. Sportif Rekreasyonel Faaliyetler İle Sağlık Açısından Metaverse Ve Sanal Gerçeklik Teknolojisi. </w:t>
      </w:r>
      <w:r>
        <w:rPr>
          <w:rFonts w:eastAsia="Calibri"/>
          <w:i/>
          <w:iCs/>
          <w:color w:val="222222"/>
          <w:sz w:val="24"/>
          <w:szCs w:val="24"/>
          <w:shd w:val="clear" w:color="auto" w:fill="FFFFFF"/>
        </w:rPr>
        <w:t>Beden Eğitimi Ve Spor Araştırmaları–2022</w:t>
      </w:r>
      <w:r>
        <w:rPr>
          <w:rFonts w:eastAsia="Calibri"/>
          <w:color w:val="222222"/>
          <w:sz w:val="24"/>
          <w:szCs w:val="24"/>
          <w:shd w:val="clear" w:color="auto" w:fill="FFFFFF"/>
        </w:rPr>
        <w:t>, 65.</w:t>
      </w:r>
    </w:p>
    <w:p w14:paraId="109FB7EF">
      <w:pPr>
        <w:pStyle w:val="9"/>
        <w:spacing w:before="120" w:after="120" w:line="360" w:lineRule="auto"/>
        <w:ind w:left="567" w:hanging="567"/>
      </w:pPr>
      <w:r>
        <w:t>Sarpkaya, O. A. (2012). Boşanmış Kadınların Yaşam Deneyimlerine Sosyolojik Bakış. Sosyoloji Araştırmaları Dergisi, 15(2).29-50</w:t>
      </w:r>
    </w:p>
    <w:p w14:paraId="1DF198D8">
      <w:pPr>
        <w:pStyle w:val="9"/>
        <w:spacing w:before="120" w:after="120" w:line="360" w:lineRule="auto"/>
        <w:ind w:left="567" w:hanging="567"/>
      </w:pPr>
      <w:r>
        <w:t>Satılmış, S. E., Ekinci, N. E., &amp; Güler, Y. (2022). Pandemi sürecinde bireylerin rekreasyon farkındalık düzeyleri ile yaşam kalitesi arasındaki ilişki. </w:t>
      </w:r>
      <w:r>
        <w:rPr>
          <w:i/>
          <w:iCs/>
        </w:rPr>
        <w:t>Akdeniz Spor Bilimleri Dergisi</w:t>
      </w:r>
      <w:r>
        <w:t>, </w:t>
      </w:r>
      <w:r>
        <w:rPr>
          <w:i/>
          <w:iCs/>
        </w:rPr>
        <w:t>5</w:t>
      </w:r>
      <w:r>
        <w:t>(4), 769-784.</w:t>
      </w:r>
    </w:p>
    <w:p w14:paraId="1BD398F2">
      <w:pPr>
        <w:pStyle w:val="9"/>
        <w:spacing w:before="120" w:after="120" w:line="360" w:lineRule="auto"/>
        <w:ind w:left="567" w:hanging="567"/>
        <w:rPr>
          <w:rFonts w:eastAsia="SimSun"/>
          <w:color w:val="222222"/>
          <w:shd w:val="clear" w:color="auto" w:fill="FFFFFF"/>
        </w:rPr>
      </w:pPr>
      <w:r>
        <w:rPr>
          <w:rFonts w:eastAsia="SimSun"/>
          <w:color w:val="222222"/>
          <w:shd w:val="clear" w:color="auto" w:fill="FFFFFF"/>
        </w:rPr>
        <w:t>Schilling, D. R. (2013). Knowledge doubling every 12 months, soon to be every 12 hours. </w:t>
      </w:r>
      <w:r>
        <w:rPr>
          <w:rFonts w:eastAsia="SimSun"/>
          <w:i/>
          <w:iCs/>
          <w:color w:val="222222"/>
          <w:shd w:val="clear" w:color="auto" w:fill="FFFFFF"/>
        </w:rPr>
        <w:t>Industry Tap</w:t>
      </w:r>
      <w:r>
        <w:rPr>
          <w:rFonts w:eastAsia="SimSun"/>
          <w:color w:val="222222"/>
          <w:shd w:val="clear" w:color="auto" w:fill="FFFFFF"/>
        </w:rPr>
        <w:t>, </w:t>
      </w:r>
      <w:r>
        <w:rPr>
          <w:rFonts w:eastAsia="SimSun"/>
          <w:i/>
          <w:iCs/>
          <w:color w:val="222222"/>
          <w:shd w:val="clear" w:color="auto" w:fill="FFFFFF"/>
        </w:rPr>
        <w:t>19</w:t>
      </w:r>
      <w:r>
        <w:rPr>
          <w:rFonts w:eastAsia="SimSun"/>
          <w:color w:val="222222"/>
          <w:shd w:val="clear" w:color="auto" w:fill="FFFFFF"/>
        </w:rPr>
        <w:t>.</w:t>
      </w:r>
    </w:p>
    <w:p w14:paraId="25726B7C">
      <w:pPr>
        <w:pStyle w:val="9"/>
        <w:spacing w:before="120" w:after="120" w:line="360" w:lineRule="auto"/>
        <w:ind w:left="567" w:hanging="567"/>
      </w:pPr>
      <w:r>
        <w:t>Serçek, S. Ö. (2015). “Serbest Zaman Etkinlikleri Olarak Üniversite Öğrencilerinin Rekreatif Etkinliklere Katılmaları ve Sosyalleşmeleri Arasındaki İlişki”, Türk Dünyası Araştırmaları Vakfı Akademik Bakış Dergisi, s. 51, s. 1-21.</w:t>
      </w:r>
    </w:p>
    <w:p w14:paraId="6FA3D0D9">
      <w:pPr>
        <w:pStyle w:val="9"/>
        <w:spacing w:before="120" w:after="120" w:line="360" w:lineRule="auto"/>
        <w:ind w:left="567" w:hanging="567"/>
      </w:pPr>
      <w:r>
        <w:t>Serdar, E. (2020). Serbest Zaman Tutumu, Serbest Zaman Doyumu Ve Rekreasyonda Algılanan Sağlık Çıktıları Arasındaki İlişki. Doktora Tezi (yayımlanmamış), İÜ Lisansüstü Eğitim Enstitüsü, Spor Yönetim Bilimleri Ana Bilim Dalı, İstanbul.</w:t>
      </w:r>
    </w:p>
    <w:p w14:paraId="34FE14E9">
      <w:pPr>
        <w:spacing w:before="120" w:after="120" w:line="360" w:lineRule="auto"/>
        <w:ind w:left="567" w:hanging="567"/>
        <w:jc w:val="both"/>
        <w:rPr>
          <w:sz w:val="24"/>
          <w:szCs w:val="24"/>
        </w:rPr>
      </w:pPr>
      <w:r>
        <w:rPr>
          <w:sz w:val="24"/>
          <w:szCs w:val="24"/>
        </w:rPr>
        <w:t>Sevi, E., &amp; Türküresin, H. E. Sosyal Bilgiler Öğretmen Adaylarının Sanal Müzelerde Değer Kazanımına İlişkin Görüşleri. </w:t>
      </w:r>
      <w:r>
        <w:rPr>
          <w:i/>
          <w:iCs/>
          <w:sz w:val="24"/>
          <w:szCs w:val="24"/>
        </w:rPr>
        <w:t>Uluslararası Müze Eğitimi Dergisi</w:t>
      </w:r>
      <w:r>
        <w:rPr>
          <w:sz w:val="24"/>
          <w:szCs w:val="24"/>
        </w:rPr>
        <w:t>, </w:t>
      </w:r>
      <w:r>
        <w:rPr>
          <w:i/>
          <w:iCs/>
          <w:sz w:val="24"/>
          <w:szCs w:val="24"/>
        </w:rPr>
        <w:t>5</w:t>
      </w:r>
      <w:r>
        <w:rPr>
          <w:sz w:val="24"/>
          <w:szCs w:val="24"/>
        </w:rPr>
        <w:t>(Cumhuriyetin 100. Yılında Türkiye'de Müzecilik ve Müze Eğitimi" Özel Sayısı), 16-33.</w:t>
      </w:r>
    </w:p>
    <w:p w14:paraId="676AB8CD">
      <w:pPr>
        <w:pStyle w:val="9"/>
        <w:spacing w:before="120" w:after="120" w:line="360" w:lineRule="auto"/>
        <w:ind w:left="567" w:hanging="567"/>
      </w:pPr>
      <w:r>
        <w:t xml:space="preserve">Sevim, N. ve Özer, A. (2013). “Eğlence Pazarlaması”, Anadolu Üniversitesi Yayını, </w:t>
      </w:r>
      <w:r>
        <w:rPr>
          <w:spacing w:val="-2"/>
        </w:rPr>
        <w:t>Eskişehir.</w:t>
      </w:r>
    </w:p>
    <w:p w14:paraId="0A0F75E2">
      <w:pPr>
        <w:spacing w:before="120" w:after="120" w:line="360" w:lineRule="auto"/>
        <w:ind w:left="567" w:hanging="567"/>
        <w:jc w:val="both"/>
        <w:rPr>
          <w:sz w:val="24"/>
          <w:szCs w:val="24"/>
        </w:rPr>
      </w:pPr>
      <w:r>
        <w:rPr>
          <w:sz w:val="24"/>
          <w:szCs w:val="24"/>
        </w:rPr>
        <w:t>Sevin, H. D., &amp; Şen, K. (2019). Öğretmenlerin rekreasyon aktivitelerine katılım düzeyleri ile yaşam mutluluğu ve iş performansları arasındaki ilişki. </w:t>
      </w:r>
      <w:r>
        <w:rPr>
          <w:i/>
          <w:iCs/>
          <w:sz w:val="24"/>
          <w:szCs w:val="24"/>
        </w:rPr>
        <w:t>Dini Araştırmalar</w:t>
      </w:r>
      <w:r>
        <w:rPr>
          <w:sz w:val="24"/>
          <w:szCs w:val="24"/>
        </w:rPr>
        <w:t>, </w:t>
      </w:r>
      <w:r>
        <w:rPr>
          <w:i/>
          <w:iCs/>
          <w:sz w:val="24"/>
          <w:szCs w:val="24"/>
        </w:rPr>
        <w:t>22</w:t>
      </w:r>
      <w:r>
        <w:rPr>
          <w:sz w:val="24"/>
          <w:szCs w:val="24"/>
        </w:rPr>
        <w:t>(55 (15-06-2019)), 213-232.</w:t>
      </w:r>
    </w:p>
    <w:p w14:paraId="37C087AD">
      <w:pPr>
        <w:spacing w:before="120" w:after="120" w:line="360" w:lineRule="auto"/>
        <w:ind w:left="567" w:hanging="567"/>
        <w:jc w:val="both"/>
        <w:rPr>
          <w:sz w:val="24"/>
          <w:szCs w:val="24"/>
        </w:rPr>
      </w:pPr>
      <w:r>
        <w:rPr>
          <w:sz w:val="24"/>
          <w:szCs w:val="24"/>
        </w:rPr>
        <w:t xml:space="preserve">Sheridan, T. B. (1992). Musings on telepresence and virtual presence. </w:t>
      </w:r>
      <w:r>
        <w:rPr>
          <w:i/>
          <w:sz w:val="24"/>
          <w:szCs w:val="24"/>
        </w:rPr>
        <w:t>Presence: Teleoperators and Virtual Environments</w:t>
      </w:r>
      <w:r>
        <w:rPr>
          <w:sz w:val="24"/>
          <w:szCs w:val="24"/>
        </w:rPr>
        <w:t>, 1(1), 120-126.</w:t>
      </w:r>
    </w:p>
    <w:p w14:paraId="3681862C">
      <w:pPr>
        <w:spacing w:before="120" w:after="120" w:line="360" w:lineRule="auto"/>
        <w:ind w:left="567" w:hanging="567"/>
        <w:jc w:val="both"/>
        <w:rPr>
          <w:sz w:val="24"/>
          <w:szCs w:val="24"/>
        </w:rPr>
      </w:pPr>
      <w:r>
        <w:rPr>
          <w:sz w:val="24"/>
          <w:szCs w:val="24"/>
        </w:rPr>
        <w:t>Shookner M. (1998). A Quality of Life Index for Ontario. CSLS Conference on The State of Living Standards and The Quality of Life in Canada, October 30-31, Ottawa, Ontario.</w:t>
      </w:r>
    </w:p>
    <w:p w14:paraId="611D8B33">
      <w:pPr>
        <w:spacing w:before="120" w:after="120" w:line="360" w:lineRule="auto"/>
        <w:ind w:left="567" w:hanging="567"/>
        <w:jc w:val="both"/>
        <w:rPr>
          <w:sz w:val="24"/>
          <w:szCs w:val="24"/>
        </w:rPr>
      </w:pPr>
      <w:r>
        <w:rPr>
          <w:sz w:val="24"/>
          <w:szCs w:val="24"/>
        </w:rPr>
        <w:t>Slater,</w:t>
      </w:r>
      <w:r>
        <w:rPr>
          <w:spacing w:val="-2"/>
          <w:sz w:val="24"/>
          <w:szCs w:val="24"/>
        </w:rPr>
        <w:t xml:space="preserve"> </w:t>
      </w:r>
      <w:r>
        <w:rPr>
          <w:sz w:val="24"/>
          <w:szCs w:val="24"/>
        </w:rPr>
        <w:t>M.</w:t>
      </w:r>
      <w:r>
        <w:rPr>
          <w:spacing w:val="-1"/>
          <w:sz w:val="24"/>
          <w:szCs w:val="24"/>
        </w:rPr>
        <w:t xml:space="preserve"> </w:t>
      </w:r>
      <w:r>
        <w:rPr>
          <w:sz w:val="24"/>
          <w:szCs w:val="24"/>
        </w:rPr>
        <w:t>(2003).</w:t>
      </w:r>
      <w:r>
        <w:rPr>
          <w:spacing w:val="-1"/>
          <w:sz w:val="24"/>
          <w:szCs w:val="24"/>
        </w:rPr>
        <w:t xml:space="preserve"> </w:t>
      </w:r>
      <w:r>
        <w:rPr>
          <w:sz w:val="24"/>
          <w:szCs w:val="24"/>
        </w:rPr>
        <w:t>A</w:t>
      </w:r>
      <w:r>
        <w:rPr>
          <w:spacing w:val="-1"/>
          <w:sz w:val="24"/>
          <w:szCs w:val="24"/>
        </w:rPr>
        <w:t xml:space="preserve"> </w:t>
      </w:r>
      <w:r>
        <w:rPr>
          <w:sz w:val="24"/>
          <w:szCs w:val="24"/>
        </w:rPr>
        <w:t>note on</w:t>
      </w:r>
      <w:r>
        <w:rPr>
          <w:spacing w:val="-1"/>
          <w:sz w:val="24"/>
          <w:szCs w:val="24"/>
        </w:rPr>
        <w:t xml:space="preserve"> </w:t>
      </w:r>
      <w:r>
        <w:rPr>
          <w:sz w:val="24"/>
          <w:szCs w:val="24"/>
        </w:rPr>
        <w:t>presence</w:t>
      </w:r>
      <w:r>
        <w:rPr>
          <w:spacing w:val="-2"/>
          <w:sz w:val="24"/>
          <w:szCs w:val="24"/>
        </w:rPr>
        <w:t xml:space="preserve"> </w:t>
      </w:r>
      <w:r>
        <w:rPr>
          <w:sz w:val="24"/>
          <w:szCs w:val="24"/>
        </w:rPr>
        <w:t>terminology.</w:t>
      </w:r>
      <w:r>
        <w:rPr>
          <w:spacing w:val="1"/>
          <w:sz w:val="24"/>
          <w:szCs w:val="24"/>
        </w:rPr>
        <w:t xml:space="preserve"> </w:t>
      </w:r>
      <w:r>
        <w:rPr>
          <w:i/>
          <w:sz w:val="24"/>
          <w:szCs w:val="24"/>
        </w:rPr>
        <w:t>Presence</w:t>
      </w:r>
      <w:r>
        <w:rPr>
          <w:i/>
          <w:spacing w:val="-2"/>
          <w:sz w:val="24"/>
          <w:szCs w:val="24"/>
        </w:rPr>
        <w:t xml:space="preserve"> </w:t>
      </w:r>
      <w:r>
        <w:rPr>
          <w:i/>
          <w:sz w:val="24"/>
          <w:szCs w:val="24"/>
        </w:rPr>
        <w:t>Connect</w:t>
      </w:r>
      <w:r>
        <w:rPr>
          <w:sz w:val="24"/>
          <w:szCs w:val="24"/>
        </w:rPr>
        <w:t>,</w:t>
      </w:r>
      <w:r>
        <w:rPr>
          <w:spacing w:val="-1"/>
          <w:sz w:val="24"/>
          <w:szCs w:val="24"/>
        </w:rPr>
        <w:t xml:space="preserve"> </w:t>
      </w:r>
      <w:r>
        <w:rPr>
          <w:sz w:val="24"/>
          <w:szCs w:val="24"/>
        </w:rPr>
        <w:t>3(3),</w:t>
      </w:r>
      <w:r>
        <w:rPr>
          <w:spacing w:val="1"/>
          <w:sz w:val="24"/>
          <w:szCs w:val="24"/>
        </w:rPr>
        <w:t xml:space="preserve"> </w:t>
      </w:r>
      <w:r>
        <w:rPr>
          <w:sz w:val="24"/>
          <w:szCs w:val="24"/>
        </w:rPr>
        <w:t>1-</w:t>
      </w:r>
      <w:r>
        <w:rPr>
          <w:spacing w:val="-5"/>
          <w:sz w:val="24"/>
          <w:szCs w:val="24"/>
        </w:rPr>
        <w:t>5.</w:t>
      </w:r>
    </w:p>
    <w:p w14:paraId="7E5EC759">
      <w:pPr>
        <w:spacing w:before="120" w:after="120" w:line="360" w:lineRule="auto"/>
        <w:ind w:left="567" w:hanging="567"/>
        <w:jc w:val="both"/>
        <w:rPr>
          <w:sz w:val="24"/>
          <w:szCs w:val="24"/>
        </w:rPr>
      </w:pPr>
      <w:r>
        <w:rPr>
          <w:sz w:val="24"/>
          <w:szCs w:val="24"/>
        </w:rPr>
        <w:t>Slater, M., &amp; Wilbur, S.</w:t>
      </w:r>
      <w:r>
        <w:rPr>
          <w:spacing w:val="-1"/>
          <w:sz w:val="24"/>
          <w:szCs w:val="24"/>
        </w:rPr>
        <w:t xml:space="preserve"> </w:t>
      </w:r>
      <w:r>
        <w:rPr>
          <w:sz w:val="24"/>
          <w:szCs w:val="24"/>
        </w:rPr>
        <w:t xml:space="preserve">(1997). A framework for immersive virtual environments (FIVE): Speculations on the role of presence in virtual environments. </w:t>
      </w:r>
      <w:r>
        <w:rPr>
          <w:i/>
          <w:sz w:val="24"/>
          <w:szCs w:val="24"/>
        </w:rPr>
        <w:t>Presence: Teleoperators and Virtual Environments</w:t>
      </w:r>
      <w:r>
        <w:rPr>
          <w:sz w:val="24"/>
          <w:szCs w:val="24"/>
        </w:rPr>
        <w:t>, 6(6), 603-616.</w:t>
      </w:r>
    </w:p>
    <w:p w14:paraId="124F5BC3">
      <w:pPr>
        <w:pStyle w:val="9"/>
        <w:spacing w:before="120" w:after="120" w:line="360" w:lineRule="auto"/>
        <w:ind w:left="567" w:hanging="567"/>
      </w:pPr>
      <w:r>
        <w:t xml:space="preserve">Solmaz, U. (2017) “Boş Zamanı Etkili Geçirme Yöntemi: Rekreasyon”, </w:t>
      </w:r>
      <w:r>
        <w:fldChar w:fldCharType="begin"/>
      </w:r>
      <w:r>
        <w:instrText xml:space="preserve"> HYPERLINK "http://ogrencikariyeri.com/" \h </w:instrText>
      </w:r>
      <w:r>
        <w:fldChar w:fldCharType="separate"/>
      </w:r>
      <w:r>
        <w:rPr>
          <w:spacing w:val="-2"/>
        </w:rPr>
        <w:t>http://ogrencikariyeri.com</w:t>
      </w:r>
      <w:r>
        <w:rPr>
          <w:spacing w:val="-2"/>
        </w:rPr>
        <w:fldChar w:fldCharType="end"/>
      </w:r>
    </w:p>
    <w:p w14:paraId="1E88DCB5">
      <w:pPr>
        <w:pStyle w:val="9"/>
        <w:spacing w:before="120" w:after="120" w:line="360" w:lineRule="auto"/>
        <w:ind w:left="567" w:hanging="567"/>
      </w:pPr>
      <w:r>
        <w:t>Steg, L., &amp; Gifford, R. (2005). Sustainable transportation and quality of life. Journal of transport geography, 13(1), 59-69.</w:t>
      </w:r>
    </w:p>
    <w:p w14:paraId="590A9829">
      <w:pPr>
        <w:pStyle w:val="9"/>
        <w:spacing w:before="120" w:after="120" w:line="360" w:lineRule="auto"/>
        <w:ind w:left="567" w:hanging="567"/>
      </w:pPr>
      <w:r>
        <w:t>Steuer,</w:t>
      </w:r>
      <w:r>
        <w:rPr>
          <w:spacing w:val="-3"/>
        </w:rPr>
        <w:t xml:space="preserve"> </w:t>
      </w:r>
      <w:r>
        <w:t>J.</w:t>
      </w:r>
      <w:r>
        <w:rPr>
          <w:spacing w:val="-4"/>
        </w:rPr>
        <w:t xml:space="preserve"> </w:t>
      </w:r>
      <w:r>
        <w:t>(1992).</w:t>
      </w:r>
      <w:r>
        <w:rPr>
          <w:spacing w:val="-3"/>
        </w:rPr>
        <w:t xml:space="preserve"> </w:t>
      </w:r>
      <w:r>
        <w:t>Defining</w:t>
      </w:r>
      <w:r>
        <w:rPr>
          <w:spacing w:val="-6"/>
        </w:rPr>
        <w:t xml:space="preserve"> </w:t>
      </w:r>
      <w:r>
        <w:t>virtual</w:t>
      </w:r>
      <w:r>
        <w:rPr>
          <w:spacing w:val="-3"/>
        </w:rPr>
        <w:t xml:space="preserve"> </w:t>
      </w:r>
      <w:r>
        <w:t>reality:</w:t>
      </w:r>
      <w:r>
        <w:rPr>
          <w:spacing w:val="-2"/>
        </w:rPr>
        <w:t xml:space="preserve"> </w:t>
      </w:r>
      <w:r>
        <w:t>Dimensions</w:t>
      </w:r>
      <w:r>
        <w:rPr>
          <w:spacing w:val="-3"/>
        </w:rPr>
        <w:t xml:space="preserve"> </w:t>
      </w:r>
      <w:r>
        <w:t>determining</w:t>
      </w:r>
      <w:r>
        <w:rPr>
          <w:spacing w:val="-6"/>
        </w:rPr>
        <w:t xml:space="preserve"> </w:t>
      </w:r>
      <w:r>
        <w:t xml:space="preserve">telepresence. </w:t>
      </w:r>
      <w:r>
        <w:rPr>
          <w:i/>
        </w:rPr>
        <w:t>Journal</w:t>
      </w:r>
      <w:r>
        <w:rPr>
          <w:i/>
          <w:spacing w:val="-3"/>
        </w:rPr>
        <w:t xml:space="preserve"> </w:t>
      </w:r>
      <w:r>
        <w:rPr>
          <w:i/>
        </w:rPr>
        <w:t>of Communication</w:t>
      </w:r>
      <w:r>
        <w:t>, 42(4), 73-93.</w:t>
      </w:r>
    </w:p>
    <w:p w14:paraId="272271BD">
      <w:pPr>
        <w:spacing w:before="120" w:after="120" w:line="360" w:lineRule="auto"/>
        <w:ind w:left="567" w:hanging="567"/>
        <w:jc w:val="both"/>
        <w:rPr>
          <w:sz w:val="24"/>
          <w:szCs w:val="24"/>
        </w:rPr>
      </w:pPr>
      <w:r>
        <w:rPr>
          <w:sz w:val="24"/>
          <w:szCs w:val="24"/>
        </w:rPr>
        <w:t>Sutherland,</w:t>
      </w:r>
      <w:r>
        <w:rPr>
          <w:spacing w:val="-9"/>
          <w:sz w:val="24"/>
          <w:szCs w:val="24"/>
        </w:rPr>
        <w:t xml:space="preserve"> </w:t>
      </w:r>
      <w:r>
        <w:rPr>
          <w:sz w:val="24"/>
          <w:szCs w:val="24"/>
        </w:rPr>
        <w:t>J.,</w:t>
      </w:r>
      <w:r>
        <w:rPr>
          <w:spacing w:val="-8"/>
          <w:sz w:val="24"/>
          <w:szCs w:val="24"/>
        </w:rPr>
        <w:t xml:space="preserve"> </w:t>
      </w:r>
      <w:r>
        <w:rPr>
          <w:sz w:val="24"/>
          <w:szCs w:val="24"/>
        </w:rPr>
        <w:t>&amp;</w:t>
      </w:r>
      <w:r>
        <w:rPr>
          <w:spacing w:val="-10"/>
          <w:sz w:val="24"/>
          <w:szCs w:val="24"/>
        </w:rPr>
        <w:t xml:space="preserve"> </w:t>
      </w:r>
      <w:r>
        <w:rPr>
          <w:sz w:val="24"/>
          <w:szCs w:val="24"/>
        </w:rPr>
        <w:t>La</w:t>
      </w:r>
      <w:r>
        <w:rPr>
          <w:spacing w:val="-9"/>
          <w:sz w:val="24"/>
          <w:szCs w:val="24"/>
        </w:rPr>
        <w:t xml:space="preserve"> </w:t>
      </w:r>
      <w:r>
        <w:rPr>
          <w:sz w:val="24"/>
          <w:szCs w:val="24"/>
        </w:rPr>
        <w:t>Russa,</w:t>
      </w:r>
      <w:r>
        <w:rPr>
          <w:spacing w:val="-9"/>
          <w:sz w:val="24"/>
          <w:szCs w:val="24"/>
        </w:rPr>
        <w:t xml:space="preserve"> </w:t>
      </w:r>
      <w:r>
        <w:rPr>
          <w:sz w:val="24"/>
          <w:szCs w:val="24"/>
        </w:rPr>
        <w:t>D.</w:t>
      </w:r>
      <w:r>
        <w:rPr>
          <w:spacing w:val="-9"/>
          <w:sz w:val="24"/>
          <w:szCs w:val="24"/>
        </w:rPr>
        <w:t xml:space="preserve"> </w:t>
      </w:r>
      <w:r>
        <w:rPr>
          <w:sz w:val="24"/>
          <w:szCs w:val="24"/>
        </w:rPr>
        <w:t>J.</w:t>
      </w:r>
      <w:r>
        <w:rPr>
          <w:spacing w:val="-8"/>
          <w:sz w:val="24"/>
          <w:szCs w:val="24"/>
        </w:rPr>
        <w:t xml:space="preserve"> </w:t>
      </w:r>
      <w:r>
        <w:rPr>
          <w:sz w:val="24"/>
          <w:szCs w:val="24"/>
        </w:rPr>
        <w:t>(2024).</w:t>
      </w:r>
      <w:r>
        <w:rPr>
          <w:spacing w:val="-9"/>
          <w:sz w:val="24"/>
          <w:szCs w:val="24"/>
        </w:rPr>
        <w:t xml:space="preserve"> </w:t>
      </w:r>
      <w:r>
        <w:rPr>
          <w:sz w:val="24"/>
          <w:szCs w:val="24"/>
        </w:rPr>
        <w:t>Augmented</w:t>
      </w:r>
      <w:r>
        <w:rPr>
          <w:spacing w:val="-8"/>
          <w:sz w:val="24"/>
          <w:szCs w:val="24"/>
        </w:rPr>
        <w:t xml:space="preserve"> </w:t>
      </w:r>
      <w:r>
        <w:rPr>
          <w:sz w:val="24"/>
          <w:szCs w:val="24"/>
        </w:rPr>
        <w:t>and</w:t>
      </w:r>
      <w:r>
        <w:rPr>
          <w:spacing w:val="-8"/>
          <w:sz w:val="24"/>
          <w:szCs w:val="24"/>
        </w:rPr>
        <w:t xml:space="preserve"> </w:t>
      </w:r>
      <w:r>
        <w:rPr>
          <w:sz w:val="24"/>
          <w:szCs w:val="24"/>
        </w:rPr>
        <w:t>Virtual</w:t>
      </w:r>
      <w:r>
        <w:rPr>
          <w:spacing w:val="-8"/>
          <w:sz w:val="24"/>
          <w:szCs w:val="24"/>
        </w:rPr>
        <w:t xml:space="preserve"> </w:t>
      </w:r>
      <w:r>
        <w:rPr>
          <w:sz w:val="24"/>
          <w:szCs w:val="24"/>
        </w:rPr>
        <w:t>Reality</w:t>
      </w:r>
      <w:r>
        <w:rPr>
          <w:spacing w:val="-13"/>
          <w:sz w:val="24"/>
          <w:szCs w:val="24"/>
        </w:rPr>
        <w:t xml:space="preserve"> </w:t>
      </w:r>
      <w:r>
        <w:rPr>
          <w:sz w:val="24"/>
          <w:szCs w:val="24"/>
        </w:rPr>
        <w:t>in</w:t>
      </w:r>
      <w:r>
        <w:rPr>
          <w:spacing w:val="-8"/>
          <w:sz w:val="24"/>
          <w:szCs w:val="24"/>
        </w:rPr>
        <w:t xml:space="preserve"> </w:t>
      </w:r>
      <w:r>
        <w:rPr>
          <w:sz w:val="24"/>
          <w:szCs w:val="24"/>
        </w:rPr>
        <w:t>Medicine.</w:t>
      </w:r>
      <w:r>
        <w:rPr>
          <w:spacing w:val="-6"/>
          <w:sz w:val="24"/>
          <w:szCs w:val="24"/>
        </w:rPr>
        <w:t xml:space="preserve"> </w:t>
      </w:r>
      <w:r>
        <w:rPr>
          <w:sz w:val="24"/>
          <w:szCs w:val="24"/>
        </w:rPr>
        <w:t xml:space="preserve">In </w:t>
      </w:r>
      <w:r>
        <w:rPr>
          <w:i/>
          <w:sz w:val="24"/>
          <w:szCs w:val="24"/>
        </w:rPr>
        <w:t xml:space="preserve">3D Printing at Hospitals and Medical Centers: A Practical Guide for Medical Professionals </w:t>
      </w:r>
      <w:r>
        <w:rPr>
          <w:sz w:val="24"/>
          <w:szCs w:val="24"/>
        </w:rPr>
        <w:t>(pp. 377-391). Cham: Springer International Publishing.</w:t>
      </w:r>
    </w:p>
    <w:p w14:paraId="4404AE2F">
      <w:pPr>
        <w:pStyle w:val="9"/>
        <w:spacing w:before="120" w:after="120" w:line="360" w:lineRule="auto"/>
        <w:ind w:left="567" w:hanging="567"/>
      </w:pPr>
      <w:r>
        <w:tab/>
      </w:r>
      <w:r>
        <w:t>Syst.</w:t>
      </w:r>
      <w:r>
        <w:rPr>
          <w:spacing w:val="-2"/>
        </w:rPr>
        <w:t xml:space="preserve"> 3–14.</w:t>
      </w:r>
    </w:p>
    <w:p w14:paraId="68DB1AD0">
      <w:pPr>
        <w:spacing w:before="120" w:after="120" w:line="360" w:lineRule="auto"/>
        <w:ind w:left="567" w:hanging="567"/>
        <w:jc w:val="both"/>
        <w:rPr>
          <w:sz w:val="24"/>
          <w:szCs w:val="24"/>
        </w:rPr>
      </w:pPr>
      <w:r>
        <w:rPr>
          <w:sz w:val="24"/>
          <w:szCs w:val="24"/>
        </w:rPr>
        <w:t>Şeker, M. (2014). Levh-i Mahfuz ve Holografik Evren. KADER Kelam Araştırmaları Dergisi, 12(1).</w:t>
      </w:r>
    </w:p>
    <w:p w14:paraId="061A0570">
      <w:pPr>
        <w:pStyle w:val="9"/>
        <w:spacing w:before="120" w:after="120" w:line="360" w:lineRule="auto"/>
        <w:ind w:left="567" w:hanging="567"/>
      </w:pPr>
      <w:r>
        <w:t>Tan, G., Zhan, T., Lee, Y. H., Xiong, J., and Wu, S.T. (2018). Polarization-multiplexed multi-plane display. Opt. Lett. 43, 5651-5654.</w:t>
      </w:r>
    </w:p>
    <w:p w14:paraId="32FA4E8F">
      <w:pPr>
        <w:pStyle w:val="9"/>
        <w:spacing w:before="120" w:after="120" w:line="360" w:lineRule="auto"/>
        <w:ind w:left="567" w:hanging="567"/>
      </w:pPr>
      <w:r>
        <w:t>Tanrıkulu, B., &amp; Karagöl, A. (2021). Müzede Sanal Gerçeklik Uygulamaları: Bir Örnek Çalışma Olarak Kaplumbağa</w:t>
      </w:r>
      <w:r>
        <w:rPr>
          <w:spacing w:val="-1"/>
        </w:rPr>
        <w:t xml:space="preserve"> </w:t>
      </w:r>
      <w:r>
        <w:t>Terbiyecisi. Yeni Medya</w:t>
      </w:r>
      <w:r>
        <w:rPr>
          <w:spacing w:val="-1"/>
        </w:rPr>
        <w:t xml:space="preserve"> </w:t>
      </w:r>
      <w:r>
        <w:t xml:space="preserve">Elektronik Dergisi, 5(2), 95- </w:t>
      </w:r>
      <w:r>
        <w:rPr>
          <w:spacing w:val="-4"/>
        </w:rPr>
        <w:t>111.</w:t>
      </w:r>
    </w:p>
    <w:p w14:paraId="0F857886">
      <w:pPr>
        <w:pStyle w:val="9"/>
        <w:spacing w:before="120" w:after="120" w:line="360" w:lineRule="auto"/>
        <w:ind w:left="567" w:hanging="567"/>
      </w:pPr>
      <w:r>
        <w:t>Tardy,</w:t>
      </w:r>
      <w:r>
        <w:rPr>
          <w:spacing w:val="3"/>
        </w:rPr>
        <w:t xml:space="preserve"> </w:t>
      </w:r>
      <w:r>
        <w:t>C.</w:t>
      </w:r>
      <w:r>
        <w:rPr>
          <w:spacing w:val="5"/>
        </w:rPr>
        <w:t xml:space="preserve"> </w:t>
      </w:r>
      <w:r>
        <w:t>M.,</w:t>
      </w:r>
      <w:r>
        <w:rPr>
          <w:spacing w:val="9"/>
        </w:rPr>
        <w:t xml:space="preserve"> </w:t>
      </w:r>
      <w:r>
        <w:t>&amp;</w:t>
      </w:r>
      <w:r>
        <w:rPr>
          <w:spacing w:val="4"/>
        </w:rPr>
        <w:t xml:space="preserve"> </w:t>
      </w:r>
      <w:r>
        <w:t>Snyder,</w:t>
      </w:r>
      <w:r>
        <w:rPr>
          <w:spacing w:val="8"/>
        </w:rPr>
        <w:t xml:space="preserve"> </w:t>
      </w:r>
      <w:r>
        <w:t>B.</w:t>
      </w:r>
      <w:r>
        <w:rPr>
          <w:spacing w:val="5"/>
        </w:rPr>
        <w:t xml:space="preserve"> </w:t>
      </w:r>
      <w:r>
        <w:t>(2004).</w:t>
      </w:r>
      <w:r>
        <w:rPr>
          <w:spacing w:val="6"/>
        </w:rPr>
        <w:t xml:space="preserve"> </w:t>
      </w:r>
      <w:r>
        <w:t>‘That's</w:t>
      </w:r>
      <w:r>
        <w:rPr>
          <w:spacing w:val="6"/>
        </w:rPr>
        <w:t xml:space="preserve"> </w:t>
      </w:r>
      <w:r>
        <w:t>why</w:t>
      </w:r>
      <w:r>
        <w:rPr>
          <w:spacing w:val="5"/>
        </w:rPr>
        <w:t xml:space="preserve"> </w:t>
      </w:r>
      <w:r>
        <w:t>I</w:t>
      </w:r>
      <w:r>
        <w:rPr>
          <w:spacing w:val="6"/>
        </w:rPr>
        <w:t xml:space="preserve"> </w:t>
      </w:r>
      <w:r>
        <w:t>do</w:t>
      </w:r>
      <w:r>
        <w:rPr>
          <w:spacing w:val="5"/>
        </w:rPr>
        <w:t xml:space="preserve"> </w:t>
      </w:r>
      <w:r>
        <w:t>it’:</w:t>
      </w:r>
      <w:r>
        <w:rPr>
          <w:spacing w:val="6"/>
        </w:rPr>
        <w:t xml:space="preserve"> </w:t>
      </w:r>
      <w:r>
        <w:t>flow</w:t>
      </w:r>
      <w:r>
        <w:rPr>
          <w:spacing w:val="5"/>
        </w:rPr>
        <w:t xml:space="preserve"> </w:t>
      </w:r>
      <w:r>
        <w:t>and</w:t>
      </w:r>
      <w:r>
        <w:rPr>
          <w:spacing w:val="9"/>
        </w:rPr>
        <w:t xml:space="preserve"> </w:t>
      </w:r>
      <w:r>
        <w:t>EFL</w:t>
      </w:r>
      <w:r>
        <w:rPr>
          <w:spacing w:val="5"/>
        </w:rPr>
        <w:t xml:space="preserve"> </w:t>
      </w:r>
      <w:r>
        <w:t>teachers’</w:t>
      </w:r>
      <w:r>
        <w:rPr>
          <w:spacing w:val="7"/>
        </w:rPr>
        <w:t xml:space="preserve"> </w:t>
      </w:r>
      <w:r>
        <w:rPr>
          <w:spacing w:val="-2"/>
        </w:rPr>
        <w:t>practices.</w:t>
      </w:r>
    </w:p>
    <w:p w14:paraId="67C4B888">
      <w:pPr>
        <w:pStyle w:val="9"/>
        <w:spacing w:before="120" w:after="120" w:line="360" w:lineRule="auto"/>
        <w:ind w:left="567" w:hanging="567"/>
      </w:pPr>
      <w:r>
        <w:t>Taştan, N. (2020). Her Açıdan Rekreasyon, İçinde, C. Taşkın (Ed.), Rekreasyon Paradigması, ss. 1-32, Gazi Kitabevi, Ankara.</w:t>
      </w:r>
    </w:p>
    <w:p w14:paraId="1BFF2F2F">
      <w:pPr>
        <w:pStyle w:val="9"/>
        <w:spacing w:before="120" w:after="120" w:line="360" w:lineRule="auto"/>
        <w:ind w:left="567" w:hanging="567"/>
      </w:pPr>
      <w:r>
        <w:t>Teo, T. S. H., Lim, V. K. G., &amp; Lai, R. Y. C. (1999). Intrinsic and extrinsic motivation in Internet usage. Omega, 27(1), 25-37.</w:t>
      </w:r>
    </w:p>
    <w:p w14:paraId="207C46C6">
      <w:pPr>
        <w:spacing w:before="120" w:after="120" w:line="360" w:lineRule="auto"/>
        <w:ind w:left="567" w:hanging="567"/>
        <w:jc w:val="both"/>
        <w:rPr>
          <w:sz w:val="24"/>
          <w:szCs w:val="24"/>
        </w:rPr>
      </w:pPr>
      <w:r>
        <w:rPr>
          <w:sz w:val="24"/>
          <w:szCs w:val="24"/>
        </w:rPr>
        <w:t>Ternier,</w:t>
      </w:r>
      <w:r>
        <w:rPr>
          <w:spacing w:val="-15"/>
          <w:sz w:val="24"/>
          <w:szCs w:val="24"/>
        </w:rPr>
        <w:t xml:space="preserve"> </w:t>
      </w:r>
      <w:r>
        <w:rPr>
          <w:sz w:val="24"/>
          <w:szCs w:val="24"/>
        </w:rPr>
        <w:t>S.,</w:t>
      </w:r>
      <w:r>
        <w:rPr>
          <w:spacing w:val="-15"/>
          <w:sz w:val="24"/>
          <w:szCs w:val="24"/>
        </w:rPr>
        <w:t xml:space="preserve"> </w:t>
      </w:r>
      <w:r>
        <w:rPr>
          <w:sz w:val="24"/>
          <w:szCs w:val="24"/>
        </w:rPr>
        <w:t>Klemke,</w:t>
      </w:r>
      <w:r>
        <w:rPr>
          <w:spacing w:val="-15"/>
          <w:sz w:val="24"/>
          <w:szCs w:val="24"/>
        </w:rPr>
        <w:t xml:space="preserve"> </w:t>
      </w:r>
      <w:r>
        <w:rPr>
          <w:sz w:val="24"/>
          <w:szCs w:val="24"/>
        </w:rPr>
        <w:t>R.,</w:t>
      </w:r>
      <w:r>
        <w:rPr>
          <w:spacing w:val="-15"/>
          <w:sz w:val="24"/>
          <w:szCs w:val="24"/>
        </w:rPr>
        <w:t xml:space="preserve"> </w:t>
      </w:r>
      <w:r>
        <w:rPr>
          <w:sz w:val="24"/>
          <w:szCs w:val="24"/>
        </w:rPr>
        <w:t>Kalz,</w:t>
      </w:r>
      <w:r>
        <w:rPr>
          <w:spacing w:val="-15"/>
          <w:sz w:val="24"/>
          <w:szCs w:val="24"/>
        </w:rPr>
        <w:t xml:space="preserve"> </w:t>
      </w:r>
      <w:r>
        <w:rPr>
          <w:sz w:val="24"/>
          <w:szCs w:val="24"/>
        </w:rPr>
        <w:t>M.,</w:t>
      </w:r>
      <w:r>
        <w:rPr>
          <w:spacing w:val="-15"/>
          <w:sz w:val="24"/>
          <w:szCs w:val="24"/>
        </w:rPr>
        <w:t xml:space="preserve"> </w:t>
      </w:r>
      <w:r>
        <w:rPr>
          <w:sz w:val="24"/>
          <w:szCs w:val="24"/>
        </w:rPr>
        <w:t>Van</w:t>
      </w:r>
      <w:r>
        <w:rPr>
          <w:spacing w:val="-15"/>
          <w:sz w:val="24"/>
          <w:szCs w:val="24"/>
        </w:rPr>
        <w:t xml:space="preserve"> </w:t>
      </w:r>
      <w:r>
        <w:rPr>
          <w:sz w:val="24"/>
          <w:szCs w:val="24"/>
        </w:rPr>
        <w:t>Ulzen,</w:t>
      </w:r>
      <w:r>
        <w:rPr>
          <w:spacing w:val="-15"/>
          <w:sz w:val="24"/>
          <w:szCs w:val="24"/>
        </w:rPr>
        <w:t xml:space="preserve"> </w:t>
      </w:r>
      <w:r>
        <w:rPr>
          <w:sz w:val="24"/>
          <w:szCs w:val="24"/>
        </w:rPr>
        <w:t>P.,</w:t>
      </w:r>
      <w:r>
        <w:rPr>
          <w:spacing w:val="-15"/>
          <w:sz w:val="24"/>
          <w:szCs w:val="24"/>
        </w:rPr>
        <w:t xml:space="preserve"> </w:t>
      </w:r>
      <w:r>
        <w:rPr>
          <w:sz w:val="24"/>
          <w:szCs w:val="24"/>
        </w:rPr>
        <w:t>&amp;</w:t>
      </w:r>
      <w:r>
        <w:rPr>
          <w:spacing w:val="-15"/>
          <w:sz w:val="24"/>
          <w:szCs w:val="24"/>
        </w:rPr>
        <w:t xml:space="preserve"> </w:t>
      </w:r>
      <w:r>
        <w:rPr>
          <w:sz w:val="24"/>
          <w:szCs w:val="24"/>
        </w:rPr>
        <w:t>Specht,</w:t>
      </w:r>
      <w:r>
        <w:rPr>
          <w:spacing w:val="-15"/>
          <w:sz w:val="24"/>
          <w:szCs w:val="24"/>
        </w:rPr>
        <w:t xml:space="preserve"> </w:t>
      </w:r>
      <w:r>
        <w:rPr>
          <w:sz w:val="24"/>
          <w:szCs w:val="24"/>
        </w:rPr>
        <w:t>M.</w:t>
      </w:r>
      <w:r>
        <w:rPr>
          <w:spacing w:val="-15"/>
          <w:sz w:val="24"/>
          <w:szCs w:val="24"/>
        </w:rPr>
        <w:t xml:space="preserve"> </w:t>
      </w:r>
      <w:r>
        <w:rPr>
          <w:sz w:val="24"/>
          <w:szCs w:val="24"/>
        </w:rPr>
        <w:t>(2012).</w:t>
      </w:r>
      <w:r>
        <w:rPr>
          <w:spacing w:val="-15"/>
          <w:sz w:val="24"/>
          <w:szCs w:val="24"/>
        </w:rPr>
        <w:t xml:space="preserve"> </w:t>
      </w:r>
      <w:r>
        <w:rPr>
          <w:sz w:val="24"/>
          <w:szCs w:val="24"/>
        </w:rPr>
        <w:t>ARLearn:</w:t>
      </w:r>
      <w:r>
        <w:rPr>
          <w:spacing w:val="-15"/>
          <w:sz w:val="24"/>
          <w:szCs w:val="24"/>
        </w:rPr>
        <w:t xml:space="preserve"> </w:t>
      </w:r>
      <w:r>
        <w:rPr>
          <w:sz w:val="24"/>
          <w:szCs w:val="24"/>
        </w:rPr>
        <w:t>augmented reality meets augmented virtuality.</w:t>
      </w:r>
      <w:r>
        <w:rPr>
          <w:spacing w:val="-1"/>
          <w:sz w:val="24"/>
          <w:szCs w:val="24"/>
        </w:rPr>
        <w:t xml:space="preserve"> </w:t>
      </w:r>
      <w:r>
        <w:rPr>
          <w:i/>
          <w:sz w:val="24"/>
          <w:szCs w:val="24"/>
        </w:rPr>
        <w:t>Journal of Universal Computer Science- Technology for learning across physical and virtual spaces</w:t>
      </w:r>
      <w:r>
        <w:rPr>
          <w:sz w:val="24"/>
          <w:szCs w:val="24"/>
        </w:rPr>
        <w:t xml:space="preserve">, </w:t>
      </w:r>
      <w:r>
        <w:rPr>
          <w:i/>
          <w:sz w:val="24"/>
          <w:szCs w:val="24"/>
        </w:rPr>
        <w:t>18</w:t>
      </w:r>
      <w:r>
        <w:rPr>
          <w:sz w:val="24"/>
          <w:szCs w:val="24"/>
        </w:rPr>
        <w:t>(15), 2143-2164.</w:t>
      </w:r>
    </w:p>
    <w:p w14:paraId="1A74EF11">
      <w:pPr>
        <w:pStyle w:val="9"/>
        <w:spacing w:before="120" w:after="120" w:line="360" w:lineRule="auto"/>
        <w:ind w:left="567" w:hanging="567"/>
      </w:pPr>
      <w:r>
        <w:t>Topaçoğlu, O., &amp; Kılavuz, M. E. S. (2022). Rekreasyon ve sosyalleşme açısından metaverse incelemesi. </w:t>
      </w:r>
      <w:r>
        <w:rPr>
          <w:i/>
          <w:iCs/>
        </w:rPr>
        <w:t>Journal of Recreation and Tourism Research</w:t>
      </w:r>
      <w:r>
        <w:t>, </w:t>
      </w:r>
      <w:r>
        <w:rPr>
          <w:i/>
          <w:iCs/>
        </w:rPr>
        <w:t>9</w:t>
      </w:r>
      <w:r>
        <w:t>(3), 18-37.</w:t>
      </w:r>
    </w:p>
    <w:p w14:paraId="78DBE40F">
      <w:pPr>
        <w:pStyle w:val="9"/>
        <w:spacing w:before="120" w:after="120" w:line="360" w:lineRule="auto"/>
        <w:ind w:left="567" w:hanging="567"/>
      </w:pPr>
      <w:r>
        <w:t>Torlak,</w:t>
      </w:r>
      <w:r>
        <w:rPr>
          <w:spacing w:val="32"/>
        </w:rPr>
        <w:t xml:space="preserve"> </w:t>
      </w:r>
      <w:r>
        <w:t>S.</w:t>
      </w:r>
      <w:r>
        <w:rPr>
          <w:spacing w:val="32"/>
        </w:rPr>
        <w:t xml:space="preserve"> </w:t>
      </w:r>
      <w:r>
        <w:t>E.</w:t>
      </w:r>
      <w:r>
        <w:rPr>
          <w:spacing w:val="32"/>
        </w:rPr>
        <w:t xml:space="preserve"> </w:t>
      </w:r>
      <w:r>
        <w:t>ve</w:t>
      </w:r>
      <w:r>
        <w:rPr>
          <w:spacing w:val="31"/>
        </w:rPr>
        <w:t xml:space="preserve"> </w:t>
      </w:r>
      <w:r>
        <w:t>Yavuzçehre,</w:t>
      </w:r>
      <w:r>
        <w:rPr>
          <w:spacing w:val="32"/>
        </w:rPr>
        <w:t xml:space="preserve"> </w:t>
      </w:r>
      <w:r>
        <w:t>P.</w:t>
      </w:r>
      <w:r>
        <w:rPr>
          <w:spacing w:val="32"/>
        </w:rPr>
        <w:t xml:space="preserve"> </w:t>
      </w:r>
      <w:r>
        <w:t>S.</w:t>
      </w:r>
      <w:r>
        <w:rPr>
          <w:spacing w:val="32"/>
        </w:rPr>
        <w:t xml:space="preserve"> </w:t>
      </w:r>
      <w:r>
        <w:t>(2008).</w:t>
      </w:r>
      <w:r>
        <w:rPr>
          <w:spacing w:val="32"/>
        </w:rPr>
        <w:t xml:space="preserve"> </w:t>
      </w:r>
      <w:r>
        <w:t>“Denizli</w:t>
      </w:r>
      <w:r>
        <w:rPr>
          <w:spacing w:val="33"/>
        </w:rPr>
        <w:t xml:space="preserve"> </w:t>
      </w:r>
      <w:r>
        <w:t>Kent</w:t>
      </w:r>
      <w:r>
        <w:rPr>
          <w:spacing w:val="33"/>
        </w:rPr>
        <w:t xml:space="preserve"> </w:t>
      </w:r>
      <w:r>
        <w:t>Yoksullarının</w:t>
      </w:r>
      <w:r>
        <w:rPr>
          <w:spacing w:val="30"/>
        </w:rPr>
        <w:t xml:space="preserve"> </w:t>
      </w:r>
      <w:r>
        <w:t>Yaşam</w:t>
      </w:r>
      <w:r>
        <w:rPr>
          <w:spacing w:val="33"/>
        </w:rPr>
        <w:t xml:space="preserve"> </w:t>
      </w:r>
      <w:r>
        <w:t>Kalitesi Üzerine Bir İnceleme”, Çağdaş Yerel Yönetimler, 17 (2), 23-44.</w:t>
      </w:r>
    </w:p>
    <w:p w14:paraId="7FF19794">
      <w:pPr>
        <w:pStyle w:val="9"/>
        <w:spacing w:before="120" w:after="120" w:line="360" w:lineRule="auto"/>
        <w:ind w:left="567" w:hanging="567"/>
      </w:pPr>
      <w:r>
        <w:t>Trew, A., &amp; Malle, N. (2004). Modelling a system to deliver electronic entertainment over a Broadband connection. The Electronic Library, 22(1), 23–31.</w:t>
      </w:r>
    </w:p>
    <w:p w14:paraId="7F33B103">
      <w:pPr>
        <w:pStyle w:val="9"/>
        <w:spacing w:before="120" w:after="120" w:line="360" w:lineRule="auto"/>
        <w:ind w:left="567" w:hanging="567"/>
      </w:pPr>
      <w:r>
        <w:t>Tribe, J. (2020). The economics of recreation, leisure and tourism. Routledge.</w:t>
      </w:r>
    </w:p>
    <w:p w14:paraId="16B36221">
      <w:pPr>
        <w:pStyle w:val="9"/>
        <w:spacing w:before="120" w:after="120" w:line="360" w:lineRule="auto"/>
        <w:ind w:left="567" w:hanging="567"/>
      </w:pPr>
      <w:r>
        <w:t>Tuma,</w:t>
      </w:r>
      <w:r>
        <w:rPr>
          <w:spacing w:val="-1"/>
        </w:rPr>
        <w:t xml:space="preserve"> </w:t>
      </w:r>
      <w:r>
        <w:t>A. H.,</w:t>
      </w:r>
      <w:r>
        <w:rPr>
          <w:spacing w:val="2"/>
        </w:rPr>
        <w:t xml:space="preserve"> </w:t>
      </w:r>
      <w:r>
        <w:t>&amp;</w:t>
      </w:r>
      <w:r>
        <w:rPr>
          <w:spacing w:val="-2"/>
        </w:rPr>
        <w:t xml:space="preserve"> </w:t>
      </w:r>
      <w:r>
        <w:t>Maser, J. D. (Eds.). (2019).</w:t>
      </w:r>
      <w:r>
        <w:rPr>
          <w:spacing w:val="2"/>
        </w:rPr>
        <w:t xml:space="preserve"> </w:t>
      </w:r>
      <w:r>
        <w:t>Anxiety</w:t>
      </w:r>
      <w:r>
        <w:rPr>
          <w:spacing w:val="-5"/>
        </w:rPr>
        <w:t xml:space="preserve"> </w:t>
      </w:r>
      <w:r>
        <w:t>and the</w:t>
      </w:r>
      <w:r>
        <w:rPr>
          <w:spacing w:val="1"/>
        </w:rPr>
        <w:t xml:space="preserve"> </w:t>
      </w:r>
      <w:r>
        <w:t>anxiety</w:t>
      </w:r>
      <w:r>
        <w:rPr>
          <w:spacing w:val="-5"/>
        </w:rPr>
        <w:t xml:space="preserve"> </w:t>
      </w:r>
      <w:r>
        <w:t>disorders.</w:t>
      </w:r>
      <w:r>
        <w:rPr>
          <w:spacing w:val="2"/>
        </w:rPr>
        <w:t xml:space="preserve"> </w:t>
      </w:r>
      <w:r>
        <w:rPr>
          <w:spacing w:val="-2"/>
        </w:rPr>
        <w:t>Routledge.</w:t>
      </w:r>
    </w:p>
    <w:p w14:paraId="2BD26FDC">
      <w:pPr>
        <w:pStyle w:val="9"/>
        <w:spacing w:before="120" w:after="120" w:line="360" w:lineRule="auto"/>
        <w:ind w:left="567" w:hanging="567"/>
      </w:pPr>
      <w:r>
        <w:t>Tunç, M. (2011). Zihinsel engelli çocuğa sahip annelerin yaşam kalitesini etkileyen etmenler: Yenimahalle ilçesi örneği (Master's thesis, Sosyal Bilimler Enstitüsü).</w:t>
      </w:r>
    </w:p>
    <w:p w14:paraId="4FC9685F">
      <w:pPr>
        <w:pStyle w:val="9"/>
        <w:spacing w:before="120" w:after="120" w:line="360" w:lineRule="auto"/>
        <w:ind w:left="567" w:hanging="567"/>
      </w:pPr>
      <w:r>
        <w:t>Türker, N., Selçuk, Ş. &amp; Özyıldırım, A. (2016). Turizmin Yerel Halkın Yaşam Kalitesi Üzerine Etkisi: Safranbolu Örneği. Karabük Üniversitesi Sosyal Bilimler Enstitüsü Dergisi, 6 (1), 1-13</w:t>
      </w:r>
    </w:p>
    <w:p w14:paraId="4F1437D2">
      <w:pPr>
        <w:pStyle w:val="9"/>
        <w:spacing w:before="120" w:after="120" w:line="360" w:lineRule="auto"/>
        <w:ind w:left="567" w:hanging="567"/>
      </w:pPr>
      <w:r>
        <w:t>Tütüncü, Ö., Aydın, İ., (2014), “Toplum ve Açık Hava Rekreasyon Faaliyetleri: ABD Örneği”, Anatolia: Turizm Araştırmaları Dergisi, 2014, C. 25, S. 1, s. 118-120.</w:t>
      </w:r>
    </w:p>
    <w:p w14:paraId="561CBDD8">
      <w:pPr>
        <w:pStyle w:val="9"/>
        <w:spacing w:before="120" w:after="120" w:line="360" w:lineRule="auto"/>
        <w:ind w:left="567" w:hanging="567"/>
      </w:pPr>
      <w:r>
        <w:t>Tütüncü, Ö., Aydın, İ., Küçükusta, D., Avcı, N. &amp; Taş, İ. (2011). Analysis of Factors Affecting University Students' Participation in Recreation Activities, Journal of Sport Sciences, 22(2), 69–83.</w:t>
      </w:r>
    </w:p>
    <w:p w14:paraId="400EA95A">
      <w:pPr>
        <w:pStyle w:val="9"/>
        <w:spacing w:before="120" w:after="120" w:line="360" w:lineRule="auto"/>
        <w:ind w:left="567" w:hanging="567"/>
      </w:pPr>
      <w:r>
        <w:rPr>
          <w:spacing w:val="-2"/>
        </w:rPr>
        <w:t>Tüzün,</w:t>
      </w:r>
      <w:r>
        <w:rPr>
          <w:spacing w:val="-6"/>
        </w:rPr>
        <w:t xml:space="preserve"> </w:t>
      </w:r>
      <w:r>
        <w:rPr>
          <w:spacing w:val="-2"/>
        </w:rPr>
        <w:t>E.</w:t>
      </w:r>
      <w:r>
        <w:rPr>
          <w:spacing w:val="-6"/>
        </w:rPr>
        <w:t xml:space="preserve"> </w:t>
      </w:r>
      <w:r>
        <w:rPr>
          <w:spacing w:val="-2"/>
        </w:rPr>
        <w:t>H.</w:t>
      </w:r>
      <w:r>
        <w:rPr>
          <w:spacing w:val="-6"/>
        </w:rPr>
        <w:t xml:space="preserve"> </w:t>
      </w:r>
      <w:r>
        <w:rPr>
          <w:spacing w:val="-2"/>
        </w:rPr>
        <w:t>ve</w:t>
      </w:r>
      <w:r>
        <w:rPr>
          <w:spacing w:val="-7"/>
        </w:rPr>
        <w:t xml:space="preserve"> </w:t>
      </w:r>
      <w:r>
        <w:rPr>
          <w:spacing w:val="-2"/>
        </w:rPr>
        <w:t>Eker,</w:t>
      </w:r>
      <w:r>
        <w:rPr>
          <w:spacing w:val="-4"/>
        </w:rPr>
        <w:t xml:space="preserve"> </w:t>
      </w:r>
      <w:r>
        <w:rPr>
          <w:spacing w:val="-2"/>
        </w:rPr>
        <w:t>L.</w:t>
      </w:r>
      <w:r>
        <w:rPr>
          <w:spacing w:val="-6"/>
        </w:rPr>
        <w:t xml:space="preserve"> </w:t>
      </w:r>
      <w:r>
        <w:rPr>
          <w:spacing w:val="-2"/>
        </w:rPr>
        <w:t>(2003).</w:t>
      </w:r>
      <w:r>
        <w:rPr>
          <w:spacing w:val="-6"/>
        </w:rPr>
        <w:t xml:space="preserve"> </w:t>
      </w:r>
      <w:r>
        <w:rPr>
          <w:spacing w:val="-2"/>
        </w:rPr>
        <w:t>“Sağlık</w:t>
      </w:r>
      <w:r>
        <w:rPr>
          <w:spacing w:val="-6"/>
        </w:rPr>
        <w:t xml:space="preserve"> </w:t>
      </w:r>
      <w:r>
        <w:rPr>
          <w:spacing w:val="-2"/>
        </w:rPr>
        <w:t>Değerlendirme</w:t>
      </w:r>
      <w:r>
        <w:rPr>
          <w:spacing w:val="-7"/>
        </w:rPr>
        <w:t xml:space="preserve"> </w:t>
      </w:r>
      <w:r>
        <w:rPr>
          <w:spacing w:val="-2"/>
        </w:rPr>
        <w:t>Ölçütleri</w:t>
      </w:r>
      <w:r>
        <w:rPr>
          <w:spacing w:val="-6"/>
        </w:rPr>
        <w:t xml:space="preserve"> </w:t>
      </w:r>
      <w:r>
        <w:rPr>
          <w:spacing w:val="-2"/>
        </w:rPr>
        <w:t>ve</w:t>
      </w:r>
      <w:r>
        <w:rPr>
          <w:spacing w:val="-7"/>
        </w:rPr>
        <w:t xml:space="preserve"> </w:t>
      </w:r>
      <w:r>
        <w:rPr>
          <w:spacing w:val="-2"/>
        </w:rPr>
        <w:t>Yaşam</w:t>
      </w:r>
      <w:r>
        <w:rPr>
          <w:spacing w:val="-3"/>
        </w:rPr>
        <w:t xml:space="preserve"> </w:t>
      </w:r>
      <w:r>
        <w:rPr>
          <w:spacing w:val="-2"/>
        </w:rPr>
        <w:t>Kalitesi”,</w:t>
      </w:r>
      <w:r>
        <w:rPr>
          <w:spacing w:val="-6"/>
        </w:rPr>
        <w:t xml:space="preserve"> </w:t>
      </w:r>
      <w:r>
        <w:rPr>
          <w:spacing w:val="-2"/>
        </w:rPr>
        <w:t xml:space="preserve">Sağlık </w:t>
      </w:r>
      <w:r>
        <w:t>ve Toplum Dergisi, 13(2), 3-8.</w:t>
      </w:r>
    </w:p>
    <w:p w14:paraId="12A7A35D">
      <w:pPr>
        <w:pStyle w:val="9"/>
        <w:spacing w:before="120" w:after="120" w:line="360" w:lineRule="auto"/>
        <w:ind w:left="567" w:hanging="567"/>
      </w:pPr>
      <w:r>
        <w:t>Ümmühan, M. O. L. O. (2021). Artırılmış Sonsuzluk: Dijital Kalıntılar ile Ölümsüzleşme Arayışları. Kesit Akademi Dergisi, 7(27), 82-98.</w:t>
      </w:r>
    </w:p>
    <w:p w14:paraId="6168B9CF">
      <w:pPr>
        <w:pStyle w:val="9"/>
        <w:spacing w:before="120" w:after="120" w:line="360" w:lineRule="auto"/>
        <w:ind w:left="567" w:hanging="567"/>
      </w:pPr>
      <w:r>
        <w:t>Üngür, E. (2011), “Mekân Kavramının Disiplinler Arası Tarihsel Değişimi Üzerinde Mimarlık ve Mekân İlişkileri”, Yayımlanmamış Yüksek Lisans Tezi, İstanbul Teknik Üniversitesi Fen Bilimleri Enstitüsü, İstanbul.</w:t>
      </w:r>
    </w:p>
    <w:p w14:paraId="373323D0">
      <w:pPr>
        <w:pStyle w:val="9"/>
        <w:spacing w:before="120" w:after="120" w:line="360" w:lineRule="auto"/>
        <w:ind w:left="567" w:hanging="567"/>
      </w:pPr>
      <w:r>
        <w:t>Van Kamp, I., Leidelmeijer, K., Marsman, G., &amp; De Hollander, A. (2003). Urban environmental</w:t>
      </w:r>
      <w:r>
        <w:rPr>
          <w:spacing w:val="13"/>
        </w:rPr>
        <w:t xml:space="preserve"> </w:t>
      </w:r>
      <w:r>
        <w:t>quality</w:t>
      </w:r>
      <w:r>
        <w:rPr>
          <w:spacing w:val="10"/>
        </w:rPr>
        <w:t xml:space="preserve"> </w:t>
      </w:r>
      <w:r>
        <w:t>and</w:t>
      </w:r>
      <w:r>
        <w:rPr>
          <w:spacing w:val="15"/>
        </w:rPr>
        <w:t xml:space="preserve"> </w:t>
      </w:r>
      <w:r>
        <w:t>human</w:t>
      </w:r>
      <w:r>
        <w:rPr>
          <w:spacing w:val="16"/>
        </w:rPr>
        <w:t xml:space="preserve"> </w:t>
      </w:r>
      <w:r>
        <w:t>well-being:</w:t>
      </w:r>
      <w:r>
        <w:rPr>
          <w:spacing w:val="16"/>
        </w:rPr>
        <w:t xml:space="preserve"> </w:t>
      </w:r>
      <w:r>
        <w:t>Towards</w:t>
      </w:r>
      <w:r>
        <w:rPr>
          <w:spacing w:val="15"/>
        </w:rPr>
        <w:t xml:space="preserve"> </w:t>
      </w:r>
      <w:r>
        <w:t>a</w:t>
      </w:r>
      <w:r>
        <w:rPr>
          <w:spacing w:val="14"/>
        </w:rPr>
        <w:t xml:space="preserve"> </w:t>
      </w:r>
      <w:r>
        <w:t>conceptual</w:t>
      </w:r>
      <w:r>
        <w:rPr>
          <w:spacing w:val="17"/>
        </w:rPr>
        <w:t xml:space="preserve"> </w:t>
      </w:r>
      <w:r>
        <w:rPr>
          <w:spacing w:val="-2"/>
        </w:rPr>
        <w:t>framework</w:t>
      </w:r>
      <w:r>
        <w:t xml:space="preserve"> and</w:t>
      </w:r>
      <w:r>
        <w:rPr>
          <w:spacing w:val="40"/>
        </w:rPr>
        <w:t xml:space="preserve"> </w:t>
      </w:r>
      <w:r>
        <w:t>demarcation</w:t>
      </w:r>
      <w:r>
        <w:rPr>
          <w:spacing w:val="40"/>
        </w:rPr>
        <w:t xml:space="preserve"> </w:t>
      </w:r>
      <w:r>
        <w:t>of</w:t>
      </w:r>
      <w:r>
        <w:rPr>
          <w:spacing w:val="40"/>
        </w:rPr>
        <w:t xml:space="preserve"> </w:t>
      </w:r>
      <w:r>
        <w:t>concepts;</w:t>
      </w:r>
      <w:r>
        <w:rPr>
          <w:spacing w:val="40"/>
        </w:rPr>
        <w:t xml:space="preserve"> </w:t>
      </w:r>
      <w:r>
        <w:t>a</w:t>
      </w:r>
      <w:r>
        <w:rPr>
          <w:spacing w:val="40"/>
        </w:rPr>
        <w:t xml:space="preserve"> </w:t>
      </w:r>
      <w:r>
        <w:t>literature</w:t>
      </w:r>
      <w:r>
        <w:rPr>
          <w:spacing w:val="40"/>
        </w:rPr>
        <w:t xml:space="preserve"> </w:t>
      </w:r>
      <w:r>
        <w:t>study. Landscape</w:t>
      </w:r>
      <w:r>
        <w:rPr>
          <w:spacing w:val="40"/>
        </w:rPr>
        <w:t xml:space="preserve"> </w:t>
      </w:r>
      <w:r>
        <w:t>and</w:t>
      </w:r>
      <w:r>
        <w:rPr>
          <w:spacing w:val="40"/>
        </w:rPr>
        <w:t xml:space="preserve"> </w:t>
      </w:r>
      <w:r>
        <w:t>urban planning, 65(1-2), 5-18.</w:t>
      </w:r>
    </w:p>
    <w:p w14:paraId="02DE69FF">
      <w:pPr>
        <w:pStyle w:val="9"/>
        <w:spacing w:before="120" w:after="120" w:line="360" w:lineRule="auto"/>
        <w:ind w:left="567" w:hanging="567"/>
      </w:pPr>
      <w:r>
        <w:t>Vargün,</w:t>
      </w:r>
      <w:r>
        <w:rPr>
          <w:spacing w:val="-5"/>
        </w:rPr>
        <w:t xml:space="preserve"> </w:t>
      </w:r>
      <w:r>
        <w:t>Ö.</w:t>
      </w:r>
      <w:r>
        <w:rPr>
          <w:spacing w:val="-5"/>
        </w:rPr>
        <w:t xml:space="preserve"> </w:t>
      </w:r>
      <w:r>
        <w:t>(2022).</w:t>
      </w:r>
      <w:r>
        <w:rPr>
          <w:spacing w:val="-5"/>
        </w:rPr>
        <w:t xml:space="preserve"> </w:t>
      </w:r>
      <w:r>
        <w:t>Teknolojinin</w:t>
      </w:r>
      <w:r>
        <w:rPr>
          <w:spacing w:val="-5"/>
        </w:rPr>
        <w:t xml:space="preserve"> </w:t>
      </w:r>
      <w:r>
        <w:t>Belirleyiciliğinde</w:t>
      </w:r>
      <w:r>
        <w:rPr>
          <w:spacing w:val="-6"/>
        </w:rPr>
        <w:t xml:space="preserve"> </w:t>
      </w:r>
      <w:r>
        <w:t>Müzelerde</w:t>
      </w:r>
      <w:r>
        <w:rPr>
          <w:spacing w:val="-6"/>
        </w:rPr>
        <w:t xml:space="preserve"> </w:t>
      </w:r>
      <w:r>
        <w:t>Dijitalleşme</w:t>
      </w:r>
      <w:r>
        <w:rPr>
          <w:spacing w:val="-4"/>
        </w:rPr>
        <w:t xml:space="preserve"> </w:t>
      </w:r>
      <w:r>
        <w:t>Süreci</w:t>
      </w:r>
      <w:r>
        <w:rPr>
          <w:spacing w:val="-5"/>
        </w:rPr>
        <w:t xml:space="preserve"> </w:t>
      </w:r>
      <w:r>
        <w:t>Ve</w:t>
      </w:r>
      <w:r>
        <w:rPr>
          <w:spacing w:val="-4"/>
        </w:rPr>
        <w:t xml:space="preserve"> </w:t>
      </w:r>
      <w:r>
        <w:t>İnsan Odakli Tasarim Yaklaşimlari. İdil Sanat ve Dil Dergisi, 11(92), 565-584.</w:t>
      </w:r>
    </w:p>
    <w:p w14:paraId="42F2B269">
      <w:pPr>
        <w:pStyle w:val="9"/>
        <w:spacing w:before="120" w:after="120" w:line="360" w:lineRule="auto"/>
        <w:ind w:left="567" w:hanging="567"/>
      </w:pPr>
      <w:r>
        <w:t>Venkatesh,</w:t>
      </w:r>
      <w:r>
        <w:rPr>
          <w:spacing w:val="-10"/>
        </w:rPr>
        <w:t xml:space="preserve"> </w:t>
      </w:r>
      <w:r>
        <w:t>V.</w:t>
      </w:r>
      <w:r>
        <w:rPr>
          <w:spacing w:val="-10"/>
        </w:rPr>
        <w:t xml:space="preserve"> </w:t>
      </w:r>
      <w:r>
        <w:t>(2000).</w:t>
      </w:r>
      <w:r>
        <w:rPr>
          <w:spacing w:val="-10"/>
        </w:rPr>
        <w:t xml:space="preserve"> </w:t>
      </w:r>
      <w:r>
        <w:t>Determinants</w:t>
      </w:r>
      <w:r>
        <w:rPr>
          <w:spacing w:val="-10"/>
        </w:rPr>
        <w:t xml:space="preserve"> </w:t>
      </w:r>
      <w:r>
        <w:t>of</w:t>
      </w:r>
      <w:r>
        <w:rPr>
          <w:spacing w:val="-10"/>
        </w:rPr>
        <w:t xml:space="preserve"> </w:t>
      </w:r>
      <w:r>
        <w:t>Perceived</w:t>
      </w:r>
      <w:r>
        <w:rPr>
          <w:spacing w:val="-8"/>
        </w:rPr>
        <w:t xml:space="preserve"> </w:t>
      </w:r>
      <w:r>
        <w:t>Ease</w:t>
      </w:r>
      <w:r>
        <w:rPr>
          <w:spacing w:val="-10"/>
        </w:rPr>
        <w:t xml:space="preserve"> </w:t>
      </w:r>
      <w:r>
        <w:t>of</w:t>
      </w:r>
      <w:r>
        <w:rPr>
          <w:spacing w:val="-10"/>
        </w:rPr>
        <w:t xml:space="preserve"> </w:t>
      </w:r>
      <w:r>
        <w:t>Use:</w:t>
      </w:r>
      <w:r>
        <w:rPr>
          <w:spacing w:val="-7"/>
        </w:rPr>
        <w:t xml:space="preserve"> </w:t>
      </w:r>
      <w:r>
        <w:t>Integrating</w:t>
      </w:r>
      <w:r>
        <w:rPr>
          <w:spacing w:val="-10"/>
        </w:rPr>
        <w:t xml:space="preserve"> </w:t>
      </w:r>
      <w:r>
        <w:t>Control,</w:t>
      </w:r>
      <w:r>
        <w:rPr>
          <w:spacing w:val="-8"/>
        </w:rPr>
        <w:t xml:space="preserve"> </w:t>
      </w:r>
      <w:r>
        <w:t>Intrinsic Motivation, and Emotion into the Technology Acceptance Model. Information Systems Research, 11(4), 342-365.</w:t>
      </w:r>
    </w:p>
    <w:p w14:paraId="05EEB1FD">
      <w:pPr>
        <w:pStyle w:val="9"/>
        <w:spacing w:before="120" w:after="120" w:line="360" w:lineRule="auto"/>
        <w:ind w:left="567" w:hanging="567"/>
      </w:pPr>
      <w:r>
        <w:t>Venkatesh, V., &amp; Davis, F. D. (1996). A Model of the Antecedents of Perceived Ease of Use: Development and Test. Decision Sciences, 27(3), 451-481.</w:t>
      </w:r>
    </w:p>
    <w:p w14:paraId="140539BD">
      <w:pPr>
        <w:pStyle w:val="9"/>
        <w:spacing w:before="120" w:after="120" w:line="360" w:lineRule="auto"/>
        <w:ind w:left="567" w:hanging="567"/>
      </w:pPr>
      <w:r>
        <w:t>Venkatesh, V., &amp; Morris, M. G. (2000). Why</w:t>
      </w:r>
      <w:r>
        <w:rPr>
          <w:spacing w:val="-3"/>
        </w:rPr>
        <w:t xml:space="preserve"> </w:t>
      </w:r>
      <w:r>
        <w:t>Don’t Men Ever Stop to Ask for Directions? Gender, Social Influence, and Their Role in Technology Acceptance and Usage Behavior. MIS Quarterly, 24(1), 115-139.</w:t>
      </w:r>
    </w:p>
    <w:p w14:paraId="2D78CE46">
      <w:pPr>
        <w:pStyle w:val="9"/>
        <w:spacing w:before="120" w:after="120" w:line="360" w:lineRule="auto"/>
        <w:ind w:left="567" w:hanging="567"/>
      </w:pPr>
      <w:r>
        <w:t>Venkatesh, V., Davis, F. D., &amp; Zhu, Y. (2023). Competing roles of intention and habit in predicting behavior: A comprehensive literature review, synthesis, and longitudinal field study. International Journal of Information Management, 71, 102644. H</w:t>
      </w:r>
    </w:p>
    <w:p w14:paraId="2D49CFBC">
      <w:pPr>
        <w:spacing w:before="120" w:after="120" w:line="360" w:lineRule="auto"/>
        <w:ind w:left="567" w:hanging="567"/>
        <w:jc w:val="both"/>
        <w:rPr>
          <w:sz w:val="24"/>
          <w:szCs w:val="24"/>
        </w:rPr>
      </w:pPr>
      <w:r>
        <w:rPr>
          <w:sz w:val="24"/>
          <w:szCs w:val="24"/>
        </w:rPr>
        <w:t>Vurdumduymaz, E., &amp; Papatya, N. (2024). Seyahat Tanıtım Aracı Olarak Sanal Gerçeklik: Antalya İlinde Bir Uygulama. </w:t>
      </w:r>
      <w:r>
        <w:rPr>
          <w:i/>
          <w:iCs/>
          <w:sz w:val="24"/>
          <w:szCs w:val="24"/>
        </w:rPr>
        <w:t>Afyon Kocatepe Üniversitesi Sosyal Bilimler Dergisi</w:t>
      </w:r>
      <w:r>
        <w:rPr>
          <w:sz w:val="24"/>
          <w:szCs w:val="24"/>
        </w:rPr>
        <w:t>, </w:t>
      </w:r>
      <w:r>
        <w:rPr>
          <w:i/>
          <w:iCs/>
          <w:sz w:val="24"/>
          <w:szCs w:val="24"/>
        </w:rPr>
        <w:t>26</w:t>
      </w:r>
      <w:r>
        <w:rPr>
          <w:sz w:val="24"/>
          <w:szCs w:val="24"/>
        </w:rPr>
        <w:t>(3), 1106-1128.</w:t>
      </w:r>
    </w:p>
    <w:p w14:paraId="3D4925E4">
      <w:pPr>
        <w:pStyle w:val="9"/>
        <w:spacing w:before="120" w:after="120" w:line="360" w:lineRule="auto"/>
        <w:ind w:left="567" w:hanging="567"/>
      </w:pPr>
      <w:r>
        <w:t>Wang,</w:t>
      </w:r>
      <w:r>
        <w:rPr>
          <w:spacing w:val="-6"/>
        </w:rPr>
        <w:t xml:space="preserve"> </w:t>
      </w:r>
      <w:r>
        <w:t>N.</w:t>
      </w:r>
      <w:r>
        <w:rPr>
          <w:spacing w:val="-3"/>
        </w:rPr>
        <w:t xml:space="preserve"> </w:t>
      </w:r>
      <w:r>
        <w:t>(2023).</w:t>
      </w:r>
      <w:r>
        <w:rPr>
          <w:spacing w:val="-6"/>
        </w:rPr>
        <w:t xml:space="preserve"> </w:t>
      </w:r>
      <w:r>
        <w:t>Evaluating</w:t>
      </w:r>
      <w:r>
        <w:rPr>
          <w:spacing w:val="-8"/>
        </w:rPr>
        <w:t xml:space="preserve"> </w:t>
      </w:r>
      <w:r>
        <w:t>User</w:t>
      </w:r>
      <w:r>
        <w:rPr>
          <w:spacing w:val="-7"/>
        </w:rPr>
        <w:t xml:space="preserve"> </w:t>
      </w:r>
      <w:r>
        <w:t>Preferences</w:t>
      </w:r>
      <w:r>
        <w:rPr>
          <w:spacing w:val="-3"/>
        </w:rPr>
        <w:t xml:space="preserve"> </w:t>
      </w:r>
      <w:r>
        <w:t>for</w:t>
      </w:r>
      <w:r>
        <w:rPr>
          <w:spacing w:val="-3"/>
        </w:rPr>
        <w:t xml:space="preserve"> </w:t>
      </w:r>
      <w:r>
        <w:t>Interaction</w:t>
      </w:r>
      <w:r>
        <w:rPr>
          <w:spacing w:val="-6"/>
        </w:rPr>
        <w:t xml:space="preserve"> </w:t>
      </w:r>
      <w:r>
        <w:t>for</w:t>
      </w:r>
      <w:r>
        <w:rPr>
          <w:spacing w:val="-7"/>
        </w:rPr>
        <w:t xml:space="preserve"> </w:t>
      </w:r>
      <w:r>
        <w:t>Single</w:t>
      </w:r>
      <w:r>
        <w:rPr>
          <w:spacing w:val="-4"/>
        </w:rPr>
        <w:t xml:space="preserve"> </w:t>
      </w:r>
      <w:r>
        <w:t>User</w:t>
      </w:r>
      <w:r>
        <w:rPr>
          <w:spacing w:val="-7"/>
        </w:rPr>
        <w:t xml:space="preserve"> </w:t>
      </w:r>
      <w:r>
        <w:t>Cross</w:t>
      </w:r>
      <w:r>
        <w:rPr>
          <w:spacing w:val="-6"/>
        </w:rPr>
        <w:t xml:space="preserve"> </w:t>
      </w:r>
      <w:r>
        <w:t>Reality Transition of 3D Virtual Objects.</w:t>
      </w:r>
    </w:p>
    <w:p w14:paraId="6DFC55DF">
      <w:pPr>
        <w:widowControl/>
        <w:autoSpaceDE/>
        <w:autoSpaceDN/>
        <w:spacing w:before="120" w:after="120" w:line="360" w:lineRule="auto"/>
        <w:ind w:left="567" w:hanging="567"/>
        <w:jc w:val="both"/>
        <w:rPr>
          <w:rFonts w:eastAsia="Calibri"/>
          <w:color w:val="222222"/>
          <w:sz w:val="24"/>
          <w:szCs w:val="24"/>
          <w:shd w:val="clear" w:color="auto" w:fill="FFFFFF"/>
        </w:rPr>
      </w:pPr>
      <w:r>
        <w:rPr>
          <w:rFonts w:eastAsia="Calibri"/>
          <w:color w:val="222222"/>
          <w:sz w:val="24"/>
          <w:szCs w:val="24"/>
          <w:shd w:val="clear" w:color="auto" w:fill="FFFFFF"/>
        </w:rPr>
        <w:t>Wang, T. H., Wu, W. H., Shen, L., &amp; Cheng, C. K. (2021). Exploring the validity of using immersive virtual reality technique on perceived crowding of recreational environment. </w:t>
      </w:r>
      <w:r>
        <w:rPr>
          <w:rFonts w:eastAsia="Calibri"/>
          <w:i/>
          <w:iCs/>
          <w:color w:val="222222"/>
          <w:sz w:val="24"/>
          <w:szCs w:val="24"/>
          <w:shd w:val="clear" w:color="auto" w:fill="FFFFFF"/>
        </w:rPr>
        <w:t>Landscape and Ecological Engineering</w:t>
      </w:r>
      <w:r>
        <w:rPr>
          <w:rFonts w:eastAsia="Calibri"/>
          <w:color w:val="222222"/>
          <w:sz w:val="24"/>
          <w:szCs w:val="24"/>
          <w:shd w:val="clear" w:color="auto" w:fill="FFFFFF"/>
        </w:rPr>
        <w:t>, </w:t>
      </w:r>
      <w:r>
        <w:rPr>
          <w:rFonts w:eastAsia="Calibri"/>
          <w:i/>
          <w:iCs/>
          <w:color w:val="222222"/>
          <w:sz w:val="24"/>
          <w:szCs w:val="24"/>
          <w:shd w:val="clear" w:color="auto" w:fill="FFFFFF"/>
        </w:rPr>
        <w:t>17</w:t>
      </w:r>
      <w:r>
        <w:rPr>
          <w:rFonts w:eastAsia="Calibri"/>
          <w:color w:val="222222"/>
          <w:sz w:val="24"/>
          <w:szCs w:val="24"/>
          <w:shd w:val="clear" w:color="auto" w:fill="FFFFFF"/>
        </w:rPr>
        <w:t>, 299-308.</w:t>
      </w:r>
    </w:p>
    <w:p w14:paraId="4D119D1C">
      <w:pPr>
        <w:pStyle w:val="9"/>
        <w:spacing w:before="120" w:after="120" w:line="360" w:lineRule="auto"/>
        <w:ind w:left="567" w:hanging="567"/>
      </w:pPr>
      <w:r>
        <w:t>Ware,</w:t>
      </w:r>
      <w:r>
        <w:rPr>
          <w:spacing w:val="-4"/>
        </w:rPr>
        <w:t xml:space="preserve"> </w:t>
      </w:r>
      <w:r>
        <w:t>J.</w:t>
      </w:r>
      <w:r>
        <w:rPr>
          <w:spacing w:val="-4"/>
        </w:rPr>
        <w:t xml:space="preserve"> </w:t>
      </w:r>
      <w:r>
        <w:t>E.</w:t>
      </w:r>
      <w:r>
        <w:rPr>
          <w:spacing w:val="-4"/>
        </w:rPr>
        <w:t xml:space="preserve"> </w:t>
      </w:r>
      <w:r>
        <w:t>(1993).</w:t>
      </w:r>
      <w:r>
        <w:rPr>
          <w:spacing w:val="-4"/>
        </w:rPr>
        <w:t xml:space="preserve"> </w:t>
      </w:r>
      <w:r>
        <w:t>SF-36</w:t>
      </w:r>
      <w:r>
        <w:rPr>
          <w:spacing w:val="-4"/>
        </w:rPr>
        <w:t xml:space="preserve"> </w:t>
      </w:r>
      <w:r>
        <w:t>Health</w:t>
      </w:r>
      <w:r>
        <w:rPr>
          <w:spacing w:val="-4"/>
        </w:rPr>
        <w:t xml:space="preserve"> </w:t>
      </w:r>
      <w:r>
        <w:t>Survey:</w:t>
      </w:r>
      <w:r>
        <w:rPr>
          <w:spacing w:val="-4"/>
        </w:rPr>
        <w:t xml:space="preserve"> </w:t>
      </w:r>
      <w:r>
        <w:t>Manual</w:t>
      </w:r>
      <w:r>
        <w:rPr>
          <w:spacing w:val="-2"/>
        </w:rPr>
        <w:t xml:space="preserve"> </w:t>
      </w:r>
      <w:r>
        <w:t>and</w:t>
      </w:r>
      <w:r>
        <w:rPr>
          <w:spacing w:val="-2"/>
        </w:rPr>
        <w:t xml:space="preserve"> </w:t>
      </w:r>
      <w:r>
        <w:t>Interpretation</w:t>
      </w:r>
      <w:r>
        <w:rPr>
          <w:spacing w:val="-4"/>
        </w:rPr>
        <w:t xml:space="preserve"> </w:t>
      </w:r>
      <w:r>
        <w:t>Guide.</w:t>
      </w:r>
      <w:r>
        <w:rPr>
          <w:spacing w:val="-4"/>
        </w:rPr>
        <w:t xml:space="preserve"> </w:t>
      </w:r>
      <w:r>
        <w:t>The</w:t>
      </w:r>
      <w:r>
        <w:rPr>
          <w:spacing w:val="-6"/>
        </w:rPr>
        <w:t xml:space="preserve"> </w:t>
      </w:r>
      <w:r>
        <w:t>Health Institute, New England Medical Center.</w:t>
      </w:r>
    </w:p>
    <w:p w14:paraId="18360A49">
      <w:pPr>
        <w:widowControl/>
        <w:autoSpaceDE/>
        <w:autoSpaceDN/>
        <w:spacing w:before="120" w:after="120" w:line="360" w:lineRule="auto"/>
        <w:ind w:left="567" w:hanging="567"/>
        <w:jc w:val="both"/>
        <w:rPr>
          <w:rFonts w:eastAsia="Calibri"/>
          <w:color w:val="222222"/>
          <w:sz w:val="24"/>
          <w:szCs w:val="24"/>
          <w:shd w:val="clear" w:color="auto" w:fill="FFFFFF"/>
        </w:rPr>
      </w:pPr>
      <w:r>
        <w:rPr>
          <w:rFonts w:eastAsia="Calibri"/>
          <w:color w:val="222222"/>
          <w:sz w:val="24"/>
          <w:szCs w:val="24"/>
          <w:shd w:val="clear" w:color="auto" w:fill="FFFFFF"/>
        </w:rPr>
        <w:t>Weiss, P. L., Bialik, P., &amp; Kizony, R. (2003). Virtual reality provides leisure time opportunities for young adults with physical and intellectual disabilities. </w:t>
      </w:r>
      <w:r>
        <w:rPr>
          <w:rFonts w:eastAsia="Calibri"/>
          <w:i/>
          <w:iCs/>
          <w:color w:val="222222"/>
          <w:sz w:val="24"/>
          <w:szCs w:val="24"/>
          <w:shd w:val="clear" w:color="auto" w:fill="FFFFFF"/>
        </w:rPr>
        <w:t>CyberPsychology &amp; Behavior</w:t>
      </w:r>
      <w:r>
        <w:rPr>
          <w:rFonts w:eastAsia="Calibri"/>
          <w:color w:val="222222"/>
          <w:sz w:val="24"/>
          <w:szCs w:val="24"/>
          <w:shd w:val="clear" w:color="auto" w:fill="FFFFFF"/>
        </w:rPr>
        <w:t>, </w:t>
      </w:r>
      <w:r>
        <w:rPr>
          <w:rFonts w:eastAsia="Calibri"/>
          <w:i/>
          <w:iCs/>
          <w:color w:val="222222"/>
          <w:sz w:val="24"/>
          <w:szCs w:val="24"/>
          <w:shd w:val="clear" w:color="auto" w:fill="FFFFFF"/>
        </w:rPr>
        <w:t>6</w:t>
      </w:r>
      <w:r>
        <w:rPr>
          <w:rFonts w:eastAsia="Calibri"/>
          <w:color w:val="222222"/>
          <w:sz w:val="24"/>
          <w:szCs w:val="24"/>
          <w:shd w:val="clear" w:color="auto" w:fill="FFFFFF"/>
        </w:rPr>
        <w:t>(3), 335-342.</w:t>
      </w:r>
    </w:p>
    <w:p w14:paraId="4EC9E29C">
      <w:pPr>
        <w:pStyle w:val="9"/>
        <w:spacing w:before="120" w:after="120" w:line="360" w:lineRule="auto"/>
        <w:ind w:left="567" w:hanging="567"/>
      </w:pPr>
      <w:r>
        <w:t>Whitty, M.T. &amp; McLaughlin, D. (2007). Online Recreation: The Relationship between Loneliness, Internet Self-Efficacy and the Use of the Internet for Entertainment Purposes. Computers in Human Behavior, 23(2007), 1435-1446.</w:t>
      </w:r>
    </w:p>
    <w:p w14:paraId="486EE849">
      <w:pPr>
        <w:pStyle w:val="9"/>
        <w:spacing w:before="120" w:after="120" w:line="360" w:lineRule="auto"/>
        <w:ind w:left="567" w:hanging="567"/>
      </w:pPr>
      <w:r>
        <w:t xml:space="preserve">WHO (2003). Health and Development Through Physical Activity and Sport, </w:t>
      </w:r>
      <w:r>
        <w:fldChar w:fldCharType="begin"/>
      </w:r>
      <w:r>
        <w:instrText xml:space="preserve"> HYPERLINK "http://whqlibdoc.who.int/hq/2003/WHO_NMH_NPH_PAH_03.2.pdf" \h </w:instrText>
      </w:r>
      <w:r>
        <w:fldChar w:fldCharType="separate"/>
      </w:r>
      <w:r>
        <w:rPr>
          <w:spacing w:val="-2"/>
          <w:u w:val="single"/>
        </w:rPr>
        <w:t>http://whqlibdoc.who.int/hq/2003/WHO_NMH_NPH_PAH_03.2.pdf</w:t>
      </w:r>
      <w:r>
        <w:rPr>
          <w:spacing w:val="-2"/>
          <w:u w:val="single"/>
        </w:rPr>
        <w:fldChar w:fldCharType="end"/>
      </w:r>
    </w:p>
    <w:p w14:paraId="1FEE5216">
      <w:pPr>
        <w:pStyle w:val="9"/>
        <w:spacing w:before="120" w:after="120" w:line="360" w:lineRule="auto"/>
        <w:ind w:left="567" w:hanging="567"/>
      </w:pPr>
      <w:r>
        <w:t>Whoqol Group. (1998).</w:t>
      </w:r>
      <w:r>
        <w:rPr>
          <w:spacing w:val="-1"/>
        </w:rPr>
        <w:t xml:space="preserve"> </w:t>
      </w:r>
      <w:r>
        <w:t xml:space="preserve">Development of the World Health Organization WHOQOL-BREF quality of life assessment. </w:t>
      </w:r>
      <w:r>
        <w:rPr>
          <w:i/>
        </w:rPr>
        <w:t>Psychological Medicine</w:t>
      </w:r>
      <w:r>
        <w:t xml:space="preserve">, </w:t>
      </w:r>
      <w:r>
        <w:rPr>
          <w:i/>
        </w:rPr>
        <w:t>28</w:t>
      </w:r>
      <w:r>
        <w:t>(3), 551-558.</w:t>
      </w:r>
    </w:p>
    <w:p w14:paraId="6EAECE7C">
      <w:pPr>
        <w:pStyle w:val="9"/>
        <w:spacing w:before="120" w:after="120" w:line="360" w:lineRule="auto"/>
        <w:ind w:left="567" w:hanging="567"/>
      </w:pPr>
      <w:r>
        <w:t>Wilkinson,</w:t>
      </w:r>
      <w:r>
        <w:rPr>
          <w:spacing w:val="-15"/>
        </w:rPr>
        <w:t xml:space="preserve"> </w:t>
      </w:r>
      <w:r>
        <w:t>R.,</w:t>
      </w:r>
      <w:r>
        <w:rPr>
          <w:spacing w:val="-15"/>
        </w:rPr>
        <w:t xml:space="preserve"> </w:t>
      </w:r>
      <w:r>
        <w:t>&amp;</w:t>
      </w:r>
      <w:r>
        <w:rPr>
          <w:spacing w:val="-15"/>
        </w:rPr>
        <w:t xml:space="preserve"> </w:t>
      </w:r>
      <w:r>
        <w:t>Marmot,</w:t>
      </w:r>
      <w:r>
        <w:rPr>
          <w:spacing w:val="-15"/>
        </w:rPr>
        <w:t xml:space="preserve"> </w:t>
      </w:r>
      <w:r>
        <w:t>M.</w:t>
      </w:r>
      <w:r>
        <w:rPr>
          <w:spacing w:val="-15"/>
        </w:rPr>
        <w:t xml:space="preserve"> </w:t>
      </w:r>
      <w:r>
        <w:t>(Eds.).</w:t>
      </w:r>
      <w:r>
        <w:rPr>
          <w:spacing w:val="-15"/>
        </w:rPr>
        <w:t xml:space="preserve"> </w:t>
      </w:r>
      <w:r>
        <w:t>(2003).</w:t>
      </w:r>
      <w:r>
        <w:rPr>
          <w:spacing w:val="-15"/>
        </w:rPr>
        <w:t xml:space="preserve"> </w:t>
      </w:r>
      <w:r>
        <w:t>Social</w:t>
      </w:r>
      <w:r>
        <w:rPr>
          <w:spacing w:val="-15"/>
        </w:rPr>
        <w:t xml:space="preserve"> </w:t>
      </w:r>
      <w:r>
        <w:t>Determinants</w:t>
      </w:r>
      <w:r>
        <w:rPr>
          <w:spacing w:val="-15"/>
        </w:rPr>
        <w:t xml:space="preserve"> </w:t>
      </w:r>
      <w:r>
        <w:t>of</w:t>
      </w:r>
      <w:r>
        <w:rPr>
          <w:spacing w:val="-15"/>
        </w:rPr>
        <w:t xml:space="preserve"> </w:t>
      </w:r>
      <w:r>
        <w:t>Health:</w:t>
      </w:r>
      <w:r>
        <w:rPr>
          <w:spacing w:val="-15"/>
        </w:rPr>
        <w:t xml:space="preserve"> </w:t>
      </w:r>
      <w:r>
        <w:t>The</w:t>
      </w:r>
      <w:r>
        <w:rPr>
          <w:spacing w:val="-15"/>
        </w:rPr>
        <w:t xml:space="preserve"> </w:t>
      </w:r>
      <w:r>
        <w:t>Solid</w:t>
      </w:r>
      <w:r>
        <w:rPr>
          <w:spacing w:val="-15"/>
        </w:rPr>
        <w:t xml:space="preserve"> </w:t>
      </w:r>
      <w:r>
        <w:t>Facts (2nd ed.). World Health Organization.</w:t>
      </w:r>
    </w:p>
    <w:p w14:paraId="5E180A22">
      <w:pPr>
        <w:pStyle w:val="9"/>
        <w:spacing w:before="120" w:after="120" w:line="360" w:lineRule="auto"/>
        <w:ind w:left="567" w:hanging="567"/>
      </w:pPr>
      <w:r>
        <w:t>Williams, N. (2024). “Nature Environments Without Actually Being There”: Virtual Recreation Experiences and Real-World Intentions.</w:t>
      </w:r>
      <w:r>
        <w:rPr>
          <w:spacing w:val="-1"/>
        </w:rPr>
        <w:t xml:space="preserve"> </w:t>
      </w:r>
      <w:r>
        <w:rPr>
          <w:i/>
        </w:rPr>
        <w:t>Journal of Experiential Education</w:t>
      </w:r>
      <w:r>
        <w:t>, 10538259231225621.</w:t>
      </w:r>
    </w:p>
    <w:p w14:paraId="46E5BB33">
      <w:pPr>
        <w:pStyle w:val="9"/>
        <w:spacing w:before="120" w:after="120" w:line="360" w:lineRule="auto"/>
        <w:ind w:left="567" w:hanging="567"/>
      </w:pPr>
      <w:r>
        <w:t>Williamson,</w:t>
      </w:r>
      <w:r>
        <w:rPr>
          <w:spacing w:val="-2"/>
        </w:rPr>
        <w:t xml:space="preserve"> </w:t>
      </w:r>
      <w:r>
        <w:t>J. B. (1987). Social security</w:t>
      </w:r>
      <w:r>
        <w:rPr>
          <w:spacing w:val="-3"/>
        </w:rPr>
        <w:t xml:space="preserve"> </w:t>
      </w:r>
      <w:r>
        <w:t>and physical quality</w:t>
      </w:r>
      <w:r>
        <w:rPr>
          <w:spacing w:val="-5"/>
        </w:rPr>
        <w:t xml:space="preserve"> </w:t>
      </w:r>
      <w:r>
        <w:t>of life</w:t>
      </w:r>
      <w:r>
        <w:rPr>
          <w:spacing w:val="-2"/>
        </w:rPr>
        <w:t xml:space="preserve"> </w:t>
      </w:r>
      <w:r>
        <w:t>in developing</w:t>
      </w:r>
      <w:r>
        <w:rPr>
          <w:spacing w:val="-3"/>
        </w:rPr>
        <w:t xml:space="preserve"> </w:t>
      </w:r>
      <w:r>
        <w:t>nations: A cross-national analysis. Social Indicators Research, 19, 205-227.</w:t>
      </w:r>
    </w:p>
    <w:p w14:paraId="2BDE9837">
      <w:pPr>
        <w:pStyle w:val="9"/>
        <w:spacing w:before="120" w:after="120" w:line="360" w:lineRule="auto"/>
        <w:ind w:left="567" w:hanging="567"/>
      </w:pPr>
      <w:r>
        <w:t xml:space="preserve">Witmer, B. G., &amp; Singer, M. J. (1998). Measuring presence in virtual environments: A presence questionnaire. </w:t>
      </w:r>
      <w:r>
        <w:rPr>
          <w:i/>
        </w:rPr>
        <w:t>Presence</w:t>
      </w:r>
      <w:r>
        <w:t>, 7(3), 225-240.</w:t>
      </w:r>
    </w:p>
    <w:p w14:paraId="0A535A0F">
      <w:pPr>
        <w:spacing w:before="120" w:after="120" w:line="360" w:lineRule="auto"/>
        <w:ind w:left="567" w:hanging="567"/>
        <w:jc w:val="both"/>
        <w:rPr>
          <w:sz w:val="24"/>
          <w:szCs w:val="24"/>
        </w:rPr>
      </w:pPr>
      <w:r>
        <w:rPr>
          <w:sz w:val="24"/>
          <w:szCs w:val="24"/>
        </w:rPr>
        <w:t>Wohlgenannt,</w:t>
      </w:r>
      <w:r>
        <w:rPr>
          <w:spacing w:val="-4"/>
          <w:sz w:val="24"/>
          <w:szCs w:val="24"/>
        </w:rPr>
        <w:t xml:space="preserve"> </w:t>
      </w:r>
      <w:r>
        <w:rPr>
          <w:sz w:val="24"/>
          <w:szCs w:val="24"/>
        </w:rPr>
        <w:t>I.,</w:t>
      </w:r>
      <w:r>
        <w:rPr>
          <w:spacing w:val="-6"/>
          <w:sz w:val="24"/>
          <w:szCs w:val="24"/>
        </w:rPr>
        <w:t xml:space="preserve"> </w:t>
      </w:r>
      <w:r>
        <w:rPr>
          <w:sz w:val="24"/>
          <w:szCs w:val="24"/>
        </w:rPr>
        <w:t>Simons,</w:t>
      </w:r>
      <w:r>
        <w:rPr>
          <w:spacing w:val="-6"/>
          <w:sz w:val="24"/>
          <w:szCs w:val="24"/>
        </w:rPr>
        <w:t xml:space="preserve"> </w:t>
      </w:r>
      <w:r>
        <w:rPr>
          <w:sz w:val="24"/>
          <w:szCs w:val="24"/>
        </w:rPr>
        <w:t>A.,</w:t>
      </w:r>
      <w:r>
        <w:rPr>
          <w:spacing w:val="-6"/>
          <w:sz w:val="24"/>
          <w:szCs w:val="24"/>
        </w:rPr>
        <w:t xml:space="preserve"> </w:t>
      </w:r>
      <w:r>
        <w:rPr>
          <w:sz w:val="24"/>
          <w:szCs w:val="24"/>
        </w:rPr>
        <w:t>&amp;</w:t>
      </w:r>
      <w:r>
        <w:rPr>
          <w:spacing w:val="-8"/>
          <w:sz w:val="24"/>
          <w:szCs w:val="24"/>
        </w:rPr>
        <w:t xml:space="preserve"> </w:t>
      </w:r>
      <w:r>
        <w:rPr>
          <w:sz w:val="24"/>
          <w:szCs w:val="24"/>
        </w:rPr>
        <w:t>Stieglitz,</w:t>
      </w:r>
      <w:r>
        <w:rPr>
          <w:spacing w:val="-6"/>
          <w:sz w:val="24"/>
          <w:szCs w:val="24"/>
        </w:rPr>
        <w:t xml:space="preserve"> </w:t>
      </w:r>
      <w:r>
        <w:rPr>
          <w:sz w:val="24"/>
          <w:szCs w:val="24"/>
        </w:rPr>
        <w:t>S.</w:t>
      </w:r>
      <w:r>
        <w:rPr>
          <w:spacing w:val="-6"/>
          <w:sz w:val="24"/>
          <w:szCs w:val="24"/>
        </w:rPr>
        <w:t xml:space="preserve"> </w:t>
      </w:r>
      <w:r>
        <w:rPr>
          <w:sz w:val="24"/>
          <w:szCs w:val="24"/>
        </w:rPr>
        <w:t>(2020).</w:t>
      </w:r>
      <w:r>
        <w:rPr>
          <w:spacing w:val="-7"/>
          <w:sz w:val="24"/>
          <w:szCs w:val="24"/>
        </w:rPr>
        <w:t xml:space="preserve"> </w:t>
      </w:r>
      <w:r>
        <w:rPr>
          <w:sz w:val="24"/>
          <w:szCs w:val="24"/>
        </w:rPr>
        <w:t>Virtual</w:t>
      </w:r>
      <w:r>
        <w:rPr>
          <w:spacing w:val="-5"/>
          <w:sz w:val="24"/>
          <w:szCs w:val="24"/>
        </w:rPr>
        <w:t xml:space="preserve"> </w:t>
      </w:r>
      <w:r>
        <w:rPr>
          <w:sz w:val="24"/>
          <w:szCs w:val="24"/>
        </w:rPr>
        <w:t xml:space="preserve">reality. </w:t>
      </w:r>
      <w:r>
        <w:rPr>
          <w:i/>
          <w:sz w:val="24"/>
          <w:szCs w:val="24"/>
        </w:rPr>
        <w:t>Business</w:t>
      </w:r>
      <w:r>
        <w:rPr>
          <w:i/>
          <w:spacing w:val="-2"/>
          <w:sz w:val="24"/>
          <w:szCs w:val="24"/>
        </w:rPr>
        <w:t xml:space="preserve"> </w:t>
      </w:r>
      <w:r>
        <w:rPr>
          <w:i/>
          <w:sz w:val="24"/>
          <w:szCs w:val="24"/>
        </w:rPr>
        <w:t>&amp;</w:t>
      </w:r>
      <w:r>
        <w:rPr>
          <w:i/>
          <w:spacing w:val="-13"/>
          <w:sz w:val="24"/>
          <w:szCs w:val="24"/>
        </w:rPr>
        <w:t xml:space="preserve"> </w:t>
      </w:r>
      <w:r>
        <w:rPr>
          <w:i/>
          <w:sz w:val="24"/>
          <w:szCs w:val="24"/>
        </w:rPr>
        <w:t>Information Systems Engineering</w:t>
      </w:r>
      <w:r>
        <w:rPr>
          <w:sz w:val="24"/>
          <w:szCs w:val="24"/>
        </w:rPr>
        <w:t xml:space="preserve">, </w:t>
      </w:r>
      <w:r>
        <w:rPr>
          <w:i/>
          <w:sz w:val="24"/>
          <w:szCs w:val="24"/>
        </w:rPr>
        <w:t>62</w:t>
      </w:r>
      <w:r>
        <w:rPr>
          <w:sz w:val="24"/>
          <w:szCs w:val="24"/>
        </w:rPr>
        <w:t>, 455-461.</w:t>
      </w:r>
    </w:p>
    <w:p w14:paraId="645287DB">
      <w:pPr>
        <w:pStyle w:val="9"/>
        <w:spacing w:before="120" w:after="120" w:line="360" w:lineRule="auto"/>
        <w:ind w:left="567" w:hanging="567"/>
      </w:pPr>
      <w:r>
        <w:t xml:space="preserve">Wu, R., &amp; Yu, Z. (2023). The Influence of Social Isolation, Technostress, and Personality on the Acceptance of Online Meeting Platforms during the COVID19 Pandemic. </w:t>
      </w:r>
      <w:r>
        <w:rPr>
          <w:i/>
        </w:rPr>
        <w:t>International Journal of Human–Computer Interaction</w:t>
      </w:r>
      <w:r>
        <w:t>, 39(17), 3388-3405</w:t>
      </w:r>
    </w:p>
    <w:p w14:paraId="0EC9E4B6">
      <w:pPr>
        <w:spacing w:before="120" w:after="120" w:line="360" w:lineRule="auto"/>
        <w:ind w:left="567" w:hanging="567"/>
        <w:jc w:val="both"/>
        <w:rPr>
          <w:sz w:val="24"/>
          <w:szCs w:val="24"/>
        </w:rPr>
      </w:pPr>
      <w:r>
        <w:rPr>
          <w:sz w:val="24"/>
          <w:szCs w:val="24"/>
        </w:rPr>
        <w:t>Yaşartürk, F., Akyüz, H., &amp; Gönülateş, S. (2019). The investigation of the relationship between university students' levels of life quality and leisure satisfaction.</w:t>
      </w:r>
    </w:p>
    <w:p w14:paraId="58BF3314">
      <w:pPr>
        <w:spacing w:before="120" w:after="120" w:line="360" w:lineRule="auto"/>
        <w:ind w:left="567" w:hanging="567"/>
        <w:jc w:val="both"/>
        <w:rPr>
          <w:sz w:val="24"/>
          <w:szCs w:val="24"/>
        </w:rPr>
      </w:pPr>
      <w:r>
        <w:rPr>
          <w:sz w:val="24"/>
          <w:szCs w:val="24"/>
        </w:rPr>
        <w:t>Yaylı, H. &amp; Medeni, M. B. (2024). Psychosocial Development and Recreation in The Digital Era. In: Uluç, S. (ed.), </w:t>
      </w:r>
      <w:r>
        <w:rPr>
          <w:i/>
          <w:iCs/>
          <w:sz w:val="24"/>
          <w:szCs w:val="24"/>
        </w:rPr>
        <w:t>Academic Research and Evaluations in the Field of Sports Sciences III.</w:t>
      </w:r>
      <w:r>
        <w:rPr>
          <w:sz w:val="24"/>
          <w:szCs w:val="24"/>
        </w:rPr>
        <w:t> Özgür Publications.</w:t>
      </w:r>
    </w:p>
    <w:p w14:paraId="6F170804">
      <w:pPr>
        <w:pStyle w:val="9"/>
        <w:spacing w:before="120" w:after="120" w:line="360" w:lineRule="auto"/>
        <w:ind w:left="567" w:hanging="567"/>
      </w:pPr>
      <w:r>
        <w:t>Yengin, D. Ve Bayrak, T.: 2017. Sanal Gerçeklik-Vr, İstanbul, Der Yayınları. Yıldırım,</w:t>
      </w:r>
      <w:r>
        <w:rPr>
          <w:spacing w:val="-4"/>
        </w:rPr>
        <w:t xml:space="preserve"> </w:t>
      </w:r>
      <w:r>
        <w:t>A.</w:t>
      </w:r>
      <w:r>
        <w:rPr>
          <w:spacing w:val="-2"/>
        </w:rPr>
        <w:t xml:space="preserve"> </w:t>
      </w:r>
      <w:r>
        <w:t>(1999).</w:t>
      </w:r>
      <w:r>
        <w:rPr>
          <w:spacing w:val="-2"/>
        </w:rPr>
        <w:t xml:space="preserve"> </w:t>
      </w:r>
      <w:r>
        <w:t>Sosyal Bilimlerde</w:t>
      </w:r>
      <w:r>
        <w:rPr>
          <w:spacing w:val="-2"/>
        </w:rPr>
        <w:t xml:space="preserve"> </w:t>
      </w:r>
      <w:r>
        <w:t>Araştırma</w:t>
      </w:r>
      <w:r>
        <w:rPr>
          <w:spacing w:val="-1"/>
        </w:rPr>
        <w:t xml:space="preserve"> </w:t>
      </w:r>
      <w:r>
        <w:t>Yöntemleri,</w:t>
      </w:r>
      <w:r>
        <w:rPr>
          <w:spacing w:val="-2"/>
        </w:rPr>
        <w:t xml:space="preserve"> </w:t>
      </w:r>
      <w:r>
        <w:t>Seçkin</w:t>
      </w:r>
      <w:r>
        <w:rPr>
          <w:spacing w:val="-1"/>
        </w:rPr>
        <w:t xml:space="preserve"> </w:t>
      </w:r>
      <w:r>
        <w:rPr>
          <w:spacing w:val="-2"/>
        </w:rPr>
        <w:t>Yayınları.</w:t>
      </w:r>
    </w:p>
    <w:p w14:paraId="52047DFD">
      <w:pPr>
        <w:pStyle w:val="9"/>
        <w:spacing w:before="120" w:after="120" w:line="360" w:lineRule="auto"/>
        <w:ind w:left="567" w:hanging="567"/>
      </w:pPr>
      <w:r>
        <w:t>Yuen, S.C.Y., Yaoyuneyong, G. Ve Johnson, E.: 2011 “Augmented Reality: An Overview And Five Directions For Ar İn Education”, Journal Of Educational Technology Development And Exchange (Jetde), 4(1), 119-140.</w:t>
      </w:r>
    </w:p>
    <w:p w14:paraId="64944727">
      <w:pPr>
        <w:widowControl/>
        <w:autoSpaceDE/>
        <w:autoSpaceDN/>
        <w:spacing w:before="120" w:after="120" w:line="360" w:lineRule="auto"/>
        <w:ind w:left="567" w:hanging="567"/>
        <w:jc w:val="both"/>
        <w:rPr>
          <w:rFonts w:eastAsia="Calibri"/>
          <w:color w:val="222222"/>
          <w:sz w:val="24"/>
          <w:szCs w:val="24"/>
          <w:shd w:val="clear" w:color="auto" w:fill="FFFFFF"/>
        </w:rPr>
      </w:pPr>
      <w:r>
        <w:rPr>
          <w:rFonts w:eastAsia="Calibri"/>
          <w:color w:val="222222"/>
          <w:sz w:val="24"/>
          <w:szCs w:val="24"/>
          <w:shd w:val="clear" w:color="auto" w:fill="FFFFFF"/>
        </w:rPr>
        <w:t>Yüce, A., Aydoğdu, V., Yüce, S. G., &amp; Katırcı, H. (2021). Phygitally Yours: Examination of Virtual Reality Experiences in Digital Sports and Recreational Games. </w:t>
      </w:r>
      <w:r>
        <w:rPr>
          <w:rFonts w:eastAsia="Calibri"/>
          <w:i/>
          <w:iCs/>
          <w:color w:val="222222"/>
          <w:sz w:val="24"/>
          <w:szCs w:val="24"/>
          <w:shd w:val="clear" w:color="auto" w:fill="FFFFFF"/>
        </w:rPr>
        <w:t>Jurnal The Messenger</w:t>
      </w:r>
      <w:r>
        <w:rPr>
          <w:rFonts w:eastAsia="Calibri"/>
          <w:color w:val="222222"/>
          <w:sz w:val="24"/>
          <w:szCs w:val="24"/>
          <w:shd w:val="clear" w:color="auto" w:fill="FFFFFF"/>
        </w:rPr>
        <w:t>, </w:t>
      </w:r>
      <w:r>
        <w:rPr>
          <w:rFonts w:eastAsia="Calibri"/>
          <w:i/>
          <w:iCs/>
          <w:color w:val="222222"/>
          <w:sz w:val="24"/>
          <w:szCs w:val="24"/>
          <w:shd w:val="clear" w:color="auto" w:fill="FFFFFF"/>
        </w:rPr>
        <w:t>13</w:t>
      </w:r>
      <w:r>
        <w:rPr>
          <w:rFonts w:eastAsia="Calibri"/>
          <w:color w:val="222222"/>
          <w:sz w:val="24"/>
          <w:szCs w:val="24"/>
          <w:shd w:val="clear" w:color="auto" w:fill="FFFFFF"/>
        </w:rPr>
        <w:t>(1), 1-18.</w:t>
      </w:r>
    </w:p>
    <w:p w14:paraId="5C63AEFB">
      <w:pPr>
        <w:pStyle w:val="9"/>
        <w:spacing w:before="120" w:after="120" w:line="360" w:lineRule="auto"/>
        <w:ind w:left="567" w:hanging="567"/>
      </w:pPr>
      <w:r>
        <w:t>Yücel, D. M.: 2016. “Farklı Bir Olay Yeri Olarak Sanal Gerçek”, Kırıkkale Üniversitesi Sosyal Bilimler Dergisi, 6(2), 407-421.</w:t>
      </w:r>
    </w:p>
    <w:p w14:paraId="0A76B50D">
      <w:pPr>
        <w:pStyle w:val="9"/>
        <w:spacing w:before="120" w:after="120" w:line="360" w:lineRule="auto"/>
        <w:ind w:left="567" w:hanging="567"/>
      </w:pPr>
      <w:r>
        <w:t>Yüksel Oktay, E., Karahan, K. K., Yıldırım, Y. Z. &amp; Doğan, A. S. (2019). Yalova Üniversitesi Öğrencilerinin Üniversite Yaşam Kalitesi Algılarının Değerlendirilmesi. Yalova Sosyal Bilimler Dergisi, 9 (19), 17-43</w:t>
      </w:r>
    </w:p>
    <w:p w14:paraId="1D7578FB">
      <w:pPr>
        <w:pStyle w:val="9"/>
        <w:spacing w:before="120" w:after="120" w:line="360" w:lineRule="auto"/>
        <w:ind w:left="567" w:hanging="567"/>
      </w:pPr>
      <w:r>
        <w:t xml:space="preserve">Zheng, J. M., Chan, K. W., &amp; Gibson, I. (1998). Virtual reality. </w:t>
      </w:r>
      <w:r>
        <w:rPr>
          <w:i/>
        </w:rPr>
        <w:t>Ieee Potentials</w:t>
      </w:r>
      <w:r>
        <w:t>,</w:t>
      </w:r>
      <w:r>
        <w:rPr>
          <w:spacing w:val="-3"/>
        </w:rPr>
        <w:t xml:space="preserve"> </w:t>
      </w:r>
      <w:r>
        <w:rPr>
          <w:i/>
        </w:rPr>
        <w:t>17</w:t>
      </w:r>
      <w:r>
        <w:t xml:space="preserve">(2), 20- </w:t>
      </w:r>
      <w:r>
        <w:rPr>
          <w:spacing w:val="-4"/>
        </w:rPr>
        <w:t>23.</w:t>
      </w:r>
    </w:p>
    <w:p w14:paraId="5B273BF1">
      <w:pPr>
        <w:widowControl/>
        <w:autoSpaceDE/>
        <w:autoSpaceDN/>
        <w:spacing w:before="120" w:after="120" w:line="360" w:lineRule="auto"/>
        <w:ind w:left="567" w:hanging="567"/>
        <w:jc w:val="both"/>
        <w:rPr>
          <w:rFonts w:eastAsia="Calibri"/>
          <w:color w:val="222222"/>
          <w:sz w:val="24"/>
          <w:szCs w:val="24"/>
          <w:shd w:val="clear" w:color="auto" w:fill="FFFFFF"/>
        </w:rPr>
      </w:pPr>
      <w:r>
        <w:rPr>
          <w:rFonts w:eastAsia="Calibri"/>
          <w:color w:val="222222"/>
          <w:sz w:val="24"/>
          <w:szCs w:val="24"/>
          <w:shd w:val="clear" w:color="auto" w:fill="FFFFFF"/>
        </w:rPr>
        <w:t>Zheng, J. M., Chan, K. W., &amp; Gibson, I. (1998). Virtual reality. </w:t>
      </w:r>
      <w:r>
        <w:rPr>
          <w:rFonts w:eastAsia="Calibri"/>
          <w:i/>
          <w:iCs/>
          <w:color w:val="222222"/>
          <w:sz w:val="24"/>
          <w:szCs w:val="24"/>
          <w:shd w:val="clear" w:color="auto" w:fill="FFFFFF"/>
        </w:rPr>
        <w:t>Ieee Potentials</w:t>
      </w:r>
      <w:r>
        <w:rPr>
          <w:rFonts w:eastAsia="Calibri"/>
          <w:color w:val="222222"/>
          <w:sz w:val="24"/>
          <w:szCs w:val="24"/>
          <w:shd w:val="clear" w:color="auto" w:fill="FFFFFF"/>
        </w:rPr>
        <w:t>, </w:t>
      </w:r>
      <w:r>
        <w:rPr>
          <w:rFonts w:eastAsia="Calibri"/>
          <w:i/>
          <w:iCs/>
          <w:color w:val="222222"/>
          <w:sz w:val="24"/>
          <w:szCs w:val="24"/>
          <w:shd w:val="clear" w:color="auto" w:fill="FFFFFF"/>
        </w:rPr>
        <w:t>17</w:t>
      </w:r>
      <w:r>
        <w:rPr>
          <w:rFonts w:eastAsia="Calibri"/>
          <w:color w:val="222222"/>
          <w:sz w:val="24"/>
          <w:szCs w:val="24"/>
          <w:shd w:val="clear" w:color="auto" w:fill="FFFFFF"/>
        </w:rPr>
        <w:t>(2), 20-23.</w:t>
      </w:r>
    </w:p>
    <w:p w14:paraId="10937CB5">
      <w:pPr>
        <w:spacing w:before="120" w:after="120" w:line="360" w:lineRule="auto"/>
        <w:ind w:left="567" w:hanging="567"/>
        <w:jc w:val="both"/>
        <w:rPr>
          <w:sz w:val="24"/>
          <w:szCs w:val="24"/>
        </w:rPr>
      </w:pPr>
      <w:r>
        <w:rPr>
          <w:sz w:val="24"/>
          <w:szCs w:val="24"/>
        </w:rPr>
        <w:t>Zhu, J., Ong, S. K., &amp; Nee, A. Y. (2013). An authorable context-aware augmented reality system</w:t>
      </w:r>
      <w:r>
        <w:rPr>
          <w:spacing w:val="-9"/>
          <w:sz w:val="24"/>
          <w:szCs w:val="24"/>
        </w:rPr>
        <w:t xml:space="preserve"> </w:t>
      </w:r>
      <w:r>
        <w:rPr>
          <w:sz w:val="24"/>
          <w:szCs w:val="24"/>
        </w:rPr>
        <w:t>to</w:t>
      </w:r>
      <w:r>
        <w:rPr>
          <w:spacing w:val="-9"/>
          <w:sz w:val="24"/>
          <w:szCs w:val="24"/>
        </w:rPr>
        <w:t xml:space="preserve"> </w:t>
      </w:r>
      <w:r>
        <w:rPr>
          <w:sz w:val="24"/>
          <w:szCs w:val="24"/>
        </w:rPr>
        <w:t>assist</w:t>
      </w:r>
      <w:r>
        <w:rPr>
          <w:spacing w:val="-9"/>
          <w:sz w:val="24"/>
          <w:szCs w:val="24"/>
        </w:rPr>
        <w:t xml:space="preserve"> </w:t>
      </w:r>
      <w:r>
        <w:rPr>
          <w:sz w:val="24"/>
          <w:szCs w:val="24"/>
        </w:rPr>
        <w:t>the</w:t>
      </w:r>
      <w:r>
        <w:rPr>
          <w:spacing w:val="-10"/>
          <w:sz w:val="24"/>
          <w:szCs w:val="24"/>
        </w:rPr>
        <w:t xml:space="preserve"> </w:t>
      </w:r>
      <w:r>
        <w:rPr>
          <w:sz w:val="24"/>
          <w:szCs w:val="24"/>
        </w:rPr>
        <w:t>maintenance</w:t>
      </w:r>
      <w:r>
        <w:rPr>
          <w:spacing w:val="-10"/>
          <w:sz w:val="24"/>
          <w:szCs w:val="24"/>
        </w:rPr>
        <w:t xml:space="preserve"> </w:t>
      </w:r>
      <w:r>
        <w:rPr>
          <w:sz w:val="24"/>
          <w:szCs w:val="24"/>
        </w:rPr>
        <w:t>technicians.</w:t>
      </w:r>
      <w:r>
        <w:rPr>
          <w:spacing w:val="-3"/>
          <w:sz w:val="24"/>
          <w:szCs w:val="24"/>
        </w:rPr>
        <w:t xml:space="preserve"> </w:t>
      </w:r>
      <w:r>
        <w:rPr>
          <w:i/>
          <w:sz w:val="24"/>
          <w:szCs w:val="24"/>
        </w:rPr>
        <w:t>The</w:t>
      </w:r>
      <w:r>
        <w:rPr>
          <w:i/>
          <w:spacing w:val="-10"/>
          <w:sz w:val="24"/>
          <w:szCs w:val="24"/>
        </w:rPr>
        <w:t xml:space="preserve"> </w:t>
      </w:r>
      <w:r>
        <w:rPr>
          <w:i/>
          <w:sz w:val="24"/>
          <w:szCs w:val="24"/>
        </w:rPr>
        <w:t>International</w:t>
      </w:r>
      <w:r>
        <w:rPr>
          <w:i/>
          <w:spacing w:val="-9"/>
          <w:sz w:val="24"/>
          <w:szCs w:val="24"/>
        </w:rPr>
        <w:t xml:space="preserve"> </w:t>
      </w:r>
      <w:r>
        <w:rPr>
          <w:i/>
          <w:sz w:val="24"/>
          <w:szCs w:val="24"/>
        </w:rPr>
        <w:t>Journal</w:t>
      </w:r>
      <w:r>
        <w:rPr>
          <w:i/>
          <w:spacing w:val="-9"/>
          <w:sz w:val="24"/>
          <w:szCs w:val="24"/>
        </w:rPr>
        <w:t xml:space="preserve"> </w:t>
      </w:r>
      <w:r>
        <w:rPr>
          <w:i/>
          <w:sz w:val="24"/>
          <w:szCs w:val="24"/>
        </w:rPr>
        <w:t>of</w:t>
      </w:r>
      <w:r>
        <w:rPr>
          <w:i/>
          <w:spacing w:val="-11"/>
          <w:sz w:val="24"/>
          <w:szCs w:val="24"/>
        </w:rPr>
        <w:t xml:space="preserve"> </w:t>
      </w:r>
      <w:r>
        <w:rPr>
          <w:i/>
          <w:sz w:val="24"/>
          <w:szCs w:val="24"/>
        </w:rPr>
        <w:t>Advanced Manufacturing Technology</w:t>
      </w:r>
      <w:r>
        <w:rPr>
          <w:sz w:val="24"/>
          <w:szCs w:val="24"/>
        </w:rPr>
        <w:t xml:space="preserve">, </w:t>
      </w:r>
      <w:r>
        <w:rPr>
          <w:i/>
          <w:sz w:val="24"/>
          <w:szCs w:val="24"/>
        </w:rPr>
        <w:t>66</w:t>
      </w:r>
      <w:r>
        <w:rPr>
          <w:sz w:val="24"/>
          <w:szCs w:val="24"/>
        </w:rPr>
        <w:t>, 1699-1714.</w:t>
      </w:r>
    </w:p>
    <w:p w14:paraId="068673F3">
      <w:pPr>
        <w:pStyle w:val="9"/>
        <w:spacing w:before="120" w:after="120" w:line="360" w:lineRule="auto"/>
        <w:ind w:left="567" w:hanging="567"/>
      </w:pPr>
      <w:r>
        <w:t>Zorba, E. (2007). “Türkiye’de Rekreasyona Bakış Açısı ve Gelişimi”, Gazi Haber Dergisi, Eylül, 52-55.</w:t>
      </w:r>
    </w:p>
    <w:p w14:paraId="78D98712">
      <w:pPr>
        <w:pStyle w:val="9"/>
        <w:spacing w:before="120" w:after="120" w:line="360" w:lineRule="auto"/>
        <w:ind w:left="567" w:hanging="567"/>
      </w:pPr>
      <w:r>
        <w:t xml:space="preserve"> Zorba, E., (2004).  Yaşam Boyu Spor. İstanbul: Marmara Yayınları.                </w:t>
      </w:r>
    </w:p>
    <w:p w14:paraId="354AD0BA">
      <w:pPr>
        <w:pStyle w:val="2"/>
        <w:ind w:left="160"/>
        <w:jc w:val="left"/>
        <w:rPr>
          <w:spacing w:val="-2"/>
        </w:rPr>
      </w:pPr>
    </w:p>
    <w:p w14:paraId="241D6CAB">
      <w:pPr>
        <w:widowControl/>
        <w:autoSpaceDE/>
        <w:autoSpaceDN/>
        <w:rPr>
          <w:b/>
          <w:bCs/>
          <w:spacing w:val="-2"/>
          <w:sz w:val="24"/>
          <w:szCs w:val="24"/>
        </w:rPr>
      </w:pPr>
      <w:r>
        <w:rPr>
          <w:spacing w:val="-2"/>
        </w:rPr>
        <w:br w:type="page"/>
      </w:r>
    </w:p>
    <w:p w14:paraId="7283E8C3">
      <w:pPr>
        <w:pStyle w:val="2"/>
        <w:ind w:left="160"/>
        <w:jc w:val="left"/>
        <w:rPr>
          <w:spacing w:val="-2"/>
        </w:rPr>
      </w:pPr>
      <w:bookmarkStart w:id="257" w:name="_Toc197351293"/>
      <w:r>
        <w:rPr>
          <w:spacing w:val="-2"/>
        </w:rPr>
        <w:t>Ekler</w:t>
      </w:r>
      <w:bookmarkEnd w:id="257"/>
    </w:p>
    <w:p w14:paraId="427896A9">
      <w:pPr>
        <w:spacing w:before="120" w:after="120" w:line="360" w:lineRule="auto"/>
        <w:jc w:val="both"/>
        <w:rPr>
          <w:b/>
          <w:spacing w:val="-2"/>
          <w:sz w:val="24"/>
        </w:rPr>
      </w:pPr>
      <w:r>
        <w:rPr>
          <w:b/>
          <w:spacing w:val="-2"/>
          <w:sz w:val="24"/>
        </w:rPr>
        <w:t>Araştırma İzni Belgesi</w:t>
      </w:r>
    </w:p>
    <w:p w14:paraId="6424E579">
      <w:pPr>
        <w:pStyle w:val="2"/>
        <w:ind w:left="160"/>
        <w:jc w:val="left"/>
        <w:rPr>
          <w:spacing w:val="-2"/>
        </w:rPr>
      </w:pPr>
      <w:bookmarkStart w:id="258" w:name="_Toc197351294"/>
      <w:r>
        <w:rPr>
          <w:spacing w:val="-2"/>
          <w:lang w:eastAsia="tr-TR"/>
        </w:rPr>
        <w:drawing>
          <wp:inline distT="0" distB="0" distL="0" distR="0">
            <wp:extent cx="5737225" cy="7917180"/>
            <wp:effectExtent l="0" t="0" r="0" b="762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Resim 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818568" cy="8029431"/>
                    </a:xfrm>
                    <a:prstGeom prst="rect">
                      <a:avLst/>
                    </a:prstGeom>
                    <a:noFill/>
                    <a:ln>
                      <a:noFill/>
                    </a:ln>
                  </pic:spPr>
                </pic:pic>
              </a:graphicData>
            </a:graphic>
          </wp:inline>
        </w:drawing>
      </w:r>
      <w:bookmarkEnd w:id="258"/>
    </w:p>
    <w:p w14:paraId="19793D55">
      <w:pPr>
        <w:spacing w:before="120" w:after="120" w:line="360" w:lineRule="auto"/>
        <w:jc w:val="both"/>
        <w:rPr>
          <w:b/>
          <w:spacing w:val="-2"/>
          <w:sz w:val="24"/>
        </w:rPr>
      </w:pPr>
      <w:r>
        <w:rPr>
          <w:b/>
          <w:spacing w:val="-2"/>
          <w:sz w:val="24"/>
        </w:rPr>
        <w:t>Araştırma İzni Belgesi</w:t>
      </w:r>
    </w:p>
    <w:p w14:paraId="32DC9443">
      <w:pPr>
        <w:widowControl/>
        <w:autoSpaceDE/>
        <w:autoSpaceDN/>
        <w:rPr>
          <w:spacing w:val="-2"/>
        </w:rPr>
      </w:pPr>
      <w:r>
        <w:rPr>
          <w:spacing w:val="-2"/>
          <w:lang w:eastAsia="tr-TR"/>
        </w:rPr>
        <w:drawing>
          <wp:inline distT="0" distB="0" distL="0" distR="0">
            <wp:extent cx="5989320" cy="8168640"/>
            <wp:effectExtent l="0" t="0" r="0" b="381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Resim 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989320" cy="8168640"/>
                    </a:xfrm>
                    <a:prstGeom prst="rect">
                      <a:avLst/>
                    </a:prstGeom>
                    <a:noFill/>
                    <a:ln>
                      <a:noFill/>
                    </a:ln>
                  </pic:spPr>
                </pic:pic>
              </a:graphicData>
            </a:graphic>
          </wp:inline>
        </w:drawing>
      </w:r>
    </w:p>
    <w:p w14:paraId="76FFA805">
      <w:pPr>
        <w:widowControl/>
        <w:autoSpaceDE/>
        <w:autoSpaceDN/>
        <w:spacing w:before="120" w:after="120" w:line="360" w:lineRule="auto"/>
        <w:jc w:val="both"/>
        <w:rPr>
          <w:b/>
          <w:spacing w:val="-2"/>
          <w:sz w:val="24"/>
        </w:rPr>
      </w:pPr>
      <w:r>
        <w:rPr>
          <w:b/>
          <w:spacing w:val="-2"/>
          <w:sz w:val="24"/>
        </w:rPr>
        <w:t>Etik Kurul Onayı Belgesi</w:t>
      </w:r>
    </w:p>
    <w:p w14:paraId="08FEEBFF">
      <w:pPr>
        <w:widowControl/>
        <w:autoSpaceDE/>
        <w:autoSpaceDN/>
        <w:rPr>
          <w:spacing w:val="-2"/>
        </w:rPr>
      </w:pPr>
      <w:r>
        <w:rPr>
          <w:spacing w:val="-2"/>
          <w:lang w:eastAsia="tr-TR"/>
        </w:rPr>
        <w:drawing>
          <wp:inline distT="0" distB="0" distL="0" distR="0">
            <wp:extent cx="5928360" cy="8153400"/>
            <wp:effectExtent l="0" t="0" r="0" b="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Resim 6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928360" cy="8153400"/>
                    </a:xfrm>
                    <a:prstGeom prst="rect">
                      <a:avLst/>
                    </a:prstGeom>
                    <a:noFill/>
                    <a:ln>
                      <a:noFill/>
                    </a:ln>
                  </pic:spPr>
                </pic:pic>
              </a:graphicData>
            </a:graphic>
          </wp:inline>
        </w:drawing>
      </w:r>
    </w:p>
    <w:p w14:paraId="156B5368">
      <w:pPr>
        <w:widowControl/>
        <w:autoSpaceDE/>
        <w:autoSpaceDN/>
        <w:rPr>
          <w:b/>
          <w:spacing w:val="-2"/>
        </w:rPr>
      </w:pPr>
      <w:r>
        <w:rPr>
          <w:b/>
          <w:spacing w:val="-2"/>
        </w:rPr>
        <w:t>Etik Kurul Onayı Belgesi</w:t>
      </w:r>
    </w:p>
    <w:p w14:paraId="6FBC0153">
      <w:pPr>
        <w:widowControl/>
        <w:autoSpaceDE/>
        <w:autoSpaceDN/>
        <w:rPr>
          <w:spacing w:val="-2"/>
        </w:rPr>
      </w:pPr>
      <w:r>
        <w:rPr>
          <w:spacing w:val="-2"/>
          <w:lang w:eastAsia="tr-TR"/>
        </w:rPr>
        <w:drawing>
          <wp:inline distT="0" distB="0" distL="0" distR="0">
            <wp:extent cx="5829300" cy="8321040"/>
            <wp:effectExtent l="0" t="0" r="0" b="381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Resim 6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829300" cy="8321040"/>
                    </a:xfrm>
                    <a:prstGeom prst="rect">
                      <a:avLst/>
                    </a:prstGeom>
                    <a:noFill/>
                    <a:ln>
                      <a:noFill/>
                    </a:ln>
                  </pic:spPr>
                </pic:pic>
              </a:graphicData>
            </a:graphic>
          </wp:inline>
        </w:drawing>
      </w:r>
    </w:p>
    <w:p w14:paraId="303FC008">
      <w:pPr>
        <w:widowControl/>
        <w:autoSpaceDE/>
        <w:autoSpaceDN/>
        <w:spacing w:before="120" w:after="120" w:line="360" w:lineRule="auto"/>
        <w:jc w:val="both"/>
        <w:rPr>
          <w:b/>
          <w:spacing w:val="-2"/>
          <w:sz w:val="24"/>
        </w:rPr>
      </w:pPr>
      <w:r>
        <w:rPr>
          <w:b/>
          <w:spacing w:val="-2"/>
          <w:sz w:val="24"/>
        </w:rPr>
        <w:t>Ölçek Kullanım İzni Belgesi</w:t>
      </w:r>
    </w:p>
    <w:p w14:paraId="3DDA6CD3">
      <w:pPr>
        <w:widowControl/>
        <w:autoSpaceDE/>
        <w:autoSpaceDN/>
        <w:rPr>
          <w:spacing w:val="-2"/>
        </w:rPr>
      </w:pPr>
      <w:r>
        <w:rPr>
          <w:spacing w:val="-2"/>
          <w:lang w:eastAsia="tr-TR"/>
        </w:rPr>
        <w:drawing>
          <wp:inline distT="0" distB="0" distL="0" distR="0">
            <wp:extent cx="5760720" cy="8100060"/>
            <wp:effectExtent l="0" t="0" r="0" b="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Resim 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760720" cy="8100060"/>
                    </a:xfrm>
                    <a:prstGeom prst="rect">
                      <a:avLst/>
                    </a:prstGeom>
                    <a:noFill/>
                    <a:ln>
                      <a:noFill/>
                    </a:ln>
                  </pic:spPr>
                </pic:pic>
              </a:graphicData>
            </a:graphic>
          </wp:inline>
        </w:drawing>
      </w:r>
    </w:p>
    <w:p w14:paraId="0AE0D39A">
      <w:pPr>
        <w:widowControl/>
        <w:autoSpaceDE/>
        <w:autoSpaceDN/>
        <w:rPr>
          <w:b/>
          <w:spacing w:val="-2"/>
          <w:sz w:val="24"/>
        </w:rPr>
      </w:pPr>
      <w:r>
        <w:rPr>
          <w:b/>
          <w:spacing w:val="-2"/>
          <w:sz w:val="24"/>
        </w:rPr>
        <w:t>Sanal Rekreasyon Ölçek Maddeleri</w:t>
      </w:r>
    </w:p>
    <w:p w14:paraId="5BBCE436">
      <w:pPr>
        <w:widowControl/>
        <w:autoSpaceDE/>
        <w:autoSpaceDN/>
        <w:rPr>
          <w:spacing w:val="-2"/>
        </w:rPr>
      </w:pPr>
    </w:p>
    <w:tbl>
      <w:tblPr>
        <w:tblStyle w:val="7"/>
        <w:tblW w:w="951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
      <w:tblGrid>
        <w:gridCol w:w="851"/>
        <w:gridCol w:w="4826"/>
        <w:gridCol w:w="680"/>
        <w:gridCol w:w="567"/>
        <w:gridCol w:w="1014"/>
        <w:gridCol w:w="709"/>
        <w:gridCol w:w="871"/>
      </w:tblGrid>
      <w:tr w14:paraId="62069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cantSplit/>
          <w:trHeight w:val="1439" w:hRule="atLeast"/>
        </w:trPr>
        <w:tc>
          <w:tcPr>
            <w:tcW w:w="851" w:type="dxa"/>
            <w:shd w:val="clear" w:color="auto" w:fill="FFFFFF" w:themeFill="background1"/>
          </w:tcPr>
          <w:p w14:paraId="287E2DA6">
            <w:pPr>
              <w:pStyle w:val="29"/>
              <w:spacing w:before="112"/>
              <w:ind w:left="182"/>
              <w:rPr>
                <w:b/>
                <w:sz w:val="18"/>
                <w:szCs w:val="18"/>
              </w:rPr>
            </w:pPr>
            <w:r>
              <w:rPr>
                <w:b/>
                <w:spacing w:val="-5"/>
                <w:sz w:val="18"/>
                <w:szCs w:val="18"/>
              </w:rPr>
              <w:t>Madde No</w:t>
            </w:r>
          </w:p>
        </w:tc>
        <w:tc>
          <w:tcPr>
            <w:tcW w:w="4826" w:type="dxa"/>
            <w:shd w:val="clear" w:color="auto" w:fill="FFFFFF" w:themeFill="background1"/>
          </w:tcPr>
          <w:p w14:paraId="787CC350">
            <w:pPr>
              <w:pStyle w:val="29"/>
              <w:spacing w:before="112"/>
              <w:ind w:left="167"/>
              <w:rPr>
                <w:b/>
                <w:sz w:val="18"/>
                <w:szCs w:val="18"/>
              </w:rPr>
            </w:pPr>
            <w:r>
              <w:rPr>
                <w:b/>
                <w:spacing w:val="-2"/>
                <w:sz w:val="18"/>
                <w:szCs w:val="18"/>
              </w:rPr>
              <w:t>Maddeler</w:t>
            </w:r>
          </w:p>
        </w:tc>
        <w:tc>
          <w:tcPr>
            <w:tcW w:w="680" w:type="dxa"/>
            <w:shd w:val="clear" w:color="auto" w:fill="FFFFFF" w:themeFill="background1"/>
            <w:textDirection w:val="btLr"/>
          </w:tcPr>
          <w:p w14:paraId="304664A5">
            <w:pPr>
              <w:pStyle w:val="29"/>
              <w:spacing w:before="112"/>
              <w:ind w:left="113" w:right="113"/>
              <w:rPr>
                <w:b/>
                <w:sz w:val="18"/>
                <w:szCs w:val="18"/>
              </w:rPr>
            </w:pPr>
            <w:r>
              <w:rPr>
                <w:b/>
                <w:sz w:val="18"/>
                <w:szCs w:val="18"/>
              </w:rPr>
              <w:t>Kesinlinle Katılmıyorum</w:t>
            </w:r>
          </w:p>
        </w:tc>
        <w:tc>
          <w:tcPr>
            <w:tcW w:w="567" w:type="dxa"/>
            <w:shd w:val="clear" w:color="auto" w:fill="FFFFFF" w:themeFill="background1"/>
            <w:textDirection w:val="btLr"/>
          </w:tcPr>
          <w:p w14:paraId="262945F4">
            <w:pPr>
              <w:pStyle w:val="29"/>
              <w:spacing w:before="112"/>
              <w:ind w:left="113" w:right="113"/>
              <w:rPr>
                <w:b/>
                <w:sz w:val="18"/>
                <w:szCs w:val="18"/>
              </w:rPr>
            </w:pPr>
            <w:r>
              <w:rPr>
                <w:b/>
                <w:sz w:val="18"/>
                <w:szCs w:val="18"/>
              </w:rPr>
              <w:t>Katılmıyorum</w:t>
            </w:r>
          </w:p>
        </w:tc>
        <w:tc>
          <w:tcPr>
            <w:tcW w:w="1014" w:type="dxa"/>
            <w:shd w:val="clear" w:color="auto" w:fill="FFFFFF" w:themeFill="background1"/>
            <w:textDirection w:val="btLr"/>
          </w:tcPr>
          <w:p w14:paraId="79CFC10E">
            <w:pPr>
              <w:pStyle w:val="29"/>
              <w:spacing w:line="320" w:lineRule="atLeast"/>
              <w:ind w:left="113" w:right="224"/>
              <w:rPr>
                <w:b/>
                <w:sz w:val="18"/>
                <w:szCs w:val="18"/>
              </w:rPr>
            </w:pPr>
            <w:r>
              <w:rPr>
                <w:b/>
                <w:sz w:val="18"/>
                <w:szCs w:val="18"/>
              </w:rPr>
              <w:t>Kararsızım</w:t>
            </w:r>
          </w:p>
        </w:tc>
        <w:tc>
          <w:tcPr>
            <w:tcW w:w="709" w:type="dxa"/>
            <w:shd w:val="clear" w:color="auto" w:fill="FFFFFF" w:themeFill="background1"/>
            <w:textDirection w:val="btLr"/>
          </w:tcPr>
          <w:p w14:paraId="0019E3DE">
            <w:pPr>
              <w:pStyle w:val="29"/>
              <w:spacing w:line="320" w:lineRule="atLeast"/>
              <w:ind w:left="113" w:right="224"/>
              <w:rPr>
                <w:b/>
                <w:sz w:val="18"/>
                <w:szCs w:val="18"/>
              </w:rPr>
            </w:pPr>
            <w:r>
              <w:rPr>
                <w:b/>
                <w:sz w:val="18"/>
                <w:szCs w:val="18"/>
              </w:rPr>
              <w:t>Katılıyorum</w:t>
            </w:r>
          </w:p>
        </w:tc>
        <w:tc>
          <w:tcPr>
            <w:tcW w:w="871" w:type="dxa"/>
            <w:shd w:val="clear" w:color="auto" w:fill="FFFFFF" w:themeFill="background1"/>
            <w:textDirection w:val="btLr"/>
          </w:tcPr>
          <w:p w14:paraId="159496E2">
            <w:pPr>
              <w:pStyle w:val="29"/>
              <w:spacing w:line="320" w:lineRule="atLeast"/>
              <w:ind w:left="113" w:right="224"/>
              <w:rPr>
                <w:b/>
                <w:sz w:val="18"/>
                <w:szCs w:val="18"/>
              </w:rPr>
            </w:pPr>
            <w:r>
              <w:rPr>
                <w:b/>
                <w:sz w:val="18"/>
                <w:szCs w:val="18"/>
              </w:rPr>
              <w:t>Kesinlikle Katılıyorum</w:t>
            </w:r>
          </w:p>
        </w:tc>
      </w:tr>
      <w:tr w14:paraId="22246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640" w:hRule="atLeast"/>
        </w:trPr>
        <w:tc>
          <w:tcPr>
            <w:tcW w:w="851" w:type="dxa"/>
            <w:shd w:val="clear" w:color="auto" w:fill="FFFFFF" w:themeFill="background1"/>
          </w:tcPr>
          <w:p w14:paraId="6827AE39">
            <w:pPr>
              <w:pStyle w:val="29"/>
              <w:spacing w:before="112"/>
              <w:ind w:left="182"/>
              <w:rPr>
                <w:b/>
                <w:sz w:val="18"/>
                <w:szCs w:val="18"/>
              </w:rPr>
            </w:pPr>
            <w:r>
              <w:rPr>
                <w:b/>
                <w:sz w:val="18"/>
                <w:szCs w:val="18"/>
              </w:rPr>
              <w:t>1</w:t>
            </w:r>
          </w:p>
        </w:tc>
        <w:tc>
          <w:tcPr>
            <w:tcW w:w="4826" w:type="dxa"/>
            <w:shd w:val="clear" w:color="auto" w:fill="FFFFFF" w:themeFill="background1"/>
          </w:tcPr>
          <w:p w14:paraId="40EAFCED">
            <w:pPr>
              <w:pStyle w:val="29"/>
              <w:jc w:val="both"/>
              <w:rPr>
                <w:sz w:val="18"/>
                <w:szCs w:val="18"/>
              </w:rPr>
            </w:pPr>
            <w:r>
              <w:rPr>
                <w:sz w:val="18"/>
                <w:szCs w:val="18"/>
              </w:rPr>
              <w:t>Sanal</w:t>
            </w:r>
            <w:r>
              <w:rPr>
                <w:spacing w:val="17"/>
                <w:sz w:val="18"/>
                <w:szCs w:val="18"/>
              </w:rPr>
              <w:t xml:space="preserve"> </w:t>
            </w:r>
            <w:r>
              <w:rPr>
                <w:sz w:val="18"/>
                <w:szCs w:val="18"/>
              </w:rPr>
              <w:t>rekreasyon</w:t>
            </w:r>
            <w:r>
              <w:rPr>
                <w:spacing w:val="17"/>
                <w:sz w:val="18"/>
                <w:szCs w:val="18"/>
              </w:rPr>
              <w:t xml:space="preserve"> </w:t>
            </w:r>
            <w:r>
              <w:rPr>
                <w:sz w:val="18"/>
                <w:szCs w:val="18"/>
              </w:rPr>
              <w:t>faaliyetleri,</w:t>
            </w:r>
            <w:r>
              <w:rPr>
                <w:spacing w:val="17"/>
                <w:sz w:val="18"/>
                <w:szCs w:val="18"/>
              </w:rPr>
              <w:t xml:space="preserve"> </w:t>
            </w:r>
            <w:r>
              <w:rPr>
                <w:sz w:val="18"/>
                <w:szCs w:val="18"/>
              </w:rPr>
              <w:t>kendimi</w:t>
            </w:r>
            <w:r>
              <w:rPr>
                <w:spacing w:val="17"/>
                <w:sz w:val="18"/>
                <w:szCs w:val="18"/>
              </w:rPr>
              <w:t xml:space="preserve"> </w:t>
            </w:r>
            <w:r>
              <w:rPr>
                <w:sz w:val="18"/>
                <w:szCs w:val="18"/>
              </w:rPr>
              <w:t>mutlu</w:t>
            </w:r>
            <w:r>
              <w:rPr>
                <w:spacing w:val="17"/>
                <w:sz w:val="18"/>
                <w:szCs w:val="18"/>
              </w:rPr>
              <w:t xml:space="preserve"> </w:t>
            </w:r>
            <w:r>
              <w:rPr>
                <w:sz w:val="18"/>
                <w:szCs w:val="18"/>
              </w:rPr>
              <w:t xml:space="preserve">hissetmemi </w:t>
            </w:r>
            <w:r>
              <w:rPr>
                <w:spacing w:val="-2"/>
                <w:sz w:val="18"/>
                <w:szCs w:val="18"/>
              </w:rPr>
              <w:t>sağlar.</w:t>
            </w:r>
          </w:p>
        </w:tc>
        <w:tc>
          <w:tcPr>
            <w:tcW w:w="680" w:type="dxa"/>
            <w:shd w:val="clear" w:color="auto" w:fill="FFFFFF" w:themeFill="background1"/>
          </w:tcPr>
          <w:p w14:paraId="263C2F69">
            <w:pPr>
              <w:pStyle w:val="29"/>
              <w:spacing w:before="107"/>
              <w:rPr>
                <w:sz w:val="18"/>
                <w:szCs w:val="18"/>
              </w:rPr>
            </w:pPr>
          </w:p>
        </w:tc>
        <w:tc>
          <w:tcPr>
            <w:tcW w:w="567" w:type="dxa"/>
            <w:shd w:val="clear" w:color="auto" w:fill="FFFFFF" w:themeFill="background1"/>
          </w:tcPr>
          <w:p w14:paraId="47109B30">
            <w:pPr>
              <w:pStyle w:val="29"/>
              <w:spacing w:before="107"/>
              <w:rPr>
                <w:sz w:val="18"/>
                <w:szCs w:val="18"/>
              </w:rPr>
            </w:pPr>
          </w:p>
        </w:tc>
        <w:tc>
          <w:tcPr>
            <w:tcW w:w="1014" w:type="dxa"/>
            <w:shd w:val="clear" w:color="auto" w:fill="FFFFFF" w:themeFill="background1"/>
          </w:tcPr>
          <w:p w14:paraId="29D945D2">
            <w:pPr>
              <w:pStyle w:val="29"/>
              <w:spacing w:before="107"/>
              <w:rPr>
                <w:sz w:val="18"/>
                <w:szCs w:val="18"/>
              </w:rPr>
            </w:pPr>
          </w:p>
        </w:tc>
        <w:tc>
          <w:tcPr>
            <w:tcW w:w="709" w:type="dxa"/>
            <w:shd w:val="clear" w:color="auto" w:fill="FFFFFF" w:themeFill="background1"/>
          </w:tcPr>
          <w:p w14:paraId="521004B4">
            <w:pPr>
              <w:pStyle w:val="29"/>
              <w:spacing w:before="107"/>
              <w:rPr>
                <w:sz w:val="18"/>
                <w:szCs w:val="18"/>
              </w:rPr>
            </w:pPr>
          </w:p>
        </w:tc>
        <w:tc>
          <w:tcPr>
            <w:tcW w:w="871" w:type="dxa"/>
            <w:shd w:val="clear" w:color="auto" w:fill="FFFFFF" w:themeFill="background1"/>
          </w:tcPr>
          <w:p w14:paraId="24CDB87F">
            <w:pPr>
              <w:pStyle w:val="29"/>
              <w:spacing w:before="107"/>
              <w:rPr>
                <w:sz w:val="18"/>
                <w:szCs w:val="18"/>
              </w:rPr>
            </w:pPr>
          </w:p>
        </w:tc>
      </w:tr>
      <w:tr w14:paraId="2D2D5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18" w:hRule="atLeast"/>
        </w:trPr>
        <w:tc>
          <w:tcPr>
            <w:tcW w:w="851" w:type="dxa"/>
            <w:shd w:val="clear" w:color="auto" w:fill="FFFFFF" w:themeFill="background1"/>
          </w:tcPr>
          <w:p w14:paraId="3CBFDE85">
            <w:pPr>
              <w:pStyle w:val="29"/>
              <w:spacing w:before="112" w:line="186" w:lineRule="exact"/>
              <w:ind w:left="182"/>
              <w:rPr>
                <w:b/>
                <w:sz w:val="18"/>
                <w:szCs w:val="18"/>
              </w:rPr>
            </w:pPr>
            <w:r>
              <w:rPr>
                <w:b/>
                <w:sz w:val="18"/>
                <w:szCs w:val="18"/>
              </w:rPr>
              <w:t>2</w:t>
            </w:r>
          </w:p>
        </w:tc>
        <w:tc>
          <w:tcPr>
            <w:tcW w:w="4826" w:type="dxa"/>
            <w:shd w:val="clear" w:color="auto" w:fill="FFFFFF" w:themeFill="background1"/>
          </w:tcPr>
          <w:p w14:paraId="685225F4">
            <w:pPr>
              <w:pStyle w:val="29"/>
              <w:jc w:val="both"/>
              <w:rPr>
                <w:sz w:val="18"/>
                <w:szCs w:val="18"/>
              </w:rPr>
            </w:pPr>
            <w:r>
              <w:rPr>
                <w:sz w:val="18"/>
                <w:szCs w:val="18"/>
              </w:rPr>
              <w:t>Sanal</w:t>
            </w:r>
            <w:r>
              <w:rPr>
                <w:spacing w:val="-4"/>
                <w:sz w:val="18"/>
                <w:szCs w:val="18"/>
              </w:rPr>
              <w:t xml:space="preserve"> </w:t>
            </w:r>
            <w:r>
              <w:rPr>
                <w:sz w:val="18"/>
                <w:szCs w:val="18"/>
              </w:rPr>
              <w:t>rekreasyon</w:t>
            </w:r>
            <w:r>
              <w:rPr>
                <w:spacing w:val="-3"/>
                <w:sz w:val="18"/>
                <w:szCs w:val="18"/>
              </w:rPr>
              <w:t xml:space="preserve"> </w:t>
            </w:r>
            <w:r>
              <w:rPr>
                <w:sz w:val="18"/>
                <w:szCs w:val="18"/>
              </w:rPr>
              <w:t>faaliyetleri,</w:t>
            </w:r>
            <w:r>
              <w:rPr>
                <w:spacing w:val="-2"/>
                <w:sz w:val="18"/>
                <w:szCs w:val="18"/>
              </w:rPr>
              <w:t xml:space="preserve"> </w:t>
            </w:r>
            <w:r>
              <w:rPr>
                <w:sz w:val="18"/>
                <w:szCs w:val="18"/>
              </w:rPr>
              <w:t>iş</w:t>
            </w:r>
            <w:r>
              <w:rPr>
                <w:spacing w:val="-5"/>
                <w:sz w:val="18"/>
                <w:szCs w:val="18"/>
              </w:rPr>
              <w:t xml:space="preserve"> </w:t>
            </w:r>
            <w:r>
              <w:rPr>
                <w:sz w:val="18"/>
                <w:szCs w:val="18"/>
              </w:rPr>
              <w:t>birliği</w:t>
            </w:r>
            <w:r>
              <w:rPr>
                <w:spacing w:val="-3"/>
                <w:sz w:val="18"/>
                <w:szCs w:val="18"/>
              </w:rPr>
              <w:t xml:space="preserve"> </w:t>
            </w:r>
            <w:r>
              <w:rPr>
                <w:sz w:val="18"/>
                <w:szCs w:val="18"/>
              </w:rPr>
              <w:t>becerimi</w:t>
            </w:r>
            <w:r>
              <w:rPr>
                <w:spacing w:val="-3"/>
                <w:sz w:val="18"/>
                <w:szCs w:val="18"/>
              </w:rPr>
              <w:t xml:space="preserve"> </w:t>
            </w:r>
            <w:r>
              <w:rPr>
                <w:spacing w:val="-2"/>
                <w:sz w:val="18"/>
                <w:szCs w:val="18"/>
              </w:rPr>
              <w:t>geliştirir.</w:t>
            </w:r>
          </w:p>
        </w:tc>
        <w:tc>
          <w:tcPr>
            <w:tcW w:w="680" w:type="dxa"/>
            <w:shd w:val="clear" w:color="auto" w:fill="FFFFFF" w:themeFill="background1"/>
          </w:tcPr>
          <w:p w14:paraId="2F4316DC">
            <w:pPr>
              <w:pStyle w:val="29"/>
              <w:spacing w:before="107" w:line="191" w:lineRule="exact"/>
              <w:rPr>
                <w:sz w:val="18"/>
                <w:szCs w:val="18"/>
              </w:rPr>
            </w:pPr>
          </w:p>
        </w:tc>
        <w:tc>
          <w:tcPr>
            <w:tcW w:w="567" w:type="dxa"/>
            <w:shd w:val="clear" w:color="auto" w:fill="FFFFFF" w:themeFill="background1"/>
          </w:tcPr>
          <w:p w14:paraId="4C44D0AA">
            <w:pPr>
              <w:pStyle w:val="29"/>
              <w:spacing w:before="107" w:line="191" w:lineRule="exact"/>
              <w:rPr>
                <w:sz w:val="18"/>
                <w:szCs w:val="18"/>
              </w:rPr>
            </w:pPr>
          </w:p>
        </w:tc>
        <w:tc>
          <w:tcPr>
            <w:tcW w:w="1014" w:type="dxa"/>
            <w:shd w:val="clear" w:color="auto" w:fill="FFFFFF" w:themeFill="background1"/>
          </w:tcPr>
          <w:p w14:paraId="0B2C4118">
            <w:pPr>
              <w:pStyle w:val="29"/>
              <w:spacing w:before="107" w:line="191" w:lineRule="exact"/>
              <w:rPr>
                <w:sz w:val="18"/>
                <w:szCs w:val="18"/>
              </w:rPr>
            </w:pPr>
          </w:p>
        </w:tc>
        <w:tc>
          <w:tcPr>
            <w:tcW w:w="709" w:type="dxa"/>
            <w:shd w:val="clear" w:color="auto" w:fill="FFFFFF" w:themeFill="background1"/>
          </w:tcPr>
          <w:p w14:paraId="7D3EDD62">
            <w:pPr>
              <w:pStyle w:val="29"/>
              <w:spacing w:before="107" w:line="191" w:lineRule="exact"/>
              <w:rPr>
                <w:sz w:val="18"/>
                <w:szCs w:val="18"/>
              </w:rPr>
            </w:pPr>
          </w:p>
        </w:tc>
        <w:tc>
          <w:tcPr>
            <w:tcW w:w="871" w:type="dxa"/>
            <w:shd w:val="clear" w:color="auto" w:fill="FFFFFF" w:themeFill="background1"/>
          </w:tcPr>
          <w:p w14:paraId="2D173891">
            <w:pPr>
              <w:pStyle w:val="29"/>
              <w:spacing w:before="107" w:line="191" w:lineRule="exact"/>
              <w:rPr>
                <w:sz w:val="18"/>
                <w:szCs w:val="18"/>
              </w:rPr>
            </w:pPr>
          </w:p>
        </w:tc>
      </w:tr>
      <w:tr w14:paraId="7A10D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640" w:hRule="atLeast"/>
        </w:trPr>
        <w:tc>
          <w:tcPr>
            <w:tcW w:w="851" w:type="dxa"/>
            <w:shd w:val="clear" w:color="auto" w:fill="FFFFFF" w:themeFill="background1"/>
          </w:tcPr>
          <w:p w14:paraId="6EA3950A">
            <w:pPr>
              <w:pStyle w:val="29"/>
              <w:spacing w:before="112"/>
              <w:ind w:left="182"/>
              <w:rPr>
                <w:b/>
                <w:sz w:val="18"/>
                <w:szCs w:val="18"/>
              </w:rPr>
            </w:pPr>
            <w:r>
              <w:rPr>
                <w:b/>
                <w:sz w:val="18"/>
                <w:szCs w:val="18"/>
              </w:rPr>
              <w:t>3</w:t>
            </w:r>
          </w:p>
        </w:tc>
        <w:tc>
          <w:tcPr>
            <w:tcW w:w="4826" w:type="dxa"/>
            <w:shd w:val="clear" w:color="auto" w:fill="FFFFFF" w:themeFill="background1"/>
          </w:tcPr>
          <w:p w14:paraId="2D77FB00">
            <w:pPr>
              <w:pStyle w:val="29"/>
              <w:jc w:val="both"/>
              <w:rPr>
                <w:sz w:val="18"/>
                <w:szCs w:val="18"/>
              </w:rPr>
            </w:pPr>
            <w:r>
              <w:rPr>
                <w:sz w:val="18"/>
                <w:szCs w:val="18"/>
              </w:rPr>
              <w:t>Sanal</w:t>
            </w:r>
            <w:r>
              <w:rPr>
                <w:spacing w:val="80"/>
                <w:sz w:val="18"/>
                <w:szCs w:val="18"/>
              </w:rPr>
              <w:t xml:space="preserve"> </w:t>
            </w:r>
            <w:r>
              <w:rPr>
                <w:sz w:val="18"/>
                <w:szCs w:val="18"/>
              </w:rPr>
              <w:t>rekreasyon</w:t>
            </w:r>
            <w:r>
              <w:rPr>
                <w:spacing w:val="80"/>
                <w:sz w:val="18"/>
                <w:szCs w:val="18"/>
              </w:rPr>
              <w:t xml:space="preserve"> </w:t>
            </w:r>
            <w:r>
              <w:rPr>
                <w:sz w:val="18"/>
                <w:szCs w:val="18"/>
              </w:rPr>
              <w:t>faaliyetleri,</w:t>
            </w:r>
            <w:r>
              <w:rPr>
                <w:spacing w:val="80"/>
                <w:sz w:val="18"/>
                <w:szCs w:val="18"/>
              </w:rPr>
              <w:t xml:space="preserve"> </w:t>
            </w:r>
            <w:r>
              <w:rPr>
                <w:sz w:val="18"/>
                <w:szCs w:val="18"/>
              </w:rPr>
              <w:t>başkalarının</w:t>
            </w:r>
            <w:r>
              <w:rPr>
                <w:spacing w:val="80"/>
                <w:sz w:val="18"/>
                <w:szCs w:val="18"/>
              </w:rPr>
              <w:t xml:space="preserve"> </w:t>
            </w:r>
            <w:r>
              <w:rPr>
                <w:sz w:val="18"/>
                <w:szCs w:val="18"/>
              </w:rPr>
              <w:t>güvenini kazanma konusunda bana yardımcı olur.</w:t>
            </w:r>
          </w:p>
        </w:tc>
        <w:tc>
          <w:tcPr>
            <w:tcW w:w="680" w:type="dxa"/>
            <w:shd w:val="clear" w:color="auto" w:fill="FFFFFF" w:themeFill="background1"/>
          </w:tcPr>
          <w:p w14:paraId="281692EE">
            <w:pPr>
              <w:pStyle w:val="29"/>
              <w:spacing w:before="107"/>
              <w:rPr>
                <w:sz w:val="18"/>
                <w:szCs w:val="18"/>
              </w:rPr>
            </w:pPr>
          </w:p>
        </w:tc>
        <w:tc>
          <w:tcPr>
            <w:tcW w:w="567" w:type="dxa"/>
            <w:shd w:val="clear" w:color="auto" w:fill="FFFFFF" w:themeFill="background1"/>
          </w:tcPr>
          <w:p w14:paraId="242BA939">
            <w:pPr>
              <w:pStyle w:val="29"/>
              <w:spacing w:before="107"/>
              <w:rPr>
                <w:sz w:val="18"/>
                <w:szCs w:val="18"/>
              </w:rPr>
            </w:pPr>
          </w:p>
        </w:tc>
        <w:tc>
          <w:tcPr>
            <w:tcW w:w="1014" w:type="dxa"/>
            <w:shd w:val="clear" w:color="auto" w:fill="FFFFFF" w:themeFill="background1"/>
          </w:tcPr>
          <w:p w14:paraId="5A6F11AE">
            <w:pPr>
              <w:pStyle w:val="29"/>
              <w:spacing w:before="107"/>
              <w:rPr>
                <w:sz w:val="18"/>
                <w:szCs w:val="18"/>
              </w:rPr>
            </w:pPr>
          </w:p>
        </w:tc>
        <w:tc>
          <w:tcPr>
            <w:tcW w:w="709" w:type="dxa"/>
            <w:shd w:val="clear" w:color="auto" w:fill="FFFFFF" w:themeFill="background1"/>
          </w:tcPr>
          <w:p w14:paraId="384D37BF">
            <w:pPr>
              <w:pStyle w:val="29"/>
              <w:spacing w:before="107"/>
              <w:rPr>
                <w:sz w:val="18"/>
                <w:szCs w:val="18"/>
              </w:rPr>
            </w:pPr>
          </w:p>
        </w:tc>
        <w:tc>
          <w:tcPr>
            <w:tcW w:w="871" w:type="dxa"/>
            <w:shd w:val="clear" w:color="auto" w:fill="FFFFFF" w:themeFill="background1"/>
          </w:tcPr>
          <w:p w14:paraId="280CDE07">
            <w:pPr>
              <w:pStyle w:val="29"/>
              <w:spacing w:before="107"/>
              <w:rPr>
                <w:sz w:val="18"/>
                <w:szCs w:val="18"/>
              </w:rPr>
            </w:pPr>
          </w:p>
        </w:tc>
      </w:tr>
      <w:tr w14:paraId="487C3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636" w:hRule="atLeast"/>
        </w:trPr>
        <w:tc>
          <w:tcPr>
            <w:tcW w:w="851" w:type="dxa"/>
            <w:shd w:val="clear" w:color="auto" w:fill="FFFFFF" w:themeFill="background1"/>
          </w:tcPr>
          <w:p w14:paraId="2D439296">
            <w:pPr>
              <w:pStyle w:val="29"/>
              <w:spacing w:before="109"/>
              <w:ind w:left="182"/>
              <w:rPr>
                <w:b/>
                <w:sz w:val="18"/>
                <w:szCs w:val="18"/>
              </w:rPr>
            </w:pPr>
            <w:r>
              <w:rPr>
                <w:b/>
                <w:sz w:val="18"/>
                <w:szCs w:val="18"/>
              </w:rPr>
              <w:t>4</w:t>
            </w:r>
          </w:p>
        </w:tc>
        <w:tc>
          <w:tcPr>
            <w:tcW w:w="4826" w:type="dxa"/>
            <w:shd w:val="clear" w:color="auto" w:fill="FFFFFF" w:themeFill="background1"/>
          </w:tcPr>
          <w:p w14:paraId="04ADF55F">
            <w:pPr>
              <w:pStyle w:val="29"/>
              <w:jc w:val="both"/>
              <w:rPr>
                <w:sz w:val="18"/>
                <w:szCs w:val="18"/>
              </w:rPr>
            </w:pPr>
            <w:r>
              <w:rPr>
                <w:sz w:val="18"/>
                <w:szCs w:val="18"/>
              </w:rPr>
              <w:t>Sanal</w:t>
            </w:r>
            <w:r>
              <w:rPr>
                <w:spacing w:val="40"/>
                <w:sz w:val="18"/>
                <w:szCs w:val="18"/>
              </w:rPr>
              <w:t xml:space="preserve"> </w:t>
            </w:r>
            <w:r>
              <w:rPr>
                <w:sz w:val="18"/>
                <w:szCs w:val="18"/>
              </w:rPr>
              <w:t>rekreasyon</w:t>
            </w:r>
            <w:r>
              <w:rPr>
                <w:spacing w:val="40"/>
                <w:sz w:val="18"/>
                <w:szCs w:val="18"/>
              </w:rPr>
              <w:t xml:space="preserve"> </w:t>
            </w:r>
            <w:r>
              <w:rPr>
                <w:sz w:val="18"/>
                <w:szCs w:val="18"/>
              </w:rPr>
              <w:t>faaliyetleri,</w:t>
            </w:r>
            <w:r>
              <w:rPr>
                <w:spacing w:val="40"/>
                <w:sz w:val="18"/>
                <w:szCs w:val="18"/>
              </w:rPr>
              <w:t xml:space="preserve"> </w:t>
            </w:r>
            <w:r>
              <w:rPr>
                <w:sz w:val="18"/>
                <w:szCs w:val="18"/>
              </w:rPr>
              <w:t>diğer</w:t>
            </w:r>
            <w:r>
              <w:rPr>
                <w:spacing w:val="40"/>
                <w:sz w:val="18"/>
                <w:szCs w:val="18"/>
              </w:rPr>
              <w:t xml:space="preserve"> </w:t>
            </w:r>
            <w:r>
              <w:rPr>
                <w:sz w:val="18"/>
                <w:szCs w:val="18"/>
              </w:rPr>
              <w:t>insanlardan</w:t>
            </w:r>
            <w:r>
              <w:rPr>
                <w:spacing w:val="40"/>
                <w:sz w:val="18"/>
                <w:szCs w:val="18"/>
              </w:rPr>
              <w:t xml:space="preserve"> </w:t>
            </w:r>
            <w:r>
              <w:rPr>
                <w:sz w:val="18"/>
                <w:szCs w:val="18"/>
              </w:rPr>
              <w:t>destek almamı sağlar.</w:t>
            </w:r>
          </w:p>
        </w:tc>
        <w:tc>
          <w:tcPr>
            <w:tcW w:w="680" w:type="dxa"/>
            <w:shd w:val="clear" w:color="auto" w:fill="FFFFFF" w:themeFill="background1"/>
          </w:tcPr>
          <w:p w14:paraId="12B4F2BD">
            <w:pPr>
              <w:pStyle w:val="29"/>
              <w:spacing w:before="104"/>
              <w:rPr>
                <w:sz w:val="18"/>
                <w:szCs w:val="18"/>
              </w:rPr>
            </w:pPr>
          </w:p>
        </w:tc>
        <w:tc>
          <w:tcPr>
            <w:tcW w:w="567" w:type="dxa"/>
            <w:shd w:val="clear" w:color="auto" w:fill="FFFFFF" w:themeFill="background1"/>
          </w:tcPr>
          <w:p w14:paraId="5FAD3792">
            <w:pPr>
              <w:pStyle w:val="29"/>
              <w:spacing w:before="104"/>
              <w:rPr>
                <w:sz w:val="18"/>
                <w:szCs w:val="18"/>
              </w:rPr>
            </w:pPr>
          </w:p>
        </w:tc>
        <w:tc>
          <w:tcPr>
            <w:tcW w:w="1014" w:type="dxa"/>
            <w:shd w:val="clear" w:color="auto" w:fill="FFFFFF" w:themeFill="background1"/>
          </w:tcPr>
          <w:p w14:paraId="0B13E742">
            <w:pPr>
              <w:pStyle w:val="29"/>
              <w:spacing w:before="104"/>
              <w:rPr>
                <w:sz w:val="18"/>
                <w:szCs w:val="18"/>
              </w:rPr>
            </w:pPr>
          </w:p>
        </w:tc>
        <w:tc>
          <w:tcPr>
            <w:tcW w:w="709" w:type="dxa"/>
            <w:shd w:val="clear" w:color="auto" w:fill="FFFFFF" w:themeFill="background1"/>
          </w:tcPr>
          <w:p w14:paraId="5AF39548">
            <w:pPr>
              <w:pStyle w:val="29"/>
              <w:spacing w:before="104"/>
              <w:rPr>
                <w:sz w:val="18"/>
                <w:szCs w:val="18"/>
              </w:rPr>
            </w:pPr>
          </w:p>
        </w:tc>
        <w:tc>
          <w:tcPr>
            <w:tcW w:w="871" w:type="dxa"/>
            <w:shd w:val="clear" w:color="auto" w:fill="FFFFFF" w:themeFill="background1"/>
          </w:tcPr>
          <w:p w14:paraId="536BC66F">
            <w:pPr>
              <w:pStyle w:val="29"/>
              <w:spacing w:before="104"/>
              <w:rPr>
                <w:sz w:val="18"/>
                <w:szCs w:val="18"/>
              </w:rPr>
            </w:pPr>
          </w:p>
        </w:tc>
      </w:tr>
      <w:tr w14:paraId="55F56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638" w:hRule="atLeast"/>
        </w:trPr>
        <w:tc>
          <w:tcPr>
            <w:tcW w:w="851" w:type="dxa"/>
            <w:shd w:val="clear" w:color="auto" w:fill="FFFFFF" w:themeFill="background1"/>
          </w:tcPr>
          <w:p w14:paraId="1397DF2E">
            <w:pPr>
              <w:pStyle w:val="29"/>
              <w:spacing w:before="109"/>
              <w:ind w:left="182"/>
              <w:rPr>
                <w:b/>
                <w:sz w:val="18"/>
                <w:szCs w:val="18"/>
              </w:rPr>
            </w:pPr>
            <w:r>
              <w:rPr>
                <w:b/>
                <w:sz w:val="18"/>
                <w:szCs w:val="18"/>
              </w:rPr>
              <w:t>5</w:t>
            </w:r>
          </w:p>
        </w:tc>
        <w:tc>
          <w:tcPr>
            <w:tcW w:w="4826" w:type="dxa"/>
            <w:shd w:val="clear" w:color="auto" w:fill="FFFFFF" w:themeFill="background1"/>
          </w:tcPr>
          <w:p w14:paraId="79EB642B">
            <w:pPr>
              <w:pStyle w:val="29"/>
              <w:tabs>
                <w:tab w:val="left" w:pos="841"/>
                <w:tab w:val="left" w:pos="1901"/>
                <w:tab w:val="left" w:pos="2997"/>
                <w:tab w:val="left" w:pos="3769"/>
              </w:tabs>
              <w:ind w:right="173"/>
              <w:jc w:val="both"/>
              <w:rPr>
                <w:sz w:val="18"/>
                <w:szCs w:val="18"/>
              </w:rPr>
            </w:pPr>
            <w:r>
              <w:rPr>
                <w:spacing w:val="-2"/>
                <w:sz w:val="18"/>
                <w:szCs w:val="18"/>
              </w:rPr>
              <w:t>Sanal</w:t>
            </w:r>
            <w:r>
              <w:rPr>
                <w:sz w:val="18"/>
                <w:szCs w:val="18"/>
              </w:rPr>
              <w:tab/>
            </w:r>
            <w:r>
              <w:rPr>
                <w:spacing w:val="-2"/>
                <w:sz w:val="18"/>
                <w:szCs w:val="18"/>
              </w:rPr>
              <w:t>rekreasyon</w:t>
            </w:r>
            <w:r>
              <w:rPr>
                <w:sz w:val="18"/>
                <w:szCs w:val="18"/>
              </w:rPr>
              <w:tab/>
            </w:r>
            <w:r>
              <w:rPr>
                <w:spacing w:val="-2"/>
                <w:sz w:val="18"/>
                <w:szCs w:val="18"/>
              </w:rPr>
              <w:t>faaliyetleri,</w:t>
            </w:r>
            <w:r>
              <w:rPr>
                <w:sz w:val="18"/>
                <w:szCs w:val="18"/>
              </w:rPr>
              <w:tab/>
            </w:r>
            <w:r>
              <w:rPr>
                <w:spacing w:val="-2"/>
                <w:sz w:val="18"/>
                <w:szCs w:val="18"/>
              </w:rPr>
              <w:t>günlük</w:t>
            </w:r>
            <w:r>
              <w:rPr>
                <w:sz w:val="18"/>
                <w:szCs w:val="18"/>
              </w:rPr>
              <w:tab/>
            </w:r>
            <w:r>
              <w:rPr>
                <w:spacing w:val="-2"/>
                <w:sz w:val="18"/>
                <w:szCs w:val="18"/>
              </w:rPr>
              <w:t xml:space="preserve">yaşamın </w:t>
            </w:r>
            <w:r>
              <w:rPr>
                <w:sz w:val="18"/>
                <w:szCs w:val="18"/>
              </w:rPr>
              <w:t>sıkıcılığından kurtulmamı sağlar.</w:t>
            </w:r>
          </w:p>
        </w:tc>
        <w:tc>
          <w:tcPr>
            <w:tcW w:w="680" w:type="dxa"/>
            <w:shd w:val="clear" w:color="auto" w:fill="FFFFFF" w:themeFill="background1"/>
          </w:tcPr>
          <w:p w14:paraId="4F443D92">
            <w:pPr>
              <w:pStyle w:val="29"/>
              <w:spacing w:before="104"/>
              <w:rPr>
                <w:sz w:val="18"/>
                <w:szCs w:val="18"/>
              </w:rPr>
            </w:pPr>
          </w:p>
        </w:tc>
        <w:tc>
          <w:tcPr>
            <w:tcW w:w="567" w:type="dxa"/>
            <w:shd w:val="clear" w:color="auto" w:fill="FFFFFF" w:themeFill="background1"/>
          </w:tcPr>
          <w:p w14:paraId="08B97B1E">
            <w:pPr>
              <w:pStyle w:val="29"/>
              <w:spacing w:before="104"/>
              <w:rPr>
                <w:sz w:val="18"/>
                <w:szCs w:val="18"/>
              </w:rPr>
            </w:pPr>
          </w:p>
        </w:tc>
        <w:tc>
          <w:tcPr>
            <w:tcW w:w="1014" w:type="dxa"/>
            <w:shd w:val="clear" w:color="auto" w:fill="FFFFFF" w:themeFill="background1"/>
          </w:tcPr>
          <w:p w14:paraId="3A0D0139">
            <w:pPr>
              <w:pStyle w:val="29"/>
              <w:spacing w:before="104"/>
              <w:rPr>
                <w:sz w:val="18"/>
                <w:szCs w:val="18"/>
              </w:rPr>
            </w:pPr>
          </w:p>
        </w:tc>
        <w:tc>
          <w:tcPr>
            <w:tcW w:w="709" w:type="dxa"/>
            <w:shd w:val="clear" w:color="auto" w:fill="FFFFFF" w:themeFill="background1"/>
          </w:tcPr>
          <w:p w14:paraId="7F6EAAC8">
            <w:pPr>
              <w:pStyle w:val="29"/>
              <w:spacing w:before="104"/>
              <w:rPr>
                <w:sz w:val="18"/>
                <w:szCs w:val="18"/>
              </w:rPr>
            </w:pPr>
          </w:p>
        </w:tc>
        <w:tc>
          <w:tcPr>
            <w:tcW w:w="871" w:type="dxa"/>
            <w:shd w:val="clear" w:color="auto" w:fill="FFFFFF" w:themeFill="background1"/>
          </w:tcPr>
          <w:p w14:paraId="06EED5C1">
            <w:pPr>
              <w:pStyle w:val="29"/>
              <w:spacing w:before="104"/>
              <w:rPr>
                <w:sz w:val="18"/>
                <w:szCs w:val="18"/>
              </w:rPr>
            </w:pPr>
          </w:p>
        </w:tc>
      </w:tr>
      <w:tr w14:paraId="36ED2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16" w:hRule="atLeast"/>
        </w:trPr>
        <w:tc>
          <w:tcPr>
            <w:tcW w:w="851" w:type="dxa"/>
            <w:shd w:val="clear" w:color="auto" w:fill="FFFFFF" w:themeFill="background1"/>
          </w:tcPr>
          <w:p w14:paraId="611A2AA3">
            <w:pPr>
              <w:pStyle w:val="29"/>
              <w:spacing w:before="110" w:line="186" w:lineRule="exact"/>
              <w:ind w:left="182"/>
              <w:rPr>
                <w:b/>
                <w:sz w:val="18"/>
                <w:szCs w:val="18"/>
              </w:rPr>
            </w:pPr>
            <w:r>
              <w:rPr>
                <w:b/>
                <w:sz w:val="18"/>
                <w:szCs w:val="18"/>
              </w:rPr>
              <w:t>6</w:t>
            </w:r>
          </w:p>
        </w:tc>
        <w:tc>
          <w:tcPr>
            <w:tcW w:w="4826" w:type="dxa"/>
            <w:shd w:val="clear" w:color="auto" w:fill="FFFFFF" w:themeFill="background1"/>
          </w:tcPr>
          <w:p w14:paraId="57C9A99E">
            <w:pPr>
              <w:pStyle w:val="29"/>
              <w:jc w:val="both"/>
              <w:rPr>
                <w:sz w:val="18"/>
                <w:szCs w:val="18"/>
              </w:rPr>
            </w:pPr>
            <w:r>
              <w:rPr>
                <w:sz w:val="18"/>
                <w:szCs w:val="18"/>
              </w:rPr>
              <w:t>Sanal</w:t>
            </w:r>
            <w:r>
              <w:rPr>
                <w:spacing w:val="-5"/>
                <w:sz w:val="18"/>
                <w:szCs w:val="18"/>
              </w:rPr>
              <w:t xml:space="preserve"> </w:t>
            </w:r>
            <w:r>
              <w:rPr>
                <w:sz w:val="18"/>
                <w:szCs w:val="18"/>
              </w:rPr>
              <w:t>rekreasyon</w:t>
            </w:r>
            <w:r>
              <w:rPr>
                <w:spacing w:val="-2"/>
                <w:sz w:val="18"/>
                <w:szCs w:val="18"/>
              </w:rPr>
              <w:t xml:space="preserve"> </w:t>
            </w:r>
            <w:r>
              <w:rPr>
                <w:sz w:val="18"/>
                <w:szCs w:val="18"/>
              </w:rPr>
              <w:t>faaliyetleri,</w:t>
            </w:r>
            <w:r>
              <w:rPr>
                <w:spacing w:val="-3"/>
                <w:sz w:val="18"/>
                <w:szCs w:val="18"/>
              </w:rPr>
              <w:t xml:space="preserve"> </w:t>
            </w:r>
            <w:r>
              <w:rPr>
                <w:sz w:val="18"/>
                <w:szCs w:val="18"/>
              </w:rPr>
              <w:t>sosyal</w:t>
            </w:r>
            <w:r>
              <w:rPr>
                <w:spacing w:val="-5"/>
                <w:sz w:val="18"/>
                <w:szCs w:val="18"/>
              </w:rPr>
              <w:t xml:space="preserve"> </w:t>
            </w:r>
            <w:r>
              <w:rPr>
                <w:sz w:val="18"/>
                <w:szCs w:val="18"/>
              </w:rPr>
              <w:t>ilişkilerimi</w:t>
            </w:r>
            <w:r>
              <w:rPr>
                <w:spacing w:val="-4"/>
                <w:sz w:val="18"/>
                <w:szCs w:val="18"/>
              </w:rPr>
              <w:t xml:space="preserve"> </w:t>
            </w:r>
            <w:r>
              <w:rPr>
                <w:spacing w:val="-2"/>
                <w:sz w:val="18"/>
                <w:szCs w:val="18"/>
              </w:rPr>
              <w:t>geliştirir.</w:t>
            </w:r>
          </w:p>
        </w:tc>
        <w:tc>
          <w:tcPr>
            <w:tcW w:w="680" w:type="dxa"/>
            <w:shd w:val="clear" w:color="auto" w:fill="FFFFFF" w:themeFill="background1"/>
          </w:tcPr>
          <w:p w14:paraId="107FB306">
            <w:pPr>
              <w:pStyle w:val="29"/>
              <w:spacing w:before="105" w:line="191" w:lineRule="exact"/>
              <w:rPr>
                <w:sz w:val="18"/>
                <w:szCs w:val="18"/>
              </w:rPr>
            </w:pPr>
          </w:p>
        </w:tc>
        <w:tc>
          <w:tcPr>
            <w:tcW w:w="567" w:type="dxa"/>
            <w:shd w:val="clear" w:color="auto" w:fill="FFFFFF" w:themeFill="background1"/>
          </w:tcPr>
          <w:p w14:paraId="28F06FFB">
            <w:pPr>
              <w:pStyle w:val="29"/>
              <w:spacing w:before="105" w:line="191" w:lineRule="exact"/>
              <w:rPr>
                <w:sz w:val="18"/>
                <w:szCs w:val="18"/>
              </w:rPr>
            </w:pPr>
          </w:p>
        </w:tc>
        <w:tc>
          <w:tcPr>
            <w:tcW w:w="1014" w:type="dxa"/>
            <w:shd w:val="clear" w:color="auto" w:fill="FFFFFF" w:themeFill="background1"/>
          </w:tcPr>
          <w:p w14:paraId="111366F8">
            <w:pPr>
              <w:pStyle w:val="29"/>
              <w:spacing w:before="105" w:line="191" w:lineRule="exact"/>
              <w:rPr>
                <w:sz w:val="18"/>
                <w:szCs w:val="18"/>
              </w:rPr>
            </w:pPr>
          </w:p>
        </w:tc>
        <w:tc>
          <w:tcPr>
            <w:tcW w:w="709" w:type="dxa"/>
            <w:shd w:val="clear" w:color="auto" w:fill="FFFFFF" w:themeFill="background1"/>
          </w:tcPr>
          <w:p w14:paraId="7005809B">
            <w:pPr>
              <w:pStyle w:val="29"/>
              <w:spacing w:before="105" w:line="191" w:lineRule="exact"/>
              <w:rPr>
                <w:sz w:val="18"/>
                <w:szCs w:val="18"/>
              </w:rPr>
            </w:pPr>
          </w:p>
        </w:tc>
        <w:tc>
          <w:tcPr>
            <w:tcW w:w="871" w:type="dxa"/>
            <w:shd w:val="clear" w:color="auto" w:fill="FFFFFF" w:themeFill="background1"/>
          </w:tcPr>
          <w:p w14:paraId="61B7C21E">
            <w:pPr>
              <w:pStyle w:val="29"/>
              <w:spacing w:before="105" w:line="191" w:lineRule="exact"/>
              <w:rPr>
                <w:sz w:val="18"/>
                <w:szCs w:val="18"/>
              </w:rPr>
            </w:pPr>
          </w:p>
        </w:tc>
      </w:tr>
      <w:tr w14:paraId="57A0C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640" w:hRule="atLeast"/>
        </w:trPr>
        <w:tc>
          <w:tcPr>
            <w:tcW w:w="851" w:type="dxa"/>
            <w:shd w:val="clear" w:color="auto" w:fill="FFFFFF" w:themeFill="background1"/>
          </w:tcPr>
          <w:p w14:paraId="4407F975">
            <w:pPr>
              <w:pStyle w:val="29"/>
              <w:spacing w:before="112"/>
              <w:ind w:left="182"/>
              <w:rPr>
                <w:b/>
                <w:sz w:val="18"/>
                <w:szCs w:val="18"/>
              </w:rPr>
            </w:pPr>
            <w:r>
              <w:rPr>
                <w:b/>
                <w:sz w:val="18"/>
                <w:szCs w:val="18"/>
              </w:rPr>
              <w:t>7</w:t>
            </w:r>
          </w:p>
        </w:tc>
        <w:tc>
          <w:tcPr>
            <w:tcW w:w="4826" w:type="dxa"/>
            <w:shd w:val="clear" w:color="auto" w:fill="FFFFFF" w:themeFill="background1"/>
          </w:tcPr>
          <w:p w14:paraId="536325B4">
            <w:pPr>
              <w:pStyle w:val="29"/>
              <w:jc w:val="both"/>
              <w:rPr>
                <w:sz w:val="18"/>
                <w:szCs w:val="18"/>
              </w:rPr>
            </w:pPr>
            <w:r>
              <w:rPr>
                <w:sz w:val="18"/>
                <w:szCs w:val="18"/>
              </w:rPr>
              <w:t xml:space="preserve">Sanal rekreasyon faaliyetleri, toplumsal iletişim becerimi </w:t>
            </w:r>
            <w:r>
              <w:rPr>
                <w:spacing w:val="-2"/>
                <w:sz w:val="18"/>
                <w:szCs w:val="18"/>
              </w:rPr>
              <w:t>geliştirir.</w:t>
            </w:r>
          </w:p>
        </w:tc>
        <w:tc>
          <w:tcPr>
            <w:tcW w:w="680" w:type="dxa"/>
            <w:shd w:val="clear" w:color="auto" w:fill="FFFFFF" w:themeFill="background1"/>
          </w:tcPr>
          <w:p w14:paraId="3E9450ED">
            <w:pPr>
              <w:pStyle w:val="29"/>
              <w:spacing w:before="107"/>
              <w:rPr>
                <w:sz w:val="18"/>
                <w:szCs w:val="18"/>
              </w:rPr>
            </w:pPr>
          </w:p>
        </w:tc>
        <w:tc>
          <w:tcPr>
            <w:tcW w:w="567" w:type="dxa"/>
            <w:shd w:val="clear" w:color="auto" w:fill="FFFFFF" w:themeFill="background1"/>
          </w:tcPr>
          <w:p w14:paraId="2E6C9587">
            <w:pPr>
              <w:pStyle w:val="29"/>
              <w:spacing w:before="107"/>
              <w:rPr>
                <w:sz w:val="18"/>
                <w:szCs w:val="18"/>
              </w:rPr>
            </w:pPr>
          </w:p>
        </w:tc>
        <w:tc>
          <w:tcPr>
            <w:tcW w:w="1014" w:type="dxa"/>
            <w:shd w:val="clear" w:color="auto" w:fill="FFFFFF" w:themeFill="background1"/>
          </w:tcPr>
          <w:p w14:paraId="614DABBB">
            <w:pPr>
              <w:pStyle w:val="29"/>
              <w:spacing w:before="107"/>
              <w:rPr>
                <w:sz w:val="18"/>
                <w:szCs w:val="18"/>
              </w:rPr>
            </w:pPr>
          </w:p>
        </w:tc>
        <w:tc>
          <w:tcPr>
            <w:tcW w:w="709" w:type="dxa"/>
            <w:shd w:val="clear" w:color="auto" w:fill="FFFFFF" w:themeFill="background1"/>
          </w:tcPr>
          <w:p w14:paraId="741952D9">
            <w:pPr>
              <w:pStyle w:val="29"/>
              <w:spacing w:before="107"/>
              <w:rPr>
                <w:sz w:val="18"/>
                <w:szCs w:val="18"/>
              </w:rPr>
            </w:pPr>
          </w:p>
        </w:tc>
        <w:tc>
          <w:tcPr>
            <w:tcW w:w="871" w:type="dxa"/>
            <w:shd w:val="clear" w:color="auto" w:fill="FFFFFF" w:themeFill="background1"/>
          </w:tcPr>
          <w:p w14:paraId="65A42687">
            <w:pPr>
              <w:pStyle w:val="29"/>
              <w:spacing w:before="107"/>
              <w:rPr>
                <w:sz w:val="18"/>
                <w:szCs w:val="18"/>
              </w:rPr>
            </w:pPr>
          </w:p>
        </w:tc>
      </w:tr>
      <w:tr w14:paraId="6FFE5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636" w:hRule="atLeast"/>
        </w:trPr>
        <w:tc>
          <w:tcPr>
            <w:tcW w:w="851" w:type="dxa"/>
            <w:shd w:val="clear" w:color="auto" w:fill="FFFFFF" w:themeFill="background1"/>
          </w:tcPr>
          <w:p w14:paraId="79E7D130">
            <w:pPr>
              <w:pStyle w:val="29"/>
              <w:spacing w:before="109"/>
              <w:ind w:left="182"/>
              <w:rPr>
                <w:b/>
                <w:sz w:val="18"/>
                <w:szCs w:val="18"/>
              </w:rPr>
            </w:pPr>
            <w:r>
              <w:rPr>
                <w:b/>
                <w:sz w:val="18"/>
                <w:szCs w:val="18"/>
              </w:rPr>
              <w:t>8</w:t>
            </w:r>
          </w:p>
        </w:tc>
        <w:tc>
          <w:tcPr>
            <w:tcW w:w="4826" w:type="dxa"/>
            <w:shd w:val="clear" w:color="auto" w:fill="FFFFFF" w:themeFill="background1"/>
          </w:tcPr>
          <w:p w14:paraId="65EC7A24">
            <w:pPr>
              <w:pStyle w:val="29"/>
              <w:jc w:val="both"/>
              <w:rPr>
                <w:sz w:val="18"/>
                <w:szCs w:val="18"/>
              </w:rPr>
            </w:pPr>
            <w:r>
              <w:rPr>
                <w:sz w:val="18"/>
                <w:szCs w:val="18"/>
              </w:rPr>
              <w:t>Sanal</w:t>
            </w:r>
            <w:r>
              <w:rPr>
                <w:spacing w:val="40"/>
                <w:sz w:val="18"/>
                <w:szCs w:val="18"/>
              </w:rPr>
              <w:t xml:space="preserve"> </w:t>
            </w:r>
            <w:r>
              <w:rPr>
                <w:sz w:val="18"/>
                <w:szCs w:val="18"/>
              </w:rPr>
              <w:t>rekreasyon</w:t>
            </w:r>
            <w:r>
              <w:rPr>
                <w:spacing w:val="40"/>
                <w:sz w:val="18"/>
                <w:szCs w:val="18"/>
              </w:rPr>
              <w:t xml:space="preserve"> </w:t>
            </w:r>
            <w:r>
              <w:rPr>
                <w:sz w:val="18"/>
                <w:szCs w:val="18"/>
              </w:rPr>
              <w:t>faaliyetleri,</w:t>
            </w:r>
            <w:r>
              <w:rPr>
                <w:spacing w:val="40"/>
                <w:sz w:val="18"/>
                <w:szCs w:val="18"/>
              </w:rPr>
              <w:t xml:space="preserve"> </w:t>
            </w:r>
            <w:r>
              <w:rPr>
                <w:sz w:val="18"/>
                <w:szCs w:val="18"/>
              </w:rPr>
              <w:t>diğer</w:t>
            </w:r>
            <w:r>
              <w:rPr>
                <w:spacing w:val="40"/>
                <w:sz w:val="18"/>
                <w:szCs w:val="18"/>
              </w:rPr>
              <w:t xml:space="preserve"> </w:t>
            </w:r>
            <w:r>
              <w:rPr>
                <w:sz w:val="18"/>
                <w:szCs w:val="18"/>
              </w:rPr>
              <w:t>insanlarla</w:t>
            </w:r>
            <w:r>
              <w:rPr>
                <w:spacing w:val="40"/>
                <w:sz w:val="18"/>
                <w:szCs w:val="18"/>
              </w:rPr>
              <w:t xml:space="preserve"> </w:t>
            </w:r>
            <w:r>
              <w:rPr>
                <w:sz w:val="18"/>
                <w:szCs w:val="18"/>
              </w:rPr>
              <w:t>yakınlık kurma becerimi geliştirir.</w:t>
            </w:r>
          </w:p>
        </w:tc>
        <w:tc>
          <w:tcPr>
            <w:tcW w:w="680" w:type="dxa"/>
            <w:shd w:val="clear" w:color="auto" w:fill="FFFFFF" w:themeFill="background1"/>
          </w:tcPr>
          <w:p w14:paraId="2D006EEE">
            <w:pPr>
              <w:pStyle w:val="29"/>
              <w:spacing w:before="104"/>
              <w:rPr>
                <w:sz w:val="18"/>
                <w:szCs w:val="18"/>
              </w:rPr>
            </w:pPr>
          </w:p>
        </w:tc>
        <w:tc>
          <w:tcPr>
            <w:tcW w:w="567" w:type="dxa"/>
            <w:shd w:val="clear" w:color="auto" w:fill="FFFFFF" w:themeFill="background1"/>
          </w:tcPr>
          <w:p w14:paraId="4D6E4A01">
            <w:pPr>
              <w:pStyle w:val="29"/>
              <w:spacing w:before="104"/>
              <w:rPr>
                <w:sz w:val="18"/>
                <w:szCs w:val="18"/>
              </w:rPr>
            </w:pPr>
          </w:p>
        </w:tc>
        <w:tc>
          <w:tcPr>
            <w:tcW w:w="1014" w:type="dxa"/>
            <w:shd w:val="clear" w:color="auto" w:fill="FFFFFF" w:themeFill="background1"/>
          </w:tcPr>
          <w:p w14:paraId="1CB21474">
            <w:pPr>
              <w:pStyle w:val="29"/>
              <w:spacing w:before="104"/>
              <w:rPr>
                <w:sz w:val="18"/>
                <w:szCs w:val="18"/>
              </w:rPr>
            </w:pPr>
          </w:p>
        </w:tc>
        <w:tc>
          <w:tcPr>
            <w:tcW w:w="709" w:type="dxa"/>
            <w:shd w:val="clear" w:color="auto" w:fill="FFFFFF" w:themeFill="background1"/>
          </w:tcPr>
          <w:p w14:paraId="2C03CE69">
            <w:pPr>
              <w:pStyle w:val="29"/>
              <w:spacing w:before="104"/>
              <w:rPr>
                <w:sz w:val="18"/>
                <w:szCs w:val="18"/>
              </w:rPr>
            </w:pPr>
          </w:p>
        </w:tc>
        <w:tc>
          <w:tcPr>
            <w:tcW w:w="871" w:type="dxa"/>
            <w:shd w:val="clear" w:color="auto" w:fill="FFFFFF" w:themeFill="background1"/>
          </w:tcPr>
          <w:p w14:paraId="2CB7A12F">
            <w:pPr>
              <w:pStyle w:val="29"/>
              <w:spacing w:before="104"/>
              <w:rPr>
                <w:sz w:val="18"/>
                <w:szCs w:val="18"/>
              </w:rPr>
            </w:pPr>
          </w:p>
        </w:tc>
      </w:tr>
      <w:tr w14:paraId="14B1F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637" w:hRule="atLeast"/>
        </w:trPr>
        <w:tc>
          <w:tcPr>
            <w:tcW w:w="851" w:type="dxa"/>
            <w:shd w:val="clear" w:color="auto" w:fill="FFFFFF" w:themeFill="background1"/>
          </w:tcPr>
          <w:p w14:paraId="7DE350C5">
            <w:pPr>
              <w:pStyle w:val="29"/>
              <w:spacing w:before="109"/>
              <w:ind w:left="182"/>
              <w:rPr>
                <w:b/>
                <w:sz w:val="18"/>
                <w:szCs w:val="18"/>
              </w:rPr>
            </w:pPr>
            <w:r>
              <w:rPr>
                <w:b/>
                <w:sz w:val="18"/>
                <w:szCs w:val="18"/>
              </w:rPr>
              <w:t>9</w:t>
            </w:r>
          </w:p>
        </w:tc>
        <w:tc>
          <w:tcPr>
            <w:tcW w:w="4826" w:type="dxa"/>
            <w:shd w:val="clear" w:color="auto" w:fill="FFFFFF" w:themeFill="background1"/>
          </w:tcPr>
          <w:p w14:paraId="68111F6A">
            <w:pPr>
              <w:pStyle w:val="29"/>
              <w:jc w:val="both"/>
              <w:rPr>
                <w:sz w:val="18"/>
                <w:szCs w:val="18"/>
              </w:rPr>
            </w:pPr>
            <w:r>
              <w:rPr>
                <w:sz w:val="18"/>
                <w:szCs w:val="18"/>
              </w:rPr>
              <w:t>Sanal</w:t>
            </w:r>
            <w:r>
              <w:rPr>
                <w:spacing w:val="80"/>
                <w:sz w:val="18"/>
                <w:szCs w:val="18"/>
              </w:rPr>
              <w:t xml:space="preserve"> </w:t>
            </w:r>
            <w:r>
              <w:rPr>
                <w:sz w:val="18"/>
                <w:szCs w:val="18"/>
              </w:rPr>
              <w:t>rekreasyon</w:t>
            </w:r>
            <w:r>
              <w:rPr>
                <w:spacing w:val="80"/>
                <w:sz w:val="18"/>
                <w:szCs w:val="18"/>
              </w:rPr>
              <w:t xml:space="preserve"> </w:t>
            </w:r>
            <w:r>
              <w:rPr>
                <w:sz w:val="18"/>
                <w:szCs w:val="18"/>
              </w:rPr>
              <w:t>faaliyetleri,</w:t>
            </w:r>
            <w:r>
              <w:rPr>
                <w:spacing w:val="80"/>
                <w:sz w:val="18"/>
                <w:szCs w:val="18"/>
              </w:rPr>
              <w:t xml:space="preserve"> </w:t>
            </w:r>
            <w:r>
              <w:rPr>
                <w:sz w:val="18"/>
                <w:szCs w:val="18"/>
              </w:rPr>
              <w:t>farklı</w:t>
            </w:r>
            <w:r>
              <w:rPr>
                <w:spacing w:val="80"/>
                <w:sz w:val="18"/>
                <w:szCs w:val="18"/>
              </w:rPr>
              <w:t xml:space="preserve"> </w:t>
            </w:r>
            <w:r>
              <w:rPr>
                <w:sz w:val="18"/>
                <w:szCs w:val="18"/>
              </w:rPr>
              <w:t>kültürlere</w:t>
            </w:r>
            <w:r>
              <w:rPr>
                <w:spacing w:val="80"/>
                <w:sz w:val="18"/>
                <w:szCs w:val="18"/>
              </w:rPr>
              <w:t xml:space="preserve"> </w:t>
            </w:r>
            <w:r>
              <w:rPr>
                <w:sz w:val="18"/>
                <w:szCs w:val="18"/>
              </w:rPr>
              <w:t>sahip insanlara uyum sağlama becerimi artırır.</w:t>
            </w:r>
          </w:p>
        </w:tc>
        <w:tc>
          <w:tcPr>
            <w:tcW w:w="680" w:type="dxa"/>
            <w:shd w:val="clear" w:color="auto" w:fill="FFFFFF" w:themeFill="background1"/>
          </w:tcPr>
          <w:p w14:paraId="5F31C740">
            <w:pPr>
              <w:pStyle w:val="29"/>
              <w:spacing w:before="104"/>
              <w:rPr>
                <w:sz w:val="18"/>
                <w:szCs w:val="18"/>
              </w:rPr>
            </w:pPr>
          </w:p>
        </w:tc>
        <w:tc>
          <w:tcPr>
            <w:tcW w:w="567" w:type="dxa"/>
            <w:shd w:val="clear" w:color="auto" w:fill="FFFFFF" w:themeFill="background1"/>
          </w:tcPr>
          <w:p w14:paraId="382A4C86">
            <w:pPr>
              <w:pStyle w:val="29"/>
              <w:spacing w:before="104"/>
              <w:rPr>
                <w:sz w:val="18"/>
                <w:szCs w:val="18"/>
              </w:rPr>
            </w:pPr>
          </w:p>
        </w:tc>
        <w:tc>
          <w:tcPr>
            <w:tcW w:w="1014" w:type="dxa"/>
            <w:shd w:val="clear" w:color="auto" w:fill="FFFFFF" w:themeFill="background1"/>
          </w:tcPr>
          <w:p w14:paraId="64E868DD">
            <w:pPr>
              <w:pStyle w:val="29"/>
              <w:spacing w:before="104"/>
              <w:rPr>
                <w:sz w:val="18"/>
                <w:szCs w:val="18"/>
              </w:rPr>
            </w:pPr>
          </w:p>
        </w:tc>
        <w:tc>
          <w:tcPr>
            <w:tcW w:w="709" w:type="dxa"/>
            <w:shd w:val="clear" w:color="auto" w:fill="FFFFFF" w:themeFill="background1"/>
          </w:tcPr>
          <w:p w14:paraId="13BD73C7">
            <w:pPr>
              <w:pStyle w:val="29"/>
              <w:spacing w:before="104"/>
              <w:rPr>
                <w:sz w:val="18"/>
                <w:szCs w:val="18"/>
              </w:rPr>
            </w:pPr>
          </w:p>
        </w:tc>
        <w:tc>
          <w:tcPr>
            <w:tcW w:w="871" w:type="dxa"/>
            <w:shd w:val="clear" w:color="auto" w:fill="FFFFFF" w:themeFill="background1"/>
          </w:tcPr>
          <w:p w14:paraId="6AA830D5">
            <w:pPr>
              <w:pStyle w:val="29"/>
              <w:spacing w:before="104"/>
              <w:rPr>
                <w:sz w:val="18"/>
                <w:szCs w:val="18"/>
              </w:rPr>
            </w:pPr>
          </w:p>
        </w:tc>
      </w:tr>
      <w:tr w14:paraId="29679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634" w:hRule="atLeast"/>
        </w:trPr>
        <w:tc>
          <w:tcPr>
            <w:tcW w:w="851" w:type="dxa"/>
            <w:shd w:val="clear" w:color="auto" w:fill="FFFFFF" w:themeFill="background1"/>
          </w:tcPr>
          <w:p w14:paraId="0690ACCB">
            <w:pPr>
              <w:pStyle w:val="29"/>
              <w:spacing w:before="109"/>
              <w:ind w:left="182"/>
              <w:rPr>
                <w:b/>
                <w:sz w:val="18"/>
                <w:szCs w:val="18"/>
              </w:rPr>
            </w:pPr>
            <w:r>
              <w:rPr>
                <w:b/>
                <w:spacing w:val="-5"/>
                <w:sz w:val="18"/>
                <w:szCs w:val="18"/>
              </w:rPr>
              <w:t>10</w:t>
            </w:r>
          </w:p>
        </w:tc>
        <w:tc>
          <w:tcPr>
            <w:tcW w:w="4826" w:type="dxa"/>
            <w:shd w:val="clear" w:color="auto" w:fill="FFFFFF" w:themeFill="background1"/>
          </w:tcPr>
          <w:p w14:paraId="7E024ECC">
            <w:pPr>
              <w:pStyle w:val="29"/>
              <w:jc w:val="both"/>
              <w:rPr>
                <w:sz w:val="18"/>
                <w:szCs w:val="18"/>
              </w:rPr>
            </w:pPr>
            <w:r>
              <w:rPr>
                <w:sz w:val="18"/>
                <w:szCs w:val="18"/>
              </w:rPr>
              <w:t>Sanal</w:t>
            </w:r>
            <w:r>
              <w:rPr>
                <w:spacing w:val="36"/>
                <w:sz w:val="18"/>
                <w:szCs w:val="18"/>
              </w:rPr>
              <w:t xml:space="preserve"> </w:t>
            </w:r>
            <w:r>
              <w:rPr>
                <w:sz w:val="18"/>
                <w:szCs w:val="18"/>
              </w:rPr>
              <w:t>rekreasyon</w:t>
            </w:r>
            <w:r>
              <w:rPr>
                <w:spacing w:val="37"/>
                <w:sz w:val="18"/>
                <w:szCs w:val="18"/>
              </w:rPr>
              <w:t xml:space="preserve"> </w:t>
            </w:r>
            <w:r>
              <w:rPr>
                <w:sz w:val="18"/>
                <w:szCs w:val="18"/>
              </w:rPr>
              <w:t>faaliyetleri,</w:t>
            </w:r>
            <w:r>
              <w:rPr>
                <w:spacing w:val="36"/>
                <w:sz w:val="18"/>
                <w:szCs w:val="18"/>
              </w:rPr>
              <w:t xml:space="preserve"> </w:t>
            </w:r>
            <w:r>
              <w:rPr>
                <w:sz w:val="18"/>
                <w:szCs w:val="18"/>
              </w:rPr>
              <w:t>insanları</w:t>
            </w:r>
            <w:r>
              <w:rPr>
                <w:spacing w:val="36"/>
                <w:sz w:val="18"/>
                <w:szCs w:val="18"/>
              </w:rPr>
              <w:t xml:space="preserve"> </w:t>
            </w:r>
            <w:r>
              <w:rPr>
                <w:sz w:val="18"/>
                <w:szCs w:val="18"/>
              </w:rPr>
              <w:t>tanıma</w:t>
            </w:r>
            <w:r>
              <w:rPr>
                <w:spacing w:val="35"/>
                <w:sz w:val="18"/>
                <w:szCs w:val="18"/>
              </w:rPr>
              <w:t xml:space="preserve"> </w:t>
            </w:r>
            <w:r>
              <w:rPr>
                <w:sz w:val="18"/>
                <w:szCs w:val="18"/>
              </w:rPr>
              <w:t xml:space="preserve">becerimi </w:t>
            </w:r>
            <w:r>
              <w:rPr>
                <w:spacing w:val="-2"/>
                <w:sz w:val="18"/>
                <w:szCs w:val="18"/>
              </w:rPr>
              <w:t>geliştirir.</w:t>
            </w:r>
          </w:p>
        </w:tc>
        <w:tc>
          <w:tcPr>
            <w:tcW w:w="680" w:type="dxa"/>
            <w:shd w:val="clear" w:color="auto" w:fill="FFFFFF" w:themeFill="background1"/>
          </w:tcPr>
          <w:p w14:paraId="661970B2">
            <w:pPr>
              <w:pStyle w:val="29"/>
              <w:spacing w:before="105"/>
              <w:rPr>
                <w:sz w:val="18"/>
                <w:szCs w:val="18"/>
              </w:rPr>
            </w:pPr>
          </w:p>
        </w:tc>
        <w:tc>
          <w:tcPr>
            <w:tcW w:w="567" w:type="dxa"/>
            <w:shd w:val="clear" w:color="auto" w:fill="FFFFFF" w:themeFill="background1"/>
          </w:tcPr>
          <w:p w14:paraId="433B0158">
            <w:pPr>
              <w:pStyle w:val="29"/>
              <w:spacing w:before="105"/>
              <w:rPr>
                <w:sz w:val="18"/>
                <w:szCs w:val="18"/>
              </w:rPr>
            </w:pPr>
          </w:p>
        </w:tc>
        <w:tc>
          <w:tcPr>
            <w:tcW w:w="1014" w:type="dxa"/>
            <w:shd w:val="clear" w:color="auto" w:fill="FFFFFF" w:themeFill="background1"/>
          </w:tcPr>
          <w:p w14:paraId="32B204FB">
            <w:pPr>
              <w:pStyle w:val="29"/>
              <w:spacing w:before="105"/>
              <w:rPr>
                <w:sz w:val="18"/>
                <w:szCs w:val="18"/>
              </w:rPr>
            </w:pPr>
          </w:p>
        </w:tc>
        <w:tc>
          <w:tcPr>
            <w:tcW w:w="709" w:type="dxa"/>
            <w:shd w:val="clear" w:color="auto" w:fill="FFFFFF" w:themeFill="background1"/>
          </w:tcPr>
          <w:p w14:paraId="15334388">
            <w:pPr>
              <w:pStyle w:val="29"/>
              <w:spacing w:before="105"/>
              <w:rPr>
                <w:sz w:val="18"/>
                <w:szCs w:val="18"/>
              </w:rPr>
            </w:pPr>
          </w:p>
        </w:tc>
        <w:tc>
          <w:tcPr>
            <w:tcW w:w="871" w:type="dxa"/>
            <w:shd w:val="clear" w:color="auto" w:fill="FFFFFF" w:themeFill="background1"/>
          </w:tcPr>
          <w:p w14:paraId="0AA942AE">
            <w:pPr>
              <w:pStyle w:val="29"/>
              <w:spacing w:before="105"/>
              <w:rPr>
                <w:sz w:val="18"/>
                <w:szCs w:val="18"/>
              </w:rPr>
            </w:pPr>
          </w:p>
        </w:tc>
      </w:tr>
      <w:tr w14:paraId="70531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635" w:hRule="atLeast"/>
        </w:trPr>
        <w:tc>
          <w:tcPr>
            <w:tcW w:w="851" w:type="dxa"/>
            <w:shd w:val="clear" w:color="auto" w:fill="FFFFFF" w:themeFill="background1"/>
          </w:tcPr>
          <w:p w14:paraId="25D436AB">
            <w:pPr>
              <w:pStyle w:val="29"/>
              <w:spacing w:before="110"/>
              <w:ind w:left="182"/>
              <w:rPr>
                <w:b/>
                <w:sz w:val="18"/>
                <w:szCs w:val="18"/>
              </w:rPr>
            </w:pPr>
            <w:r>
              <w:rPr>
                <w:b/>
                <w:spacing w:val="-5"/>
                <w:sz w:val="18"/>
                <w:szCs w:val="18"/>
              </w:rPr>
              <w:t>11</w:t>
            </w:r>
          </w:p>
        </w:tc>
        <w:tc>
          <w:tcPr>
            <w:tcW w:w="4826" w:type="dxa"/>
            <w:shd w:val="clear" w:color="auto" w:fill="FFFFFF" w:themeFill="background1"/>
          </w:tcPr>
          <w:p w14:paraId="3717F359">
            <w:pPr>
              <w:pStyle w:val="29"/>
              <w:jc w:val="both"/>
              <w:rPr>
                <w:sz w:val="18"/>
                <w:szCs w:val="18"/>
              </w:rPr>
            </w:pPr>
            <w:r>
              <w:rPr>
                <w:sz w:val="18"/>
                <w:szCs w:val="18"/>
              </w:rPr>
              <w:t>Sanal</w:t>
            </w:r>
            <w:r>
              <w:rPr>
                <w:spacing w:val="-10"/>
                <w:sz w:val="18"/>
                <w:szCs w:val="18"/>
              </w:rPr>
              <w:t xml:space="preserve"> </w:t>
            </w:r>
            <w:r>
              <w:rPr>
                <w:sz w:val="18"/>
                <w:szCs w:val="18"/>
              </w:rPr>
              <w:t>rekreasyon</w:t>
            </w:r>
            <w:r>
              <w:rPr>
                <w:spacing w:val="-7"/>
                <w:sz w:val="18"/>
                <w:szCs w:val="18"/>
              </w:rPr>
              <w:t xml:space="preserve"> </w:t>
            </w:r>
            <w:r>
              <w:rPr>
                <w:sz w:val="18"/>
                <w:szCs w:val="18"/>
              </w:rPr>
              <w:t>faaliyetleri,</w:t>
            </w:r>
            <w:r>
              <w:rPr>
                <w:spacing w:val="-7"/>
                <w:sz w:val="18"/>
                <w:szCs w:val="18"/>
              </w:rPr>
              <w:t xml:space="preserve"> </w:t>
            </w:r>
            <w:r>
              <w:rPr>
                <w:sz w:val="18"/>
                <w:szCs w:val="18"/>
              </w:rPr>
              <w:t>kendimi</w:t>
            </w:r>
            <w:r>
              <w:rPr>
                <w:spacing w:val="-10"/>
                <w:sz w:val="18"/>
                <w:szCs w:val="18"/>
              </w:rPr>
              <w:t xml:space="preserve"> </w:t>
            </w:r>
            <w:r>
              <w:rPr>
                <w:sz w:val="18"/>
                <w:szCs w:val="18"/>
              </w:rPr>
              <w:t>ifade</w:t>
            </w:r>
            <w:r>
              <w:rPr>
                <w:spacing w:val="-10"/>
                <w:sz w:val="18"/>
                <w:szCs w:val="18"/>
              </w:rPr>
              <w:t xml:space="preserve"> </w:t>
            </w:r>
            <w:r>
              <w:rPr>
                <w:sz w:val="18"/>
                <w:szCs w:val="18"/>
              </w:rPr>
              <w:t>etme</w:t>
            </w:r>
            <w:r>
              <w:rPr>
                <w:spacing w:val="-10"/>
                <w:sz w:val="18"/>
                <w:szCs w:val="18"/>
              </w:rPr>
              <w:t xml:space="preserve"> </w:t>
            </w:r>
            <w:r>
              <w:rPr>
                <w:sz w:val="18"/>
                <w:szCs w:val="18"/>
              </w:rPr>
              <w:t xml:space="preserve">becerimi </w:t>
            </w:r>
            <w:r>
              <w:rPr>
                <w:spacing w:val="-2"/>
                <w:sz w:val="18"/>
                <w:szCs w:val="18"/>
              </w:rPr>
              <w:t>geliştirir.</w:t>
            </w:r>
          </w:p>
        </w:tc>
        <w:tc>
          <w:tcPr>
            <w:tcW w:w="680" w:type="dxa"/>
            <w:shd w:val="clear" w:color="auto" w:fill="FFFFFF" w:themeFill="background1"/>
          </w:tcPr>
          <w:p w14:paraId="33F6B739">
            <w:pPr>
              <w:pStyle w:val="29"/>
              <w:spacing w:before="105"/>
              <w:rPr>
                <w:sz w:val="18"/>
                <w:szCs w:val="18"/>
              </w:rPr>
            </w:pPr>
          </w:p>
        </w:tc>
        <w:tc>
          <w:tcPr>
            <w:tcW w:w="567" w:type="dxa"/>
            <w:shd w:val="clear" w:color="auto" w:fill="FFFFFF" w:themeFill="background1"/>
          </w:tcPr>
          <w:p w14:paraId="03783B62">
            <w:pPr>
              <w:pStyle w:val="29"/>
              <w:spacing w:before="105"/>
              <w:rPr>
                <w:sz w:val="18"/>
                <w:szCs w:val="18"/>
              </w:rPr>
            </w:pPr>
          </w:p>
        </w:tc>
        <w:tc>
          <w:tcPr>
            <w:tcW w:w="1014" w:type="dxa"/>
            <w:shd w:val="clear" w:color="auto" w:fill="FFFFFF" w:themeFill="background1"/>
          </w:tcPr>
          <w:p w14:paraId="6EC3BC53">
            <w:pPr>
              <w:pStyle w:val="29"/>
              <w:spacing w:before="105"/>
              <w:rPr>
                <w:sz w:val="18"/>
                <w:szCs w:val="18"/>
              </w:rPr>
            </w:pPr>
          </w:p>
        </w:tc>
        <w:tc>
          <w:tcPr>
            <w:tcW w:w="709" w:type="dxa"/>
            <w:shd w:val="clear" w:color="auto" w:fill="FFFFFF" w:themeFill="background1"/>
          </w:tcPr>
          <w:p w14:paraId="6268326A">
            <w:pPr>
              <w:pStyle w:val="29"/>
              <w:spacing w:before="105"/>
              <w:rPr>
                <w:sz w:val="18"/>
                <w:szCs w:val="18"/>
              </w:rPr>
            </w:pPr>
          </w:p>
        </w:tc>
        <w:tc>
          <w:tcPr>
            <w:tcW w:w="871" w:type="dxa"/>
            <w:shd w:val="clear" w:color="auto" w:fill="FFFFFF" w:themeFill="background1"/>
          </w:tcPr>
          <w:p w14:paraId="6834F9B6">
            <w:pPr>
              <w:pStyle w:val="29"/>
              <w:spacing w:before="105"/>
              <w:rPr>
                <w:sz w:val="18"/>
                <w:szCs w:val="18"/>
              </w:rPr>
            </w:pPr>
          </w:p>
        </w:tc>
      </w:tr>
      <w:tr w14:paraId="1AC3F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636" w:hRule="atLeast"/>
        </w:trPr>
        <w:tc>
          <w:tcPr>
            <w:tcW w:w="851" w:type="dxa"/>
            <w:shd w:val="clear" w:color="auto" w:fill="FFFFFF" w:themeFill="background1"/>
          </w:tcPr>
          <w:p w14:paraId="59F93493">
            <w:pPr>
              <w:pStyle w:val="29"/>
              <w:spacing w:before="108"/>
              <w:ind w:left="182"/>
              <w:rPr>
                <w:b/>
                <w:sz w:val="18"/>
                <w:szCs w:val="18"/>
              </w:rPr>
            </w:pPr>
            <w:r>
              <w:rPr>
                <w:b/>
                <w:spacing w:val="-5"/>
                <w:sz w:val="18"/>
                <w:szCs w:val="18"/>
              </w:rPr>
              <w:t>12</w:t>
            </w:r>
          </w:p>
        </w:tc>
        <w:tc>
          <w:tcPr>
            <w:tcW w:w="4826" w:type="dxa"/>
            <w:shd w:val="clear" w:color="auto" w:fill="FFFFFF" w:themeFill="background1"/>
          </w:tcPr>
          <w:p w14:paraId="64461052">
            <w:pPr>
              <w:pStyle w:val="29"/>
              <w:jc w:val="both"/>
              <w:rPr>
                <w:sz w:val="18"/>
                <w:szCs w:val="18"/>
              </w:rPr>
            </w:pPr>
            <w:r>
              <w:rPr>
                <w:sz w:val="18"/>
                <w:szCs w:val="18"/>
              </w:rPr>
              <w:t>Sanal</w:t>
            </w:r>
            <w:r>
              <w:rPr>
                <w:spacing w:val="-3"/>
                <w:sz w:val="18"/>
                <w:szCs w:val="18"/>
              </w:rPr>
              <w:t xml:space="preserve"> </w:t>
            </w:r>
            <w:r>
              <w:rPr>
                <w:sz w:val="18"/>
                <w:szCs w:val="18"/>
              </w:rPr>
              <w:t>rekreasyon</w:t>
            </w:r>
            <w:r>
              <w:rPr>
                <w:spacing w:val="-2"/>
                <w:sz w:val="18"/>
                <w:szCs w:val="18"/>
              </w:rPr>
              <w:t xml:space="preserve"> </w:t>
            </w:r>
            <w:r>
              <w:rPr>
                <w:sz w:val="18"/>
                <w:szCs w:val="18"/>
              </w:rPr>
              <w:t>faaliyetleri,</w:t>
            </w:r>
            <w:r>
              <w:rPr>
                <w:spacing w:val="-2"/>
                <w:sz w:val="18"/>
                <w:szCs w:val="18"/>
              </w:rPr>
              <w:t xml:space="preserve"> </w:t>
            </w:r>
            <w:r>
              <w:rPr>
                <w:sz w:val="18"/>
                <w:szCs w:val="18"/>
              </w:rPr>
              <w:t>duygusal</w:t>
            </w:r>
            <w:r>
              <w:rPr>
                <w:spacing w:val="-3"/>
                <w:sz w:val="18"/>
                <w:szCs w:val="18"/>
              </w:rPr>
              <w:t xml:space="preserve"> </w:t>
            </w:r>
            <w:r>
              <w:rPr>
                <w:sz w:val="18"/>
                <w:szCs w:val="18"/>
              </w:rPr>
              <w:t>yönden</w:t>
            </w:r>
            <w:r>
              <w:rPr>
                <w:spacing w:val="-2"/>
                <w:sz w:val="18"/>
                <w:szCs w:val="18"/>
              </w:rPr>
              <w:t xml:space="preserve"> </w:t>
            </w:r>
            <w:r>
              <w:rPr>
                <w:sz w:val="18"/>
                <w:szCs w:val="18"/>
              </w:rPr>
              <w:t xml:space="preserve">gelişmemi </w:t>
            </w:r>
            <w:r>
              <w:rPr>
                <w:spacing w:val="-2"/>
                <w:sz w:val="18"/>
                <w:szCs w:val="18"/>
              </w:rPr>
              <w:t>sağlar.</w:t>
            </w:r>
          </w:p>
        </w:tc>
        <w:tc>
          <w:tcPr>
            <w:tcW w:w="680" w:type="dxa"/>
            <w:shd w:val="clear" w:color="auto" w:fill="FFFFFF" w:themeFill="background1"/>
          </w:tcPr>
          <w:p w14:paraId="283B4CC7">
            <w:pPr>
              <w:pStyle w:val="29"/>
              <w:spacing w:before="103"/>
              <w:rPr>
                <w:sz w:val="18"/>
                <w:szCs w:val="18"/>
              </w:rPr>
            </w:pPr>
          </w:p>
        </w:tc>
        <w:tc>
          <w:tcPr>
            <w:tcW w:w="567" w:type="dxa"/>
            <w:shd w:val="clear" w:color="auto" w:fill="FFFFFF" w:themeFill="background1"/>
          </w:tcPr>
          <w:p w14:paraId="17887110">
            <w:pPr>
              <w:pStyle w:val="29"/>
              <w:spacing w:before="103"/>
              <w:rPr>
                <w:sz w:val="18"/>
                <w:szCs w:val="18"/>
              </w:rPr>
            </w:pPr>
          </w:p>
        </w:tc>
        <w:tc>
          <w:tcPr>
            <w:tcW w:w="1014" w:type="dxa"/>
            <w:shd w:val="clear" w:color="auto" w:fill="FFFFFF" w:themeFill="background1"/>
          </w:tcPr>
          <w:p w14:paraId="7F115494">
            <w:pPr>
              <w:pStyle w:val="29"/>
              <w:spacing w:before="103"/>
              <w:rPr>
                <w:sz w:val="18"/>
                <w:szCs w:val="18"/>
              </w:rPr>
            </w:pPr>
          </w:p>
        </w:tc>
        <w:tc>
          <w:tcPr>
            <w:tcW w:w="709" w:type="dxa"/>
            <w:shd w:val="clear" w:color="auto" w:fill="FFFFFF" w:themeFill="background1"/>
          </w:tcPr>
          <w:p w14:paraId="5124BEDF">
            <w:pPr>
              <w:pStyle w:val="29"/>
              <w:spacing w:before="103"/>
              <w:rPr>
                <w:sz w:val="18"/>
                <w:szCs w:val="18"/>
              </w:rPr>
            </w:pPr>
          </w:p>
        </w:tc>
        <w:tc>
          <w:tcPr>
            <w:tcW w:w="871" w:type="dxa"/>
            <w:shd w:val="clear" w:color="auto" w:fill="FFFFFF" w:themeFill="background1"/>
          </w:tcPr>
          <w:p w14:paraId="764BB267">
            <w:pPr>
              <w:pStyle w:val="29"/>
              <w:spacing w:before="103"/>
              <w:rPr>
                <w:sz w:val="18"/>
                <w:szCs w:val="18"/>
              </w:rPr>
            </w:pPr>
          </w:p>
        </w:tc>
      </w:tr>
      <w:tr w14:paraId="40F67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632" w:hRule="atLeast"/>
        </w:trPr>
        <w:tc>
          <w:tcPr>
            <w:tcW w:w="851" w:type="dxa"/>
            <w:shd w:val="clear" w:color="auto" w:fill="FFFFFF" w:themeFill="background1"/>
          </w:tcPr>
          <w:p w14:paraId="5620095F">
            <w:pPr>
              <w:pStyle w:val="29"/>
              <w:spacing w:before="105"/>
              <w:ind w:left="182"/>
              <w:rPr>
                <w:b/>
                <w:sz w:val="18"/>
                <w:szCs w:val="18"/>
              </w:rPr>
            </w:pPr>
            <w:r>
              <w:rPr>
                <w:b/>
                <w:spacing w:val="-5"/>
                <w:sz w:val="18"/>
                <w:szCs w:val="18"/>
              </w:rPr>
              <w:t>13</w:t>
            </w:r>
          </w:p>
        </w:tc>
        <w:tc>
          <w:tcPr>
            <w:tcW w:w="4826" w:type="dxa"/>
            <w:shd w:val="clear" w:color="auto" w:fill="FFFFFF" w:themeFill="background1"/>
          </w:tcPr>
          <w:p w14:paraId="3B50578F">
            <w:pPr>
              <w:pStyle w:val="29"/>
              <w:tabs>
                <w:tab w:val="left" w:pos="1894"/>
                <w:tab w:val="left" w:pos="3050"/>
              </w:tabs>
              <w:ind w:right="166"/>
              <w:jc w:val="both"/>
              <w:rPr>
                <w:sz w:val="18"/>
                <w:szCs w:val="18"/>
              </w:rPr>
            </w:pPr>
            <w:r>
              <w:rPr>
                <w:sz w:val="18"/>
                <w:szCs w:val="18"/>
              </w:rPr>
              <w:t>Sanal</w:t>
            </w:r>
            <w:r>
              <w:rPr>
                <w:spacing w:val="80"/>
                <w:w w:val="150"/>
                <w:sz w:val="18"/>
                <w:szCs w:val="18"/>
              </w:rPr>
              <w:t xml:space="preserve"> </w:t>
            </w:r>
            <w:r>
              <w:rPr>
                <w:sz w:val="18"/>
                <w:szCs w:val="18"/>
              </w:rPr>
              <w:t>rekreasyon</w:t>
            </w:r>
            <w:r>
              <w:rPr>
                <w:sz w:val="18"/>
                <w:szCs w:val="18"/>
              </w:rPr>
              <w:tab/>
            </w:r>
            <w:r>
              <w:rPr>
                <w:spacing w:val="-2"/>
                <w:sz w:val="18"/>
                <w:szCs w:val="18"/>
              </w:rPr>
              <w:t>faaliyetleri,</w:t>
            </w:r>
            <w:r>
              <w:rPr>
                <w:sz w:val="18"/>
                <w:szCs w:val="18"/>
              </w:rPr>
              <w:tab/>
            </w:r>
            <w:r>
              <w:rPr>
                <w:sz w:val="18"/>
                <w:szCs w:val="18"/>
              </w:rPr>
              <w:t>toplum</w:t>
            </w:r>
            <w:r>
              <w:rPr>
                <w:spacing w:val="28"/>
                <w:sz w:val="18"/>
                <w:szCs w:val="18"/>
              </w:rPr>
              <w:t xml:space="preserve"> </w:t>
            </w:r>
            <w:r>
              <w:rPr>
                <w:sz w:val="18"/>
                <w:szCs w:val="18"/>
              </w:rPr>
              <w:t>içerisinde karşılaştığım sorunları çözmemde bana yardımcı olur.</w:t>
            </w:r>
          </w:p>
        </w:tc>
        <w:tc>
          <w:tcPr>
            <w:tcW w:w="680" w:type="dxa"/>
            <w:shd w:val="clear" w:color="auto" w:fill="FFFFFF" w:themeFill="background1"/>
          </w:tcPr>
          <w:p w14:paraId="36B187A8">
            <w:pPr>
              <w:pStyle w:val="29"/>
              <w:spacing w:before="100"/>
              <w:rPr>
                <w:sz w:val="18"/>
                <w:szCs w:val="18"/>
              </w:rPr>
            </w:pPr>
          </w:p>
        </w:tc>
        <w:tc>
          <w:tcPr>
            <w:tcW w:w="567" w:type="dxa"/>
            <w:shd w:val="clear" w:color="auto" w:fill="FFFFFF" w:themeFill="background1"/>
          </w:tcPr>
          <w:p w14:paraId="0EF4C1AD">
            <w:pPr>
              <w:pStyle w:val="29"/>
              <w:spacing w:before="100"/>
              <w:rPr>
                <w:sz w:val="18"/>
                <w:szCs w:val="18"/>
              </w:rPr>
            </w:pPr>
          </w:p>
        </w:tc>
        <w:tc>
          <w:tcPr>
            <w:tcW w:w="1014" w:type="dxa"/>
            <w:shd w:val="clear" w:color="auto" w:fill="FFFFFF" w:themeFill="background1"/>
          </w:tcPr>
          <w:p w14:paraId="599FC02F">
            <w:pPr>
              <w:pStyle w:val="29"/>
              <w:spacing w:before="100"/>
              <w:rPr>
                <w:sz w:val="18"/>
                <w:szCs w:val="18"/>
              </w:rPr>
            </w:pPr>
          </w:p>
        </w:tc>
        <w:tc>
          <w:tcPr>
            <w:tcW w:w="709" w:type="dxa"/>
            <w:shd w:val="clear" w:color="auto" w:fill="FFFFFF" w:themeFill="background1"/>
          </w:tcPr>
          <w:p w14:paraId="67C60EF1">
            <w:pPr>
              <w:pStyle w:val="29"/>
              <w:spacing w:before="100"/>
              <w:rPr>
                <w:sz w:val="18"/>
                <w:szCs w:val="18"/>
              </w:rPr>
            </w:pPr>
          </w:p>
        </w:tc>
        <w:tc>
          <w:tcPr>
            <w:tcW w:w="871" w:type="dxa"/>
            <w:shd w:val="clear" w:color="auto" w:fill="FFFFFF" w:themeFill="background1"/>
          </w:tcPr>
          <w:p w14:paraId="68609D7F">
            <w:pPr>
              <w:pStyle w:val="29"/>
              <w:spacing w:before="100"/>
              <w:rPr>
                <w:sz w:val="18"/>
                <w:szCs w:val="18"/>
              </w:rPr>
            </w:pPr>
          </w:p>
        </w:tc>
      </w:tr>
      <w:tr w14:paraId="14A70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629" w:hRule="atLeast"/>
        </w:trPr>
        <w:tc>
          <w:tcPr>
            <w:tcW w:w="851" w:type="dxa"/>
            <w:shd w:val="clear" w:color="auto" w:fill="FFFFFF" w:themeFill="background1"/>
          </w:tcPr>
          <w:p w14:paraId="1ECB9C9B">
            <w:pPr>
              <w:pStyle w:val="29"/>
              <w:spacing w:before="101"/>
              <w:ind w:left="182"/>
              <w:rPr>
                <w:b/>
                <w:sz w:val="18"/>
                <w:szCs w:val="18"/>
              </w:rPr>
            </w:pPr>
            <w:r>
              <w:rPr>
                <w:b/>
                <w:spacing w:val="-5"/>
                <w:sz w:val="18"/>
                <w:szCs w:val="18"/>
              </w:rPr>
              <w:t>14</w:t>
            </w:r>
          </w:p>
        </w:tc>
        <w:tc>
          <w:tcPr>
            <w:tcW w:w="4826" w:type="dxa"/>
            <w:shd w:val="clear" w:color="auto" w:fill="FFFFFF" w:themeFill="background1"/>
          </w:tcPr>
          <w:p w14:paraId="33BBB4F7">
            <w:pPr>
              <w:pStyle w:val="29"/>
              <w:jc w:val="both"/>
              <w:rPr>
                <w:sz w:val="18"/>
                <w:szCs w:val="18"/>
              </w:rPr>
            </w:pPr>
            <w:r>
              <w:rPr>
                <w:sz w:val="18"/>
                <w:szCs w:val="18"/>
              </w:rPr>
              <w:t>Sanal</w:t>
            </w:r>
            <w:r>
              <w:rPr>
                <w:spacing w:val="29"/>
                <w:sz w:val="18"/>
                <w:szCs w:val="18"/>
              </w:rPr>
              <w:t xml:space="preserve"> </w:t>
            </w:r>
            <w:r>
              <w:rPr>
                <w:sz w:val="18"/>
                <w:szCs w:val="18"/>
              </w:rPr>
              <w:t>rekreasyon</w:t>
            </w:r>
            <w:r>
              <w:rPr>
                <w:spacing w:val="29"/>
                <w:sz w:val="18"/>
                <w:szCs w:val="18"/>
              </w:rPr>
              <w:t xml:space="preserve"> </w:t>
            </w:r>
            <w:r>
              <w:rPr>
                <w:sz w:val="18"/>
                <w:szCs w:val="18"/>
              </w:rPr>
              <w:t>faaliyetleri,</w:t>
            </w:r>
            <w:r>
              <w:rPr>
                <w:spacing w:val="32"/>
                <w:sz w:val="18"/>
                <w:szCs w:val="18"/>
              </w:rPr>
              <w:t xml:space="preserve"> </w:t>
            </w:r>
            <w:r>
              <w:rPr>
                <w:sz w:val="18"/>
                <w:szCs w:val="18"/>
              </w:rPr>
              <w:t>yeni</w:t>
            </w:r>
            <w:r>
              <w:rPr>
                <w:spacing w:val="29"/>
                <w:sz w:val="18"/>
                <w:szCs w:val="18"/>
              </w:rPr>
              <w:t xml:space="preserve"> </w:t>
            </w:r>
            <w:r>
              <w:rPr>
                <w:sz w:val="18"/>
                <w:szCs w:val="18"/>
              </w:rPr>
              <w:t>arkadaşlar</w:t>
            </w:r>
            <w:r>
              <w:rPr>
                <w:spacing w:val="29"/>
                <w:sz w:val="18"/>
                <w:szCs w:val="18"/>
              </w:rPr>
              <w:t xml:space="preserve"> </w:t>
            </w:r>
            <w:r>
              <w:rPr>
                <w:sz w:val="18"/>
                <w:szCs w:val="18"/>
              </w:rPr>
              <w:t xml:space="preserve">edinmemi </w:t>
            </w:r>
            <w:r>
              <w:rPr>
                <w:spacing w:val="-2"/>
                <w:sz w:val="18"/>
                <w:szCs w:val="18"/>
              </w:rPr>
              <w:t>sağlar.</w:t>
            </w:r>
          </w:p>
        </w:tc>
        <w:tc>
          <w:tcPr>
            <w:tcW w:w="680" w:type="dxa"/>
            <w:shd w:val="clear" w:color="auto" w:fill="FFFFFF" w:themeFill="background1"/>
          </w:tcPr>
          <w:p w14:paraId="1F17A18C">
            <w:pPr>
              <w:pStyle w:val="29"/>
              <w:spacing w:before="96"/>
              <w:rPr>
                <w:sz w:val="18"/>
                <w:szCs w:val="18"/>
              </w:rPr>
            </w:pPr>
          </w:p>
        </w:tc>
        <w:tc>
          <w:tcPr>
            <w:tcW w:w="567" w:type="dxa"/>
            <w:shd w:val="clear" w:color="auto" w:fill="FFFFFF" w:themeFill="background1"/>
          </w:tcPr>
          <w:p w14:paraId="45EA1F79">
            <w:pPr>
              <w:pStyle w:val="29"/>
              <w:spacing w:before="96"/>
              <w:rPr>
                <w:sz w:val="18"/>
                <w:szCs w:val="18"/>
              </w:rPr>
            </w:pPr>
          </w:p>
        </w:tc>
        <w:tc>
          <w:tcPr>
            <w:tcW w:w="1014" w:type="dxa"/>
            <w:shd w:val="clear" w:color="auto" w:fill="FFFFFF" w:themeFill="background1"/>
          </w:tcPr>
          <w:p w14:paraId="70DFB3AB">
            <w:pPr>
              <w:pStyle w:val="29"/>
              <w:spacing w:before="96"/>
              <w:rPr>
                <w:sz w:val="18"/>
                <w:szCs w:val="18"/>
              </w:rPr>
            </w:pPr>
          </w:p>
        </w:tc>
        <w:tc>
          <w:tcPr>
            <w:tcW w:w="709" w:type="dxa"/>
            <w:shd w:val="clear" w:color="auto" w:fill="FFFFFF" w:themeFill="background1"/>
          </w:tcPr>
          <w:p w14:paraId="5A5C175C">
            <w:pPr>
              <w:pStyle w:val="29"/>
              <w:spacing w:before="96"/>
              <w:rPr>
                <w:sz w:val="18"/>
                <w:szCs w:val="18"/>
              </w:rPr>
            </w:pPr>
          </w:p>
        </w:tc>
        <w:tc>
          <w:tcPr>
            <w:tcW w:w="871" w:type="dxa"/>
            <w:shd w:val="clear" w:color="auto" w:fill="FFFFFF" w:themeFill="background1"/>
          </w:tcPr>
          <w:p w14:paraId="40042AFF">
            <w:pPr>
              <w:pStyle w:val="29"/>
              <w:spacing w:before="96"/>
              <w:rPr>
                <w:sz w:val="18"/>
                <w:szCs w:val="18"/>
              </w:rPr>
            </w:pPr>
          </w:p>
        </w:tc>
      </w:tr>
      <w:tr w14:paraId="4E492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629" w:hRule="atLeast"/>
        </w:trPr>
        <w:tc>
          <w:tcPr>
            <w:tcW w:w="851" w:type="dxa"/>
            <w:shd w:val="clear" w:color="auto" w:fill="FFFFFF" w:themeFill="background1"/>
          </w:tcPr>
          <w:p w14:paraId="480AF36A">
            <w:pPr>
              <w:pStyle w:val="29"/>
              <w:spacing w:before="101"/>
              <w:ind w:left="182"/>
              <w:rPr>
                <w:b/>
                <w:sz w:val="18"/>
                <w:szCs w:val="18"/>
              </w:rPr>
            </w:pPr>
            <w:r>
              <w:rPr>
                <w:b/>
                <w:spacing w:val="-5"/>
                <w:sz w:val="18"/>
                <w:szCs w:val="18"/>
              </w:rPr>
              <w:t>15</w:t>
            </w:r>
          </w:p>
        </w:tc>
        <w:tc>
          <w:tcPr>
            <w:tcW w:w="4826" w:type="dxa"/>
            <w:shd w:val="clear" w:color="auto" w:fill="FFFFFF" w:themeFill="background1"/>
          </w:tcPr>
          <w:p w14:paraId="6B6F9D8F">
            <w:pPr>
              <w:pStyle w:val="29"/>
              <w:jc w:val="both"/>
              <w:rPr>
                <w:sz w:val="18"/>
                <w:szCs w:val="18"/>
              </w:rPr>
            </w:pPr>
            <w:r>
              <w:rPr>
                <w:sz w:val="18"/>
                <w:szCs w:val="18"/>
              </w:rPr>
              <w:t>Sanal</w:t>
            </w:r>
            <w:r>
              <w:rPr>
                <w:spacing w:val="23"/>
                <w:sz w:val="18"/>
                <w:szCs w:val="18"/>
              </w:rPr>
              <w:t xml:space="preserve"> </w:t>
            </w:r>
            <w:r>
              <w:rPr>
                <w:sz w:val="18"/>
                <w:szCs w:val="18"/>
              </w:rPr>
              <w:t>rekreasyon</w:t>
            </w:r>
            <w:r>
              <w:rPr>
                <w:spacing w:val="23"/>
                <w:sz w:val="18"/>
                <w:szCs w:val="18"/>
              </w:rPr>
              <w:t xml:space="preserve"> </w:t>
            </w:r>
            <w:r>
              <w:rPr>
                <w:sz w:val="18"/>
                <w:szCs w:val="18"/>
              </w:rPr>
              <w:t>faaliyetleri,</w:t>
            </w:r>
            <w:r>
              <w:rPr>
                <w:spacing w:val="23"/>
                <w:sz w:val="18"/>
                <w:szCs w:val="18"/>
              </w:rPr>
              <w:t xml:space="preserve"> </w:t>
            </w:r>
            <w:r>
              <w:rPr>
                <w:sz w:val="18"/>
                <w:szCs w:val="18"/>
              </w:rPr>
              <w:t>takım</w:t>
            </w:r>
            <w:r>
              <w:rPr>
                <w:spacing w:val="19"/>
                <w:sz w:val="18"/>
                <w:szCs w:val="18"/>
              </w:rPr>
              <w:t xml:space="preserve"> </w:t>
            </w:r>
            <w:r>
              <w:rPr>
                <w:sz w:val="18"/>
                <w:szCs w:val="18"/>
              </w:rPr>
              <w:t>çalışması</w:t>
            </w:r>
            <w:r>
              <w:rPr>
                <w:spacing w:val="22"/>
                <w:sz w:val="18"/>
                <w:szCs w:val="18"/>
              </w:rPr>
              <w:t xml:space="preserve"> </w:t>
            </w:r>
            <w:r>
              <w:rPr>
                <w:sz w:val="18"/>
                <w:szCs w:val="18"/>
              </w:rPr>
              <w:t>kavramını oluşturmama yardımcı olur.</w:t>
            </w:r>
          </w:p>
        </w:tc>
        <w:tc>
          <w:tcPr>
            <w:tcW w:w="680" w:type="dxa"/>
            <w:shd w:val="clear" w:color="auto" w:fill="FFFFFF" w:themeFill="background1"/>
          </w:tcPr>
          <w:p w14:paraId="4CC18805">
            <w:pPr>
              <w:pStyle w:val="29"/>
              <w:spacing w:before="97"/>
              <w:rPr>
                <w:sz w:val="18"/>
                <w:szCs w:val="18"/>
              </w:rPr>
            </w:pPr>
          </w:p>
        </w:tc>
        <w:tc>
          <w:tcPr>
            <w:tcW w:w="567" w:type="dxa"/>
            <w:shd w:val="clear" w:color="auto" w:fill="FFFFFF" w:themeFill="background1"/>
          </w:tcPr>
          <w:p w14:paraId="77A3BEDC">
            <w:pPr>
              <w:pStyle w:val="29"/>
              <w:spacing w:before="97"/>
              <w:rPr>
                <w:sz w:val="18"/>
                <w:szCs w:val="18"/>
              </w:rPr>
            </w:pPr>
          </w:p>
        </w:tc>
        <w:tc>
          <w:tcPr>
            <w:tcW w:w="1014" w:type="dxa"/>
            <w:shd w:val="clear" w:color="auto" w:fill="FFFFFF" w:themeFill="background1"/>
          </w:tcPr>
          <w:p w14:paraId="7F4FB08C">
            <w:pPr>
              <w:pStyle w:val="29"/>
              <w:spacing w:before="97"/>
              <w:rPr>
                <w:sz w:val="18"/>
                <w:szCs w:val="18"/>
              </w:rPr>
            </w:pPr>
          </w:p>
        </w:tc>
        <w:tc>
          <w:tcPr>
            <w:tcW w:w="709" w:type="dxa"/>
            <w:shd w:val="clear" w:color="auto" w:fill="FFFFFF" w:themeFill="background1"/>
          </w:tcPr>
          <w:p w14:paraId="4A329BEE">
            <w:pPr>
              <w:pStyle w:val="29"/>
              <w:spacing w:before="97"/>
              <w:rPr>
                <w:sz w:val="18"/>
                <w:szCs w:val="18"/>
              </w:rPr>
            </w:pPr>
          </w:p>
        </w:tc>
        <w:tc>
          <w:tcPr>
            <w:tcW w:w="871" w:type="dxa"/>
            <w:shd w:val="clear" w:color="auto" w:fill="FFFFFF" w:themeFill="background1"/>
          </w:tcPr>
          <w:p w14:paraId="1D6AF43C">
            <w:pPr>
              <w:pStyle w:val="29"/>
              <w:spacing w:before="97"/>
              <w:rPr>
                <w:sz w:val="18"/>
                <w:szCs w:val="18"/>
              </w:rPr>
            </w:pPr>
          </w:p>
        </w:tc>
      </w:tr>
      <w:tr w14:paraId="2A7F1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09" w:hRule="atLeast"/>
        </w:trPr>
        <w:tc>
          <w:tcPr>
            <w:tcW w:w="851" w:type="dxa"/>
            <w:shd w:val="clear" w:color="auto" w:fill="FFFFFF" w:themeFill="background1"/>
          </w:tcPr>
          <w:p w14:paraId="7D416B56">
            <w:pPr>
              <w:pStyle w:val="29"/>
              <w:spacing w:before="102" w:line="187" w:lineRule="exact"/>
              <w:ind w:left="182"/>
              <w:rPr>
                <w:b/>
                <w:sz w:val="18"/>
                <w:szCs w:val="18"/>
              </w:rPr>
            </w:pPr>
            <w:r>
              <w:rPr>
                <w:b/>
                <w:spacing w:val="-5"/>
                <w:sz w:val="18"/>
                <w:szCs w:val="18"/>
              </w:rPr>
              <w:t>16</w:t>
            </w:r>
          </w:p>
        </w:tc>
        <w:tc>
          <w:tcPr>
            <w:tcW w:w="4826" w:type="dxa"/>
            <w:shd w:val="clear" w:color="auto" w:fill="FFFFFF" w:themeFill="background1"/>
          </w:tcPr>
          <w:p w14:paraId="505287A7">
            <w:pPr>
              <w:pStyle w:val="29"/>
              <w:jc w:val="both"/>
              <w:rPr>
                <w:sz w:val="18"/>
                <w:szCs w:val="18"/>
              </w:rPr>
            </w:pPr>
            <w:r>
              <w:rPr>
                <w:sz w:val="18"/>
                <w:szCs w:val="18"/>
              </w:rPr>
              <w:t>Sanal</w:t>
            </w:r>
            <w:r>
              <w:rPr>
                <w:spacing w:val="-7"/>
                <w:sz w:val="18"/>
                <w:szCs w:val="18"/>
              </w:rPr>
              <w:t xml:space="preserve"> </w:t>
            </w:r>
            <w:r>
              <w:rPr>
                <w:sz w:val="18"/>
                <w:szCs w:val="18"/>
              </w:rPr>
              <w:t>rekreasyon</w:t>
            </w:r>
            <w:r>
              <w:rPr>
                <w:spacing w:val="-1"/>
                <w:sz w:val="18"/>
                <w:szCs w:val="18"/>
              </w:rPr>
              <w:t xml:space="preserve"> </w:t>
            </w:r>
            <w:r>
              <w:rPr>
                <w:sz w:val="18"/>
                <w:szCs w:val="18"/>
              </w:rPr>
              <w:t>faaliyetleri,</w:t>
            </w:r>
            <w:r>
              <w:rPr>
                <w:spacing w:val="-4"/>
                <w:sz w:val="18"/>
                <w:szCs w:val="18"/>
              </w:rPr>
              <w:t xml:space="preserve"> </w:t>
            </w:r>
            <w:r>
              <w:rPr>
                <w:sz w:val="18"/>
                <w:szCs w:val="18"/>
              </w:rPr>
              <w:t>aile</w:t>
            </w:r>
            <w:r>
              <w:rPr>
                <w:spacing w:val="-2"/>
                <w:sz w:val="18"/>
                <w:szCs w:val="18"/>
              </w:rPr>
              <w:t xml:space="preserve"> </w:t>
            </w:r>
            <w:r>
              <w:rPr>
                <w:sz w:val="18"/>
                <w:szCs w:val="18"/>
              </w:rPr>
              <w:t>ilişkilerimi</w:t>
            </w:r>
            <w:r>
              <w:rPr>
                <w:spacing w:val="-4"/>
                <w:sz w:val="18"/>
                <w:szCs w:val="18"/>
              </w:rPr>
              <w:t xml:space="preserve"> </w:t>
            </w:r>
            <w:r>
              <w:rPr>
                <w:spacing w:val="-2"/>
                <w:sz w:val="18"/>
                <w:szCs w:val="18"/>
              </w:rPr>
              <w:t>geliştirir.</w:t>
            </w:r>
          </w:p>
        </w:tc>
        <w:tc>
          <w:tcPr>
            <w:tcW w:w="680" w:type="dxa"/>
            <w:shd w:val="clear" w:color="auto" w:fill="FFFFFF" w:themeFill="background1"/>
          </w:tcPr>
          <w:p w14:paraId="048561E5">
            <w:pPr>
              <w:pStyle w:val="29"/>
              <w:spacing w:before="97" w:line="192" w:lineRule="exact"/>
              <w:rPr>
                <w:sz w:val="18"/>
                <w:szCs w:val="18"/>
              </w:rPr>
            </w:pPr>
          </w:p>
        </w:tc>
        <w:tc>
          <w:tcPr>
            <w:tcW w:w="567" w:type="dxa"/>
            <w:shd w:val="clear" w:color="auto" w:fill="FFFFFF" w:themeFill="background1"/>
          </w:tcPr>
          <w:p w14:paraId="3420D155">
            <w:pPr>
              <w:pStyle w:val="29"/>
              <w:spacing w:before="97" w:line="192" w:lineRule="exact"/>
              <w:rPr>
                <w:sz w:val="18"/>
                <w:szCs w:val="18"/>
              </w:rPr>
            </w:pPr>
          </w:p>
        </w:tc>
        <w:tc>
          <w:tcPr>
            <w:tcW w:w="1014" w:type="dxa"/>
            <w:shd w:val="clear" w:color="auto" w:fill="FFFFFF" w:themeFill="background1"/>
          </w:tcPr>
          <w:p w14:paraId="282D9A45">
            <w:pPr>
              <w:pStyle w:val="29"/>
              <w:spacing w:before="97" w:line="192" w:lineRule="exact"/>
              <w:rPr>
                <w:sz w:val="18"/>
                <w:szCs w:val="18"/>
              </w:rPr>
            </w:pPr>
          </w:p>
        </w:tc>
        <w:tc>
          <w:tcPr>
            <w:tcW w:w="709" w:type="dxa"/>
            <w:shd w:val="clear" w:color="auto" w:fill="FFFFFF" w:themeFill="background1"/>
          </w:tcPr>
          <w:p w14:paraId="3E64DDA3">
            <w:pPr>
              <w:pStyle w:val="29"/>
              <w:spacing w:before="97" w:line="192" w:lineRule="exact"/>
              <w:rPr>
                <w:sz w:val="18"/>
                <w:szCs w:val="18"/>
              </w:rPr>
            </w:pPr>
          </w:p>
        </w:tc>
        <w:tc>
          <w:tcPr>
            <w:tcW w:w="871" w:type="dxa"/>
            <w:shd w:val="clear" w:color="auto" w:fill="FFFFFF" w:themeFill="background1"/>
          </w:tcPr>
          <w:p w14:paraId="3E690DA9">
            <w:pPr>
              <w:pStyle w:val="29"/>
              <w:spacing w:before="97" w:line="192" w:lineRule="exact"/>
              <w:rPr>
                <w:sz w:val="18"/>
                <w:szCs w:val="18"/>
              </w:rPr>
            </w:pPr>
          </w:p>
        </w:tc>
      </w:tr>
      <w:tr w14:paraId="5A571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640" w:hRule="atLeast"/>
        </w:trPr>
        <w:tc>
          <w:tcPr>
            <w:tcW w:w="851" w:type="dxa"/>
            <w:shd w:val="clear" w:color="auto" w:fill="FFFFFF" w:themeFill="background1"/>
          </w:tcPr>
          <w:p w14:paraId="4064B19C">
            <w:pPr>
              <w:pStyle w:val="29"/>
              <w:spacing w:before="112"/>
              <w:ind w:left="182"/>
              <w:rPr>
                <w:b/>
                <w:sz w:val="18"/>
                <w:szCs w:val="18"/>
              </w:rPr>
            </w:pPr>
            <w:r>
              <w:rPr>
                <w:b/>
                <w:spacing w:val="-5"/>
                <w:sz w:val="18"/>
                <w:szCs w:val="18"/>
              </w:rPr>
              <w:t>17</w:t>
            </w:r>
          </w:p>
        </w:tc>
        <w:tc>
          <w:tcPr>
            <w:tcW w:w="4826" w:type="dxa"/>
            <w:shd w:val="clear" w:color="auto" w:fill="FFFFFF" w:themeFill="background1"/>
          </w:tcPr>
          <w:p w14:paraId="3DB36534">
            <w:pPr>
              <w:pStyle w:val="29"/>
              <w:tabs>
                <w:tab w:val="left" w:pos="841"/>
                <w:tab w:val="left" w:pos="2726"/>
                <w:tab w:val="left" w:pos="4056"/>
              </w:tabs>
              <w:ind w:right="169"/>
              <w:jc w:val="both"/>
              <w:rPr>
                <w:sz w:val="18"/>
                <w:szCs w:val="18"/>
              </w:rPr>
            </w:pPr>
            <w:r>
              <w:rPr>
                <w:spacing w:val="-2"/>
                <w:sz w:val="18"/>
                <w:szCs w:val="18"/>
              </w:rPr>
              <w:t>Sanal</w:t>
            </w:r>
            <w:r>
              <w:rPr>
                <w:sz w:val="18"/>
                <w:szCs w:val="18"/>
              </w:rPr>
              <w:tab/>
            </w:r>
            <w:r>
              <w:rPr>
                <w:spacing w:val="-2"/>
                <w:sz w:val="18"/>
                <w:szCs w:val="18"/>
              </w:rPr>
              <w:t>rekreasyonfaaliyetleri,</w:t>
            </w:r>
            <w:r>
              <w:rPr>
                <w:sz w:val="18"/>
                <w:szCs w:val="18"/>
              </w:rPr>
              <w:tab/>
            </w:r>
            <w:r>
              <w:rPr>
                <w:spacing w:val="-2"/>
                <w:sz w:val="18"/>
                <w:szCs w:val="18"/>
              </w:rPr>
              <w:t>arkadaşlarımla</w:t>
            </w:r>
            <w:r>
              <w:rPr>
                <w:sz w:val="18"/>
                <w:szCs w:val="18"/>
              </w:rPr>
              <w:tab/>
            </w:r>
            <w:r>
              <w:rPr>
                <w:spacing w:val="-4"/>
                <w:sz w:val="18"/>
                <w:szCs w:val="18"/>
              </w:rPr>
              <w:t xml:space="preserve">olan </w:t>
            </w:r>
            <w:r>
              <w:rPr>
                <w:sz w:val="18"/>
                <w:szCs w:val="18"/>
              </w:rPr>
              <w:t>ilişkilerimi geliştirir.</w:t>
            </w:r>
          </w:p>
        </w:tc>
        <w:tc>
          <w:tcPr>
            <w:tcW w:w="680" w:type="dxa"/>
            <w:shd w:val="clear" w:color="auto" w:fill="FFFFFF" w:themeFill="background1"/>
          </w:tcPr>
          <w:p w14:paraId="2BF343B2">
            <w:pPr>
              <w:pStyle w:val="29"/>
              <w:spacing w:before="107"/>
              <w:rPr>
                <w:sz w:val="18"/>
                <w:szCs w:val="18"/>
              </w:rPr>
            </w:pPr>
          </w:p>
        </w:tc>
        <w:tc>
          <w:tcPr>
            <w:tcW w:w="567" w:type="dxa"/>
            <w:shd w:val="clear" w:color="auto" w:fill="FFFFFF" w:themeFill="background1"/>
          </w:tcPr>
          <w:p w14:paraId="74279186">
            <w:pPr>
              <w:pStyle w:val="29"/>
              <w:spacing w:before="107"/>
              <w:rPr>
                <w:sz w:val="18"/>
                <w:szCs w:val="18"/>
              </w:rPr>
            </w:pPr>
          </w:p>
        </w:tc>
        <w:tc>
          <w:tcPr>
            <w:tcW w:w="1014" w:type="dxa"/>
            <w:shd w:val="clear" w:color="auto" w:fill="FFFFFF" w:themeFill="background1"/>
          </w:tcPr>
          <w:p w14:paraId="079DDD23">
            <w:pPr>
              <w:pStyle w:val="29"/>
              <w:spacing w:before="107"/>
              <w:rPr>
                <w:sz w:val="18"/>
                <w:szCs w:val="18"/>
              </w:rPr>
            </w:pPr>
          </w:p>
        </w:tc>
        <w:tc>
          <w:tcPr>
            <w:tcW w:w="709" w:type="dxa"/>
            <w:shd w:val="clear" w:color="auto" w:fill="FFFFFF" w:themeFill="background1"/>
          </w:tcPr>
          <w:p w14:paraId="1D3EFA79">
            <w:pPr>
              <w:pStyle w:val="29"/>
              <w:spacing w:before="107"/>
              <w:rPr>
                <w:sz w:val="18"/>
                <w:szCs w:val="18"/>
              </w:rPr>
            </w:pPr>
          </w:p>
        </w:tc>
        <w:tc>
          <w:tcPr>
            <w:tcW w:w="871" w:type="dxa"/>
            <w:shd w:val="clear" w:color="auto" w:fill="FFFFFF" w:themeFill="background1"/>
          </w:tcPr>
          <w:p w14:paraId="40340F86">
            <w:pPr>
              <w:pStyle w:val="29"/>
              <w:spacing w:before="107"/>
              <w:rPr>
                <w:sz w:val="18"/>
                <w:szCs w:val="18"/>
              </w:rPr>
            </w:pPr>
          </w:p>
        </w:tc>
      </w:tr>
      <w:tr w14:paraId="0139A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636" w:hRule="atLeast"/>
        </w:trPr>
        <w:tc>
          <w:tcPr>
            <w:tcW w:w="851" w:type="dxa"/>
            <w:shd w:val="clear" w:color="auto" w:fill="FFFFFF" w:themeFill="background1"/>
          </w:tcPr>
          <w:p w14:paraId="115389B6">
            <w:pPr>
              <w:pStyle w:val="29"/>
              <w:spacing w:before="109"/>
              <w:ind w:left="182"/>
              <w:rPr>
                <w:b/>
                <w:sz w:val="18"/>
                <w:szCs w:val="18"/>
              </w:rPr>
            </w:pPr>
            <w:r>
              <w:rPr>
                <w:b/>
                <w:spacing w:val="-5"/>
                <w:sz w:val="18"/>
                <w:szCs w:val="18"/>
              </w:rPr>
              <w:t>18</w:t>
            </w:r>
          </w:p>
        </w:tc>
        <w:tc>
          <w:tcPr>
            <w:tcW w:w="4826" w:type="dxa"/>
            <w:shd w:val="clear" w:color="auto" w:fill="FFFFFF" w:themeFill="background1"/>
          </w:tcPr>
          <w:p w14:paraId="0E60E1E4">
            <w:pPr>
              <w:pStyle w:val="29"/>
              <w:jc w:val="both"/>
              <w:rPr>
                <w:sz w:val="18"/>
                <w:szCs w:val="18"/>
              </w:rPr>
            </w:pPr>
            <w:r>
              <w:rPr>
                <w:sz w:val="18"/>
                <w:szCs w:val="18"/>
              </w:rPr>
              <w:t>Sanal</w:t>
            </w:r>
            <w:r>
              <w:rPr>
                <w:spacing w:val="40"/>
                <w:sz w:val="18"/>
                <w:szCs w:val="18"/>
              </w:rPr>
              <w:t xml:space="preserve"> </w:t>
            </w:r>
            <w:r>
              <w:rPr>
                <w:sz w:val="18"/>
                <w:szCs w:val="18"/>
              </w:rPr>
              <w:t>rekreasyon</w:t>
            </w:r>
            <w:r>
              <w:rPr>
                <w:spacing w:val="40"/>
                <w:sz w:val="18"/>
                <w:szCs w:val="18"/>
              </w:rPr>
              <w:t xml:space="preserve"> </w:t>
            </w:r>
            <w:r>
              <w:rPr>
                <w:sz w:val="18"/>
                <w:szCs w:val="18"/>
              </w:rPr>
              <w:t>faaliyetleri,</w:t>
            </w:r>
            <w:r>
              <w:rPr>
                <w:spacing w:val="40"/>
                <w:sz w:val="18"/>
                <w:szCs w:val="18"/>
              </w:rPr>
              <w:t xml:space="preserve"> </w:t>
            </w:r>
            <w:r>
              <w:rPr>
                <w:sz w:val="18"/>
                <w:szCs w:val="18"/>
              </w:rPr>
              <w:t>yeni</w:t>
            </w:r>
            <w:r>
              <w:rPr>
                <w:spacing w:val="40"/>
                <w:sz w:val="18"/>
                <w:szCs w:val="18"/>
              </w:rPr>
              <w:t xml:space="preserve"> </w:t>
            </w:r>
            <w:r>
              <w:rPr>
                <w:sz w:val="18"/>
                <w:szCs w:val="18"/>
              </w:rPr>
              <w:t>bilgiler</w:t>
            </w:r>
            <w:r>
              <w:rPr>
                <w:spacing w:val="40"/>
                <w:sz w:val="18"/>
                <w:szCs w:val="18"/>
              </w:rPr>
              <w:t xml:space="preserve"> </w:t>
            </w:r>
            <w:r>
              <w:rPr>
                <w:sz w:val="18"/>
                <w:szCs w:val="18"/>
              </w:rPr>
              <w:t xml:space="preserve">öğrenmemi </w:t>
            </w:r>
            <w:r>
              <w:rPr>
                <w:spacing w:val="-2"/>
                <w:sz w:val="18"/>
                <w:szCs w:val="18"/>
              </w:rPr>
              <w:t>sağlar.</w:t>
            </w:r>
          </w:p>
        </w:tc>
        <w:tc>
          <w:tcPr>
            <w:tcW w:w="680" w:type="dxa"/>
            <w:shd w:val="clear" w:color="auto" w:fill="FFFFFF" w:themeFill="background1"/>
          </w:tcPr>
          <w:p w14:paraId="54ABF793">
            <w:pPr>
              <w:pStyle w:val="29"/>
              <w:spacing w:before="104"/>
              <w:rPr>
                <w:sz w:val="18"/>
                <w:szCs w:val="18"/>
              </w:rPr>
            </w:pPr>
          </w:p>
        </w:tc>
        <w:tc>
          <w:tcPr>
            <w:tcW w:w="567" w:type="dxa"/>
            <w:shd w:val="clear" w:color="auto" w:fill="FFFFFF" w:themeFill="background1"/>
          </w:tcPr>
          <w:p w14:paraId="3780216A">
            <w:pPr>
              <w:pStyle w:val="29"/>
              <w:spacing w:before="104"/>
              <w:rPr>
                <w:sz w:val="18"/>
                <w:szCs w:val="18"/>
              </w:rPr>
            </w:pPr>
          </w:p>
        </w:tc>
        <w:tc>
          <w:tcPr>
            <w:tcW w:w="1014" w:type="dxa"/>
            <w:shd w:val="clear" w:color="auto" w:fill="FFFFFF" w:themeFill="background1"/>
          </w:tcPr>
          <w:p w14:paraId="4EEF74CC">
            <w:pPr>
              <w:pStyle w:val="29"/>
              <w:spacing w:before="104"/>
              <w:rPr>
                <w:sz w:val="18"/>
                <w:szCs w:val="18"/>
              </w:rPr>
            </w:pPr>
          </w:p>
        </w:tc>
        <w:tc>
          <w:tcPr>
            <w:tcW w:w="709" w:type="dxa"/>
            <w:shd w:val="clear" w:color="auto" w:fill="FFFFFF" w:themeFill="background1"/>
          </w:tcPr>
          <w:p w14:paraId="199D8ACA">
            <w:pPr>
              <w:pStyle w:val="29"/>
              <w:spacing w:before="104"/>
              <w:rPr>
                <w:sz w:val="18"/>
                <w:szCs w:val="18"/>
              </w:rPr>
            </w:pPr>
          </w:p>
        </w:tc>
        <w:tc>
          <w:tcPr>
            <w:tcW w:w="871" w:type="dxa"/>
            <w:shd w:val="clear" w:color="auto" w:fill="FFFFFF" w:themeFill="background1"/>
          </w:tcPr>
          <w:p w14:paraId="60C6688A">
            <w:pPr>
              <w:pStyle w:val="29"/>
              <w:spacing w:before="104"/>
              <w:rPr>
                <w:sz w:val="18"/>
                <w:szCs w:val="18"/>
              </w:rPr>
            </w:pPr>
          </w:p>
        </w:tc>
      </w:tr>
      <w:tr w14:paraId="21A47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637" w:hRule="atLeast"/>
        </w:trPr>
        <w:tc>
          <w:tcPr>
            <w:tcW w:w="851" w:type="dxa"/>
            <w:shd w:val="clear" w:color="auto" w:fill="FFFFFF" w:themeFill="background1"/>
          </w:tcPr>
          <w:p w14:paraId="61385FD3">
            <w:pPr>
              <w:pStyle w:val="29"/>
              <w:spacing w:before="109"/>
              <w:ind w:left="182"/>
              <w:rPr>
                <w:b/>
                <w:sz w:val="18"/>
                <w:szCs w:val="18"/>
              </w:rPr>
            </w:pPr>
            <w:r>
              <w:rPr>
                <w:b/>
                <w:spacing w:val="-5"/>
                <w:sz w:val="18"/>
                <w:szCs w:val="18"/>
              </w:rPr>
              <w:t>19</w:t>
            </w:r>
          </w:p>
        </w:tc>
        <w:tc>
          <w:tcPr>
            <w:tcW w:w="4826" w:type="dxa"/>
            <w:shd w:val="clear" w:color="auto" w:fill="FFFFFF" w:themeFill="background1"/>
          </w:tcPr>
          <w:p w14:paraId="7EC31D12">
            <w:pPr>
              <w:pStyle w:val="29"/>
              <w:jc w:val="both"/>
              <w:rPr>
                <w:sz w:val="18"/>
                <w:szCs w:val="18"/>
              </w:rPr>
            </w:pPr>
            <w:r>
              <w:rPr>
                <w:sz w:val="18"/>
                <w:szCs w:val="18"/>
              </w:rPr>
              <w:t>Sanal</w:t>
            </w:r>
            <w:r>
              <w:rPr>
                <w:spacing w:val="39"/>
                <w:sz w:val="18"/>
                <w:szCs w:val="18"/>
              </w:rPr>
              <w:t xml:space="preserve"> </w:t>
            </w:r>
            <w:r>
              <w:rPr>
                <w:sz w:val="18"/>
                <w:szCs w:val="18"/>
              </w:rPr>
              <w:t>rekreasyon</w:t>
            </w:r>
            <w:r>
              <w:rPr>
                <w:spacing w:val="40"/>
                <w:sz w:val="18"/>
                <w:szCs w:val="18"/>
              </w:rPr>
              <w:t xml:space="preserve"> </w:t>
            </w:r>
            <w:r>
              <w:rPr>
                <w:sz w:val="18"/>
                <w:szCs w:val="18"/>
              </w:rPr>
              <w:t>faaliyetleri,</w:t>
            </w:r>
            <w:r>
              <w:rPr>
                <w:spacing w:val="40"/>
                <w:sz w:val="18"/>
                <w:szCs w:val="18"/>
              </w:rPr>
              <w:t xml:space="preserve"> </w:t>
            </w:r>
            <w:r>
              <w:rPr>
                <w:sz w:val="18"/>
                <w:szCs w:val="18"/>
              </w:rPr>
              <w:t>yeni</w:t>
            </w:r>
            <w:r>
              <w:rPr>
                <w:spacing w:val="39"/>
                <w:sz w:val="18"/>
                <w:szCs w:val="18"/>
              </w:rPr>
              <w:t xml:space="preserve"> </w:t>
            </w:r>
            <w:r>
              <w:rPr>
                <w:sz w:val="18"/>
                <w:szCs w:val="18"/>
              </w:rPr>
              <w:t>deneyimlerden</w:t>
            </w:r>
            <w:r>
              <w:rPr>
                <w:spacing w:val="39"/>
                <w:sz w:val="18"/>
                <w:szCs w:val="18"/>
              </w:rPr>
              <w:t xml:space="preserve"> </w:t>
            </w:r>
            <w:r>
              <w:rPr>
                <w:sz w:val="18"/>
                <w:szCs w:val="18"/>
              </w:rPr>
              <w:t>zevk almamı sağlar.</w:t>
            </w:r>
          </w:p>
        </w:tc>
        <w:tc>
          <w:tcPr>
            <w:tcW w:w="680" w:type="dxa"/>
            <w:shd w:val="clear" w:color="auto" w:fill="FFFFFF" w:themeFill="background1"/>
          </w:tcPr>
          <w:p w14:paraId="7802D3D3">
            <w:pPr>
              <w:pStyle w:val="29"/>
              <w:spacing w:before="104"/>
              <w:rPr>
                <w:sz w:val="18"/>
                <w:szCs w:val="18"/>
              </w:rPr>
            </w:pPr>
          </w:p>
        </w:tc>
        <w:tc>
          <w:tcPr>
            <w:tcW w:w="567" w:type="dxa"/>
            <w:shd w:val="clear" w:color="auto" w:fill="FFFFFF" w:themeFill="background1"/>
          </w:tcPr>
          <w:p w14:paraId="00328C72">
            <w:pPr>
              <w:pStyle w:val="29"/>
              <w:spacing w:before="104"/>
              <w:rPr>
                <w:sz w:val="18"/>
                <w:szCs w:val="18"/>
              </w:rPr>
            </w:pPr>
          </w:p>
        </w:tc>
        <w:tc>
          <w:tcPr>
            <w:tcW w:w="1014" w:type="dxa"/>
            <w:shd w:val="clear" w:color="auto" w:fill="FFFFFF" w:themeFill="background1"/>
          </w:tcPr>
          <w:p w14:paraId="7DB1E1B0">
            <w:pPr>
              <w:pStyle w:val="29"/>
              <w:spacing w:before="104"/>
              <w:rPr>
                <w:sz w:val="18"/>
                <w:szCs w:val="18"/>
              </w:rPr>
            </w:pPr>
          </w:p>
        </w:tc>
        <w:tc>
          <w:tcPr>
            <w:tcW w:w="709" w:type="dxa"/>
            <w:shd w:val="clear" w:color="auto" w:fill="FFFFFF" w:themeFill="background1"/>
          </w:tcPr>
          <w:p w14:paraId="553FBDCB">
            <w:pPr>
              <w:pStyle w:val="29"/>
              <w:spacing w:before="104"/>
              <w:rPr>
                <w:sz w:val="18"/>
                <w:szCs w:val="18"/>
              </w:rPr>
            </w:pPr>
          </w:p>
        </w:tc>
        <w:tc>
          <w:tcPr>
            <w:tcW w:w="871" w:type="dxa"/>
            <w:shd w:val="clear" w:color="auto" w:fill="FFFFFF" w:themeFill="background1"/>
          </w:tcPr>
          <w:p w14:paraId="0CDA19A0">
            <w:pPr>
              <w:pStyle w:val="29"/>
              <w:spacing w:before="104"/>
              <w:rPr>
                <w:sz w:val="18"/>
                <w:szCs w:val="18"/>
              </w:rPr>
            </w:pPr>
          </w:p>
        </w:tc>
      </w:tr>
      <w:tr w14:paraId="1102D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637" w:hRule="atLeast"/>
        </w:trPr>
        <w:tc>
          <w:tcPr>
            <w:tcW w:w="851" w:type="dxa"/>
            <w:shd w:val="clear" w:color="auto" w:fill="FFFFFF" w:themeFill="background1"/>
          </w:tcPr>
          <w:p w14:paraId="09343544">
            <w:pPr>
              <w:pStyle w:val="29"/>
              <w:spacing w:before="109"/>
              <w:ind w:left="182"/>
              <w:rPr>
                <w:b/>
                <w:spacing w:val="-5"/>
                <w:sz w:val="18"/>
                <w:szCs w:val="18"/>
              </w:rPr>
            </w:pPr>
            <w:r>
              <w:rPr>
                <w:b/>
                <w:spacing w:val="-5"/>
                <w:sz w:val="18"/>
                <w:szCs w:val="18"/>
              </w:rPr>
              <w:t>20</w:t>
            </w:r>
          </w:p>
        </w:tc>
        <w:tc>
          <w:tcPr>
            <w:tcW w:w="4826" w:type="dxa"/>
            <w:shd w:val="clear" w:color="auto" w:fill="FFFFFF" w:themeFill="background1"/>
          </w:tcPr>
          <w:p w14:paraId="5C96C090">
            <w:pPr>
              <w:pStyle w:val="29"/>
              <w:jc w:val="both"/>
              <w:rPr>
                <w:sz w:val="18"/>
                <w:szCs w:val="18"/>
              </w:rPr>
            </w:pPr>
            <w:r>
              <w:rPr>
                <w:sz w:val="18"/>
                <w:szCs w:val="18"/>
              </w:rPr>
              <w:t>Sanal</w:t>
            </w:r>
            <w:r>
              <w:rPr>
                <w:spacing w:val="80"/>
                <w:sz w:val="18"/>
                <w:szCs w:val="18"/>
              </w:rPr>
              <w:t xml:space="preserve"> </w:t>
            </w:r>
            <w:r>
              <w:rPr>
                <w:sz w:val="18"/>
                <w:szCs w:val="18"/>
              </w:rPr>
              <w:t>rekreasyon</w:t>
            </w:r>
            <w:r>
              <w:rPr>
                <w:spacing w:val="80"/>
                <w:sz w:val="18"/>
                <w:szCs w:val="18"/>
              </w:rPr>
              <w:t xml:space="preserve"> </w:t>
            </w:r>
            <w:r>
              <w:rPr>
                <w:sz w:val="18"/>
                <w:szCs w:val="18"/>
              </w:rPr>
              <w:t>faaliyetleri,</w:t>
            </w:r>
            <w:r>
              <w:rPr>
                <w:spacing w:val="80"/>
                <w:sz w:val="18"/>
                <w:szCs w:val="18"/>
              </w:rPr>
              <w:t xml:space="preserve"> </w:t>
            </w:r>
            <w:r>
              <w:rPr>
                <w:sz w:val="18"/>
                <w:szCs w:val="18"/>
              </w:rPr>
              <w:t>bağımsız</w:t>
            </w:r>
            <w:r>
              <w:rPr>
                <w:spacing w:val="80"/>
                <w:sz w:val="18"/>
                <w:szCs w:val="18"/>
              </w:rPr>
              <w:t xml:space="preserve"> </w:t>
            </w:r>
            <w:r>
              <w:rPr>
                <w:sz w:val="18"/>
                <w:szCs w:val="18"/>
              </w:rPr>
              <w:t>bir</w:t>
            </w:r>
            <w:r>
              <w:rPr>
                <w:spacing w:val="80"/>
                <w:sz w:val="18"/>
                <w:szCs w:val="18"/>
              </w:rPr>
              <w:t xml:space="preserve"> </w:t>
            </w:r>
            <w:r>
              <w:rPr>
                <w:sz w:val="18"/>
                <w:szCs w:val="18"/>
              </w:rPr>
              <w:t>kişilik</w:t>
            </w:r>
            <w:r>
              <w:rPr>
                <w:spacing w:val="40"/>
                <w:sz w:val="18"/>
                <w:szCs w:val="18"/>
              </w:rPr>
              <w:t xml:space="preserve"> </w:t>
            </w:r>
            <w:r>
              <w:rPr>
                <w:sz w:val="18"/>
                <w:szCs w:val="18"/>
              </w:rPr>
              <w:t>geliştirmeme yardımcı olur.</w:t>
            </w:r>
          </w:p>
        </w:tc>
        <w:tc>
          <w:tcPr>
            <w:tcW w:w="680" w:type="dxa"/>
            <w:shd w:val="clear" w:color="auto" w:fill="FFFFFF" w:themeFill="background1"/>
          </w:tcPr>
          <w:p w14:paraId="450D08F7">
            <w:pPr>
              <w:pStyle w:val="29"/>
              <w:spacing w:before="104"/>
              <w:rPr>
                <w:sz w:val="18"/>
                <w:szCs w:val="18"/>
              </w:rPr>
            </w:pPr>
          </w:p>
        </w:tc>
        <w:tc>
          <w:tcPr>
            <w:tcW w:w="567" w:type="dxa"/>
            <w:shd w:val="clear" w:color="auto" w:fill="FFFFFF" w:themeFill="background1"/>
          </w:tcPr>
          <w:p w14:paraId="2A00B74D">
            <w:pPr>
              <w:pStyle w:val="29"/>
              <w:spacing w:before="104"/>
              <w:rPr>
                <w:sz w:val="18"/>
                <w:szCs w:val="18"/>
              </w:rPr>
            </w:pPr>
          </w:p>
        </w:tc>
        <w:tc>
          <w:tcPr>
            <w:tcW w:w="1014" w:type="dxa"/>
            <w:shd w:val="clear" w:color="auto" w:fill="FFFFFF" w:themeFill="background1"/>
          </w:tcPr>
          <w:p w14:paraId="76E37D60">
            <w:pPr>
              <w:pStyle w:val="29"/>
              <w:spacing w:before="104"/>
              <w:rPr>
                <w:sz w:val="18"/>
                <w:szCs w:val="18"/>
              </w:rPr>
            </w:pPr>
          </w:p>
        </w:tc>
        <w:tc>
          <w:tcPr>
            <w:tcW w:w="709" w:type="dxa"/>
            <w:shd w:val="clear" w:color="auto" w:fill="FFFFFF" w:themeFill="background1"/>
          </w:tcPr>
          <w:p w14:paraId="499F3F9A">
            <w:pPr>
              <w:pStyle w:val="29"/>
              <w:spacing w:before="104"/>
              <w:rPr>
                <w:sz w:val="18"/>
                <w:szCs w:val="18"/>
              </w:rPr>
            </w:pPr>
          </w:p>
        </w:tc>
        <w:tc>
          <w:tcPr>
            <w:tcW w:w="871" w:type="dxa"/>
            <w:shd w:val="clear" w:color="auto" w:fill="FFFFFF" w:themeFill="background1"/>
          </w:tcPr>
          <w:p w14:paraId="3F66CCD6">
            <w:pPr>
              <w:pStyle w:val="29"/>
              <w:spacing w:before="104"/>
              <w:rPr>
                <w:sz w:val="18"/>
                <w:szCs w:val="18"/>
              </w:rPr>
            </w:pPr>
          </w:p>
        </w:tc>
      </w:tr>
      <w:tr w14:paraId="5B53C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637" w:hRule="atLeast"/>
        </w:trPr>
        <w:tc>
          <w:tcPr>
            <w:tcW w:w="851" w:type="dxa"/>
            <w:shd w:val="clear" w:color="auto" w:fill="FFFFFF" w:themeFill="background1"/>
          </w:tcPr>
          <w:p w14:paraId="78FBCDD6">
            <w:pPr>
              <w:pStyle w:val="29"/>
              <w:spacing w:before="109"/>
              <w:ind w:left="182"/>
              <w:rPr>
                <w:b/>
                <w:spacing w:val="-5"/>
                <w:sz w:val="18"/>
                <w:szCs w:val="18"/>
              </w:rPr>
            </w:pPr>
            <w:r>
              <w:rPr>
                <w:b/>
                <w:spacing w:val="-5"/>
                <w:sz w:val="18"/>
                <w:szCs w:val="18"/>
              </w:rPr>
              <w:t>21</w:t>
            </w:r>
          </w:p>
        </w:tc>
        <w:tc>
          <w:tcPr>
            <w:tcW w:w="4826" w:type="dxa"/>
            <w:shd w:val="clear" w:color="auto" w:fill="FFFFFF" w:themeFill="background1"/>
          </w:tcPr>
          <w:p w14:paraId="142DFA84">
            <w:pPr>
              <w:pStyle w:val="29"/>
              <w:jc w:val="both"/>
              <w:rPr>
                <w:sz w:val="18"/>
                <w:szCs w:val="18"/>
              </w:rPr>
            </w:pPr>
            <w:r>
              <w:rPr>
                <w:sz w:val="18"/>
                <w:szCs w:val="18"/>
              </w:rPr>
              <w:t>Sanal</w:t>
            </w:r>
            <w:r>
              <w:rPr>
                <w:spacing w:val="80"/>
                <w:sz w:val="18"/>
                <w:szCs w:val="18"/>
              </w:rPr>
              <w:t xml:space="preserve"> </w:t>
            </w:r>
            <w:r>
              <w:rPr>
                <w:sz w:val="18"/>
                <w:szCs w:val="18"/>
              </w:rPr>
              <w:t>rekreasyon</w:t>
            </w:r>
            <w:r>
              <w:rPr>
                <w:spacing w:val="80"/>
                <w:sz w:val="18"/>
                <w:szCs w:val="18"/>
              </w:rPr>
              <w:t xml:space="preserve"> </w:t>
            </w:r>
            <w:r>
              <w:rPr>
                <w:sz w:val="18"/>
                <w:szCs w:val="18"/>
              </w:rPr>
              <w:t>faaliyetleri,</w:t>
            </w:r>
            <w:r>
              <w:rPr>
                <w:spacing w:val="80"/>
                <w:sz w:val="18"/>
                <w:szCs w:val="18"/>
              </w:rPr>
              <w:t xml:space="preserve"> </w:t>
            </w:r>
            <w:r>
              <w:rPr>
                <w:sz w:val="18"/>
                <w:szCs w:val="18"/>
              </w:rPr>
              <w:t>zorluklarla</w:t>
            </w:r>
            <w:r>
              <w:rPr>
                <w:spacing w:val="80"/>
                <w:sz w:val="18"/>
                <w:szCs w:val="18"/>
              </w:rPr>
              <w:t xml:space="preserve"> </w:t>
            </w:r>
            <w:r>
              <w:rPr>
                <w:sz w:val="18"/>
                <w:szCs w:val="18"/>
              </w:rPr>
              <w:t>daha</w:t>
            </w:r>
            <w:r>
              <w:rPr>
                <w:spacing w:val="80"/>
                <w:sz w:val="18"/>
                <w:szCs w:val="18"/>
              </w:rPr>
              <w:t xml:space="preserve"> </w:t>
            </w:r>
            <w:r>
              <w:rPr>
                <w:sz w:val="18"/>
                <w:szCs w:val="18"/>
              </w:rPr>
              <w:t>kolay yüzleşmemi sağlar.</w:t>
            </w:r>
          </w:p>
        </w:tc>
        <w:tc>
          <w:tcPr>
            <w:tcW w:w="680" w:type="dxa"/>
            <w:shd w:val="clear" w:color="auto" w:fill="FFFFFF" w:themeFill="background1"/>
          </w:tcPr>
          <w:p w14:paraId="1F14D06C">
            <w:pPr>
              <w:pStyle w:val="29"/>
              <w:spacing w:before="104"/>
              <w:rPr>
                <w:sz w:val="18"/>
                <w:szCs w:val="18"/>
              </w:rPr>
            </w:pPr>
          </w:p>
        </w:tc>
        <w:tc>
          <w:tcPr>
            <w:tcW w:w="567" w:type="dxa"/>
            <w:shd w:val="clear" w:color="auto" w:fill="FFFFFF" w:themeFill="background1"/>
          </w:tcPr>
          <w:p w14:paraId="123201DD">
            <w:pPr>
              <w:pStyle w:val="29"/>
              <w:spacing w:before="104"/>
              <w:rPr>
                <w:sz w:val="18"/>
                <w:szCs w:val="18"/>
              </w:rPr>
            </w:pPr>
          </w:p>
        </w:tc>
        <w:tc>
          <w:tcPr>
            <w:tcW w:w="1014" w:type="dxa"/>
            <w:shd w:val="clear" w:color="auto" w:fill="FFFFFF" w:themeFill="background1"/>
          </w:tcPr>
          <w:p w14:paraId="3D0F4D75">
            <w:pPr>
              <w:pStyle w:val="29"/>
              <w:spacing w:before="104"/>
              <w:rPr>
                <w:sz w:val="18"/>
                <w:szCs w:val="18"/>
              </w:rPr>
            </w:pPr>
          </w:p>
        </w:tc>
        <w:tc>
          <w:tcPr>
            <w:tcW w:w="709" w:type="dxa"/>
            <w:shd w:val="clear" w:color="auto" w:fill="FFFFFF" w:themeFill="background1"/>
          </w:tcPr>
          <w:p w14:paraId="11824235">
            <w:pPr>
              <w:pStyle w:val="29"/>
              <w:spacing w:before="104"/>
              <w:rPr>
                <w:sz w:val="18"/>
                <w:szCs w:val="18"/>
              </w:rPr>
            </w:pPr>
          </w:p>
        </w:tc>
        <w:tc>
          <w:tcPr>
            <w:tcW w:w="871" w:type="dxa"/>
            <w:shd w:val="clear" w:color="auto" w:fill="FFFFFF" w:themeFill="background1"/>
          </w:tcPr>
          <w:p w14:paraId="70C7B601">
            <w:pPr>
              <w:pStyle w:val="29"/>
              <w:spacing w:before="104"/>
              <w:rPr>
                <w:sz w:val="18"/>
                <w:szCs w:val="18"/>
              </w:rPr>
            </w:pPr>
          </w:p>
        </w:tc>
      </w:tr>
      <w:tr w14:paraId="38DE9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637" w:hRule="atLeast"/>
        </w:trPr>
        <w:tc>
          <w:tcPr>
            <w:tcW w:w="851" w:type="dxa"/>
            <w:shd w:val="clear" w:color="auto" w:fill="FFFFFF" w:themeFill="background1"/>
          </w:tcPr>
          <w:p w14:paraId="4332C5F0">
            <w:pPr>
              <w:pStyle w:val="29"/>
              <w:spacing w:before="109"/>
              <w:ind w:left="182"/>
              <w:rPr>
                <w:b/>
                <w:spacing w:val="-5"/>
                <w:sz w:val="18"/>
                <w:szCs w:val="18"/>
              </w:rPr>
            </w:pPr>
            <w:r>
              <w:rPr>
                <w:b/>
                <w:spacing w:val="-5"/>
                <w:sz w:val="18"/>
                <w:szCs w:val="18"/>
              </w:rPr>
              <w:t>22</w:t>
            </w:r>
          </w:p>
        </w:tc>
        <w:tc>
          <w:tcPr>
            <w:tcW w:w="4826" w:type="dxa"/>
            <w:shd w:val="clear" w:color="auto" w:fill="FFFFFF" w:themeFill="background1"/>
          </w:tcPr>
          <w:p w14:paraId="196F6741">
            <w:pPr>
              <w:pStyle w:val="29"/>
              <w:jc w:val="both"/>
              <w:rPr>
                <w:sz w:val="18"/>
                <w:szCs w:val="18"/>
              </w:rPr>
            </w:pPr>
            <w:r>
              <w:rPr>
                <w:sz w:val="18"/>
                <w:szCs w:val="18"/>
              </w:rPr>
              <w:t>Sanal rekreasyon</w:t>
            </w:r>
            <w:r>
              <w:rPr>
                <w:spacing w:val="13"/>
                <w:sz w:val="18"/>
                <w:szCs w:val="18"/>
              </w:rPr>
              <w:t xml:space="preserve"> </w:t>
            </w:r>
            <w:r>
              <w:rPr>
                <w:sz w:val="18"/>
                <w:szCs w:val="18"/>
              </w:rPr>
              <w:t>faaliyetleri, potansiyelimi geliştirmeme yardımcı olur.</w:t>
            </w:r>
          </w:p>
        </w:tc>
        <w:tc>
          <w:tcPr>
            <w:tcW w:w="680" w:type="dxa"/>
            <w:shd w:val="clear" w:color="auto" w:fill="FFFFFF" w:themeFill="background1"/>
          </w:tcPr>
          <w:p w14:paraId="5BDE9FBE">
            <w:pPr>
              <w:pStyle w:val="29"/>
              <w:spacing w:before="104"/>
              <w:rPr>
                <w:sz w:val="18"/>
                <w:szCs w:val="18"/>
              </w:rPr>
            </w:pPr>
          </w:p>
        </w:tc>
        <w:tc>
          <w:tcPr>
            <w:tcW w:w="567" w:type="dxa"/>
            <w:shd w:val="clear" w:color="auto" w:fill="FFFFFF" w:themeFill="background1"/>
          </w:tcPr>
          <w:p w14:paraId="314471DC">
            <w:pPr>
              <w:pStyle w:val="29"/>
              <w:spacing w:before="104"/>
              <w:rPr>
                <w:sz w:val="18"/>
                <w:szCs w:val="18"/>
              </w:rPr>
            </w:pPr>
          </w:p>
        </w:tc>
        <w:tc>
          <w:tcPr>
            <w:tcW w:w="1014" w:type="dxa"/>
            <w:shd w:val="clear" w:color="auto" w:fill="FFFFFF" w:themeFill="background1"/>
          </w:tcPr>
          <w:p w14:paraId="30AF16A2">
            <w:pPr>
              <w:pStyle w:val="29"/>
              <w:spacing w:before="104"/>
              <w:rPr>
                <w:sz w:val="18"/>
                <w:szCs w:val="18"/>
              </w:rPr>
            </w:pPr>
          </w:p>
        </w:tc>
        <w:tc>
          <w:tcPr>
            <w:tcW w:w="709" w:type="dxa"/>
            <w:shd w:val="clear" w:color="auto" w:fill="FFFFFF" w:themeFill="background1"/>
          </w:tcPr>
          <w:p w14:paraId="2F508FB4">
            <w:pPr>
              <w:pStyle w:val="29"/>
              <w:spacing w:before="104"/>
              <w:rPr>
                <w:sz w:val="18"/>
                <w:szCs w:val="18"/>
              </w:rPr>
            </w:pPr>
          </w:p>
        </w:tc>
        <w:tc>
          <w:tcPr>
            <w:tcW w:w="871" w:type="dxa"/>
            <w:shd w:val="clear" w:color="auto" w:fill="FFFFFF" w:themeFill="background1"/>
          </w:tcPr>
          <w:p w14:paraId="67CBED13">
            <w:pPr>
              <w:pStyle w:val="29"/>
              <w:spacing w:before="104"/>
              <w:rPr>
                <w:sz w:val="18"/>
                <w:szCs w:val="18"/>
              </w:rPr>
            </w:pPr>
          </w:p>
        </w:tc>
      </w:tr>
      <w:tr w14:paraId="1C961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637" w:hRule="atLeast"/>
        </w:trPr>
        <w:tc>
          <w:tcPr>
            <w:tcW w:w="851" w:type="dxa"/>
            <w:shd w:val="clear" w:color="auto" w:fill="FFFFFF" w:themeFill="background1"/>
          </w:tcPr>
          <w:p w14:paraId="54D49D76">
            <w:pPr>
              <w:pStyle w:val="29"/>
              <w:spacing w:before="109"/>
              <w:ind w:left="182"/>
              <w:rPr>
                <w:b/>
                <w:spacing w:val="-5"/>
                <w:sz w:val="18"/>
                <w:szCs w:val="18"/>
              </w:rPr>
            </w:pPr>
            <w:r>
              <w:rPr>
                <w:b/>
                <w:spacing w:val="-5"/>
                <w:sz w:val="18"/>
                <w:szCs w:val="18"/>
              </w:rPr>
              <w:t>23</w:t>
            </w:r>
          </w:p>
        </w:tc>
        <w:tc>
          <w:tcPr>
            <w:tcW w:w="4826" w:type="dxa"/>
            <w:shd w:val="clear" w:color="auto" w:fill="FFFFFF" w:themeFill="background1"/>
          </w:tcPr>
          <w:p w14:paraId="4043B94E">
            <w:pPr>
              <w:pStyle w:val="29"/>
              <w:jc w:val="both"/>
              <w:rPr>
                <w:sz w:val="18"/>
                <w:szCs w:val="18"/>
              </w:rPr>
            </w:pPr>
            <w:r>
              <w:rPr>
                <w:sz w:val="18"/>
                <w:szCs w:val="18"/>
              </w:rPr>
              <w:t>Sanal</w:t>
            </w:r>
            <w:r>
              <w:rPr>
                <w:spacing w:val="80"/>
                <w:sz w:val="18"/>
                <w:szCs w:val="18"/>
              </w:rPr>
              <w:t xml:space="preserve"> </w:t>
            </w:r>
            <w:r>
              <w:rPr>
                <w:sz w:val="18"/>
                <w:szCs w:val="18"/>
              </w:rPr>
              <w:t>rekreasyon</w:t>
            </w:r>
            <w:r>
              <w:rPr>
                <w:spacing w:val="80"/>
                <w:w w:val="150"/>
                <w:sz w:val="18"/>
                <w:szCs w:val="18"/>
              </w:rPr>
              <w:t xml:space="preserve"> </w:t>
            </w:r>
            <w:r>
              <w:rPr>
                <w:sz w:val="18"/>
                <w:szCs w:val="18"/>
              </w:rPr>
              <w:t>faaliyetleri,</w:t>
            </w:r>
            <w:r>
              <w:rPr>
                <w:spacing w:val="80"/>
                <w:sz w:val="18"/>
                <w:szCs w:val="18"/>
              </w:rPr>
              <w:t xml:space="preserve"> </w:t>
            </w:r>
            <w:r>
              <w:rPr>
                <w:sz w:val="18"/>
                <w:szCs w:val="18"/>
              </w:rPr>
              <w:t>kişisel</w:t>
            </w:r>
            <w:r>
              <w:rPr>
                <w:spacing w:val="80"/>
                <w:sz w:val="18"/>
                <w:szCs w:val="18"/>
              </w:rPr>
              <w:t xml:space="preserve"> </w:t>
            </w:r>
            <w:r>
              <w:rPr>
                <w:sz w:val="18"/>
                <w:szCs w:val="18"/>
              </w:rPr>
              <w:t>becerilerimin</w:t>
            </w:r>
            <w:r>
              <w:rPr>
                <w:spacing w:val="40"/>
                <w:sz w:val="18"/>
                <w:szCs w:val="18"/>
              </w:rPr>
              <w:t xml:space="preserve"> </w:t>
            </w:r>
            <w:r>
              <w:rPr>
                <w:sz w:val="18"/>
                <w:szCs w:val="18"/>
              </w:rPr>
              <w:t>gelişmesini sağlar.</w:t>
            </w:r>
          </w:p>
        </w:tc>
        <w:tc>
          <w:tcPr>
            <w:tcW w:w="680" w:type="dxa"/>
            <w:shd w:val="clear" w:color="auto" w:fill="FFFFFF" w:themeFill="background1"/>
          </w:tcPr>
          <w:p w14:paraId="6BF8DC2E">
            <w:pPr>
              <w:pStyle w:val="29"/>
              <w:spacing w:before="104"/>
              <w:rPr>
                <w:sz w:val="18"/>
                <w:szCs w:val="18"/>
              </w:rPr>
            </w:pPr>
          </w:p>
        </w:tc>
        <w:tc>
          <w:tcPr>
            <w:tcW w:w="567" w:type="dxa"/>
            <w:shd w:val="clear" w:color="auto" w:fill="FFFFFF" w:themeFill="background1"/>
          </w:tcPr>
          <w:p w14:paraId="0A1E17F6">
            <w:pPr>
              <w:pStyle w:val="29"/>
              <w:spacing w:before="104"/>
              <w:rPr>
                <w:sz w:val="18"/>
                <w:szCs w:val="18"/>
              </w:rPr>
            </w:pPr>
          </w:p>
        </w:tc>
        <w:tc>
          <w:tcPr>
            <w:tcW w:w="1014" w:type="dxa"/>
            <w:shd w:val="clear" w:color="auto" w:fill="FFFFFF" w:themeFill="background1"/>
          </w:tcPr>
          <w:p w14:paraId="56B34D3F">
            <w:pPr>
              <w:pStyle w:val="29"/>
              <w:spacing w:before="104"/>
              <w:rPr>
                <w:sz w:val="18"/>
                <w:szCs w:val="18"/>
              </w:rPr>
            </w:pPr>
          </w:p>
        </w:tc>
        <w:tc>
          <w:tcPr>
            <w:tcW w:w="709" w:type="dxa"/>
            <w:shd w:val="clear" w:color="auto" w:fill="FFFFFF" w:themeFill="background1"/>
          </w:tcPr>
          <w:p w14:paraId="4A0EDC87">
            <w:pPr>
              <w:pStyle w:val="29"/>
              <w:spacing w:before="104"/>
              <w:rPr>
                <w:sz w:val="18"/>
                <w:szCs w:val="18"/>
              </w:rPr>
            </w:pPr>
          </w:p>
        </w:tc>
        <w:tc>
          <w:tcPr>
            <w:tcW w:w="871" w:type="dxa"/>
            <w:shd w:val="clear" w:color="auto" w:fill="FFFFFF" w:themeFill="background1"/>
          </w:tcPr>
          <w:p w14:paraId="380F1B98">
            <w:pPr>
              <w:pStyle w:val="29"/>
              <w:spacing w:before="104"/>
              <w:rPr>
                <w:sz w:val="18"/>
                <w:szCs w:val="18"/>
              </w:rPr>
            </w:pPr>
          </w:p>
        </w:tc>
      </w:tr>
      <w:tr w14:paraId="5CD45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67" w:hRule="atLeast"/>
        </w:trPr>
        <w:tc>
          <w:tcPr>
            <w:tcW w:w="851" w:type="dxa"/>
            <w:shd w:val="clear" w:color="auto" w:fill="FFFFFF" w:themeFill="background1"/>
          </w:tcPr>
          <w:p w14:paraId="02EDF348">
            <w:pPr>
              <w:pStyle w:val="29"/>
              <w:spacing w:before="109"/>
              <w:ind w:left="182"/>
              <w:rPr>
                <w:b/>
                <w:spacing w:val="-5"/>
                <w:sz w:val="18"/>
                <w:szCs w:val="18"/>
              </w:rPr>
            </w:pPr>
            <w:r>
              <w:rPr>
                <w:b/>
                <w:spacing w:val="-5"/>
                <w:sz w:val="18"/>
                <w:szCs w:val="18"/>
              </w:rPr>
              <w:t>24</w:t>
            </w:r>
          </w:p>
        </w:tc>
        <w:tc>
          <w:tcPr>
            <w:tcW w:w="4826" w:type="dxa"/>
            <w:shd w:val="clear" w:color="auto" w:fill="FFFFFF" w:themeFill="background1"/>
          </w:tcPr>
          <w:p w14:paraId="4477CCDE">
            <w:pPr>
              <w:pStyle w:val="29"/>
              <w:jc w:val="both"/>
              <w:rPr>
                <w:sz w:val="18"/>
                <w:szCs w:val="18"/>
              </w:rPr>
            </w:pPr>
            <w:r>
              <w:rPr>
                <w:sz w:val="18"/>
                <w:szCs w:val="18"/>
              </w:rPr>
              <w:t>Sanal</w:t>
            </w:r>
            <w:r>
              <w:rPr>
                <w:spacing w:val="-4"/>
                <w:sz w:val="18"/>
                <w:szCs w:val="18"/>
              </w:rPr>
              <w:t xml:space="preserve"> </w:t>
            </w:r>
            <w:r>
              <w:rPr>
                <w:sz w:val="18"/>
                <w:szCs w:val="18"/>
              </w:rPr>
              <w:t>rekreasyon</w:t>
            </w:r>
            <w:r>
              <w:rPr>
                <w:spacing w:val="-3"/>
                <w:sz w:val="18"/>
                <w:szCs w:val="18"/>
              </w:rPr>
              <w:t xml:space="preserve"> </w:t>
            </w:r>
            <w:r>
              <w:rPr>
                <w:sz w:val="18"/>
                <w:szCs w:val="18"/>
              </w:rPr>
              <w:t>faaliyetleri,</w:t>
            </w:r>
            <w:r>
              <w:rPr>
                <w:spacing w:val="42"/>
                <w:sz w:val="18"/>
                <w:szCs w:val="18"/>
              </w:rPr>
              <w:t xml:space="preserve"> </w:t>
            </w:r>
            <w:r>
              <w:rPr>
                <w:sz w:val="18"/>
                <w:szCs w:val="18"/>
              </w:rPr>
              <w:t>stresimi</w:t>
            </w:r>
            <w:r>
              <w:rPr>
                <w:spacing w:val="-3"/>
                <w:sz w:val="18"/>
                <w:szCs w:val="18"/>
              </w:rPr>
              <w:t xml:space="preserve"> </w:t>
            </w:r>
            <w:r>
              <w:rPr>
                <w:spacing w:val="-2"/>
                <w:sz w:val="18"/>
                <w:szCs w:val="18"/>
              </w:rPr>
              <w:t>azaltır.</w:t>
            </w:r>
          </w:p>
        </w:tc>
        <w:tc>
          <w:tcPr>
            <w:tcW w:w="680" w:type="dxa"/>
            <w:shd w:val="clear" w:color="auto" w:fill="FFFFFF" w:themeFill="background1"/>
          </w:tcPr>
          <w:p w14:paraId="503F57F6">
            <w:pPr>
              <w:pStyle w:val="29"/>
              <w:spacing w:before="104"/>
              <w:rPr>
                <w:sz w:val="18"/>
                <w:szCs w:val="18"/>
              </w:rPr>
            </w:pPr>
          </w:p>
        </w:tc>
        <w:tc>
          <w:tcPr>
            <w:tcW w:w="567" w:type="dxa"/>
            <w:shd w:val="clear" w:color="auto" w:fill="FFFFFF" w:themeFill="background1"/>
          </w:tcPr>
          <w:p w14:paraId="1DBA3517">
            <w:pPr>
              <w:pStyle w:val="29"/>
              <w:spacing w:before="104"/>
              <w:rPr>
                <w:sz w:val="18"/>
                <w:szCs w:val="18"/>
              </w:rPr>
            </w:pPr>
          </w:p>
        </w:tc>
        <w:tc>
          <w:tcPr>
            <w:tcW w:w="1014" w:type="dxa"/>
            <w:shd w:val="clear" w:color="auto" w:fill="FFFFFF" w:themeFill="background1"/>
          </w:tcPr>
          <w:p w14:paraId="0AB0A749">
            <w:pPr>
              <w:pStyle w:val="29"/>
              <w:spacing w:before="104"/>
              <w:rPr>
                <w:sz w:val="18"/>
                <w:szCs w:val="18"/>
              </w:rPr>
            </w:pPr>
          </w:p>
        </w:tc>
        <w:tc>
          <w:tcPr>
            <w:tcW w:w="709" w:type="dxa"/>
            <w:shd w:val="clear" w:color="auto" w:fill="FFFFFF" w:themeFill="background1"/>
          </w:tcPr>
          <w:p w14:paraId="5BBEA596">
            <w:pPr>
              <w:pStyle w:val="29"/>
              <w:spacing w:before="104"/>
              <w:rPr>
                <w:sz w:val="18"/>
                <w:szCs w:val="18"/>
              </w:rPr>
            </w:pPr>
          </w:p>
        </w:tc>
        <w:tc>
          <w:tcPr>
            <w:tcW w:w="871" w:type="dxa"/>
            <w:shd w:val="clear" w:color="auto" w:fill="FFFFFF" w:themeFill="background1"/>
          </w:tcPr>
          <w:p w14:paraId="19C51AE2">
            <w:pPr>
              <w:pStyle w:val="29"/>
              <w:spacing w:before="104"/>
              <w:rPr>
                <w:sz w:val="18"/>
                <w:szCs w:val="18"/>
              </w:rPr>
            </w:pPr>
          </w:p>
        </w:tc>
      </w:tr>
      <w:tr w14:paraId="41764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637" w:hRule="atLeast"/>
        </w:trPr>
        <w:tc>
          <w:tcPr>
            <w:tcW w:w="851" w:type="dxa"/>
            <w:shd w:val="clear" w:color="auto" w:fill="FFFFFF" w:themeFill="background1"/>
          </w:tcPr>
          <w:p w14:paraId="0B8F17FA">
            <w:pPr>
              <w:pStyle w:val="29"/>
              <w:spacing w:before="109"/>
              <w:ind w:left="182"/>
              <w:rPr>
                <w:b/>
                <w:spacing w:val="-5"/>
                <w:sz w:val="18"/>
                <w:szCs w:val="18"/>
              </w:rPr>
            </w:pPr>
            <w:r>
              <w:rPr>
                <w:b/>
                <w:spacing w:val="-5"/>
                <w:sz w:val="18"/>
                <w:szCs w:val="18"/>
              </w:rPr>
              <w:t>25</w:t>
            </w:r>
          </w:p>
        </w:tc>
        <w:tc>
          <w:tcPr>
            <w:tcW w:w="4826" w:type="dxa"/>
            <w:shd w:val="clear" w:color="auto" w:fill="FFFFFF" w:themeFill="background1"/>
          </w:tcPr>
          <w:p w14:paraId="4E2B107E">
            <w:pPr>
              <w:pStyle w:val="29"/>
              <w:tabs>
                <w:tab w:val="left" w:pos="791"/>
                <w:tab w:val="left" w:pos="1801"/>
                <w:tab w:val="left" w:pos="2973"/>
                <w:tab w:val="left" w:pos="3867"/>
              </w:tabs>
              <w:ind w:right="166"/>
              <w:jc w:val="both"/>
              <w:rPr>
                <w:sz w:val="18"/>
                <w:szCs w:val="18"/>
              </w:rPr>
            </w:pPr>
            <w:r>
              <w:rPr>
                <w:spacing w:val="-2"/>
                <w:sz w:val="18"/>
                <w:szCs w:val="18"/>
              </w:rPr>
              <w:t>Sanal</w:t>
            </w:r>
            <w:r>
              <w:rPr>
                <w:sz w:val="18"/>
                <w:szCs w:val="18"/>
              </w:rPr>
              <w:tab/>
            </w:r>
            <w:r>
              <w:rPr>
                <w:spacing w:val="-2"/>
                <w:sz w:val="18"/>
                <w:szCs w:val="18"/>
              </w:rPr>
              <w:t>rekreasyon</w:t>
            </w:r>
            <w:r>
              <w:rPr>
                <w:sz w:val="18"/>
                <w:szCs w:val="18"/>
              </w:rPr>
              <w:tab/>
            </w:r>
            <w:r>
              <w:rPr>
                <w:spacing w:val="-2"/>
                <w:sz w:val="18"/>
                <w:szCs w:val="18"/>
              </w:rPr>
              <w:t>faaliyetlerine</w:t>
            </w:r>
            <w:r>
              <w:rPr>
                <w:sz w:val="18"/>
                <w:szCs w:val="18"/>
              </w:rPr>
              <w:tab/>
            </w:r>
            <w:r>
              <w:rPr>
                <w:spacing w:val="-2"/>
                <w:sz w:val="18"/>
                <w:szCs w:val="18"/>
              </w:rPr>
              <w:t>katılmak,</w:t>
            </w:r>
            <w:r>
              <w:rPr>
                <w:sz w:val="18"/>
                <w:szCs w:val="18"/>
              </w:rPr>
              <w:tab/>
            </w:r>
            <w:r>
              <w:rPr>
                <w:spacing w:val="-2"/>
                <w:sz w:val="18"/>
                <w:szCs w:val="18"/>
              </w:rPr>
              <w:t xml:space="preserve">günlük </w:t>
            </w:r>
            <w:r>
              <w:rPr>
                <w:sz w:val="18"/>
                <w:szCs w:val="18"/>
              </w:rPr>
              <w:t>hayatımda yaptığım</w:t>
            </w:r>
            <w:r>
              <w:rPr>
                <w:spacing w:val="80"/>
                <w:sz w:val="18"/>
                <w:szCs w:val="18"/>
              </w:rPr>
              <w:t xml:space="preserve"> </w:t>
            </w:r>
            <w:r>
              <w:rPr>
                <w:sz w:val="18"/>
                <w:szCs w:val="18"/>
              </w:rPr>
              <w:t>işleri kolaylaştırır.</w:t>
            </w:r>
          </w:p>
        </w:tc>
        <w:tc>
          <w:tcPr>
            <w:tcW w:w="680" w:type="dxa"/>
            <w:shd w:val="clear" w:color="auto" w:fill="FFFFFF" w:themeFill="background1"/>
          </w:tcPr>
          <w:p w14:paraId="5C28E346">
            <w:pPr>
              <w:pStyle w:val="29"/>
              <w:spacing w:before="104"/>
              <w:rPr>
                <w:sz w:val="18"/>
                <w:szCs w:val="18"/>
              </w:rPr>
            </w:pPr>
          </w:p>
        </w:tc>
        <w:tc>
          <w:tcPr>
            <w:tcW w:w="567" w:type="dxa"/>
            <w:shd w:val="clear" w:color="auto" w:fill="FFFFFF" w:themeFill="background1"/>
          </w:tcPr>
          <w:p w14:paraId="708D2C4C">
            <w:pPr>
              <w:pStyle w:val="29"/>
              <w:spacing w:before="104"/>
              <w:rPr>
                <w:sz w:val="18"/>
                <w:szCs w:val="18"/>
              </w:rPr>
            </w:pPr>
          </w:p>
        </w:tc>
        <w:tc>
          <w:tcPr>
            <w:tcW w:w="1014" w:type="dxa"/>
            <w:shd w:val="clear" w:color="auto" w:fill="FFFFFF" w:themeFill="background1"/>
          </w:tcPr>
          <w:p w14:paraId="7DC6B5CA">
            <w:pPr>
              <w:pStyle w:val="29"/>
              <w:spacing w:before="104"/>
              <w:rPr>
                <w:sz w:val="18"/>
                <w:szCs w:val="18"/>
              </w:rPr>
            </w:pPr>
          </w:p>
        </w:tc>
        <w:tc>
          <w:tcPr>
            <w:tcW w:w="709" w:type="dxa"/>
            <w:shd w:val="clear" w:color="auto" w:fill="FFFFFF" w:themeFill="background1"/>
          </w:tcPr>
          <w:p w14:paraId="1E5551C7">
            <w:pPr>
              <w:pStyle w:val="29"/>
              <w:spacing w:before="104"/>
              <w:rPr>
                <w:sz w:val="18"/>
                <w:szCs w:val="18"/>
              </w:rPr>
            </w:pPr>
          </w:p>
        </w:tc>
        <w:tc>
          <w:tcPr>
            <w:tcW w:w="871" w:type="dxa"/>
            <w:shd w:val="clear" w:color="auto" w:fill="FFFFFF" w:themeFill="background1"/>
          </w:tcPr>
          <w:p w14:paraId="5B04479E">
            <w:pPr>
              <w:pStyle w:val="29"/>
              <w:spacing w:before="104"/>
              <w:rPr>
                <w:sz w:val="18"/>
                <w:szCs w:val="18"/>
              </w:rPr>
            </w:pPr>
          </w:p>
        </w:tc>
      </w:tr>
      <w:tr w14:paraId="47534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480" w:hRule="atLeast"/>
        </w:trPr>
        <w:tc>
          <w:tcPr>
            <w:tcW w:w="851" w:type="dxa"/>
            <w:shd w:val="clear" w:color="auto" w:fill="FFFFFF" w:themeFill="background1"/>
          </w:tcPr>
          <w:p w14:paraId="072DD258">
            <w:pPr>
              <w:pStyle w:val="29"/>
              <w:spacing w:before="109"/>
              <w:ind w:left="182"/>
              <w:rPr>
                <w:b/>
                <w:spacing w:val="-5"/>
                <w:sz w:val="18"/>
                <w:szCs w:val="18"/>
              </w:rPr>
            </w:pPr>
            <w:r>
              <w:rPr>
                <w:b/>
                <w:spacing w:val="-5"/>
                <w:sz w:val="18"/>
                <w:szCs w:val="18"/>
              </w:rPr>
              <w:t>26</w:t>
            </w:r>
          </w:p>
        </w:tc>
        <w:tc>
          <w:tcPr>
            <w:tcW w:w="4826" w:type="dxa"/>
            <w:shd w:val="clear" w:color="auto" w:fill="FFFFFF" w:themeFill="background1"/>
          </w:tcPr>
          <w:p w14:paraId="42542C56">
            <w:pPr>
              <w:pStyle w:val="29"/>
              <w:jc w:val="both"/>
              <w:rPr>
                <w:sz w:val="18"/>
                <w:szCs w:val="18"/>
              </w:rPr>
            </w:pPr>
            <w:r>
              <w:rPr>
                <w:sz w:val="18"/>
                <w:szCs w:val="18"/>
              </w:rPr>
              <w:t>Sanal</w:t>
            </w:r>
            <w:r>
              <w:rPr>
                <w:spacing w:val="-6"/>
                <w:sz w:val="18"/>
                <w:szCs w:val="18"/>
              </w:rPr>
              <w:t xml:space="preserve"> </w:t>
            </w:r>
            <w:r>
              <w:rPr>
                <w:sz w:val="18"/>
                <w:szCs w:val="18"/>
              </w:rPr>
              <w:t>rekreasyon</w:t>
            </w:r>
            <w:r>
              <w:rPr>
                <w:spacing w:val="-4"/>
                <w:sz w:val="18"/>
                <w:szCs w:val="18"/>
              </w:rPr>
              <w:t xml:space="preserve"> </w:t>
            </w:r>
            <w:r>
              <w:rPr>
                <w:sz w:val="18"/>
                <w:szCs w:val="18"/>
              </w:rPr>
              <w:t>faaliyetlerine</w:t>
            </w:r>
            <w:r>
              <w:rPr>
                <w:spacing w:val="-6"/>
                <w:sz w:val="18"/>
                <w:szCs w:val="18"/>
              </w:rPr>
              <w:t xml:space="preserve"> </w:t>
            </w:r>
            <w:r>
              <w:rPr>
                <w:sz w:val="18"/>
                <w:szCs w:val="18"/>
              </w:rPr>
              <w:t>katılmayı</w:t>
            </w:r>
            <w:r>
              <w:rPr>
                <w:spacing w:val="-5"/>
                <w:sz w:val="18"/>
                <w:szCs w:val="18"/>
              </w:rPr>
              <w:t xml:space="preserve"> </w:t>
            </w:r>
            <w:r>
              <w:rPr>
                <w:spacing w:val="-2"/>
                <w:sz w:val="18"/>
                <w:szCs w:val="18"/>
              </w:rPr>
              <w:t>severim.</w:t>
            </w:r>
          </w:p>
        </w:tc>
        <w:tc>
          <w:tcPr>
            <w:tcW w:w="680" w:type="dxa"/>
            <w:shd w:val="clear" w:color="auto" w:fill="FFFFFF" w:themeFill="background1"/>
          </w:tcPr>
          <w:p w14:paraId="6BD41884">
            <w:pPr>
              <w:pStyle w:val="29"/>
              <w:spacing w:before="104"/>
              <w:rPr>
                <w:sz w:val="18"/>
                <w:szCs w:val="18"/>
              </w:rPr>
            </w:pPr>
          </w:p>
        </w:tc>
        <w:tc>
          <w:tcPr>
            <w:tcW w:w="567" w:type="dxa"/>
            <w:shd w:val="clear" w:color="auto" w:fill="FFFFFF" w:themeFill="background1"/>
          </w:tcPr>
          <w:p w14:paraId="0FC561B9">
            <w:pPr>
              <w:pStyle w:val="29"/>
              <w:spacing w:before="104"/>
              <w:rPr>
                <w:sz w:val="18"/>
                <w:szCs w:val="18"/>
              </w:rPr>
            </w:pPr>
          </w:p>
        </w:tc>
        <w:tc>
          <w:tcPr>
            <w:tcW w:w="1014" w:type="dxa"/>
            <w:shd w:val="clear" w:color="auto" w:fill="FFFFFF" w:themeFill="background1"/>
          </w:tcPr>
          <w:p w14:paraId="6EAC52BD">
            <w:pPr>
              <w:pStyle w:val="29"/>
              <w:spacing w:before="104"/>
              <w:rPr>
                <w:sz w:val="18"/>
                <w:szCs w:val="18"/>
              </w:rPr>
            </w:pPr>
          </w:p>
        </w:tc>
        <w:tc>
          <w:tcPr>
            <w:tcW w:w="709" w:type="dxa"/>
            <w:shd w:val="clear" w:color="auto" w:fill="FFFFFF" w:themeFill="background1"/>
          </w:tcPr>
          <w:p w14:paraId="496F2448">
            <w:pPr>
              <w:pStyle w:val="29"/>
              <w:spacing w:before="104"/>
              <w:rPr>
                <w:sz w:val="18"/>
                <w:szCs w:val="18"/>
              </w:rPr>
            </w:pPr>
          </w:p>
        </w:tc>
        <w:tc>
          <w:tcPr>
            <w:tcW w:w="871" w:type="dxa"/>
            <w:shd w:val="clear" w:color="auto" w:fill="FFFFFF" w:themeFill="background1"/>
          </w:tcPr>
          <w:p w14:paraId="6B191555">
            <w:pPr>
              <w:pStyle w:val="29"/>
              <w:spacing w:before="104"/>
              <w:rPr>
                <w:sz w:val="18"/>
                <w:szCs w:val="18"/>
              </w:rPr>
            </w:pPr>
          </w:p>
        </w:tc>
      </w:tr>
      <w:tr w14:paraId="3A1F3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417" w:hRule="atLeast"/>
        </w:trPr>
        <w:tc>
          <w:tcPr>
            <w:tcW w:w="851" w:type="dxa"/>
            <w:shd w:val="clear" w:color="auto" w:fill="FFFFFF" w:themeFill="background1"/>
          </w:tcPr>
          <w:p w14:paraId="17FA23C0">
            <w:pPr>
              <w:pStyle w:val="29"/>
              <w:spacing w:before="109"/>
              <w:ind w:left="182"/>
              <w:rPr>
                <w:b/>
                <w:spacing w:val="-5"/>
                <w:sz w:val="18"/>
                <w:szCs w:val="18"/>
              </w:rPr>
            </w:pPr>
            <w:r>
              <w:rPr>
                <w:b/>
                <w:spacing w:val="-5"/>
                <w:sz w:val="18"/>
                <w:szCs w:val="18"/>
              </w:rPr>
              <w:t>27</w:t>
            </w:r>
          </w:p>
        </w:tc>
        <w:tc>
          <w:tcPr>
            <w:tcW w:w="4826" w:type="dxa"/>
            <w:shd w:val="clear" w:color="auto" w:fill="FFFFFF" w:themeFill="background1"/>
          </w:tcPr>
          <w:p w14:paraId="37131A41">
            <w:pPr>
              <w:pStyle w:val="29"/>
              <w:jc w:val="both"/>
              <w:rPr>
                <w:sz w:val="18"/>
                <w:szCs w:val="18"/>
              </w:rPr>
            </w:pPr>
            <w:r>
              <w:rPr>
                <w:sz w:val="18"/>
                <w:szCs w:val="18"/>
              </w:rPr>
              <w:t>Sanal</w:t>
            </w:r>
            <w:r>
              <w:rPr>
                <w:spacing w:val="-6"/>
                <w:sz w:val="18"/>
                <w:szCs w:val="18"/>
              </w:rPr>
              <w:t xml:space="preserve"> </w:t>
            </w:r>
            <w:r>
              <w:rPr>
                <w:sz w:val="18"/>
                <w:szCs w:val="18"/>
              </w:rPr>
              <w:t>rekreasyon faaliyetlerine</w:t>
            </w:r>
            <w:r>
              <w:rPr>
                <w:spacing w:val="-5"/>
                <w:sz w:val="18"/>
                <w:szCs w:val="18"/>
              </w:rPr>
              <w:t xml:space="preserve"> </w:t>
            </w:r>
            <w:r>
              <w:rPr>
                <w:sz w:val="18"/>
                <w:szCs w:val="18"/>
              </w:rPr>
              <w:t>katılmak</w:t>
            </w:r>
            <w:r>
              <w:rPr>
                <w:spacing w:val="-4"/>
                <w:sz w:val="18"/>
                <w:szCs w:val="18"/>
              </w:rPr>
              <w:t xml:space="preserve"> </w:t>
            </w:r>
            <w:r>
              <w:rPr>
                <w:sz w:val="18"/>
                <w:szCs w:val="18"/>
              </w:rPr>
              <w:t>bana</w:t>
            </w:r>
            <w:r>
              <w:rPr>
                <w:spacing w:val="-4"/>
                <w:sz w:val="18"/>
                <w:szCs w:val="18"/>
              </w:rPr>
              <w:t xml:space="preserve"> </w:t>
            </w:r>
            <w:r>
              <w:rPr>
                <w:sz w:val="18"/>
                <w:szCs w:val="18"/>
              </w:rPr>
              <w:t>zevk</w:t>
            </w:r>
            <w:r>
              <w:rPr>
                <w:spacing w:val="-2"/>
                <w:sz w:val="18"/>
                <w:szCs w:val="18"/>
              </w:rPr>
              <w:t xml:space="preserve"> verir.</w:t>
            </w:r>
          </w:p>
        </w:tc>
        <w:tc>
          <w:tcPr>
            <w:tcW w:w="680" w:type="dxa"/>
            <w:shd w:val="clear" w:color="auto" w:fill="FFFFFF" w:themeFill="background1"/>
          </w:tcPr>
          <w:p w14:paraId="0D0B6179">
            <w:pPr>
              <w:pStyle w:val="29"/>
              <w:spacing w:before="104"/>
              <w:rPr>
                <w:sz w:val="18"/>
                <w:szCs w:val="18"/>
              </w:rPr>
            </w:pPr>
          </w:p>
        </w:tc>
        <w:tc>
          <w:tcPr>
            <w:tcW w:w="567" w:type="dxa"/>
            <w:shd w:val="clear" w:color="auto" w:fill="FFFFFF" w:themeFill="background1"/>
          </w:tcPr>
          <w:p w14:paraId="15274F0B">
            <w:pPr>
              <w:pStyle w:val="29"/>
              <w:spacing w:before="104"/>
              <w:rPr>
                <w:sz w:val="18"/>
                <w:szCs w:val="18"/>
              </w:rPr>
            </w:pPr>
          </w:p>
        </w:tc>
        <w:tc>
          <w:tcPr>
            <w:tcW w:w="1014" w:type="dxa"/>
            <w:shd w:val="clear" w:color="auto" w:fill="FFFFFF" w:themeFill="background1"/>
          </w:tcPr>
          <w:p w14:paraId="50E4D8C8">
            <w:pPr>
              <w:pStyle w:val="29"/>
              <w:spacing w:before="104"/>
              <w:rPr>
                <w:sz w:val="18"/>
                <w:szCs w:val="18"/>
              </w:rPr>
            </w:pPr>
          </w:p>
        </w:tc>
        <w:tc>
          <w:tcPr>
            <w:tcW w:w="709" w:type="dxa"/>
            <w:shd w:val="clear" w:color="auto" w:fill="FFFFFF" w:themeFill="background1"/>
          </w:tcPr>
          <w:p w14:paraId="7D405ACF">
            <w:pPr>
              <w:pStyle w:val="29"/>
              <w:spacing w:before="104"/>
              <w:rPr>
                <w:sz w:val="18"/>
                <w:szCs w:val="18"/>
              </w:rPr>
            </w:pPr>
          </w:p>
        </w:tc>
        <w:tc>
          <w:tcPr>
            <w:tcW w:w="871" w:type="dxa"/>
            <w:shd w:val="clear" w:color="auto" w:fill="FFFFFF" w:themeFill="background1"/>
          </w:tcPr>
          <w:p w14:paraId="112D681A">
            <w:pPr>
              <w:pStyle w:val="29"/>
              <w:spacing w:before="104"/>
              <w:rPr>
                <w:sz w:val="18"/>
                <w:szCs w:val="18"/>
              </w:rPr>
            </w:pPr>
          </w:p>
        </w:tc>
      </w:tr>
      <w:tr w14:paraId="67631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637" w:hRule="atLeast"/>
        </w:trPr>
        <w:tc>
          <w:tcPr>
            <w:tcW w:w="851" w:type="dxa"/>
            <w:shd w:val="clear" w:color="auto" w:fill="FFFFFF" w:themeFill="background1"/>
          </w:tcPr>
          <w:p w14:paraId="2EB2B4F5">
            <w:pPr>
              <w:pStyle w:val="29"/>
              <w:spacing w:before="109"/>
              <w:ind w:left="182"/>
              <w:rPr>
                <w:b/>
                <w:spacing w:val="-5"/>
                <w:sz w:val="18"/>
                <w:szCs w:val="18"/>
              </w:rPr>
            </w:pPr>
            <w:r>
              <w:rPr>
                <w:b/>
                <w:spacing w:val="-5"/>
                <w:sz w:val="18"/>
                <w:szCs w:val="18"/>
              </w:rPr>
              <w:t>28</w:t>
            </w:r>
          </w:p>
        </w:tc>
        <w:tc>
          <w:tcPr>
            <w:tcW w:w="4826" w:type="dxa"/>
            <w:shd w:val="clear" w:color="auto" w:fill="FFFFFF" w:themeFill="background1"/>
          </w:tcPr>
          <w:p w14:paraId="56F8F2F0">
            <w:pPr>
              <w:pStyle w:val="29"/>
              <w:jc w:val="both"/>
              <w:rPr>
                <w:sz w:val="18"/>
                <w:szCs w:val="18"/>
              </w:rPr>
            </w:pPr>
            <w:r>
              <w:rPr>
                <w:sz w:val="18"/>
                <w:szCs w:val="18"/>
              </w:rPr>
              <w:t>Sanal</w:t>
            </w:r>
            <w:r>
              <w:rPr>
                <w:spacing w:val="80"/>
                <w:sz w:val="18"/>
                <w:szCs w:val="18"/>
              </w:rPr>
              <w:t xml:space="preserve"> </w:t>
            </w:r>
            <w:r>
              <w:rPr>
                <w:sz w:val="18"/>
                <w:szCs w:val="18"/>
              </w:rPr>
              <w:t>rekreasyonda</w:t>
            </w:r>
            <w:r>
              <w:rPr>
                <w:spacing w:val="80"/>
                <w:sz w:val="18"/>
                <w:szCs w:val="18"/>
              </w:rPr>
              <w:t xml:space="preserve"> </w:t>
            </w:r>
            <w:r>
              <w:rPr>
                <w:sz w:val="18"/>
                <w:szCs w:val="18"/>
              </w:rPr>
              <w:t>yaşanan</w:t>
            </w:r>
            <w:r>
              <w:rPr>
                <w:spacing w:val="80"/>
                <w:sz w:val="18"/>
                <w:szCs w:val="18"/>
              </w:rPr>
              <w:t xml:space="preserve"> </w:t>
            </w:r>
            <w:r>
              <w:rPr>
                <w:sz w:val="18"/>
                <w:szCs w:val="18"/>
              </w:rPr>
              <w:t>teknolojik</w:t>
            </w:r>
            <w:r>
              <w:rPr>
                <w:spacing w:val="80"/>
                <w:sz w:val="18"/>
                <w:szCs w:val="18"/>
              </w:rPr>
              <w:t xml:space="preserve"> </w:t>
            </w:r>
            <w:r>
              <w:rPr>
                <w:sz w:val="18"/>
                <w:szCs w:val="18"/>
              </w:rPr>
              <w:t>gelişmeleri</w:t>
            </w:r>
            <w:r>
              <w:rPr>
                <w:spacing w:val="40"/>
                <w:sz w:val="18"/>
                <w:szCs w:val="18"/>
              </w:rPr>
              <w:t xml:space="preserve"> </w:t>
            </w:r>
            <w:r>
              <w:rPr>
                <w:sz w:val="18"/>
                <w:szCs w:val="18"/>
              </w:rPr>
              <w:t>yakından takip ederim.</w:t>
            </w:r>
          </w:p>
        </w:tc>
        <w:tc>
          <w:tcPr>
            <w:tcW w:w="680" w:type="dxa"/>
            <w:shd w:val="clear" w:color="auto" w:fill="FFFFFF" w:themeFill="background1"/>
          </w:tcPr>
          <w:p w14:paraId="06BBBA81">
            <w:pPr>
              <w:pStyle w:val="29"/>
              <w:spacing w:before="104"/>
              <w:rPr>
                <w:sz w:val="18"/>
                <w:szCs w:val="18"/>
              </w:rPr>
            </w:pPr>
          </w:p>
        </w:tc>
        <w:tc>
          <w:tcPr>
            <w:tcW w:w="567" w:type="dxa"/>
            <w:shd w:val="clear" w:color="auto" w:fill="FFFFFF" w:themeFill="background1"/>
          </w:tcPr>
          <w:p w14:paraId="14396BD4">
            <w:pPr>
              <w:pStyle w:val="29"/>
              <w:spacing w:before="104"/>
              <w:rPr>
                <w:sz w:val="18"/>
                <w:szCs w:val="18"/>
              </w:rPr>
            </w:pPr>
          </w:p>
        </w:tc>
        <w:tc>
          <w:tcPr>
            <w:tcW w:w="1014" w:type="dxa"/>
            <w:shd w:val="clear" w:color="auto" w:fill="FFFFFF" w:themeFill="background1"/>
          </w:tcPr>
          <w:p w14:paraId="26C7C052">
            <w:pPr>
              <w:pStyle w:val="29"/>
              <w:spacing w:before="104"/>
              <w:rPr>
                <w:sz w:val="18"/>
                <w:szCs w:val="18"/>
              </w:rPr>
            </w:pPr>
          </w:p>
        </w:tc>
        <w:tc>
          <w:tcPr>
            <w:tcW w:w="709" w:type="dxa"/>
            <w:shd w:val="clear" w:color="auto" w:fill="FFFFFF" w:themeFill="background1"/>
          </w:tcPr>
          <w:p w14:paraId="45F6AA1E">
            <w:pPr>
              <w:pStyle w:val="29"/>
              <w:spacing w:before="104"/>
              <w:rPr>
                <w:sz w:val="18"/>
                <w:szCs w:val="18"/>
              </w:rPr>
            </w:pPr>
          </w:p>
        </w:tc>
        <w:tc>
          <w:tcPr>
            <w:tcW w:w="871" w:type="dxa"/>
            <w:shd w:val="clear" w:color="auto" w:fill="FFFFFF" w:themeFill="background1"/>
          </w:tcPr>
          <w:p w14:paraId="7640FDB5">
            <w:pPr>
              <w:pStyle w:val="29"/>
              <w:spacing w:before="104"/>
              <w:rPr>
                <w:sz w:val="18"/>
                <w:szCs w:val="18"/>
              </w:rPr>
            </w:pPr>
          </w:p>
        </w:tc>
      </w:tr>
      <w:tr w14:paraId="4B404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33" w:hRule="atLeast"/>
        </w:trPr>
        <w:tc>
          <w:tcPr>
            <w:tcW w:w="851" w:type="dxa"/>
            <w:shd w:val="clear" w:color="auto" w:fill="FFFFFF" w:themeFill="background1"/>
          </w:tcPr>
          <w:p w14:paraId="42DF74D4">
            <w:pPr>
              <w:pStyle w:val="29"/>
              <w:spacing w:before="109"/>
              <w:ind w:left="182"/>
              <w:rPr>
                <w:b/>
                <w:spacing w:val="-5"/>
                <w:sz w:val="18"/>
                <w:szCs w:val="18"/>
              </w:rPr>
            </w:pPr>
            <w:r>
              <w:rPr>
                <w:b/>
                <w:spacing w:val="-5"/>
                <w:sz w:val="18"/>
                <w:szCs w:val="18"/>
              </w:rPr>
              <w:t>29</w:t>
            </w:r>
          </w:p>
        </w:tc>
        <w:tc>
          <w:tcPr>
            <w:tcW w:w="4826" w:type="dxa"/>
            <w:shd w:val="clear" w:color="auto" w:fill="FFFFFF" w:themeFill="background1"/>
          </w:tcPr>
          <w:p w14:paraId="52104644">
            <w:pPr>
              <w:pStyle w:val="29"/>
              <w:jc w:val="both"/>
              <w:rPr>
                <w:sz w:val="18"/>
                <w:szCs w:val="18"/>
              </w:rPr>
            </w:pPr>
            <w:r>
              <w:rPr>
                <w:sz w:val="18"/>
                <w:szCs w:val="18"/>
              </w:rPr>
              <w:t>Sanal</w:t>
            </w:r>
            <w:r>
              <w:rPr>
                <w:spacing w:val="-4"/>
                <w:sz w:val="18"/>
                <w:szCs w:val="18"/>
              </w:rPr>
              <w:t xml:space="preserve"> </w:t>
            </w:r>
            <w:r>
              <w:rPr>
                <w:sz w:val="18"/>
                <w:szCs w:val="18"/>
              </w:rPr>
              <w:t>rekreasyon</w:t>
            </w:r>
            <w:r>
              <w:rPr>
                <w:spacing w:val="-4"/>
                <w:sz w:val="18"/>
                <w:szCs w:val="18"/>
              </w:rPr>
              <w:t xml:space="preserve"> </w:t>
            </w:r>
            <w:r>
              <w:rPr>
                <w:sz w:val="18"/>
                <w:szCs w:val="18"/>
              </w:rPr>
              <w:t>faaliyetlerini</w:t>
            </w:r>
            <w:r>
              <w:rPr>
                <w:spacing w:val="-4"/>
                <w:sz w:val="18"/>
                <w:szCs w:val="18"/>
              </w:rPr>
              <w:t xml:space="preserve"> </w:t>
            </w:r>
            <w:r>
              <w:rPr>
                <w:sz w:val="18"/>
                <w:szCs w:val="18"/>
              </w:rPr>
              <w:t>zihnimi</w:t>
            </w:r>
            <w:r>
              <w:rPr>
                <w:spacing w:val="-3"/>
                <w:sz w:val="18"/>
                <w:szCs w:val="18"/>
              </w:rPr>
              <w:t xml:space="preserve"> </w:t>
            </w:r>
            <w:r>
              <w:rPr>
                <w:spacing w:val="-2"/>
                <w:sz w:val="18"/>
                <w:szCs w:val="18"/>
              </w:rPr>
              <w:t>geliştirir.</w:t>
            </w:r>
          </w:p>
        </w:tc>
        <w:tc>
          <w:tcPr>
            <w:tcW w:w="680" w:type="dxa"/>
            <w:shd w:val="clear" w:color="auto" w:fill="FFFFFF" w:themeFill="background1"/>
          </w:tcPr>
          <w:p w14:paraId="66A88FDD">
            <w:pPr>
              <w:pStyle w:val="29"/>
              <w:spacing w:before="104"/>
              <w:rPr>
                <w:sz w:val="18"/>
                <w:szCs w:val="18"/>
              </w:rPr>
            </w:pPr>
          </w:p>
        </w:tc>
        <w:tc>
          <w:tcPr>
            <w:tcW w:w="567" w:type="dxa"/>
            <w:shd w:val="clear" w:color="auto" w:fill="FFFFFF" w:themeFill="background1"/>
          </w:tcPr>
          <w:p w14:paraId="55A98367">
            <w:pPr>
              <w:pStyle w:val="29"/>
              <w:spacing w:before="104"/>
              <w:rPr>
                <w:sz w:val="18"/>
                <w:szCs w:val="18"/>
              </w:rPr>
            </w:pPr>
          </w:p>
        </w:tc>
        <w:tc>
          <w:tcPr>
            <w:tcW w:w="1014" w:type="dxa"/>
            <w:shd w:val="clear" w:color="auto" w:fill="FFFFFF" w:themeFill="background1"/>
          </w:tcPr>
          <w:p w14:paraId="60B06290">
            <w:pPr>
              <w:pStyle w:val="29"/>
              <w:spacing w:before="104"/>
              <w:rPr>
                <w:sz w:val="18"/>
                <w:szCs w:val="18"/>
              </w:rPr>
            </w:pPr>
          </w:p>
        </w:tc>
        <w:tc>
          <w:tcPr>
            <w:tcW w:w="709" w:type="dxa"/>
            <w:shd w:val="clear" w:color="auto" w:fill="FFFFFF" w:themeFill="background1"/>
          </w:tcPr>
          <w:p w14:paraId="27102877">
            <w:pPr>
              <w:pStyle w:val="29"/>
              <w:spacing w:before="104"/>
              <w:rPr>
                <w:sz w:val="18"/>
                <w:szCs w:val="18"/>
              </w:rPr>
            </w:pPr>
          </w:p>
        </w:tc>
        <w:tc>
          <w:tcPr>
            <w:tcW w:w="871" w:type="dxa"/>
            <w:shd w:val="clear" w:color="auto" w:fill="FFFFFF" w:themeFill="background1"/>
          </w:tcPr>
          <w:p w14:paraId="4C886A66">
            <w:pPr>
              <w:pStyle w:val="29"/>
              <w:spacing w:before="104"/>
              <w:rPr>
                <w:sz w:val="18"/>
                <w:szCs w:val="18"/>
              </w:rPr>
            </w:pPr>
          </w:p>
        </w:tc>
      </w:tr>
      <w:tr w14:paraId="0A67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423" w:hRule="atLeast"/>
        </w:trPr>
        <w:tc>
          <w:tcPr>
            <w:tcW w:w="851" w:type="dxa"/>
            <w:shd w:val="clear" w:color="auto" w:fill="FFFFFF" w:themeFill="background1"/>
          </w:tcPr>
          <w:p w14:paraId="17031953">
            <w:pPr>
              <w:pStyle w:val="29"/>
              <w:spacing w:before="109"/>
              <w:ind w:left="182"/>
              <w:rPr>
                <w:b/>
                <w:spacing w:val="-5"/>
                <w:sz w:val="18"/>
                <w:szCs w:val="18"/>
              </w:rPr>
            </w:pPr>
            <w:r>
              <w:rPr>
                <w:b/>
                <w:spacing w:val="-5"/>
                <w:sz w:val="18"/>
                <w:szCs w:val="18"/>
              </w:rPr>
              <w:t>30</w:t>
            </w:r>
          </w:p>
        </w:tc>
        <w:tc>
          <w:tcPr>
            <w:tcW w:w="4826" w:type="dxa"/>
            <w:shd w:val="clear" w:color="auto" w:fill="FFFFFF" w:themeFill="background1"/>
          </w:tcPr>
          <w:p w14:paraId="37FA1252">
            <w:pPr>
              <w:pStyle w:val="29"/>
              <w:jc w:val="both"/>
              <w:rPr>
                <w:sz w:val="18"/>
                <w:szCs w:val="18"/>
              </w:rPr>
            </w:pPr>
            <w:r>
              <w:rPr>
                <w:sz w:val="18"/>
                <w:szCs w:val="18"/>
              </w:rPr>
              <w:t>Sanal</w:t>
            </w:r>
            <w:r>
              <w:rPr>
                <w:spacing w:val="-6"/>
                <w:sz w:val="18"/>
                <w:szCs w:val="18"/>
              </w:rPr>
              <w:t xml:space="preserve"> </w:t>
            </w:r>
            <w:r>
              <w:rPr>
                <w:sz w:val="18"/>
                <w:szCs w:val="18"/>
              </w:rPr>
              <w:t>rekreasyon</w:t>
            </w:r>
            <w:r>
              <w:rPr>
                <w:spacing w:val="-2"/>
                <w:sz w:val="18"/>
                <w:szCs w:val="18"/>
              </w:rPr>
              <w:t xml:space="preserve"> </w:t>
            </w:r>
            <w:r>
              <w:rPr>
                <w:sz w:val="18"/>
                <w:szCs w:val="18"/>
              </w:rPr>
              <w:t>faaliyetleri</w:t>
            </w:r>
            <w:r>
              <w:rPr>
                <w:spacing w:val="-3"/>
                <w:sz w:val="18"/>
                <w:szCs w:val="18"/>
              </w:rPr>
              <w:t xml:space="preserve"> </w:t>
            </w:r>
            <w:r>
              <w:rPr>
                <w:sz w:val="18"/>
                <w:szCs w:val="18"/>
              </w:rPr>
              <w:t>yaratıcılığımı</w:t>
            </w:r>
            <w:r>
              <w:rPr>
                <w:spacing w:val="-5"/>
                <w:sz w:val="18"/>
                <w:szCs w:val="18"/>
              </w:rPr>
              <w:t xml:space="preserve"> </w:t>
            </w:r>
            <w:r>
              <w:rPr>
                <w:spacing w:val="-2"/>
                <w:sz w:val="18"/>
                <w:szCs w:val="18"/>
              </w:rPr>
              <w:t>geliştirir.</w:t>
            </w:r>
          </w:p>
        </w:tc>
        <w:tc>
          <w:tcPr>
            <w:tcW w:w="680" w:type="dxa"/>
            <w:shd w:val="clear" w:color="auto" w:fill="FFFFFF" w:themeFill="background1"/>
          </w:tcPr>
          <w:p w14:paraId="60F95D22">
            <w:pPr>
              <w:pStyle w:val="29"/>
              <w:spacing w:before="104"/>
              <w:rPr>
                <w:sz w:val="18"/>
                <w:szCs w:val="18"/>
              </w:rPr>
            </w:pPr>
          </w:p>
        </w:tc>
        <w:tc>
          <w:tcPr>
            <w:tcW w:w="567" w:type="dxa"/>
            <w:shd w:val="clear" w:color="auto" w:fill="FFFFFF" w:themeFill="background1"/>
          </w:tcPr>
          <w:p w14:paraId="18541FB2">
            <w:pPr>
              <w:pStyle w:val="29"/>
              <w:spacing w:before="104"/>
              <w:rPr>
                <w:sz w:val="18"/>
                <w:szCs w:val="18"/>
              </w:rPr>
            </w:pPr>
          </w:p>
        </w:tc>
        <w:tc>
          <w:tcPr>
            <w:tcW w:w="1014" w:type="dxa"/>
            <w:shd w:val="clear" w:color="auto" w:fill="FFFFFF" w:themeFill="background1"/>
          </w:tcPr>
          <w:p w14:paraId="48E0B09E">
            <w:pPr>
              <w:pStyle w:val="29"/>
              <w:spacing w:before="104"/>
              <w:rPr>
                <w:sz w:val="18"/>
                <w:szCs w:val="18"/>
              </w:rPr>
            </w:pPr>
          </w:p>
        </w:tc>
        <w:tc>
          <w:tcPr>
            <w:tcW w:w="709" w:type="dxa"/>
            <w:shd w:val="clear" w:color="auto" w:fill="FFFFFF" w:themeFill="background1"/>
          </w:tcPr>
          <w:p w14:paraId="0492A894">
            <w:pPr>
              <w:pStyle w:val="29"/>
              <w:spacing w:before="104"/>
              <w:rPr>
                <w:sz w:val="18"/>
                <w:szCs w:val="18"/>
              </w:rPr>
            </w:pPr>
          </w:p>
        </w:tc>
        <w:tc>
          <w:tcPr>
            <w:tcW w:w="871" w:type="dxa"/>
            <w:shd w:val="clear" w:color="auto" w:fill="FFFFFF" w:themeFill="background1"/>
          </w:tcPr>
          <w:p w14:paraId="3ED14F9C">
            <w:pPr>
              <w:pStyle w:val="29"/>
              <w:spacing w:before="104"/>
              <w:rPr>
                <w:sz w:val="18"/>
                <w:szCs w:val="18"/>
              </w:rPr>
            </w:pPr>
          </w:p>
        </w:tc>
      </w:tr>
      <w:tr w14:paraId="66CEE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401" w:hRule="atLeast"/>
        </w:trPr>
        <w:tc>
          <w:tcPr>
            <w:tcW w:w="851" w:type="dxa"/>
            <w:shd w:val="clear" w:color="auto" w:fill="FFFFFF" w:themeFill="background1"/>
          </w:tcPr>
          <w:p w14:paraId="2E5783F1">
            <w:pPr>
              <w:pStyle w:val="29"/>
              <w:spacing w:before="109"/>
              <w:ind w:left="182"/>
              <w:rPr>
                <w:b/>
                <w:spacing w:val="-5"/>
                <w:sz w:val="18"/>
                <w:szCs w:val="18"/>
              </w:rPr>
            </w:pPr>
            <w:r>
              <w:rPr>
                <w:b/>
                <w:spacing w:val="-5"/>
                <w:sz w:val="18"/>
                <w:szCs w:val="18"/>
              </w:rPr>
              <w:t>31</w:t>
            </w:r>
          </w:p>
        </w:tc>
        <w:tc>
          <w:tcPr>
            <w:tcW w:w="4826" w:type="dxa"/>
            <w:shd w:val="clear" w:color="auto" w:fill="FFFFFF" w:themeFill="background1"/>
          </w:tcPr>
          <w:p w14:paraId="62B545B4">
            <w:pPr>
              <w:pStyle w:val="29"/>
              <w:jc w:val="both"/>
              <w:rPr>
                <w:sz w:val="18"/>
                <w:szCs w:val="18"/>
              </w:rPr>
            </w:pPr>
            <w:r>
              <w:rPr>
                <w:sz w:val="18"/>
                <w:szCs w:val="18"/>
              </w:rPr>
              <w:t>Sanal</w:t>
            </w:r>
            <w:r>
              <w:rPr>
                <w:spacing w:val="-2"/>
                <w:sz w:val="18"/>
                <w:szCs w:val="18"/>
              </w:rPr>
              <w:t xml:space="preserve"> </w:t>
            </w:r>
            <w:r>
              <w:rPr>
                <w:sz w:val="18"/>
                <w:szCs w:val="18"/>
              </w:rPr>
              <w:t>rekreasyon</w:t>
            </w:r>
            <w:r>
              <w:rPr>
                <w:spacing w:val="-1"/>
                <w:sz w:val="18"/>
                <w:szCs w:val="18"/>
              </w:rPr>
              <w:t xml:space="preserve"> </w:t>
            </w:r>
            <w:r>
              <w:rPr>
                <w:sz w:val="18"/>
                <w:szCs w:val="18"/>
              </w:rPr>
              <w:t>ile</w:t>
            </w:r>
            <w:r>
              <w:rPr>
                <w:spacing w:val="-3"/>
                <w:sz w:val="18"/>
                <w:szCs w:val="18"/>
              </w:rPr>
              <w:t xml:space="preserve"> </w:t>
            </w:r>
            <w:r>
              <w:rPr>
                <w:sz w:val="18"/>
                <w:szCs w:val="18"/>
              </w:rPr>
              <w:t>benzersiz</w:t>
            </w:r>
            <w:r>
              <w:rPr>
                <w:spacing w:val="-2"/>
                <w:sz w:val="18"/>
                <w:szCs w:val="18"/>
              </w:rPr>
              <w:t xml:space="preserve"> </w:t>
            </w:r>
            <w:r>
              <w:rPr>
                <w:sz w:val="18"/>
                <w:szCs w:val="18"/>
              </w:rPr>
              <w:t>bir</w:t>
            </w:r>
            <w:r>
              <w:rPr>
                <w:spacing w:val="-4"/>
                <w:sz w:val="18"/>
                <w:szCs w:val="18"/>
              </w:rPr>
              <w:t xml:space="preserve"> </w:t>
            </w:r>
            <w:r>
              <w:rPr>
                <w:sz w:val="18"/>
                <w:szCs w:val="18"/>
              </w:rPr>
              <w:t>deneyim</w:t>
            </w:r>
            <w:r>
              <w:rPr>
                <w:spacing w:val="-2"/>
                <w:sz w:val="18"/>
                <w:szCs w:val="18"/>
              </w:rPr>
              <w:t xml:space="preserve"> yaşarım.</w:t>
            </w:r>
          </w:p>
        </w:tc>
        <w:tc>
          <w:tcPr>
            <w:tcW w:w="680" w:type="dxa"/>
            <w:shd w:val="clear" w:color="auto" w:fill="FFFFFF" w:themeFill="background1"/>
          </w:tcPr>
          <w:p w14:paraId="45704D85">
            <w:pPr>
              <w:pStyle w:val="29"/>
              <w:spacing w:before="104"/>
              <w:rPr>
                <w:sz w:val="18"/>
                <w:szCs w:val="18"/>
              </w:rPr>
            </w:pPr>
          </w:p>
        </w:tc>
        <w:tc>
          <w:tcPr>
            <w:tcW w:w="567" w:type="dxa"/>
            <w:shd w:val="clear" w:color="auto" w:fill="FFFFFF" w:themeFill="background1"/>
          </w:tcPr>
          <w:p w14:paraId="2E0E8231">
            <w:pPr>
              <w:pStyle w:val="29"/>
              <w:spacing w:before="104"/>
              <w:rPr>
                <w:sz w:val="18"/>
                <w:szCs w:val="18"/>
              </w:rPr>
            </w:pPr>
          </w:p>
        </w:tc>
        <w:tc>
          <w:tcPr>
            <w:tcW w:w="1014" w:type="dxa"/>
            <w:shd w:val="clear" w:color="auto" w:fill="FFFFFF" w:themeFill="background1"/>
          </w:tcPr>
          <w:p w14:paraId="43EB5F75">
            <w:pPr>
              <w:pStyle w:val="29"/>
              <w:spacing w:before="104"/>
              <w:rPr>
                <w:sz w:val="18"/>
                <w:szCs w:val="18"/>
              </w:rPr>
            </w:pPr>
          </w:p>
        </w:tc>
        <w:tc>
          <w:tcPr>
            <w:tcW w:w="709" w:type="dxa"/>
            <w:shd w:val="clear" w:color="auto" w:fill="FFFFFF" w:themeFill="background1"/>
          </w:tcPr>
          <w:p w14:paraId="3F06397C">
            <w:pPr>
              <w:pStyle w:val="29"/>
              <w:spacing w:before="104"/>
              <w:rPr>
                <w:sz w:val="18"/>
                <w:szCs w:val="18"/>
              </w:rPr>
            </w:pPr>
          </w:p>
        </w:tc>
        <w:tc>
          <w:tcPr>
            <w:tcW w:w="871" w:type="dxa"/>
            <w:shd w:val="clear" w:color="auto" w:fill="FFFFFF" w:themeFill="background1"/>
          </w:tcPr>
          <w:p w14:paraId="7293DBB6">
            <w:pPr>
              <w:pStyle w:val="29"/>
              <w:spacing w:before="104"/>
              <w:rPr>
                <w:sz w:val="18"/>
                <w:szCs w:val="18"/>
              </w:rPr>
            </w:pPr>
          </w:p>
        </w:tc>
      </w:tr>
      <w:tr w14:paraId="3AAFF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637" w:hRule="atLeast"/>
        </w:trPr>
        <w:tc>
          <w:tcPr>
            <w:tcW w:w="851" w:type="dxa"/>
            <w:shd w:val="clear" w:color="auto" w:fill="FFFFFF" w:themeFill="background1"/>
          </w:tcPr>
          <w:p w14:paraId="40ED660D">
            <w:pPr>
              <w:pStyle w:val="29"/>
              <w:spacing w:before="109"/>
              <w:ind w:left="182"/>
              <w:rPr>
                <w:b/>
                <w:spacing w:val="-5"/>
                <w:sz w:val="18"/>
                <w:szCs w:val="18"/>
              </w:rPr>
            </w:pPr>
            <w:r>
              <w:rPr>
                <w:b/>
                <w:spacing w:val="-5"/>
                <w:sz w:val="18"/>
                <w:szCs w:val="18"/>
              </w:rPr>
              <w:t>32</w:t>
            </w:r>
          </w:p>
        </w:tc>
        <w:tc>
          <w:tcPr>
            <w:tcW w:w="4826" w:type="dxa"/>
            <w:shd w:val="clear" w:color="auto" w:fill="FFFFFF" w:themeFill="background1"/>
          </w:tcPr>
          <w:p w14:paraId="1AB442F7">
            <w:pPr>
              <w:pStyle w:val="29"/>
              <w:jc w:val="both"/>
              <w:rPr>
                <w:sz w:val="18"/>
                <w:szCs w:val="18"/>
              </w:rPr>
            </w:pPr>
            <w:r>
              <w:rPr>
                <w:sz w:val="18"/>
                <w:szCs w:val="18"/>
              </w:rPr>
              <w:t>Sanal</w:t>
            </w:r>
            <w:r>
              <w:rPr>
                <w:spacing w:val="-2"/>
                <w:sz w:val="18"/>
                <w:szCs w:val="18"/>
              </w:rPr>
              <w:t xml:space="preserve"> </w:t>
            </w:r>
            <w:r>
              <w:rPr>
                <w:sz w:val="18"/>
                <w:szCs w:val="18"/>
              </w:rPr>
              <w:t>rekreasyon</w:t>
            </w:r>
            <w:r>
              <w:rPr>
                <w:spacing w:val="-1"/>
                <w:sz w:val="18"/>
                <w:szCs w:val="18"/>
              </w:rPr>
              <w:t xml:space="preserve"> </w:t>
            </w:r>
            <w:r>
              <w:rPr>
                <w:sz w:val="18"/>
                <w:szCs w:val="18"/>
              </w:rPr>
              <w:t>ile</w:t>
            </w:r>
            <w:r>
              <w:rPr>
                <w:spacing w:val="-3"/>
                <w:sz w:val="18"/>
                <w:szCs w:val="18"/>
              </w:rPr>
              <w:t xml:space="preserve"> </w:t>
            </w:r>
            <w:r>
              <w:rPr>
                <w:sz w:val="18"/>
                <w:szCs w:val="18"/>
              </w:rPr>
              <w:t>sanal</w:t>
            </w:r>
            <w:r>
              <w:rPr>
                <w:spacing w:val="-2"/>
                <w:sz w:val="18"/>
                <w:szCs w:val="18"/>
              </w:rPr>
              <w:t xml:space="preserve"> </w:t>
            </w:r>
            <w:r>
              <w:rPr>
                <w:sz w:val="18"/>
                <w:szCs w:val="18"/>
              </w:rPr>
              <w:t>dünyalarda</w:t>
            </w:r>
            <w:r>
              <w:rPr>
                <w:spacing w:val="-1"/>
                <w:sz w:val="18"/>
                <w:szCs w:val="18"/>
              </w:rPr>
              <w:t xml:space="preserve"> </w:t>
            </w:r>
            <w:r>
              <w:rPr>
                <w:sz w:val="18"/>
                <w:szCs w:val="18"/>
              </w:rPr>
              <w:t>yaratılan</w:t>
            </w:r>
            <w:r>
              <w:rPr>
                <w:spacing w:val="-2"/>
                <w:sz w:val="18"/>
                <w:szCs w:val="18"/>
              </w:rPr>
              <w:t xml:space="preserve"> </w:t>
            </w:r>
            <w:r>
              <w:rPr>
                <w:sz w:val="18"/>
                <w:szCs w:val="18"/>
              </w:rPr>
              <w:t>nesnelerle etkileşime geçerim.</w:t>
            </w:r>
          </w:p>
        </w:tc>
        <w:tc>
          <w:tcPr>
            <w:tcW w:w="680" w:type="dxa"/>
            <w:shd w:val="clear" w:color="auto" w:fill="FFFFFF" w:themeFill="background1"/>
          </w:tcPr>
          <w:p w14:paraId="644C6E41">
            <w:pPr>
              <w:pStyle w:val="29"/>
              <w:spacing w:before="104"/>
              <w:rPr>
                <w:sz w:val="18"/>
                <w:szCs w:val="18"/>
              </w:rPr>
            </w:pPr>
          </w:p>
        </w:tc>
        <w:tc>
          <w:tcPr>
            <w:tcW w:w="567" w:type="dxa"/>
            <w:shd w:val="clear" w:color="auto" w:fill="FFFFFF" w:themeFill="background1"/>
          </w:tcPr>
          <w:p w14:paraId="5D7AC2CC">
            <w:pPr>
              <w:pStyle w:val="29"/>
              <w:spacing w:before="104"/>
              <w:rPr>
                <w:sz w:val="18"/>
                <w:szCs w:val="18"/>
              </w:rPr>
            </w:pPr>
          </w:p>
        </w:tc>
        <w:tc>
          <w:tcPr>
            <w:tcW w:w="1014" w:type="dxa"/>
            <w:shd w:val="clear" w:color="auto" w:fill="FFFFFF" w:themeFill="background1"/>
          </w:tcPr>
          <w:p w14:paraId="485C7090">
            <w:pPr>
              <w:pStyle w:val="29"/>
              <w:spacing w:before="104"/>
              <w:rPr>
                <w:sz w:val="18"/>
                <w:szCs w:val="18"/>
              </w:rPr>
            </w:pPr>
          </w:p>
        </w:tc>
        <w:tc>
          <w:tcPr>
            <w:tcW w:w="709" w:type="dxa"/>
            <w:shd w:val="clear" w:color="auto" w:fill="FFFFFF" w:themeFill="background1"/>
          </w:tcPr>
          <w:p w14:paraId="12581108">
            <w:pPr>
              <w:pStyle w:val="29"/>
              <w:spacing w:before="104"/>
              <w:rPr>
                <w:sz w:val="18"/>
                <w:szCs w:val="18"/>
              </w:rPr>
            </w:pPr>
          </w:p>
        </w:tc>
        <w:tc>
          <w:tcPr>
            <w:tcW w:w="871" w:type="dxa"/>
            <w:shd w:val="clear" w:color="auto" w:fill="FFFFFF" w:themeFill="background1"/>
          </w:tcPr>
          <w:p w14:paraId="106A7EB1">
            <w:pPr>
              <w:pStyle w:val="29"/>
              <w:spacing w:before="104"/>
              <w:rPr>
                <w:sz w:val="18"/>
                <w:szCs w:val="18"/>
              </w:rPr>
            </w:pPr>
          </w:p>
        </w:tc>
      </w:tr>
      <w:tr w14:paraId="2942E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637" w:hRule="atLeast"/>
        </w:trPr>
        <w:tc>
          <w:tcPr>
            <w:tcW w:w="851" w:type="dxa"/>
            <w:shd w:val="clear" w:color="auto" w:fill="FFFFFF" w:themeFill="background1"/>
          </w:tcPr>
          <w:p w14:paraId="4F37C760">
            <w:pPr>
              <w:pStyle w:val="29"/>
              <w:spacing w:before="109"/>
              <w:ind w:left="182"/>
              <w:rPr>
                <w:b/>
                <w:spacing w:val="-5"/>
                <w:sz w:val="18"/>
                <w:szCs w:val="18"/>
              </w:rPr>
            </w:pPr>
            <w:r>
              <w:rPr>
                <w:b/>
                <w:spacing w:val="-5"/>
                <w:sz w:val="18"/>
                <w:szCs w:val="18"/>
              </w:rPr>
              <w:t>33</w:t>
            </w:r>
          </w:p>
        </w:tc>
        <w:tc>
          <w:tcPr>
            <w:tcW w:w="4826" w:type="dxa"/>
            <w:shd w:val="clear" w:color="auto" w:fill="FFFFFF" w:themeFill="background1"/>
          </w:tcPr>
          <w:p w14:paraId="5AF43C63">
            <w:pPr>
              <w:pStyle w:val="29"/>
              <w:jc w:val="both"/>
              <w:rPr>
                <w:sz w:val="18"/>
                <w:szCs w:val="18"/>
              </w:rPr>
            </w:pPr>
            <w:r>
              <w:rPr>
                <w:sz w:val="18"/>
                <w:szCs w:val="18"/>
              </w:rPr>
              <w:t xml:space="preserve">Sanal rekreasyon faaliyetleri ile başka bir dünyaya geçiş </w:t>
            </w:r>
            <w:r>
              <w:rPr>
                <w:spacing w:val="-2"/>
                <w:sz w:val="18"/>
                <w:szCs w:val="18"/>
              </w:rPr>
              <w:t>yaparım.</w:t>
            </w:r>
          </w:p>
        </w:tc>
        <w:tc>
          <w:tcPr>
            <w:tcW w:w="680" w:type="dxa"/>
            <w:shd w:val="clear" w:color="auto" w:fill="FFFFFF" w:themeFill="background1"/>
          </w:tcPr>
          <w:p w14:paraId="6F64EBF9">
            <w:pPr>
              <w:pStyle w:val="29"/>
              <w:spacing w:before="104"/>
              <w:rPr>
                <w:sz w:val="18"/>
                <w:szCs w:val="18"/>
              </w:rPr>
            </w:pPr>
          </w:p>
        </w:tc>
        <w:tc>
          <w:tcPr>
            <w:tcW w:w="567" w:type="dxa"/>
            <w:shd w:val="clear" w:color="auto" w:fill="FFFFFF" w:themeFill="background1"/>
          </w:tcPr>
          <w:p w14:paraId="1E52DB26">
            <w:pPr>
              <w:pStyle w:val="29"/>
              <w:spacing w:before="104"/>
              <w:rPr>
                <w:sz w:val="18"/>
                <w:szCs w:val="18"/>
              </w:rPr>
            </w:pPr>
          </w:p>
        </w:tc>
        <w:tc>
          <w:tcPr>
            <w:tcW w:w="1014" w:type="dxa"/>
            <w:shd w:val="clear" w:color="auto" w:fill="FFFFFF" w:themeFill="background1"/>
          </w:tcPr>
          <w:p w14:paraId="1EDAC3E2">
            <w:pPr>
              <w:pStyle w:val="29"/>
              <w:spacing w:before="104"/>
              <w:rPr>
                <w:sz w:val="18"/>
                <w:szCs w:val="18"/>
              </w:rPr>
            </w:pPr>
          </w:p>
        </w:tc>
        <w:tc>
          <w:tcPr>
            <w:tcW w:w="709" w:type="dxa"/>
            <w:shd w:val="clear" w:color="auto" w:fill="FFFFFF" w:themeFill="background1"/>
          </w:tcPr>
          <w:p w14:paraId="21CE3C92">
            <w:pPr>
              <w:pStyle w:val="29"/>
              <w:spacing w:before="104"/>
              <w:rPr>
                <w:sz w:val="18"/>
                <w:szCs w:val="18"/>
              </w:rPr>
            </w:pPr>
          </w:p>
        </w:tc>
        <w:tc>
          <w:tcPr>
            <w:tcW w:w="871" w:type="dxa"/>
            <w:shd w:val="clear" w:color="auto" w:fill="FFFFFF" w:themeFill="background1"/>
          </w:tcPr>
          <w:p w14:paraId="5DC3F8B9">
            <w:pPr>
              <w:pStyle w:val="29"/>
              <w:spacing w:before="104"/>
              <w:rPr>
                <w:sz w:val="18"/>
                <w:szCs w:val="18"/>
              </w:rPr>
            </w:pPr>
          </w:p>
        </w:tc>
      </w:tr>
      <w:tr w14:paraId="04E05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637" w:hRule="atLeast"/>
        </w:trPr>
        <w:tc>
          <w:tcPr>
            <w:tcW w:w="851" w:type="dxa"/>
            <w:shd w:val="clear" w:color="auto" w:fill="FFFFFF" w:themeFill="background1"/>
          </w:tcPr>
          <w:p w14:paraId="5A6E3672">
            <w:pPr>
              <w:pStyle w:val="29"/>
              <w:spacing w:before="109"/>
              <w:ind w:left="182"/>
              <w:rPr>
                <w:b/>
                <w:spacing w:val="-5"/>
                <w:sz w:val="18"/>
                <w:szCs w:val="18"/>
              </w:rPr>
            </w:pPr>
            <w:r>
              <w:rPr>
                <w:b/>
                <w:spacing w:val="-5"/>
                <w:sz w:val="18"/>
                <w:szCs w:val="18"/>
              </w:rPr>
              <w:t>34</w:t>
            </w:r>
          </w:p>
        </w:tc>
        <w:tc>
          <w:tcPr>
            <w:tcW w:w="4826" w:type="dxa"/>
            <w:shd w:val="clear" w:color="auto" w:fill="FFFFFF" w:themeFill="background1"/>
          </w:tcPr>
          <w:p w14:paraId="343E7DAD">
            <w:pPr>
              <w:pStyle w:val="29"/>
              <w:tabs>
                <w:tab w:val="left" w:pos="769"/>
                <w:tab w:val="left" w:pos="1580"/>
                <w:tab w:val="left" w:pos="2407"/>
                <w:tab w:val="left" w:pos="3479"/>
              </w:tabs>
              <w:ind w:right="169"/>
              <w:jc w:val="both"/>
              <w:rPr>
                <w:sz w:val="18"/>
                <w:szCs w:val="18"/>
              </w:rPr>
            </w:pPr>
            <w:r>
              <w:rPr>
                <w:spacing w:val="-2"/>
                <w:sz w:val="18"/>
                <w:szCs w:val="18"/>
              </w:rPr>
              <w:t>Sanal</w:t>
            </w:r>
            <w:r>
              <w:rPr>
                <w:sz w:val="18"/>
                <w:szCs w:val="18"/>
              </w:rPr>
              <w:tab/>
            </w:r>
            <w:r>
              <w:rPr>
                <w:spacing w:val="-2"/>
                <w:sz w:val="18"/>
                <w:szCs w:val="18"/>
              </w:rPr>
              <w:t>dünyada</w:t>
            </w:r>
            <w:r>
              <w:rPr>
                <w:sz w:val="18"/>
                <w:szCs w:val="18"/>
              </w:rPr>
              <w:tab/>
            </w:r>
            <w:r>
              <w:rPr>
                <w:spacing w:val="-2"/>
                <w:sz w:val="18"/>
                <w:szCs w:val="18"/>
              </w:rPr>
              <w:t>yaratılan</w:t>
            </w:r>
            <w:r>
              <w:rPr>
                <w:sz w:val="18"/>
                <w:szCs w:val="18"/>
              </w:rPr>
              <w:tab/>
            </w:r>
            <w:r>
              <w:rPr>
                <w:spacing w:val="-2"/>
                <w:sz w:val="18"/>
                <w:szCs w:val="18"/>
              </w:rPr>
              <w:t>faaliyetlerin</w:t>
            </w:r>
            <w:r>
              <w:rPr>
                <w:sz w:val="18"/>
                <w:szCs w:val="18"/>
              </w:rPr>
              <w:tab/>
            </w:r>
            <w:r>
              <w:rPr>
                <w:spacing w:val="-2"/>
                <w:sz w:val="18"/>
                <w:szCs w:val="18"/>
              </w:rPr>
              <w:t>gerçekliğine inanırım.</w:t>
            </w:r>
          </w:p>
        </w:tc>
        <w:tc>
          <w:tcPr>
            <w:tcW w:w="680" w:type="dxa"/>
            <w:shd w:val="clear" w:color="auto" w:fill="FFFFFF" w:themeFill="background1"/>
          </w:tcPr>
          <w:p w14:paraId="3B4219A6">
            <w:pPr>
              <w:pStyle w:val="29"/>
              <w:spacing w:before="104"/>
              <w:rPr>
                <w:sz w:val="18"/>
                <w:szCs w:val="18"/>
              </w:rPr>
            </w:pPr>
          </w:p>
        </w:tc>
        <w:tc>
          <w:tcPr>
            <w:tcW w:w="567" w:type="dxa"/>
            <w:shd w:val="clear" w:color="auto" w:fill="FFFFFF" w:themeFill="background1"/>
          </w:tcPr>
          <w:p w14:paraId="7AE23B53">
            <w:pPr>
              <w:pStyle w:val="29"/>
              <w:spacing w:before="104"/>
              <w:rPr>
                <w:sz w:val="18"/>
                <w:szCs w:val="18"/>
              </w:rPr>
            </w:pPr>
          </w:p>
        </w:tc>
        <w:tc>
          <w:tcPr>
            <w:tcW w:w="1014" w:type="dxa"/>
            <w:shd w:val="clear" w:color="auto" w:fill="FFFFFF" w:themeFill="background1"/>
          </w:tcPr>
          <w:p w14:paraId="5A6383FE">
            <w:pPr>
              <w:pStyle w:val="29"/>
              <w:spacing w:before="104"/>
              <w:rPr>
                <w:sz w:val="18"/>
                <w:szCs w:val="18"/>
              </w:rPr>
            </w:pPr>
          </w:p>
        </w:tc>
        <w:tc>
          <w:tcPr>
            <w:tcW w:w="709" w:type="dxa"/>
            <w:shd w:val="clear" w:color="auto" w:fill="FFFFFF" w:themeFill="background1"/>
          </w:tcPr>
          <w:p w14:paraId="6E03D36F">
            <w:pPr>
              <w:pStyle w:val="29"/>
              <w:spacing w:before="104"/>
              <w:rPr>
                <w:sz w:val="18"/>
                <w:szCs w:val="18"/>
              </w:rPr>
            </w:pPr>
          </w:p>
        </w:tc>
        <w:tc>
          <w:tcPr>
            <w:tcW w:w="871" w:type="dxa"/>
            <w:shd w:val="clear" w:color="auto" w:fill="FFFFFF" w:themeFill="background1"/>
          </w:tcPr>
          <w:p w14:paraId="6F67269A">
            <w:pPr>
              <w:pStyle w:val="29"/>
              <w:spacing w:before="104"/>
              <w:rPr>
                <w:sz w:val="18"/>
                <w:szCs w:val="18"/>
              </w:rPr>
            </w:pPr>
          </w:p>
        </w:tc>
      </w:tr>
      <w:tr w14:paraId="0E975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637" w:hRule="atLeast"/>
        </w:trPr>
        <w:tc>
          <w:tcPr>
            <w:tcW w:w="851" w:type="dxa"/>
            <w:shd w:val="clear" w:color="auto" w:fill="FFFFFF" w:themeFill="background1"/>
          </w:tcPr>
          <w:p w14:paraId="599FE14F">
            <w:pPr>
              <w:pStyle w:val="29"/>
              <w:spacing w:before="109"/>
              <w:ind w:left="182"/>
              <w:rPr>
                <w:b/>
                <w:spacing w:val="-5"/>
                <w:sz w:val="18"/>
                <w:szCs w:val="18"/>
              </w:rPr>
            </w:pPr>
            <w:r>
              <w:rPr>
                <w:b/>
                <w:spacing w:val="-5"/>
                <w:sz w:val="18"/>
                <w:szCs w:val="18"/>
              </w:rPr>
              <w:t>35</w:t>
            </w:r>
          </w:p>
        </w:tc>
        <w:tc>
          <w:tcPr>
            <w:tcW w:w="4826" w:type="dxa"/>
            <w:shd w:val="clear" w:color="auto" w:fill="FFFFFF" w:themeFill="background1"/>
          </w:tcPr>
          <w:p w14:paraId="5F5A56CF">
            <w:pPr>
              <w:pStyle w:val="29"/>
              <w:jc w:val="both"/>
              <w:rPr>
                <w:sz w:val="18"/>
                <w:szCs w:val="18"/>
              </w:rPr>
            </w:pPr>
            <w:r>
              <w:rPr>
                <w:sz w:val="18"/>
                <w:szCs w:val="18"/>
              </w:rPr>
              <w:t>Sanal</w:t>
            </w:r>
            <w:r>
              <w:rPr>
                <w:spacing w:val="33"/>
                <w:sz w:val="18"/>
                <w:szCs w:val="18"/>
              </w:rPr>
              <w:t xml:space="preserve"> </w:t>
            </w:r>
            <w:r>
              <w:rPr>
                <w:sz w:val="18"/>
                <w:szCs w:val="18"/>
              </w:rPr>
              <w:t>rekreasyon</w:t>
            </w:r>
            <w:r>
              <w:rPr>
                <w:spacing w:val="34"/>
                <w:sz w:val="18"/>
                <w:szCs w:val="18"/>
              </w:rPr>
              <w:t xml:space="preserve"> </w:t>
            </w:r>
            <w:r>
              <w:rPr>
                <w:sz w:val="18"/>
                <w:szCs w:val="18"/>
              </w:rPr>
              <w:t>faaliyetleri</w:t>
            </w:r>
            <w:r>
              <w:rPr>
                <w:spacing w:val="33"/>
                <w:sz w:val="18"/>
                <w:szCs w:val="18"/>
              </w:rPr>
              <w:t xml:space="preserve"> </w:t>
            </w:r>
            <w:r>
              <w:rPr>
                <w:sz w:val="18"/>
                <w:szCs w:val="18"/>
              </w:rPr>
              <w:t>ile</w:t>
            </w:r>
            <w:r>
              <w:rPr>
                <w:spacing w:val="32"/>
                <w:sz w:val="18"/>
                <w:szCs w:val="18"/>
              </w:rPr>
              <w:t xml:space="preserve"> </w:t>
            </w:r>
            <w:r>
              <w:rPr>
                <w:sz w:val="18"/>
                <w:szCs w:val="18"/>
              </w:rPr>
              <w:t>gerçek</w:t>
            </w:r>
            <w:r>
              <w:rPr>
                <w:spacing w:val="31"/>
                <w:sz w:val="18"/>
                <w:szCs w:val="18"/>
              </w:rPr>
              <w:t xml:space="preserve"> </w:t>
            </w:r>
            <w:r>
              <w:rPr>
                <w:sz w:val="18"/>
                <w:szCs w:val="18"/>
              </w:rPr>
              <w:t>dünyaya</w:t>
            </w:r>
            <w:r>
              <w:rPr>
                <w:spacing w:val="32"/>
                <w:sz w:val="18"/>
                <w:szCs w:val="18"/>
              </w:rPr>
              <w:t xml:space="preserve"> </w:t>
            </w:r>
            <w:r>
              <w:rPr>
                <w:sz w:val="18"/>
                <w:szCs w:val="18"/>
              </w:rPr>
              <w:t>ilişkin duygu ve düşüncelerimi unuturum.</w:t>
            </w:r>
          </w:p>
        </w:tc>
        <w:tc>
          <w:tcPr>
            <w:tcW w:w="680" w:type="dxa"/>
            <w:shd w:val="clear" w:color="auto" w:fill="FFFFFF" w:themeFill="background1"/>
          </w:tcPr>
          <w:p w14:paraId="1831DA7D">
            <w:pPr>
              <w:pStyle w:val="29"/>
              <w:spacing w:before="104"/>
              <w:rPr>
                <w:sz w:val="18"/>
                <w:szCs w:val="18"/>
              </w:rPr>
            </w:pPr>
          </w:p>
        </w:tc>
        <w:tc>
          <w:tcPr>
            <w:tcW w:w="567" w:type="dxa"/>
            <w:shd w:val="clear" w:color="auto" w:fill="FFFFFF" w:themeFill="background1"/>
          </w:tcPr>
          <w:p w14:paraId="6AD427E0">
            <w:pPr>
              <w:pStyle w:val="29"/>
              <w:spacing w:before="104"/>
              <w:rPr>
                <w:sz w:val="18"/>
                <w:szCs w:val="18"/>
              </w:rPr>
            </w:pPr>
          </w:p>
        </w:tc>
        <w:tc>
          <w:tcPr>
            <w:tcW w:w="1014" w:type="dxa"/>
            <w:shd w:val="clear" w:color="auto" w:fill="FFFFFF" w:themeFill="background1"/>
          </w:tcPr>
          <w:p w14:paraId="6A3FEAED">
            <w:pPr>
              <w:pStyle w:val="29"/>
              <w:spacing w:before="104"/>
              <w:rPr>
                <w:sz w:val="18"/>
                <w:szCs w:val="18"/>
              </w:rPr>
            </w:pPr>
          </w:p>
        </w:tc>
        <w:tc>
          <w:tcPr>
            <w:tcW w:w="709" w:type="dxa"/>
            <w:shd w:val="clear" w:color="auto" w:fill="FFFFFF" w:themeFill="background1"/>
          </w:tcPr>
          <w:p w14:paraId="09604CD2">
            <w:pPr>
              <w:pStyle w:val="29"/>
              <w:spacing w:before="104"/>
              <w:rPr>
                <w:sz w:val="18"/>
                <w:szCs w:val="18"/>
              </w:rPr>
            </w:pPr>
          </w:p>
        </w:tc>
        <w:tc>
          <w:tcPr>
            <w:tcW w:w="871" w:type="dxa"/>
            <w:shd w:val="clear" w:color="auto" w:fill="FFFFFF" w:themeFill="background1"/>
          </w:tcPr>
          <w:p w14:paraId="6CF4F8F1">
            <w:pPr>
              <w:pStyle w:val="29"/>
              <w:spacing w:before="104"/>
              <w:rPr>
                <w:sz w:val="18"/>
                <w:szCs w:val="18"/>
              </w:rPr>
            </w:pPr>
          </w:p>
        </w:tc>
      </w:tr>
      <w:tr w14:paraId="72C98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637" w:hRule="atLeast"/>
        </w:trPr>
        <w:tc>
          <w:tcPr>
            <w:tcW w:w="851" w:type="dxa"/>
            <w:shd w:val="clear" w:color="auto" w:fill="FFFFFF" w:themeFill="background1"/>
          </w:tcPr>
          <w:p w14:paraId="166DA68C">
            <w:pPr>
              <w:pStyle w:val="29"/>
              <w:spacing w:before="109"/>
              <w:ind w:left="182"/>
              <w:rPr>
                <w:b/>
                <w:spacing w:val="-5"/>
                <w:sz w:val="18"/>
                <w:szCs w:val="18"/>
              </w:rPr>
            </w:pPr>
            <w:r>
              <w:rPr>
                <w:b/>
                <w:spacing w:val="-5"/>
                <w:sz w:val="18"/>
                <w:szCs w:val="18"/>
              </w:rPr>
              <w:t>36</w:t>
            </w:r>
          </w:p>
        </w:tc>
        <w:tc>
          <w:tcPr>
            <w:tcW w:w="4826" w:type="dxa"/>
            <w:shd w:val="clear" w:color="auto" w:fill="FFFFFF" w:themeFill="background1"/>
          </w:tcPr>
          <w:p w14:paraId="6B8313A2">
            <w:pPr>
              <w:pStyle w:val="29"/>
              <w:jc w:val="both"/>
              <w:rPr>
                <w:sz w:val="18"/>
                <w:szCs w:val="18"/>
              </w:rPr>
            </w:pPr>
            <w:r>
              <w:rPr>
                <w:sz w:val="18"/>
                <w:szCs w:val="18"/>
              </w:rPr>
              <w:t>Sanal</w:t>
            </w:r>
            <w:r>
              <w:rPr>
                <w:spacing w:val="23"/>
                <w:sz w:val="18"/>
                <w:szCs w:val="18"/>
              </w:rPr>
              <w:t xml:space="preserve"> </w:t>
            </w:r>
            <w:r>
              <w:rPr>
                <w:sz w:val="18"/>
                <w:szCs w:val="18"/>
              </w:rPr>
              <w:t>gerçeklik</w:t>
            </w:r>
            <w:r>
              <w:rPr>
                <w:spacing w:val="24"/>
                <w:sz w:val="18"/>
                <w:szCs w:val="18"/>
              </w:rPr>
              <w:t xml:space="preserve"> </w:t>
            </w:r>
            <w:r>
              <w:rPr>
                <w:sz w:val="18"/>
                <w:szCs w:val="18"/>
              </w:rPr>
              <w:t>cihazları</w:t>
            </w:r>
            <w:r>
              <w:rPr>
                <w:spacing w:val="26"/>
                <w:sz w:val="18"/>
                <w:szCs w:val="18"/>
              </w:rPr>
              <w:t xml:space="preserve"> </w:t>
            </w:r>
            <w:r>
              <w:rPr>
                <w:sz w:val="18"/>
                <w:szCs w:val="18"/>
              </w:rPr>
              <w:t>ile</w:t>
            </w:r>
            <w:r>
              <w:rPr>
                <w:spacing w:val="23"/>
                <w:sz w:val="18"/>
                <w:szCs w:val="18"/>
              </w:rPr>
              <w:t xml:space="preserve"> </w:t>
            </w:r>
            <w:r>
              <w:rPr>
                <w:sz w:val="18"/>
                <w:szCs w:val="18"/>
              </w:rPr>
              <w:t>sanal</w:t>
            </w:r>
            <w:r>
              <w:rPr>
                <w:spacing w:val="24"/>
                <w:sz w:val="18"/>
                <w:szCs w:val="18"/>
              </w:rPr>
              <w:t xml:space="preserve"> </w:t>
            </w:r>
            <w:r>
              <w:rPr>
                <w:sz w:val="18"/>
                <w:szCs w:val="18"/>
              </w:rPr>
              <w:t>rekreasyon</w:t>
            </w:r>
            <w:r>
              <w:rPr>
                <w:spacing w:val="26"/>
                <w:sz w:val="18"/>
                <w:szCs w:val="18"/>
              </w:rPr>
              <w:t xml:space="preserve"> </w:t>
            </w:r>
            <w:r>
              <w:rPr>
                <w:sz w:val="18"/>
                <w:szCs w:val="18"/>
              </w:rPr>
              <w:t>faaliyetlerinin</w:t>
            </w:r>
            <w:r>
              <w:rPr>
                <w:spacing w:val="24"/>
                <w:sz w:val="18"/>
                <w:szCs w:val="18"/>
              </w:rPr>
              <w:t xml:space="preserve"> </w:t>
            </w:r>
            <w:r>
              <w:rPr>
                <w:spacing w:val="-4"/>
                <w:sz w:val="18"/>
                <w:szCs w:val="18"/>
              </w:rPr>
              <w:t>içine</w:t>
            </w:r>
            <w:r>
              <w:rPr>
                <w:sz w:val="18"/>
                <w:szCs w:val="18"/>
              </w:rPr>
              <w:t xml:space="preserve"> </w:t>
            </w:r>
            <w:r>
              <w:rPr>
                <w:spacing w:val="-2"/>
                <w:sz w:val="18"/>
                <w:szCs w:val="18"/>
              </w:rPr>
              <w:t>dalarım.</w:t>
            </w:r>
          </w:p>
        </w:tc>
        <w:tc>
          <w:tcPr>
            <w:tcW w:w="680" w:type="dxa"/>
            <w:shd w:val="clear" w:color="auto" w:fill="FFFFFF" w:themeFill="background1"/>
          </w:tcPr>
          <w:p w14:paraId="058C948F">
            <w:pPr>
              <w:pStyle w:val="29"/>
              <w:spacing w:before="104"/>
              <w:rPr>
                <w:sz w:val="18"/>
                <w:szCs w:val="18"/>
              </w:rPr>
            </w:pPr>
          </w:p>
        </w:tc>
        <w:tc>
          <w:tcPr>
            <w:tcW w:w="567" w:type="dxa"/>
            <w:shd w:val="clear" w:color="auto" w:fill="FFFFFF" w:themeFill="background1"/>
          </w:tcPr>
          <w:p w14:paraId="03FA1CDB">
            <w:pPr>
              <w:pStyle w:val="29"/>
              <w:spacing w:before="104"/>
              <w:rPr>
                <w:sz w:val="18"/>
                <w:szCs w:val="18"/>
              </w:rPr>
            </w:pPr>
          </w:p>
        </w:tc>
        <w:tc>
          <w:tcPr>
            <w:tcW w:w="1014" w:type="dxa"/>
            <w:shd w:val="clear" w:color="auto" w:fill="FFFFFF" w:themeFill="background1"/>
          </w:tcPr>
          <w:p w14:paraId="3669D2A8">
            <w:pPr>
              <w:pStyle w:val="29"/>
              <w:spacing w:before="104"/>
              <w:rPr>
                <w:sz w:val="18"/>
                <w:szCs w:val="18"/>
              </w:rPr>
            </w:pPr>
          </w:p>
        </w:tc>
        <w:tc>
          <w:tcPr>
            <w:tcW w:w="709" w:type="dxa"/>
            <w:shd w:val="clear" w:color="auto" w:fill="FFFFFF" w:themeFill="background1"/>
          </w:tcPr>
          <w:p w14:paraId="6A348279">
            <w:pPr>
              <w:pStyle w:val="29"/>
              <w:spacing w:before="104"/>
              <w:rPr>
                <w:sz w:val="18"/>
                <w:szCs w:val="18"/>
              </w:rPr>
            </w:pPr>
          </w:p>
        </w:tc>
        <w:tc>
          <w:tcPr>
            <w:tcW w:w="871" w:type="dxa"/>
            <w:shd w:val="clear" w:color="auto" w:fill="FFFFFF" w:themeFill="background1"/>
          </w:tcPr>
          <w:p w14:paraId="5BEB5551">
            <w:pPr>
              <w:pStyle w:val="29"/>
              <w:spacing w:before="104"/>
              <w:rPr>
                <w:sz w:val="18"/>
                <w:szCs w:val="18"/>
              </w:rPr>
            </w:pPr>
          </w:p>
        </w:tc>
      </w:tr>
      <w:tr w14:paraId="2DB81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439" w:hRule="atLeast"/>
        </w:trPr>
        <w:tc>
          <w:tcPr>
            <w:tcW w:w="851" w:type="dxa"/>
            <w:shd w:val="clear" w:color="auto" w:fill="FFFFFF" w:themeFill="background1"/>
          </w:tcPr>
          <w:p w14:paraId="16B7620A">
            <w:pPr>
              <w:pStyle w:val="29"/>
              <w:spacing w:before="109"/>
              <w:ind w:left="182"/>
              <w:rPr>
                <w:b/>
                <w:spacing w:val="-5"/>
                <w:sz w:val="18"/>
                <w:szCs w:val="18"/>
              </w:rPr>
            </w:pPr>
            <w:r>
              <w:rPr>
                <w:b/>
                <w:spacing w:val="-5"/>
                <w:sz w:val="18"/>
                <w:szCs w:val="18"/>
              </w:rPr>
              <w:t>37</w:t>
            </w:r>
          </w:p>
        </w:tc>
        <w:tc>
          <w:tcPr>
            <w:tcW w:w="4826" w:type="dxa"/>
            <w:shd w:val="clear" w:color="auto" w:fill="FFFFFF" w:themeFill="background1"/>
          </w:tcPr>
          <w:p w14:paraId="1A1F07B5">
            <w:pPr>
              <w:pStyle w:val="29"/>
              <w:jc w:val="both"/>
              <w:rPr>
                <w:sz w:val="18"/>
                <w:szCs w:val="18"/>
              </w:rPr>
            </w:pPr>
            <w:r>
              <w:rPr>
                <w:sz w:val="18"/>
                <w:szCs w:val="18"/>
              </w:rPr>
              <w:t>Sanal</w:t>
            </w:r>
            <w:r>
              <w:rPr>
                <w:spacing w:val="-3"/>
                <w:sz w:val="18"/>
                <w:szCs w:val="18"/>
              </w:rPr>
              <w:t xml:space="preserve"> </w:t>
            </w:r>
            <w:r>
              <w:rPr>
                <w:sz w:val="18"/>
                <w:szCs w:val="18"/>
              </w:rPr>
              <w:t>rekreasyon</w:t>
            </w:r>
            <w:r>
              <w:rPr>
                <w:spacing w:val="-2"/>
                <w:sz w:val="18"/>
                <w:szCs w:val="18"/>
              </w:rPr>
              <w:t xml:space="preserve"> </w:t>
            </w:r>
            <w:r>
              <w:rPr>
                <w:sz w:val="18"/>
                <w:szCs w:val="18"/>
              </w:rPr>
              <w:t>faaliyetlerinin</w:t>
            </w:r>
            <w:r>
              <w:rPr>
                <w:spacing w:val="-3"/>
                <w:sz w:val="18"/>
                <w:szCs w:val="18"/>
              </w:rPr>
              <w:t xml:space="preserve"> </w:t>
            </w:r>
            <w:r>
              <w:rPr>
                <w:sz w:val="18"/>
                <w:szCs w:val="18"/>
              </w:rPr>
              <w:t>içine</w:t>
            </w:r>
            <w:r>
              <w:rPr>
                <w:spacing w:val="-5"/>
                <w:sz w:val="18"/>
                <w:szCs w:val="18"/>
              </w:rPr>
              <w:t xml:space="preserve"> </w:t>
            </w:r>
            <w:r>
              <w:rPr>
                <w:sz w:val="18"/>
                <w:szCs w:val="18"/>
              </w:rPr>
              <w:t>daldığımda,</w:t>
            </w:r>
            <w:r>
              <w:rPr>
                <w:spacing w:val="-1"/>
                <w:sz w:val="18"/>
                <w:szCs w:val="18"/>
              </w:rPr>
              <w:t xml:space="preserve"> </w:t>
            </w:r>
            <w:r>
              <w:rPr>
                <w:sz w:val="18"/>
                <w:szCs w:val="18"/>
              </w:rPr>
              <w:t>yepyeni</w:t>
            </w:r>
            <w:r>
              <w:rPr>
                <w:spacing w:val="-1"/>
                <w:sz w:val="18"/>
                <w:szCs w:val="18"/>
              </w:rPr>
              <w:t xml:space="preserve"> </w:t>
            </w:r>
            <w:r>
              <w:rPr>
                <w:sz w:val="18"/>
                <w:szCs w:val="18"/>
              </w:rPr>
              <w:t>duygu</w:t>
            </w:r>
            <w:r>
              <w:rPr>
                <w:spacing w:val="-1"/>
                <w:sz w:val="18"/>
                <w:szCs w:val="18"/>
              </w:rPr>
              <w:t xml:space="preserve"> </w:t>
            </w:r>
            <w:r>
              <w:rPr>
                <w:spacing w:val="-5"/>
                <w:sz w:val="18"/>
                <w:szCs w:val="18"/>
              </w:rPr>
              <w:t>ve</w:t>
            </w:r>
            <w:r>
              <w:rPr>
                <w:sz w:val="18"/>
                <w:szCs w:val="18"/>
              </w:rPr>
              <w:t xml:space="preserve"> </w:t>
            </w:r>
            <w:r>
              <w:rPr>
                <w:spacing w:val="-2"/>
                <w:sz w:val="18"/>
                <w:szCs w:val="18"/>
              </w:rPr>
              <w:t>düşünceler</w:t>
            </w:r>
            <w:r>
              <w:rPr>
                <w:spacing w:val="8"/>
                <w:sz w:val="18"/>
                <w:szCs w:val="18"/>
              </w:rPr>
              <w:t xml:space="preserve"> </w:t>
            </w:r>
            <w:r>
              <w:rPr>
                <w:spacing w:val="-2"/>
                <w:sz w:val="18"/>
                <w:szCs w:val="18"/>
              </w:rPr>
              <w:t>edinirim.</w:t>
            </w:r>
          </w:p>
        </w:tc>
        <w:tc>
          <w:tcPr>
            <w:tcW w:w="680" w:type="dxa"/>
            <w:shd w:val="clear" w:color="auto" w:fill="FFFFFF" w:themeFill="background1"/>
          </w:tcPr>
          <w:p w14:paraId="3E340DD7">
            <w:pPr>
              <w:pStyle w:val="29"/>
              <w:spacing w:before="104"/>
              <w:rPr>
                <w:sz w:val="18"/>
                <w:szCs w:val="18"/>
              </w:rPr>
            </w:pPr>
          </w:p>
        </w:tc>
        <w:tc>
          <w:tcPr>
            <w:tcW w:w="567" w:type="dxa"/>
            <w:shd w:val="clear" w:color="auto" w:fill="FFFFFF" w:themeFill="background1"/>
          </w:tcPr>
          <w:p w14:paraId="1C2A5D71">
            <w:pPr>
              <w:pStyle w:val="29"/>
              <w:spacing w:before="104"/>
              <w:rPr>
                <w:sz w:val="18"/>
                <w:szCs w:val="18"/>
              </w:rPr>
            </w:pPr>
          </w:p>
        </w:tc>
        <w:tc>
          <w:tcPr>
            <w:tcW w:w="1014" w:type="dxa"/>
            <w:shd w:val="clear" w:color="auto" w:fill="FFFFFF" w:themeFill="background1"/>
          </w:tcPr>
          <w:p w14:paraId="48A13B54">
            <w:pPr>
              <w:pStyle w:val="29"/>
              <w:spacing w:before="104"/>
              <w:rPr>
                <w:sz w:val="18"/>
                <w:szCs w:val="18"/>
              </w:rPr>
            </w:pPr>
          </w:p>
        </w:tc>
        <w:tc>
          <w:tcPr>
            <w:tcW w:w="709" w:type="dxa"/>
            <w:shd w:val="clear" w:color="auto" w:fill="FFFFFF" w:themeFill="background1"/>
          </w:tcPr>
          <w:p w14:paraId="6291012B">
            <w:pPr>
              <w:pStyle w:val="29"/>
              <w:spacing w:before="104"/>
              <w:rPr>
                <w:sz w:val="18"/>
                <w:szCs w:val="18"/>
              </w:rPr>
            </w:pPr>
          </w:p>
        </w:tc>
        <w:tc>
          <w:tcPr>
            <w:tcW w:w="871" w:type="dxa"/>
            <w:shd w:val="clear" w:color="auto" w:fill="FFFFFF" w:themeFill="background1"/>
          </w:tcPr>
          <w:p w14:paraId="522C502D">
            <w:pPr>
              <w:pStyle w:val="29"/>
              <w:spacing w:before="104"/>
              <w:rPr>
                <w:sz w:val="18"/>
                <w:szCs w:val="18"/>
              </w:rPr>
            </w:pPr>
          </w:p>
        </w:tc>
      </w:tr>
      <w:tr w14:paraId="371E3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9" w:hRule="atLeast"/>
        </w:trPr>
        <w:tc>
          <w:tcPr>
            <w:tcW w:w="851" w:type="dxa"/>
            <w:shd w:val="clear" w:color="auto" w:fill="FFFFFF" w:themeFill="background1"/>
          </w:tcPr>
          <w:p w14:paraId="4188A629">
            <w:pPr>
              <w:pStyle w:val="29"/>
              <w:spacing w:before="109"/>
              <w:ind w:left="182"/>
              <w:rPr>
                <w:b/>
                <w:spacing w:val="-5"/>
                <w:sz w:val="18"/>
                <w:szCs w:val="18"/>
              </w:rPr>
            </w:pPr>
            <w:r>
              <w:rPr>
                <w:b/>
                <w:spacing w:val="-5"/>
                <w:sz w:val="18"/>
                <w:szCs w:val="18"/>
              </w:rPr>
              <w:t>38</w:t>
            </w:r>
          </w:p>
        </w:tc>
        <w:tc>
          <w:tcPr>
            <w:tcW w:w="4826" w:type="dxa"/>
            <w:shd w:val="clear" w:color="auto" w:fill="FFFFFF" w:themeFill="background1"/>
          </w:tcPr>
          <w:p w14:paraId="29C535B9">
            <w:pPr>
              <w:pStyle w:val="29"/>
              <w:jc w:val="both"/>
              <w:rPr>
                <w:sz w:val="18"/>
                <w:szCs w:val="18"/>
              </w:rPr>
            </w:pPr>
            <w:r>
              <w:rPr>
                <w:sz w:val="18"/>
                <w:szCs w:val="18"/>
              </w:rPr>
              <w:t>Sanal</w:t>
            </w:r>
            <w:r>
              <w:rPr>
                <w:spacing w:val="-8"/>
                <w:sz w:val="18"/>
                <w:szCs w:val="18"/>
              </w:rPr>
              <w:t xml:space="preserve"> </w:t>
            </w:r>
            <w:r>
              <w:rPr>
                <w:sz w:val="18"/>
                <w:szCs w:val="18"/>
              </w:rPr>
              <w:t>rekreasyon</w:t>
            </w:r>
            <w:r>
              <w:rPr>
                <w:spacing w:val="-6"/>
                <w:sz w:val="18"/>
                <w:szCs w:val="18"/>
              </w:rPr>
              <w:t xml:space="preserve"> </w:t>
            </w:r>
            <w:r>
              <w:rPr>
                <w:sz w:val="18"/>
                <w:szCs w:val="18"/>
              </w:rPr>
              <w:t>faaliyetleri</w:t>
            </w:r>
            <w:r>
              <w:rPr>
                <w:spacing w:val="-5"/>
                <w:sz w:val="18"/>
                <w:szCs w:val="18"/>
              </w:rPr>
              <w:t xml:space="preserve"> </w:t>
            </w:r>
            <w:r>
              <w:rPr>
                <w:sz w:val="18"/>
                <w:szCs w:val="18"/>
              </w:rPr>
              <w:t>ile</w:t>
            </w:r>
            <w:r>
              <w:rPr>
                <w:spacing w:val="-8"/>
                <w:sz w:val="18"/>
                <w:szCs w:val="18"/>
              </w:rPr>
              <w:t xml:space="preserve"> </w:t>
            </w:r>
            <w:r>
              <w:rPr>
                <w:sz w:val="18"/>
                <w:szCs w:val="18"/>
              </w:rPr>
              <w:t>orada</w:t>
            </w:r>
            <w:r>
              <w:rPr>
                <w:spacing w:val="-6"/>
                <w:sz w:val="18"/>
                <w:szCs w:val="18"/>
              </w:rPr>
              <w:t xml:space="preserve"> </w:t>
            </w:r>
            <w:r>
              <w:rPr>
                <w:sz w:val="18"/>
                <w:szCs w:val="18"/>
              </w:rPr>
              <w:t>olduğumu</w:t>
            </w:r>
            <w:r>
              <w:rPr>
                <w:spacing w:val="-7"/>
                <w:sz w:val="18"/>
                <w:szCs w:val="18"/>
              </w:rPr>
              <w:t xml:space="preserve"> </w:t>
            </w:r>
            <w:r>
              <w:rPr>
                <w:spacing w:val="-2"/>
                <w:sz w:val="18"/>
                <w:szCs w:val="18"/>
              </w:rPr>
              <w:t>hissederim.</w:t>
            </w:r>
          </w:p>
        </w:tc>
        <w:tc>
          <w:tcPr>
            <w:tcW w:w="680" w:type="dxa"/>
            <w:shd w:val="clear" w:color="auto" w:fill="FFFFFF" w:themeFill="background1"/>
          </w:tcPr>
          <w:p w14:paraId="09A8F414">
            <w:pPr>
              <w:pStyle w:val="29"/>
              <w:spacing w:before="104"/>
              <w:rPr>
                <w:sz w:val="18"/>
                <w:szCs w:val="18"/>
              </w:rPr>
            </w:pPr>
          </w:p>
        </w:tc>
        <w:tc>
          <w:tcPr>
            <w:tcW w:w="567" w:type="dxa"/>
            <w:shd w:val="clear" w:color="auto" w:fill="FFFFFF" w:themeFill="background1"/>
          </w:tcPr>
          <w:p w14:paraId="2D35C9A8">
            <w:pPr>
              <w:pStyle w:val="29"/>
              <w:spacing w:before="104"/>
              <w:rPr>
                <w:sz w:val="18"/>
                <w:szCs w:val="18"/>
              </w:rPr>
            </w:pPr>
          </w:p>
        </w:tc>
        <w:tc>
          <w:tcPr>
            <w:tcW w:w="1014" w:type="dxa"/>
            <w:shd w:val="clear" w:color="auto" w:fill="FFFFFF" w:themeFill="background1"/>
          </w:tcPr>
          <w:p w14:paraId="43E4C42A">
            <w:pPr>
              <w:pStyle w:val="29"/>
              <w:spacing w:before="104"/>
              <w:rPr>
                <w:sz w:val="18"/>
                <w:szCs w:val="18"/>
              </w:rPr>
            </w:pPr>
          </w:p>
        </w:tc>
        <w:tc>
          <w:tcPr>
            <w:tcW w:w="709" w:type="dxa"/>
            <w:shd w:val="clear" w:color="auto" w:fill="FFFFFF" w:themeFill="background1"/>
          </w:tcPr>
          <w:p w14:paraId="457DCCE3">
            <w:pPr>
              <w:pStyle w:val="29"/>
              <w:spacing w:before="104"/>
              <w:rPr>
                <w:sz w:val="18"/>
                <w:szCs w:val="18"/>
              </w:rPr>
            </w:pPr>
          </w:p>
        </w:tc>
        <w:tc>
          <w:tcPr>
            <w:tcW w:w="871" w:type="dxa"/>
            <w:shd w:val="clear" w:color="auto" w:fill="FFFFFF" w:themeFill="background1"/>
          </w:tcPr>
          <w:p w14:paraId="12B39020">
            <w:pPr>
              <w:pStyle w:val="29"/>
              <w:spacing w:before="104"/>
              <w:rPr>
                <w:sz w:val="18"/>
                <w:szCs w:val="18"/>
              </w:rPr>
            </w:pPr>
          </w:p>
        </w:tc>
      </w:tr>
      <w:tr w14:paraId="25BC1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283" w:hRule="atLeast"/>
        </w:trPr>
        <w:tc>
          <w:tcPr>
            <w:tcW w:w="851" w:type="dxa"/>
            <w:shd w:val="clear" w:color="auto" w:fill="FFFFFF" w:themeFill="background1"/>
          </w:tcPr>
          <w:p w14:paraId="5F632583">
            <w:pPr>
              <w:pStyle w:val="29"/>
              <w:spacing w:before="109"/>
              <w:ind w:left="182"/>
              <w:rPr>
                <w:b/>
                <w:spacing w:val="-5"/>
                <w:sz w:val="18"/>
                <w:szCs w:val="18"/>
              </w:rPr>
            </w:pPr>
            <w:r>
              <w:rPr>
                <w:b/>
                <w:spacing w:val="-5"/>
                <w:sz w:val="18"/>
                <w:szCs w:val="18"/>
              </w:rPr>
              <w:t>39</w:t>
            </w:r>
          </w:p>
        </w:tc>
        <w:tc>
          <w:tcPr>
            <w:tcW w:w="4826" w:type="dxa"/>
            <w:shd w:val="clear" w:color="auto" w:fill="FFFFFF" w:themeFill="background1"/>
          </w:tcPr>
          <w:p w14:paraId="26D75229">
            <w:pPr>
              <w:pStyle w:val="29"/>
              <w:jc w:val="both"/>
              <w:rPr>
                <w:sz w:val="18"/>
                <w:szCs w:val="18"/>
              </w:rPr>
            </w:pPr>
            <w:r>
              <w:rPr>
                <w:sz w:val="18"/>
                <w:szCs w:val="18"/>
              </w:rPr>
              <w:t>Sanal</w:t>
            </w:r>
            <w:r>
              <w:rPr>
                <w:spacing w:val="1"/>
                <w:sz w:val="18"/>
                <w:szCs w:val="18"/>
              </w:rPr>
              <w:t xml:space="preserve"> </w:t>
            </w:r>
            <w:r>
              <w:rPr>
                <w:sz w:val="18"/>
                <w:szCs w:val="18"/>
              </w:rPr>
              <w:t>rekreasyon</w:t>
            </w:r>
            <w:r>
              <w:rPr>
                <w:spacing w:val="3"/>
                <w:sz w:val="18"/>
                <w:szCs w:val="18"/>
              </w:rPr>
              <w:t xml:space="preserve"> </w:t>
            </w:r>
            <w:r>
              <w:rPr>
                <w:sz w:val="18"/>
                <w:szCs w:val="18"/>
              </w:rPr>
              <w:t>faaliyetlerine</w:t>
            </w:r>
            <w:r>
              <w:rPr>
                <w:spacing w:val="2"/>
                <w:sz w:val="18"/>
                <w:szCs w:val="18"/>
              </w:rPr>
              <w:t xml:space="preserve"> </w:t>
            </w:r>
            <w:r>
              <w:rPr>
                <w:sz w:val="18"/>
                <w:szCs w:val="18"/>
              </w:rPr>
              <w:t>katıldığımda,</w:t>
            </w:r>
            <w:r>
              <w:rPr>
                <w:spacing w:val="3"/>
                <w:sz w:val="18"/>
                <w:szCs w:val="18"/>
              </w:rPr>
              <w:t xml:space="preserve"> </w:t>
            </w:r>
            <w:r>
              <w:rPr>
                <w:sz w:val="18"/>
                <w:szCs w:val="18"/>
              </w:rPr>
              <w:t>o</w:t>
            </w:r>
            <w:r>
              <w:rPr>
                <w:spacing w:val="2"/>
                <w:sz w:val="18"/>
                <w:szCs w:val="18"/>
              </w:rPr>
              <w:t xml:space="preserve"> </w:t>
            </w:r>
            <w:r>
              <w:rPr>
                <w:sz w:val="18"/>
                <w:szCs w:val="18"/>
              </w:rPr>
              <w:t>faaliyetten</w:t>
            </w:r>
            <w:r>
              <w:rPr>
                <w:spacing w:val="3"/>
                <w:sz w:val="18"/>
                <w:szCs w:val="18"/>
              </w:rPr>
              <w:t xml:space="preserve"> </w:t>
            </w:r>
            <w:r>
              <w:rPr>
                <w:sz w:val="18"/>
                <w:szCs w:val="18"/>
              </w:rPr>
              <w:t>başka</w:t>
            </w:r>
            <w:r>
              <w:rPr>
                <w:spacing w:val="2"/>
                <w:sz w:val="18"/>
                <w:szCs w:val="18"/>
              </w:rPr>
              <w:t xml:space="preserve"> </w:t>
            </w:r>
            <w:r>
              <w:rPr>
                <w:spacing w:val="-5"/>
                <w:sz w:val="18"/>
                <w:szCs w:val="18"/>
              </w:rPr>
              <w:t>bir</w:t>
            </w:r>
            <w:r>
              <w:rPr>
                <w:sz w:val="18"/>
                <w:szCs w:val="18"/>
              </w:rPr>
              <w:t xml:space="preserve"> şey</w:t>
            </w:r>
            <w:r>
              <w:rPr>
                <w:spacing w:val="-3"/>
                <w:sz w:val="18"/>
                <w:szCs w:val="18"/>
              </w:rPr>
              <w:t xml:space="preserve"> </w:t>
            </w:r>
            <w:r>
              <w:rPr>
                <w:spacing w:val="-2"/>
                <w:sz w:val="18"/>
                <w:szCs w:val="18"/>
              </w:rPr>
              <w:t>düşünmem.</w:t>
            </w:r>
          </w:p>
        </w:tc>
        <w:tc>
          <w:tcPr>
            <w:tcW w:w="680" w:type="dxa"/>
            <w:shd w:val="clear" w:color="auto" w:fill="FFFFFF" w:themeFill="background1"/>
          </w:tcPr>
          <w:p w14:paraId="7133D5D3">
            <w:pPr>
              <w:pStyle w:val="29"/>
              <w:spacing w:before="104"/>
              <w:rPr>
                <w:sz w:val="18"/>
                <w:szCs w:val="18"/>
              </w:rPr>
            </w:pPr>
          </w:p>
        </w:tc>
        <w:tc>
          <w:tcPr>
            <w:tcW w:w="567" w:type="dxa"/>
            <w:shd w:val="clear" w:color="auto" w:fill="FFFFFF" w:themeFill="background1"/>
          </w:tcPr>
          <w:p w14:paraId="2945CBC4">
            <w:pPr>
              <w:pStyle w:val="29"/>
              <w:spacing w:before="104"/>
              <w:rPr>
                <w:sz w:val="18"/>
                <w:szCs w:val="18"/>
              </w:rPr>
            </w:pPr>
          </w:p>
        </w:tc>
        <w:tc>
          <w:tcPr>
            <w:tcW w:w="1014" w:type="dxa"/>
            <w:shd w:val="clear" w:color="auto" w:fill="FFFFFF" w:themeFill="background1"/>
          </w:tcPr>
          <w:p w14:paraId="5261EC77">
            <w:pPr>
              <w:pStyle w:val="29"/>
              <w:spacing w:before="104"/>
              <w:rPr>
                <w:sz w:val="18"/>
                <w:szCs w:val="18"/>
              </w:rPr>
            </w:pPr>
          </w:p>
        </w:tc>
        <w:tc>
          <w:tcPr>
            <w:tcW w:w="709" w:type="dxa"/>
            <w:shd w:val="clear" w:color="auto" w:fill="FFFFFF" w:themeFill="background1"/>
          </w:tcPr>
          <w:p w14:paraId="79FA143B">
            <w:pPr>
              <w:pStyle w:val="29"/>
              <w:spacing w:before="104"/>
              <w:rPr>
                <w:sz w:val="18"/>
                <w:szCs w:val="18"/>
              </w:rPr>
            </w:pPr>
          </w:p>
        </w:tc>
        <w:tc>
          <w:tcPr>
            <w:tcW w:w="871" w:type="dxa"/>
            <w:shd w:val="clear" w:color="auto" w:fill="FFFFFF" w:themeFill="background1"/>
          </w:tcPr>
          <w:p w14:paraId="4D85E1EC">
            <w:pPr>
              <w:pStyle w:val="29"/>
              <w:spacing w:before="104"/>
              <w:rPr>
                <w:sz w:val="18"/>
                <w:szCs w:val="18"/>
              </w:rPr>
            </w:pPr>
          </w:p>
        </w:tc>
      </w:tr>
      <w:tr w14:paraId="5A382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35" w:hRule="atLeast"/>
        </w:trPr>
        <w:tc>
          <w:tcPr>
            <w:tcW w:w="851" w:type="dxa"/>
            <w:shd w:val="clear" w:color="auto" w:fill="FFFFFF" w:themeFill="background1"/>
          </w:tcPr>
          <w:p w14:paraId="0E89B187">
            <w:pPr>
              <w:pStyle w:val="29"/>
              <w:spacing w:before="109"/>
              <w:ind w:left="182"/>
              <w:rPr>
                <w:b/>
                <w:spacing w:val="-5"/>
                <w:sz w:val="18"/>
                <w:szCs w:val="18"/>
              </w:rPr>
            </w:pPr>
            <w:r>
              <w:rPr>
                <w:b/>
                <w:spacing w:val="-5"/>
                <w:sz w:val="18"/>
                <w:szCs w:val="18"/>
              </w:rPr>
              <w:t>40</w:t>
            </w:r>
          </w:p>
        </w:tc>
        <w:tc>
          <w:tcPr>
            <w:tcW w:w="4826" w:type="dxa"/>
            <w:shd w:val="clear" w:color="auto" w:fill="FFFFFF" w:themeFill="background1"/>
          </w:tcPr>
          <w:p w14:paraId="32DD040E">
            <w:pPr>
              <w:pStyle w:val="29"/>
              <w:jc w:val="both"/>
              <w:rPr>
                <w:sz w:val="18"/>
                <w:szCs w:val="18"/>
              </w:rPr>
            </w:pPr>
            <w:r>
              <w:rPr>
                <w:sz w:val="18"/>
                <w:szCs w:val="18"/>
              </w:rPr>
              <w:t>Sanal</w:t>
            </w:r>
            <w:r>
              <w:rPr>
                <w:spacing w:val="-9"/>
                <w:sz w:val="18"/>
                <w:szCs w:val="18"/>
              </w:rPr>
              <w:t xml:space="preserve"> </w:t>
            </w:r>
            <w:r>
              <w:rPr>
                <w:sz w:val="18"/>
                <w:szCs w:val="18"/>
              </w:rPr>
              <w:t>rekreasyon</w:t>
            </w:r>
            <w:r>
              <w:rPr>
                <w:spacing w:val="-7"/>
                <w:sz w:val="18"/>
                <w:szCs w:val="18"/>
              </w:rPr>
              <w:t xml:space="preserve"> </w:t>
            </w:r>
            <w:r>
              <w:rPr>
                <w:sz w:val="18"/>
                <w:szCs w:val="18"/>
              </w:rPr>
              <w:t>faaliyetinin</w:t>
            </w:r>
            <w:r>
              <w:rPr>
                <w:spacing w:val="-8"/>
                <w:sz w:val="18"/>
                <w:szCs w:val="18"/>
              </w:rPr>
              <w:t xml:space="preserve"> </w:t>
            </w:r>
            <w:r>
              <w:rPr>
                <w:sz w:val="18"/>
                <w:szCs w:val="18"/>
              </w:rPr>
              <w:t>içinde</w:t>
            </w:r>
            <w:r>
              <w:rPr>
                <w:spacing w:val="-10"/>
                <w:sz w:val="18"/>
                <w:szCs w:val="18"/>
              </w:rPr>
              <w:t xml:space="preserve"> </w:t>
            </w:r>
            <w:r>
              <w:rPr>
                <w:sz w:val="18"/>
                <w:szCs w:val="18"/>
              </w:rPr>
              <w:t>kaybolup</w:t>
            </w:r>
            <w:r>
              <w:rPr>
                <w:spacing w:val="-6"/>
                <w:sz w:val="18"/>
                <w:szCs w:val="18"/>
              </w:rPr>
              <w:t xml:space="preserve"> </w:t>
            </w:r>
            <w:r>
              <w:rPr>
                <w:spacing w:val="-2"/>
                <w:sz w:val="18"/>
                <w:szCs w:val="18"/>
              </w:rPr>
              <w:t>giderim.</w:t>
            </w:r>
          </w:p>
        </w:tc>
        <w:tc>
          <w:tcPr>
            <w:tcW w:w="680" w:type="dxa"/>
            <w:shd w:val="clear" w:color="auto" w:fill="FFFFFF" w:themeFill="background1"/>
          </w:tcPr>
          <w:p w14:paraId="09C02569">
            <w:pPr>
              <w:pStyle w:val="29"/>
              <w:spacing w:before="104"/>
              <w:rPr>
                <w:sz w:val="18"/>
                <w:szCs w:val="18"/>
              </w:rPr>
            </w:pPr>
          </w:p>
        </w:tc>
        <w:tc>
          <w:tcPr>
            <w:tcW w:w="567" w:type="dxa"/>
            <w:shd w:val="clear" w:color="auto" w:fill="FFFFFF" w:themeFill="background1"/>
          </w:tcPr>
          <w:p w14:paraId="067A14D6">
            <w:pPr>
              <w:pStyle w:val="29"/>
              <w:spacing w:before="104"/>
              <w:rPr>
                <w:sz w:val="18"/>
                <w:szCs w:val="18"/>
              </w:rPr>
            </w:pPr>
          </w:p>
        </w:tc>
        <w:tc>
          <w:tcPr>
            <w:tcW w:w="1014" w:type="dxa"/>
            <w:shd w:val="clear" w:color="auto" w:fill="FFFFFF" w:themeFill="background1"/>
          </w:tcPr>
          <w:p w14:paraId="705789B1">
            <w:pPr>
              <w:pStyle w:val="29"/>
              <w:spacing w:before="104"/>
              <w:rPr>
                <w:sz w:val="18"/>
                <w:szCs w:val="18"/>
              </w:rPr>
            </w:pPr>
          </w:p>
        </w:tc>
        <w:tc>
          <w:tcPr>
            <w:tcW w:w="709" w:type="dxa"/>
            <w:shd w:val="clear" w:color="auto" w:fill="FFFFFF" w:themeFill="background1"/>
          </w:tcPr>
          <w:p w14:paraId="49818B02">
            <w:pPr>
              <w:pStyle w:val="29"/>
              <w:spacing w:before="104"/>
              <w:rPr>
                <w:sz w:val="18"/>
                <w:szCs w:val="18"/>
              </w:rPr>
            </w:pPr>
          </w:p>
        </w:tc>
        <w:tc>
          <w:tcPr>
            <w:tcW w:w="871" w:type="dxa"/>
            <w:shd w:val="clear" w:color="auto" w:fill="FFFFFF" w:themeFill="background1"/>
          </w:tcPr>
          <w:p w14:paraId="3C22DC14">
            <w:pPr>
              <w:pStyle w:val="29"/>
              <w:spacing w:before="104"/>
              <w:rPr>
                <w:sz w:val="18"/>
                <w:szCs w:val="18"/>
              </w:rPr>
            </w:pPr>
          </w:p>
        </w:tc>
      </w:tr>
      <w:tr w14:paraId="1F59E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410" w:hRule="atLeast"/>
        </w:trPr>
        <w:tc>
          <w:tcPr>
            <w:tcW w:w="851" w:type="dxa"/>
            <w:shd w:val="clear" w:color="auto" w:fill="FFFFFF" w:themeFill="background1"/>
          </w:tcPr>
          <w:p w14:paraId="3F650EF6">
            <w:pPr>
              <w:pStyle w:val="29"/>
              <w:spacing w:before="109"/>
              <w:ind w:left="182"/>
              <w:rPr>
                <w:b/>
                <w:spacing w:val="-5"/>
                <w:sz w:val="18"/>
                <w:szCs w:val="18"/>
              </w:rPr>
            </w:pPr>
            <w:r>
              <w:rPr>
                <w:b/>
                <w:spacing w:val="-5"/>
                <w:sz w:val="18"/>
                <w:szCs w:val="18"/>
              </w:rPr>
              <w:t>41</w:t>
            </w:r>
          </w:p>
        </w:tc>
        <w:tc>
          <w:tcPr>
            <w:tcW w:w="4826" w:type="dxa"/>
            <w:shd w:val="clear" w:color="auto" w:fill="FFFFFF" w:themeFill="background1"/>
          </w:tcPr>
          <w:p w14:paraId="5F39D594">
            <w:pPr>
              <w:pStyle w:val="29"/>
              <w:jc w:val="both"/>
              <w:rPr>
                <w:sz w:val="18"/>
                <w:szCs w:val="18"/>
              </w:rPr>
            </w:pPr>
            <w:r>
              <w:rPr>
                <w:sz w:val="18"/>
                <w:szCs w:val="18"/>
              </w:rPr>
              <w:t>Sanal</w:t>
            </w:r>
            <w:r>
              <w:rPr>
                <w:spacing w:val="-9"/>
                <w:sz w:val="18"/>
                <w:szCs w:val="18"/>
              </w:rPr>
              <w:t xml:space="preserve"> </w:t>
            </w:r>
            <w:r>
              <w:rPr>
                <w:sz w:val="18"/>
                <w:szCs w:val="18"/>
              </w:rPr>
              <w:t>rekreasyon</w:t>
            </w:r>
            <w:r>
              <w:rPr>
                <w:spacing w:val="-7"/>
                <w:sz w:val="18"/>
                <w:szCs w:val="18"/>
              </w:rPr>
              <w:t xml:space="preserve"> </w:t>
            </w:r>
            <w:r>
              <w:rPr>
                <w:sz w:val="18"/>
                <w:szCs w:val="18"/>
              </w:rPr>
              <w:t>faaliyetleri</w:t>
            </w:r>
            <w:r>
              <w:rPr>
                <w:spacing w:val="-7"/>
                <w:sz w:val="18"/>
                <w:szCs w:val="18"/>
              </w:rPr>
              <w:t xml:space="preserve"> </w:t>
            </w:r>
            <w:r>
              <w:rPr>
                <w:sz w:val="18"/>
                <w:szCs w:val="18"/>
              </w:rPr>
              <w:t>ile</w:t>
            </w:r>
            <w:r>
              <w:rPr>
                <w:spacing w:val="-9"/>
                <w:sz w:val="18"/>
                <w:szCs w:val="18"/>
              </w:rPr>
              <w:t xml:space="preserve"> </w:t>
            </w:r>
            <w:r>
              <w:rPr>
                <w:sz w:val="18"/>
                <w:szCs w:val="18"/>
              </w:rPr>
              <w:t>kapasitemin</w:t>
            </w:r>
            <w:r>
              <w:rPr>
                <w:spacing w:val="-7"/>
                <w:sz w:val="18"/>
                <w:szCs w:val="18"/>
              </w:rPr>
              <w:t xml:space="preserve"> </w:t>
            </w:r>
            <w:r>
              <w:rPr>
                <w:sz w:val="18"/>
                <w:szCs w:val="18"/>
              </w:rPr>
              <w:t>sınırlarını</w:t>
            </w:r>
            <w:r>
              <w:rPr>
                <w:spacing w:val="-7"/>
                <w:sz w:val="18"/>
                <w:szCs w:val="18"/>
              </w:rPr>
              <w:t xml:space="preserve"> </w:t>
            </w:r>
            <w:r>
              <w:rPr>
                <w:spacing w:val="-2"/>
                <w:sz w:val="18"/>
                <w:szCs w:val="18"/>
              </w:rPr>
              <w:t>zorlarım.</w:t>
            </w:r>
          </w:p>
        </w:tc>
        <w:tc>
          <w:tcPr>
            <w:tcW w:w="680" w:type="dxa"/>
            <w:shd w:val="clear" w:color="auto" w:fill="FFFFFF" w:themeFill="background1"/>
          </w:tcPr>
          <w:p w14:paraId="6B2287D2">
            <w:pPr>
              <w:pStyle w:val="29"/>
              <w:spacing w:before="104"/>
              <w:rPr>
                <w:sz w:val="18"/>
                <w:szCs w:val="18"/>
              </w:rPr>
            </w:pPr>
          </w:p>
        </w:tc>
        <w:tc>
          <w:tcPr>
            <w:tcW w:w="567" w:type="dxa"/>
            <w:shd w:val="clear" w:color="auto" w:fill="FFFFFF" w:themeFill="background1"/>
          </w:tcPr>
          <w:p w14:paraId="10B69779">
            <w:pPr>
              <w:pStyle w:val="29"/>
              <w:spacing w:before="104"/>
              <w:rPr>
                <w:sz w:val="18"/>
                <w:szCs w:val="18"/>
              </w:rPr>
            </w:pPr>
          </w:p>
        </w:tc>
        <w:tc>
          <w:tcPr>
            <w:tcW w:w="1014" w:type="dxa"/>
            <w:shd w:val="clear" w:color="auto" w:fill="FFFFFF" w:themeFill="background1"/>
          </w:tcPr>
          <w:p w14:paraId="3ACB3DF5">
            <w:pPr>
              <w:pStyle w:val="29"/>
              <w:spacing w:before="104"/>
              <w:rPr>
                <w:sz w:val="18"/>
                <w:szCs w:val="18"/>
              </w:rPr>
            </w:pPr>
          </w:p>
        </w:tc>
        <w:tc>
          <w:tcPr>
            <w:tcW w:w="709" w:type="dxa"/>
            <w:shd w:val="clear" w:color="auto" w:fill="FFFFFF" w:themeFill="background1"/>
          </w:tcPr>
          <w:p w14:paraId="7A8BA31E">
            <w:pPr>
              <w:pStyle w:val="29"/>
              <w:spacing w:before="104"/>
              <w:rPr>
                <w:sz w:val="18"/>
                <w:szCs w:val="18"/>
              </w:rPr>
            </w:pPr>
          </w:p>
        </w:tc>
        <w:tc>
          <w:tcPr>
            <w:tcW w:w="871" w:type="dxa"/>
            <w:shd w:val="clear" w:color="auto" w:fill="FFFFFF" w:themeFill="background1"/>
          </w:tcPr>
          <w:p w14:paraId="7561DEB3">
            <w:pPr>
              <w:pStyle w:val="29"/>
              <w:spacing w:before="104"/>
              <w:rPr>
                <w:sz w:val="18"/>
                <w:szCs w:val="18"/>
              </w:rPr>
            </w:pPr>
          </w:p>
        </w:tc>
      </w:tr>
      <w:tr w14:paraId="6F3F9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416" w:hRule="atLeast"/>
        </w:trPr>
        <w:tc>
          <w:tcPr>
            <w:tcW w:w="851" w:type="dxa"/>
            <w:shd w:val="clear" w:color="auto" w:fill="FFFFFF" w:themeFill="background1"/>
          </w:tcPr>
          <w:p w14:paraId="2CEFDC47">
            <w:pPr>
              <w:pStyle w:val="29"/>
              <w:spacing w:before="109"/>
              <w:ind w:left="182"/>
              <w:rPr>
                <w:b/>
                <w:spacing w:val="-5"/>
                <w:sz w:val="18"/>
                <w:szCs w:val="18"/>
              </w:rPr>
            </w:pPr>
            <w:r>
              <w:rPr>
                <w:b/>
                <w:spacing w:val="-5"/>
                <w:sz w:val="18"/>
                <w:szCs w:val="18"/>
              </w:rPr>
              <w:t>42</w:t>
            </w:r>
          </w:p>
        </w:tc>
        <w:tc>
          <w:tcPr>
            <w:tcW w:w="4826" w:type="dxa"/>
            <w:shd w:val="clear" w:color="auto" w:fill="FFFFFF" w:themeFill="background1"/>
          </w:tcPr>
          <w:p w14:paraId="29CC0DBA">
            <w:pPr>
              <w:pStyle w:val="29"/>
              <w:jc w:val="both"/>
              <w:rPr>
                <w:sz w:val="18"/>
                <w:szCs w:val="18"/>
              </w:rPr>
            </w:pPr>
            <w:r>
              <w:rPr>
                <w:sz w:val="18"/>
                <w:szCs w:val="18"/>
              </w:rPr>
              <w:t>Sanal</w:t>
            </w:r>
            <w:r>
              <w:rPr>
                <w:spacing w:val="47"/>
                <w:sz w:val="18"/>
                <w:szCs w:val="18"/>
              </w:rPr>
              <w:t xml:space="preserve"> </w:t>
            </w:r>
            <w:r>
              <w:rPr>
                <w:sz w:val="18"/>
                <w:szCs w:val="18"/>
              </w:rPr>
              <w:t>rekreasyon</w:t>
            </w:r>
            <w:r>
              <w:rPr>
                <w:spacing w:val="54"/>
                <w:sz w:val="18"/>
                <w:szCs w:val="18"/>
              </w:rPr>
              <w:t xml:space="preserve"> </w:t>
            </w:r>
            <w:r>
              <w:rPr>
                <w:sz w:val="18"/>
                <w:szCs w:val="18"/>
              </w:rPr>
              <w:t>faaliyetleri</w:t>
            </w:r>
            <w:r>
              <w:rPr>
                <w:spacing w:val="53"/>
                <w:sz w:val="18"/>
                <w:szCs w:val="18"/>
              </w:rPr>
              <w:t xml:space="preserve"> </w:t>
            </w:r>
            <w:r>
              <w:rPr>
                <w:sz w:val="18"/>
                <w:szCs w:val="18"/>
              </w:rPr>
              <w:t>ile</w:t>
            </w:r>
            <w:r>
              <w:rPr>
                <w:spacing w:val="51"/>
                <w:sz w:val="18"/>
                <w:szCs w:val="18"/>
              </w:rPr>
              <w:t xml:space="preserve"> </w:t>
            </w:r>
            <w:r>
              <w:rPr>
                <w:sz w:val="18"/>
                <w:szCs w:val="18"/>
              </w:rPr>
              <w:t>zorlukların</w:t>
            </w:r>
            <w:r>
              <w:rPr>
                <w:spacing w:val="52"/>
                <w:sz w:val="18"/>
                <w:szCs w:val="18"/>
              </w:rPr>
              <w:t xml:space="preserve"> </w:t>
            </w:r>
            <w:r>
              <w:rPr>
                <w:sz w:val="18"/>
                <w:szCs w:val="18"/>
              </w:rPr>
              <w:t>üstesinden</w:t>
            </w:r>
            <w:r>
              <w:rPr>
                <w:spacing w:val="52"/>
                <w:sz w:val="18"/>
                <w:szCs w:val="18"/>
              </w:rPr>
              <w:t xml:space="preserve"> </w:t>
            </w:r>
            <w:r>
              <w:rPr>
                <w:spacing w:val="-2"/>
                <w:sz w:val="18"/>
                <w:szCs w:val="18"/>
              </w:rPr>
              <w:t>gelmeyi</w:t>
            </w:r>
            <w:r>
              <w:rPr>
                <w:sz w:val="18"/>
                <w:szCs w:val="18"/>
              </w:rPr>
              <w:t xml:space="preserve"> </w:t>
            </w:r>
            <w:r>
              <w:rPr>
                <w:spacing w:val="-2"/>
                <w:sz w:val="18"/>
                <w:szCs w:val="18"/>
              </w:rPr>
              <w:t>öğrenirim.</w:t>
            </w:r>
          </w:p>
        </w:tc>
        <w:tc>
          <w:tcPr>
            <w:tcW w:w="680" w:type="dxa"/>
            <w:shd w:val="clear" w:color="auto" w:fill="FFFFFF" w:themeFill="background1"/>
          </w:tcPr>
          <w:p w14:paraId="375E862D">
            <w:pPr>
              <w:pStyle w:val="29"/>
              <w:spacing w:before="104"/>
              <w:rPr>
                <w:sz w:val="18"/>
                <w:szCs w:val="18"/>
              </w:rPr>
            </w:pPr>
          </w:p>
        </w:tc>
        <w:tc>
          <w:tcPr>
            <w:tcW w:w="567" w:type="dxa"/>
            <w:shd w:val="clear" w:color="auto" w:fill="FFFFFF" w:themeFill="background1"/>
          </w:tcPr>
          <w:p w14:paraId="4E0D6A00">
            <w:pPr>
              <w:pStyle w:val="29"/>
              <w:spacing w:before="104"/>
              <w:rPr>
                <w:sz w:val="18"/>
                <w:szCs w:val="18"/>
              </w:rPr>
            </w:pPr>
          </w:p>
        </w:tc>
        <w:tc>
          <w:tcPr>
            <w:tcW w:w="1014" w:type="dxa"/>
            <w:shd w:val="clear" w:color="auto" w:fill="FFFFFF" w:themeFill="background1"/>
          </w:tcPr>
          <w:p w14:paraId="52AFB6B3">
            <w:pPr>
              <w:pStyle w:val="29"/>
              <w:spacing w:before="104"/>
              <w:rPr>
                <w:sz w:val="18"/>
                <w:szCs w:val="18"/>
              </w:rPr>
            </w:pPr>
          </w:p>
        </w:tc>
        <w:tc>
          <w:tcPr>
            <w:tcW w:w="709" w:type="dxa"/>
            <w:shd w:val="clear" w:color="auto" w:fill="FFFFFF" w:themeFill="background1"/>
          </w:tcPr>
          <w:p w14:paraId="31C780FA">
            <w:pPr>
              <w:pStyle w:val="29"/>
              <w:spacing w:before="104"/>
              <w:rPr>
                <w:sz w:val="18"/>
                <w:szCs w:val="18"/>
              </w:rPr>
            </w:pPr>
          </w:p>
        </w:tc>
        <w:tc>
          <w:tcPr>
            <w:tcW w:w="871" w:type="dxa"/>
            <w:shd w:val="clear" w:color="auto" w:fill="FFFFFF" w:themeFill="background1"/>
          </w:tcPr>
          <w:p w14:paraId="1A114BC9">
            <w:pPr>
              <w:pStyle w:val="29"/>
              <w:spacing w:before="104"/>
              <w:rPr>
                <w:sz w:val="18"/>
                <w:szCs w:val="18"/>
              </w:rPr>
            </w:pPr>
          </w:p>
        </w:tc>
      </w:tr>
      <w:tr w14:paraId="77E87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637" w:hRule="atLeast"/>
        </w:trPr>
        <w:tc>
          <w:tcPr>
            <w:tcW w:w="851" w:type="dxa"/>
            <w:shd w:val="clear" w:color="auto" w:fill="FFFFFF" w:themeFill="background1"/>
          </w:tcPr>
          <w:p w14:paraId="04261289">
            <w:pPr>
              <w:pStyle w:val="29"/>
              <w:spacing w:before="109"/>
              <w:ind w:left="182"/>
              <w:rPr>
                <w:b/>
                <w:spacing w:val="-5"/>
                <w:sz w:val="18"/>
                <w:szCs w:val="18"/>
              </w:rPr>
            </w:pPr>
            <w:r>
              <w:rPr>
                <w:b/>
                <w:spacing w:val="-5"/>
                <w:sz w:val="18"/>
                <w:szCs w:val="18"/>
              </w:rPr>
              <w:t>43</w:t>
            </w:r>
          </w:p>
        </w:tc>
        <w:tc>
          <w:tcPr>
            <w:tcW w:w="4826" w:type="dxa"/>
            <w:shd w:val="clear" w:color="auto" w:fill="FFFFFF" w:themeFill="background1"/>
          </w:tcPr>
          <w:p w14:paraId="09D05C42">
            <w:pPr>
              <w:pStyle w:val="29"/>
              <w:jc w:val="both"/>
              <w:rPr>
                <w:sz w:val="18"/>
                <w:szCs w:val="18"/>
              </w:rPr>
            </w:pPr>
            <w:r>
              <w:rPr>
                <w:sz w:val="18"/>
                <w:szCs w:val="18"/>
              </w:rPr>
              <w:t>Sanal</w:t>
            </w:r>
            <w:r>
              <w:rPr>
                <w:spacing w:val="40"/>
                <w:sz w:val="18"/>
                <w:szCs w:val="18"/>
              </w:rPr>
              <w:t xml:space="preserve"> </w:t>
            </w:r>
            <w:r>
              <w:rPr>
                <w:sz w:val="18"/>
                <w:szCs w:val="18"/>
              </w:rPr>
              <w:t>rekreasyon</w:t>
            </w:r>
            <w:r>
              <w:rPr>
                <w:spacing w:val="42"/>
                <w:sz w:val="18"/>
                <w:szCs w:val="18"/>
              </w:rPr>
              <w:t xml:space="preserve"> </w:t>
            </w:r>
            <w:r>
              <w:rPr>
                <w:sz w:val="18"/>
                <w:szCs w:val="18"/>
              </w:rPr>
              <w:t>faaliyetlerini</w:t>
            </w:r>
            <w:r>
              <w:rPr>
                <w:spacing w:val="42"/>
                <w:sz w:val="18"/>
                <w:szCs w:val="18"/>
              </w:rPr>
              <w:t xml:space="preserve"> </w:t>
            </w:r>
            <w:r>
              <w:rPr>
                <w:sz w:val="18"/>
                <w:szCs w:val="18"/>
              </w:rPr>
              <w:t>yaparken</w:t>
            </w:r>
            <w:r>
              <w:rPr>
                <w:spacing w:val="42"/>
                <w:sz w:val="18"/>
                <w:szCs w:val="18"/>
              </w:rPr>
              <w:t xml:space="preserve"> </w:t>
            </w:r>
            <w:r>
              <w:rPr>
                <w:sz w:val="18"/>
                <w:szCs w:val="18"/>
              </w:rPr>
              <w:t>zamanın</w:t>
            </w:r>
            <w:r>
              <w:rPr>
                <w:spacing w:val="42"/>
                <w:sz w:val="18"/>
                <w:szCs w:val="18"/>
              </w:rPr>
              <w:t xml:space="preserve"> </w:t>
            </w:r>
            <w:r>
              <w:rPr>
                <w:sz w:val="18"/>
                <w:szCs w:val="18"/>
              </w:rPr>
              <w:t>nasıl</w:t>
            </w:r>
            <w:r>
              <w:rPr>
                <w:spacing w:val="41"/>
                <w:sz w:val="18"/>
                <w:szCs w:val="18"/>
              </w:rPr>
              <w:t xml:space="preserve"> </w:t>
            </w:r>
            <w:r>
              <w:rPr>
                <w:spacing w:val="-2"/>
                <w:sz w:val="18"/>
                <w:szCs w:val="18"/>
              </w:rPr>
              <w:t>geçtiğini</w:t>
            </w:r>
            <w:r>
              <w:rPr>
                <w:sz w:val="18"/>
                <w:szCs w:val="18"/>
              </w:rPr>
              <w:t xml:space="preserve"> </w:t>
            </w:r>
            <w:r>
              <w:rPr>
                <w:spacing w:val="-2"/>
                <w:sz w:val="18"/>
                <w:szCs w:val="18"/>
              </w:rPr>
              <w:t>anlamam.</w:t>
            </w:r>
          </w:p>
        </w:tc>
        <w:tc>
          <w:tcPr>
            <w:tcW w:w="680" w:type="dxa"/>
            <w:shd w:val="clear" w:color="auto" w:fill="FFFFFF" w:themeFill="background1"/>
          </w:tcPr>
          <w:p w14:paraId="5956F2EE">
            <w:pPr>
              <w:pStyle w:val="29"/>
              <w:spacing w:before="104"/>
              <w:rPr>
                <w:sz w:val="18"/>
                <w:szCs w:val="18"/>
              </w:rPr>
            </w:pPr>
          </w:p>
        </w:tc>
        <w:tc>
          <w:tcPr>
            <w:tcW w:w="567" w:type="dxa"/>
            <w:shd w:val="clear" w:color="auto" w:fill="FFFFFF" w:themeFill="background1"/>
          </w:tcPr>
          <w:p w14:paraId="6091656B">
            <w:pPr>
              <w:pStyle w:val="29"/>
              <w:spacing w:before="104"/>
              <w:rPr>
                <w:sz w:val="18"/>
                <w:szCs w:val="18"/>
              </w:rPr>
            </w:pPr>
          </w:p>
        </w:tc>
        <w:tc>
          <w:tcPr>
            <w:tcW w:w="1014" w:type="dxa"/>
            <w:shd w:val="clear" w:color="auto" w:fill="FFFFFF" w:themeFill="background1"/>
          </w:tcPr>
          <w:p w14:paraId="07F443AD">
            <w:pPr>
              <w:pStyle w:val="29"/>
              <w:spacing w:before="104"/>
              <w:rPr>
                <w:sz w:val="18"/>
                <w:szCs w:val="18"/>
              </w:rPr>
            </w:pPr>
          </w:p>
        </w:tc>
        <w:tc>
          <w:tcPr>
            <w:tcW w:w="709" w:type="dxa"/>
            <w:shd w:val="clear" w:color="auto" w:fill="FFFFFF" w:themeFill="background1"/>
          </w:tcPr>
          <w:p w14:paraId="13733A12">
            <w:pPr>
              <w:pStyle w:val="29"/>
              <w:spacing w:before="104"/>
              <w:rPr>
                <w:sz w:val="18"/>
                <w:szCs w:val="18"/>
              </w:rPr>
            </w:pPr>
          </w:p>
        </w:tc>
        <w:tc>
          <w:tcPr>
            <w:tcW w:w="871" w:type="dxa"/>
            <w:shd w:val="clear" w:color="auto" w:fill="FFFFFF" w:themeFill="background1"/>
          </w:tcPr>
          <w:p w14:paraId="002FD66A">
            <w:pPr>
              <w:pStyle w:val="29"/>
              <w:spacing w:before="104"/>
              <w:rPr>
                <w:sz w:val="18"/>
                <w:szCs w:val="18"/>
              </w:rPr>
            </w:pPr>
          </w:p>
        </w:tc>
      </w:tr>
      <w:tr w14:paraId="737F2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558" w:hRule="atLeast"/>
        </w:trPr>
        <w:tc>
          <w:tcPr>
            <w:tcW w:w="851" w:type="dxa"/>
            <w:shd w:val="clear" w:color="auto" w:fill="FFFFFF" w:themeFill="background1"/>
          </w:tcPr>
          <w:p w14:paraId="2AEEECB3">
            <w:pPr>
              <w:pStyle w:val="29"/>
              <w:spacing w:before="109"/>
              <w:ind w:left="182"/>
              <w:rPr>
                <w:b/>
                <w:spacing w:val="-5"/>
                <w:sz w:val="18"/>
                <w:szCs w:val="18"/>
              </w:rPr>
            </w:pPr>
            <w:r>
              <w:rPr>
                <w:b/>
                <w:spacing w:val="-5"/>
                <w:sz w:val="18"/>
                <w:szCs w:val="18"/>
              </w:rPr>
              <w:t>44</w:t>
            </w:r>
          </w:p>
        </w:tc>
        <w:tc>
          <w:tcPr>
            <w:tcW w:w="4826" w:type="dxa"/>
            <w:shd w:val="clear" w:color="auto" w:fill="FFFFFF" w:themeFill="background1"/>
          </w:tcPr>
          <w:p w14:paraId="124D021E">
            <w:pPr>
              <w:pStyle w:val="29"/>
              <w:jc w:val="both"/>
              <w:rPr>
                <w:sz w:val="18"/>
                <w:szCs w:val="18"/>
              </w:rPr>
            </w:pPr>
            <w:r>
              <w:rPr>
                <w:sz w:val="18"/>
                <w:szCs w:val="18"/>
              </w:rPr>
              <w:t>Sanal</w:t>
            </w:r>
            <w:r>
              <w:rPr>
                <w:spacing w:val="-10"/>
                <w:sz w:val="18"/>
                <w:szCs w:val="18"/>
              </w:rPr>
              <w:t xml:space="preserve"> </w:t>
            </w:r>
            <w:r>
              <w:rPr>
                <w:sz w:val="18"/>
                <w:szCs w:val="18"/>
              </w:rPr>
              <w:t>rekreasyon</w:t>
            </w:r>
            <w:r>
              <w:rPr>
                <w:spacing w:val="-10"/>
                <w:sz w:val="18"/>
                <w:szCs w:val="18"/>
              </w:rPr>
              <w:t xml:space="preserve"> </w:t>
            </w:r>
            <w:r>
              <w:rPr>
                <w:sz w:val="18"/>
                <w:szCs w:val="18"/>
              </w:rPr>
              <w:t>faaliyetleri</w:t>
            </w:r>
            <w:r>
              <w:rPr>
                <w:spacing w:val="-10"/>
                <w:sz w:val="18"/>
                <w:szCs w:val="18"/>
              </w:rPr>
              <w:t xml:space="preserve"> </w:t>
            </w:r>
            <w:r>
              <w:rPr>
                <w:sz w:val="18"/>
                <w:szCs w:val="18"/>
              </w:rPr>
              <w:t>ile</w:t>
            </w:r>
            <w:r>
              <w:rPr>
                <w:spacing w:val="-9"/>
                <w:sz w:val="18"/>
                <w:szCs w:val="18"/>
              </w:rPr>
              <w:t xml:space="preserve"> </w:t>
            </w:r>
            <w:r>
              <w:rPr>
                <w:sz w:val="18"/>
                <w:szCs w:val="18"/>
              </w:rPr>
              <w:t>kendimi</w:t>
            </w:r>
            <w:r>
              <w:rPr>
                <w:spacing w:val="-8"/>
                <w:sz w:val="18"/>
                <w:szCs w:val="18"/>
              </w:rPr>
              <w:t xml:space="preserve"> </w:t>
            </w:r>
            <w:r>
              <w:rPr>
                <w:sz w:val="18"/>
                <w:szCs w:val="18"/>
              </w:rPr>
              <w:t>sonsuz</w:t>
            </w:r>
            <w:r>
              <w:rPr>
                <w:spacing w:val="-10"/>
                <w:sz w:val="18"/>
                <w:szCs w:val="18"/>
              </w:rPr>
              <w:t xml:space="preserve"> </w:t>
            </w:r>
            <w:r>
              <w:rPr>
                <w:sz w:val="18"/>
                <w:szCs w:val="18"/>
              </w:rPr>
              <w:t>bir</w:t>
            </w:r>
            <w:r>
              <w:rPr>
                <w:spacing w:val="-9"/>
                <w:sz w:val="18"/>
                <w:szCs w:val="18"/>
              </w:rPr>
              <w:t xml:space="preserve"> </w:t>
            </w:r>
            <w:r>
              <w:rPr>
                <w:sz w:val="18"/>
                <w:szCs w:val="18"/>
              </w:rPr>
              <w:t>yolculuğa</w:t>
            </w:r>
            <w:r>
              <w:rPr>
                <w:spacing w:val="-10"/>
                <w:sz w:val="18"/>
                <w:szCs w:val="18"/>
              </w:rPr>
              <w:t xml:space="preserve"> </w:t>
            </w:r>
            <w:r>
              <w:rPr>
                <w:spacing w:val="-2"/>
                <w:sz w:val="18"/>
                <w:szCs w:val="18"/>
              </w:rPr>
              <w:t>çıkmış</w:t>
            </w:r>
            <w:r>
              <w:rPr>
                <w:sz w:val="18"/>
                <w:szCs w:val="18"/>
              </w:rPr>
              <w:t xml:space="preserve"> gibi hiisederim</w:t>
            </w:r>
          </w:p>
        </w:tc>
        <w:tc>
          <w:tcPr>
            <w:tcW w:w="680" w:type="dxa"/>
            <w:shd w:val="clear" w:color="auto" w:fill="FFFFFF" w:themeFill="background1"/>
          </w:tcPr>
          <w:p w14:paraId="52D567AB">
            <w:pPr>
              <w:pStyle w:val="29"/>
              <w:spacing w:before="104"/>
              <w:rPr>
                <w:sz w:val="18"/>
                <w:szCs w:val="18"/>
              </w:rPr>
            </w:pPr>
          </w:p>
        </w:tc>
        <w:tc>
          <w:tcPr>
            <w:tcW w:w="567" w:type="dxa"/>
            <w:shd w:val="clear" w:color="auto" w:fill="FFFFFF" w:themeFill="background1"/>
          </w:tcPr>
          <w:p w14:paraId="22DB501D">
            <w:pPr>
              <w:pStyle w:val="29"/>
              <w:spacing w:before="104"/>
              <w:rPr>
                <w:sz w:val="18"/>
                <w:szCs w:val="18"/>
              </w:rPr>
            </w:pPr>
          </w:p>
        </w:tc>
        <w:tc>
          <w:tcPr>
            <w:tcW w:w="1014" w:type="dxa"/>
            <w:shd w:val="clear" w:color="auto" w:fill="FFFFFF" w:themeFill="background1"/>
          </w:tcPr>
          <w:p w14:paraId="44DAE97F">
            <w:pPr>
              <w:pStyle w:val="29"/>
              <w:spacing w:before="104"/>
              <w:rPr>
                <w:sz w:val="18"/>
                <w:szCs w:val="18"/>
              </w:rPr>
            </w:pPr>
          </w:p>
        </w:tc>
        <w:tc>
          <w:tcPr>
            <w:tcW w:w="709" w:type="dxa"/>
            <w:shd w:val="clear" w:color="auto" w:fill="FFFFFF" w:themeFill="background1"/>
          </w:tcPr>
          <w:p w14:paraId="58226C2A">
            <w:pPr>
              <w:pStyle w:val="29"/>
              <w:spacing w:before="104"/>
              <w:rPr>
                <w:sz w:val="18"/>
                <w:szCs w:val="18"/>
              </w:rPr>
            </w:pPr>
          </w:p>
        </w:tc>
        <w:tc>
          <w:tcPr>
            <w:tcW w:w="871" w:type="dxa"/>
            <w:shd w:val="clear" w:color="auto" w:fill="FFFFFF" w:themeFill="background1"/>
          </w:tcPr>
          <w:p w14:paraId="7A4C7A47">
            <w:pPr>
              <w:pStyle w:val="29"/>
              <w:spacing w:before="104"/>
              <w:rPr>
                <w:sz w:val="18"/>
                <w:szCs w:val="18"/>
              </w:rPr>
            </w:pPr>
          </w:p>
        </w:tc>
      </w:tr>
    </w:tbl>
    <w:p w14:paraId="554A6D40">
      <w:pPr>
        <w:widowControl/>
        <w:autoSpaceDE/>
        <w:autoSpaceDN/>
        <w:rPr>
          <w:b/>
          <w:bCs/>
          <w:spacing w:val="-2"/>
          <w:sz w:val="24"/>
          <w:szCs w:val="24"/>
        </w:rPr>
      </w:pPr>
      <w:bookmarkStart w:id="259" w:name="_Toc197351295"/>
      <w:bookmarkStart w:id="260" w:name="_Toc195875860"/>
      <w:bookmarkStart w:id="261" w:name="_Toc195877840"/>
      <w:r>
        <w:rPr>
          <w:b/>
          <w:bCs/>
          <w:spacing w:val="-2"/>
          <w:sz w:val="24"/>
          <w:szCs w:val="24"/>
        </w:rPr>
        <w:t>Yaşam Kalitesi Ölçek Maddeleri</w:t>
      </w:r>
    </w:p>
    <w:p w14:paraId="6CE441B6">
      <w:pPr>
        <w:widowControl/>
        <w:autoSpaceDE/>
        <w:autoSpaceDN/>
        <w:rPr>
          <w:b/>
          <w:bCs/>
          <w:spacing w:val="-2"/>
          <w:sz w:val="24"/>
          <w:szCs w:val="24"/>
        </w:rPr>
      </w:pPr>
    </w:p>
    <w:tbl>
      <w:tblPr>
        <w:tblStyle w:val="7"/>
        <w:tblW w:w="9642" w:type="dxa"/>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993"/>
        <w:gridCol w:w="4560"/>
        <w:gridCol w:w="876"/>
        <w:gridCol w:w="945"/>
        <w:gridCol w:w="828"/>
        <w:gridCol w:w="732"/>
        <w:gridCol w:w="708"/>
      </w:tblGrid>
      <w:tr w14:paraId="7B567A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550" w:hRule="atLeast"/>
        </w:trPr>
        <w:tc>
          <w:tcPr>
            <w:tcW w:w="993" w:type="dxa"/>
            <w:shd w:val="clear" w:color="auto" w:fill="auto"/>
          </w:tcPr>
          <w:p w14:paraId="13297C00">
            <w:pPr>
              <w:pStyle w:val="29"/>
              <w:ind w:left="122" w:right="189"/>
              <w:rPr>
                <w:b/>
                <w:sz w:val="20"/>
                <w:szCs w:val="20"/>
              </w:rPr>
            </w:pPr>
            <w:r>
              <w:rPr>
                <w:b/>
                <w:spacing w:val="-2"/>
                <w:sz w:val="20"/>
                <w:szCs w:val="20"/>
              </w:rPr>
              <w:t xml:space="preserve">Madde </w:t>
            </w:r>
            <w:r>
              <w:rPr>
                <w:b/>
                <w:spacing w:val="-6"/>
                <w:sz w:val="20"/>
                <w:szCs w:val="20"/>
              </w:rPr>
              <w:t>No</w:t>
            </w:r>
          </w:p>
        </w:tc>
        <w:tc>
          <w:tcPr>
            <w:tcW w:w="4560" w:type="dxa"/>
            <w:shd w:val="clear" w:color="auto" w:fill="auto"/>
          </w:tcPr>
          <w:p w14:paraId="561670B4">
            <w:pPr>
              <w:pStyle w:val="29"/>
              <w:ind w:left="100"/>
              <w:rPr>
                <w:b/>
                <w:sz w:val="20"/>
                <w:szCs w:val="20"/>
              </w:rPr>
            </w:pPr>
            <w:r>
              <w:rPr>
                <w:b/>
                <w:spacing w:val="-2"/>
                <w:sz w:val="20"/>
                <w:szCs w:val="20"/>
              </w:rPr>
              <w:t>Maddeler</w:t>
            </w:r>
          </w:p>
        </w:tc>
        <w:tc>
          <w:tcPr>
            <w:tcW w:w="876" w:type="dxa"/>
            <w:shd w:val="clear" w:color="auto" w:fill="auto"/>
            <w:textDirection w:val="btLr"/>
          </w:tcPr>
          <w:p w14:paraId="6F0DF856">
            <w:pPr>
              <w:pStyle w:val="29"/>
              <w:ind w:left="113" w:right="113"/>
              <w:rPr>
                <w:b/>
                <w:sz w:val="20"/>
                <w:szCs w:val="20"/>
              </w:rPr>
            </w:pPr>
            <w:r>
              <w:rPr>
                <w:b/>
                <w:sz w:val="20"/>
                <w:szCs w:val="20"/>
              </w:rPr>
              <w:t>Kesinlinle Katılmıyorum</w:t>
            </w:r>
          </w:p>
        </w:tc>
        <w:tc>
          <w:tcPr>
            <w:tcW w:w="945" w:type="dxa"/>
            <w:shd w:val="clear" w:color="auto" w:fill="auto"/>
            <w:textDirection w:val="btLr"/>
          </w:tcPr>
          <w:p w14:paraId="4504B853">
            <w:pPr>
              <w:pStyle w:val="29"/>
              <w:ind w:left="113" w:right="113"/>
              <w:rPr>
                <w:b/>
                <w:sz w:val="20"/>
                <w:szCs w:val="20"/>
              </w:rPr>
            </w:pPr>
            <w:r>
              <w:rPr>
                <w:b/>
                <w:sz w:val="20"/>
                <w:szCs w:val="20"/>
              </w:rPr>
              <w:t>Katılmıyorum</w:t>
            </w:r>
          </w:p>
        </w:tc>
        <w:tc>
          <w:tcPr>
            <w:tcW w:w="828" w:type="dxa"/>
            <w:shd w:val="clear" w:color="auto" w:fill="auto"/>
            <w:textDirection w:val="btLr"/>
          </w:tcPr>
          <w:p w14:paraId="0E4CB7F6">
            <w:pPr>
              <w:pStyle w:val="29"/>
              <w:ind w:left="113" w:right="224"/>
              <w:rPr>
                <w:b/>
                <w:sz w:val="20"/>
                <w:szCs w:val="20"/>
              </w:rPr>
            </w:pPr>
            <w:r>
              <w:rPr>
                <w:b/>
                <w:sz w:val="20"/>
                <w:szCs w:val="20"/>
              </w:rPr>
              <w:t>Kararsızım</w:t>
            </w:r>
          </w:p>
        </w:tc>
        <w:tc>
          <w:tcPr>
            <w:tcW w:w="732" w:type="dxa"/>
            <w:shd w:val="clear" w:color="auto" w:fill="auto"/>
            <w:textDirection w:val="btLr"/>
          </w:tcPr>
          <w:p w14:paraId="256993AE">
            <w:pPr>
              <w:pStyle w:val="29"/>
              <w:ind w:left="113" w:right="224"/>
              <w:rPr>
                <w:b/>
                <w:sz w:val="20"/>
                <w:szCs w:val="20"/>
              </w:rPr>
            </w:pPr>
            <w:r>
              <w:rPr>
                <w:b/>
                <w:sz w:val="20"/>
                <w:szCs w:val="20"/>
              </w:rPr>
              <w:t xml:space="preserve"> Katılıyorum</w:t>
            </w:r>
          </w:p>
        </w:tc>
        <w:tc>
          <w:tcPr>
            <w:tcW w:w="708" w:type="dxa"/>
            <w:textDirection w:val="btLr"/>
          </w:tcPr>
          <w:p w14:paraId="4DD96C36">
            <w:pPr>
              <w:pStyle w:val="29"/>
              <w:ind w:left="113" w:right="113"/>
              <w:rPr>
                <w:b/>
                <w:sz w:val="20"/>
                <w:szCs w:val="20"/>
              </w:rPr>
            </w:pPr>
            <w:r>
              <w:rPr>
                <w:b/>
                <w:sz w:val="20"/>
                <w:szCs w:val="20"/>
              </w:rPr>
              <w:t>Kesinlinle Katılmıyorum</w:t>
            </w:r>
          </w:p>
        </w:tc>
      </w:tr>
      <w:tr w14:paraId="754339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14" w:hRule="atLeast"/>
        </w:trPr>
        <w:tc>
          <w:tcPr>
            <w:tcW w:w="993" w:type="dxa"/>
            <w:shd w:val="clear" w:color="auto" w:fill="auto"/>
          </w:tcPr>
          <w:p w14:paraId="7D4143C6">
            <w:pPr>
              <w:pStyle w:val="29"/>
              <w:rPr>
                <w:sz w:val="20"/>
                <w:szCs w:val="20"/>
              </w:rPr>
            </w:pPr>
            <w:r>
              <w:rPr>
                <w:sz w:val="20"/>
                <w:szCs w:val="20"/>
              </w:rPr>
              <w:t>1</w:t>
            </w:r>
          </w:p>
        </w:tc>
        <w:tc>
          <w:tcPr>
            <w:tcW w:w="4560" w:type="dxa"/>
            <w:shd w:val="clear" w:color="auto" w:fill="auto"/>
          </w:tcPr>
          <w:p w14:paraId="6E76644B">
            <w:pPr>
              <w:pStyle w:val="29"/>
              <w:tabs>
                <w:tab w:val="left" w:pos="1288"/>
                <w:tab w:val="left" w:pos="2242"/>
                <w:tab w:val="left" w:pos="3307"/>
                <w:tab w:val="left" w:pos="3734"/>
              </w:tabs>
              <w:ind w:left="100"/>
              <w:jc w:val="both"/>
              <w:rPr>
                <w:sz w:val="20"/>
                <w:szCs w:val="20"/>
              </w:rPr>
            </w:pPr>
            <w:r>
              <w:rPr>
                <w:spacing w:val="-2"/>
                <w:sz w:val="20"/>
                <w:szCs w:val="20"/>
              </w:rPr>
              <w:t>Ağrılarınızın</w:t>
            </w:r>
            <w:r>
              <w:rPr>
                <w:sz w:val="20"/>
                <w:szCs w:val="20"/>
              </w:rPr>
              <w:tab/>
            </w:r>
            <w:r>
              <w:rPr>
                <w:spacing w:val="-2"/>
                <w:sz w:val="20"/>
                <w:szCs w:val="20"/>
              </w:rPr>
              <w:t>yapmanız</w:t>
            </w:r>
            <w:r>
              <w:rPr>
                <w:sz w:val="20"/>
                <w:szCs w:val="20"/>
              </w:rPr>
              <w:tab/>
            </w:r>
            <w:r>
              <w:rPr>
                <w:spacing w:val="-2"/>
                <w:sz w:val="20"/>
                <w:szCs w:val="20"/>
              </w:rPr>
              <w:t>gerekenleri</w:t>
            </w:r>
            <w:r>
              <w:rPr>
                <w:sz w:val="20"/>
                <w:szCs w:val="20"/>
              </w:rPr>
              <w:tab/>
            </w:r>
            <w:r>
              <w:rPr>
                <w:spacing w:val="-5"/>
                <w:sz w:val="20"/>
                <w:szCs w:val="20"/>
              </w:rPr>
              <w:t>ne</w:t>
            </w:r>
            <w:r>
              <w:rPr>
                <w:sz w:val="20"/>
                <w:szCs w:val="20"/>
              </w:rPr>
              <w:tab/>
            </w:r>
            <w:r>
              <w:rPr>
                <w:spacing w:val="-4"/>
                <w:sz w:val="20"/>
                <w:szCs w:val="20"/>
              </w:rPr>
              <w:t>kadar</w:t>
            </w:r>
          </w:p>
          <w:p w14:paraId="72A924D7">
            <w:pPr>
              <w:pStyle w:val="29"/>
              <w:ind w:left="100"/>
              <w:jc w:val="both"/>
              <w:rPr>
                <w:sz w:val="20"/>
                <w:szCs w:val="20"/>
              </w:rPr>
            </w:pPr>
            <w:r>
              <w:rPr>
                <w:sz w:val="20"/>
                <w:szCs w:val="20"/>
              </w:rPr>
              <w:t>engellediğini</w:t>
            </w:r>
            <w:r>
              <w:rPr>
                <w:spacing w:val="-3"/>
                <w:sz w:val="20"/>
                <w:szCs w:val="20"/>
              </w:rPr>
              <w:t xml:space="preserve"> </w:t>
            </w:r>
            <w:r>
              <w:rPr>
                <w:spacing w:val="-2"/>
                <w:sz w:val="20"/>
                <w:szCs w:val="20"/>
              </w:rPr>
              <w:t>düşünüyorsunuz?</w:t>
            </w:r>
          </w:p>
        </w:tc>
        <w:tc>
          <w:tcPr>
            <w:tcW w:w="876" w:type="dxa"/>
            <w:shd w:val="clear" w:color="auto" w:fill="auto"/>
          </w:tcPr>
          <w:p w14:paraId="47F592C1">
            <w:pPr>
              <w:pStyle w:val="29"/>
              <w:rPr>
                <w:sz w:val="20"/>
                <w:szCs w:val="20"/>
              </w:rPr>
            </w:pPr>
          </w:p>
        </w:tc>
        <w:tc>
          <w:tcPr>
            <w:tcW w:w="945" w:type="dxa"/>
            <w:shd w:val="clear" w:color="auto" w:fill="auto"/>
          </w:tcPr>
          <w:p w14:paraId="07A4790A">
            <w:pPr>
              <w:pStyle w:val="29"/>
              <w:rPr>
                <w:sz w:val="20"/>
                <w:szCs w:val="20"/>
              </w:rPr>
            </w:pPr>
          </w:p>
        </w:tc>
        <w:tc>
          <w:tcPr>
            <w:tcW w:w="828" w:type="dxa"/>
            <w:shd w:val="clear" w:color="auto" w:fill="auto"/>
          </w:tcPr>
          <w:p w14:paraId="46D0B842">
            <w:pPr>
              <w:pStyle w:val="29"/>
              <w:rPr>
                <w:sz w:val="20"/>
                <w:szCs w:val="20"/>
              </w:rPr>
            </w:pPr>
          </w:p>
        </w:tc>
        <w:tc>
          <w:tcPr>
            <w:tcW w:w="732" w:type="dxa"/>
            <w:shd w:val="clear" w:color="auto" w:fill="auto"/>
          </w:tcPr>
          <w:p w14:paraId="550BE7A2">
            <w:pPr>
              <w:pStyle w:val="29"/>
              <w:rPr>
                <w:sz w:val="20"/>
                <w:szCs w:val="20"/>
              </w:rPr>
            </w:pPr>
          </w:p>
        </w:tc>
        <w:tc>
          <w:tcPr>
            <w:tcW w:w="708" w:type="dxa"/>
          </w:tcPr>
          <w:p w14:paraId="26649194">
            <w:pPr>
              <w:pStyle w:val="29"/>
              <w:rPr>
                <w:sz w:val="20"/>
                <w:szCs w:val="20"/>
              </w:rPr>
            </w:pPr>
          </w:p>
        </w:tc>
      </w:tr>
      <w:tr w14:paraId="06854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14" w:hRule="atLeast"/>
        </w:trPr>
        <w:tc>
          <w:tcPr>
            <w:tcW w:w="993" w:type="dxa"/>
            <w:shd w:val="clear" w:color="auto" w:fill="auto"/>
          </w:tcPr>
          <w:p w14:paraId="06295A74">
            <w:pPr>
              <w:pStyle w:val="29"/>
              <w:rPr>
                <w:sz w:val="20"/>
                <w:szCs w:val="20"/>
              </w:rPr>
            </w:pPr>
            <w:r>
              <w:rPr>
                <w:sz w:val="20"/>
                <w:szCs w:val="20"/>
              </w:rPr>
              <w:t>2</w:t>
            </w:r>
          </w:p>
        </w:tc>
        <w:tc>
          <w:tcPr>
            <w:tcW w:w="4560" w:type="dxa"/>
            <w:shd w:val="clear" w:color="auto" w:fill="auto"/>
          </w:tcPr>
          <w:p w14:paraId="66A8CFC0">
            <w:pPr>
              <w:pStyle w:val="29"/>
              <w:ind w:left="100"/>
              <w:jc w:val="both"/>
              <w:rPr>
                <w:sz w:val="20"/>
                <w:szCs w:val="20"/>
              </w:rPr>
            </w:pPr>
            <w:r>
              <w:rPr>
                <w:spacing w:val="-2"/>
                <w:sz w:val="20"/>
                <w:szCs w:val="20"/>
              </w:rPr>
              <w:t>Günlük</w:t>
            </w:r>
            <w:r>
              <w:rPr>
                <w:spacing w:val="2"/>
                <w:sz w:val="20"/>
                <w:szCs w:val="20"/>
              </w:rPr>
              <w:t xml:space="preserve"> </w:t>
            </w:r>
            <w:r>
              <w:rPr>
                <w:spacing w:val="-2"/>
                <w:sz w:val="20"/>
                <w:szCs w:val="20"/>
              </w:rPr>
              <w:t>uğraşlarınızı</w:t>
            </w:r>
            <w:r>
              <w:rPr>
                <w:spacing w:val="6"/>
                <w:sz w:val="20"/>
                <w:szCs w:val="20"/>
              </w:rPr>
              <w:t xml:space="preserve"> </w:t>
            </w:r>
            <w:r>
              <w:rPr>
                <w:spacing w:val="-2"/>
                <w:sz w:val="20"/>
                <w:szCs w:val="20"/>
              </w:rPr>
              <w:t>yürütebilmek</w:t>
            </w:r>
            <w:r>
              <w:rPr>
                <w:spacing w:val="3"/>
                <w:sz w:val="20"/>
                <w:szCs w:val="20"/>
              </w:rPr>
              <w:t xml:space="preserve"> </w:t>
            </w:r>
            <w:r>
              <w:rPr>
                <w:spacing w:val="-2"/>
                <w:sz w:val="20"/>
                <w:szCs w:val="20"/>
              </w:rPr>
              <w:t>için</w:t>
            </w:r>
            <w:r>
              <w:rPr>
                <w:spacing w:val="3"/>
                <w:sz w:val="20"/>
                <w:szCs w:val="20"/>
              </w:rPr>
              <w:t xml:space="preserve"> </w:t>
            </w:r>
            <w:r>
              <w:rPr>
                <w:spacing w:val="-2"/>
                <w:sz w:val="20"/>
                <w:szCs w:val="20"/>
              </w:rPr>
              <w:t>herhangi</w:t>
            </w:r>
            <w:r>
              <w:rPr>
                <w:spacing w:val="3"/>
                <w:sz w:val="20"/>
                <w:szCs w:val="20"/>
              </w:rPr>
              <w:t xml:space="preserve"> </w:t>
            </w:r>
            <w:r>
              <w:rPr>
                <w:spacing w:val="-2"/>
                <w:sz w:val="20"/>
                <w:szCs w:val="20"/>
              </w:rPr>
              <w:t>bir</w:t>
            </w:r>
            <w:r>
              <w:rPr>
                <w:spacing w:val="3"/>
                <w:sz w:val="20"/>
                <w:szCs w:val="20"/>
              </w:rPr>
              <w:t xml:space="preserve"> </w:t>
            </w:r>
            <w:r>
              <w:rPr>
                <w:spacing w:val="-4"/>
                <w:sz w:val="20"/>
                <w:szCs w:val="20"/>
              </w:rPr>
              <w:t>tıbbi</w:t>
            </w:r>
            <w:r>
              <w:rPr>
                <w:sz w:val="20"/>
                <w:szCs w:val="20"/>
              </w:rPr>
              <w:t xml:space="preserve"> tedaviye</w:t>
            </w:r>
            <w:r>
              <w:rPr>
                <w:spacing w:val="-4"/>
                <w:sz w:val="20"/>
                <w:szCs w:val="20"/>
              </w:rPr>
              <w:t xml:space="preserve"> </w:t>
            </w:r>
            <w:r>
              <w:rPr>
                <w:sz w:val="20"/>
                <w:szCs w:val="20"/>
              </w:rPr>
              <w:t>ne</w:t>
            </w:r>
            <w:r>
              <w:rPr>
                <w:spacing w:val="-3"/>
                <w:sz w:val="20"/>
                <w:szCs w:val="20"/>
              </w:rPr>
              <w:t xml:space="preserve"> </w:t>
            </w:r>
            <w:r>
              <w:rPr>
                <w:sz w:val="20"/>
                <w:szCs w:val="20"/>
              </w:rPr>
              <w:t>kadar</w:t>
            </w:r>
            <w:r>
              <w:rPr>
                <w:spacing w:val="-2"/>
                <w:sz w:val="20"/>
                <w:szCs w:val="20"/>
              </w:rPr>
              <w:t xml:space="preserve"> </w:t>
            </w:r>
            <w:r>
              <w:rPr>
                <w:sz w:val="20"/>
                <w:szCs w:val="20"/>
              </w:rPr>
              <w:t>ihtiyaç</w:t>
            </w:r>
            <w:r>
              <w:rPr>
                <w:spacing w:val="-3"/>
                <w:sz w:val="20"/>
                <w:szCs w:val="20"/>
              </w:rPr>
              <w:t xml:space="preserve"> </w:t>
            </w:r>
            <w:r>
              <w:rPr>
                <w:spacing w:val="-2"/>
                <w:sz w:val="20"/>
                <w:szCs w:val="20"/>
              </w:rPr>
              <w:t>duyuyorsunuz?</w:t>
            </w:r>
          </w:p>
        </w:tc>
        <w:tc>
          <w:tcPr>
            <w:tcW w:w="876" w:type="dxa"/>
            <w:shd w:val="clear" w:color="auto" w:fill="auto"/>
          </w:tcPr>
          <w:p w14:paraId="73497A2C">
            <w:pPr>
              <w:pStyle w:val="29"/>
              <w:rPr>
                <w:sz w:val="20"/>
                <w:szCs w:val="20"/>
              </w:rPr>
            </w:pPr>
          </w:p>
        </w:tc>
        <w:tc>
          <w:tcPr>
            <w:tcW w:w="945" w:type="dxa"/>
            <w:shd w:val="clear" w:color="auto" w:fill="auto"/>
          </w:tcPr>
          <w:p w14:paraId="19B3C191">
            <w:pPr>
              <w:pStyle w:val="29"/>
              <w:rPr>
                <w:sz w:val="20"/>
                <w:szCs w:val="20"/>
              </w:rPr>
            </w:pPr>
          </w:p>
        </w:tc>
        <w:tc>
          <w:tcPr>
            <w:tcW w:w="828" w:type="dxa"/>
            <w:shd w:val="clear" w:color="auto" w:fill="auto"/>
          </w:tcPr>
          <w:p w14:paraId="371FB537">
            <w:pPr>
              <w:pStyle w:val="29"/>
              <w:rPr>
                <w:sz w:val="20"/>
                <w:szCs w:val="20"/>
              </w:rPr>
            </w:pPr>
          </w:p>
        </w:tc>
        <w:tc>
          <w:tcPr>
            <w:tcW w:w="732" w:type="dxa"/>
            <w:shd w:val="clear" w:color="auto" w:fill="auto"/>
          </w:tcPr>
          <w:p w14:paraId="7EE20637">
            <w:pPr>
              <w:pStyle w:val="29"/>
              <w:rPr>
                <w:sz w:val="20"/>
                <w:szCs w:val="20"/>
              </w:rPr>
            </w:pPr>
          </w:p>
        </w:tc>
        <w:tc>
          <w:tcPr>
            <w:tcW w:w="708" w:type="dxa"/>
          </w:tcPr>
          <w:p w14:paraId="7FCA0F1A">
            <w:pPr>
              <w:pStyle w:val="29"/>
              <w:rPr>
                <w:sz w:val="20"/>
                <w:szCs w:val="20"/>
              </w:rPr>
            </w:pPr>
          </w:p>
        </w:tc>
      </w:tr>
      <w:tr w14:paraId="650B68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12" w:hRule="atLeast"/>
        </w:trPr>
        <w:tc>
          <w:tcPr>
            <w:tcW w:w="993" w:type="dxa"/>
            <w:shd w:val="clear" w:color="auto" w:fill="auto"/>
          </w:tcPr>
          <w:p w14:paraId="3444EEC0">
            <w:pPr>
              <w:pStyle w:val="29"/>
              <w:rPr>
                <w:b/>
                <w:sz w:val="20"/>
                <w:szCs w:val="20"/>
              </w:rPr>
            </w:pPr>
            <w:r>
              <w:rPr>
                <w:b/>
                <w:sz w:val="20"/>
                <w:szCs w:val="20"/>
              </w:rPr>
              <w:t>3</w:t>
            </w:r>
          </w:p>
        </w:tc>
        <w:tc>
          <w:tcPr>
            <w:tcW w:w="4560" w:type="dxa"/>
            <w:shd w:val="clear" w:color="auto" w:fill="auto"/>
          </w:tcPr>
          <w:p w14:paraId="726A9FD0">
            <w:pPr>
              <w:pStyle w:val="29"/>
              <w:ind w:left="100"/>
              <w:jc w:val="both"/>
              <w:rPr>
                <w:sz w:val="20"/>
                <w:szCs w:val="20"/>
              </w:rPr>
            </w:pPr>
            <w:r>
              <w:rPr>
                <w:sz w:val="20"/>
                <w:szCs w:val="20"/>
              </w:rPr>
              <w:t>Günlük</w:t>
            </w:r>
            <w:r>
              <w:rPr>
                <w:spacing w:val="42"/>
                <w:sz w:val="20"/>
                <w:szCs w:val="20"/>
              </w:rPr>
              <w:t xml:space="preserve"> </w:t>
            </w:r>
            <w:r>
              <w:rPr>
                <w:sz w:val="20"/>
                <w:szCs w:val="20"/>
              </w:rPr>
              <w:t>yaşamı</w:t>
            </w:r>
            <w:r>
              <w:rPr>
                <w:spacing w:val="41"/>
                <w:sz w:val="20"/>
                <w:szCs w:val="20"/>
              </w:rPr>
              <w:t xml:space="preserve">  </w:t>
            </w:r>
            <w:r>
              <w:rPr>
                <w:sz w:val="20"/>
                <w:szCs w:val="20"/>
              </w:rPr>
              <w:t>sürdürmek</w:t>
            </w:r>
            <w:r>
              <w:rPr>
                <w:spacing w:val="41"/>
                <w:sz w:val="20"/>
                <w:szCs w:val="20"/>
              </w:rPr>
              <w:t xml:space="preserve">  </w:t>
            </w:r>
            <w:r>
              <w:rPr>
                <w:sz w:val="20"/>
                <w:szCs w:val="20"/>
              </w:rPr>
              <w:t>için</w:t>
            </w:r>
            <w:r>
              <w:rPr>
                <w:spacing w:val="42"/>
                <w:sz w:val="20"/>
                <w:szCs w:val="20"/>
              </w:rPr>
              <w:t xml:space="preserve">  </w:t>
            </w:r>
            <w:r>
              <w:rPr>
                <w:sz w:val="20"/>
                <w:szCs w:val="20"/>
              </w:rPr>
              <w:t>yeterli</w:t>
            </w:r>
            <w:r>
              <w:rPr>
                <w:spacing w:val="41"/>
                <w:sz w:val="20"/>
                <w:szCs w:val="20"/>
              </w:rPr>
              <w:t xml:space="preserve">  </w:t>
            </w:r>
            <w:r>
              <w:rPr>
                <w:spacing w:val="-2"/>
                <w:sz w:val="20"/>
                <w:szCs w:val="20"/>
              </w:rPr>
              <w:t>gücünüz</w:t>
            </w:r>
            <w:r>
              <w:rPr>
                <w:sz w:val="20"/>
                <w:szCs w:val="20"/>
              </w:rPr>
              <w:t xml:space="preserve"> kuvvetiniz</w:t>
            </w:r>
            <w:r>
              <w:rPr>
                <w:spacing w:val="-4"/>
                <w:sz w:val="20"/>
                <w:szCs w:val="20"/>
              </w:rPr>
              <w:t xml:space="preserve"> </w:t>
            </w:r>
            <w:r>
              <w:rPr>
                <w:sz w:val="20"/>
                <w:szCs w:val="20"/>
              </w:rPr>
              <w:t>var</w:t>
            </w:r>
            <w:r>
              <w:rPr>
                <w:spacing w:val="-1"/>
                <w:sz w:val="20"/>
                <w:szCs w:val="20"/>
              </w:rPr>
              <w:t xml:space="preserve"> </w:t>
            </w:r>
            <w:r>
              <w:rPr>
                <w:spacing w:val="-5"/>
                <w:sz w:val="20"/>
                <w:szCs w:val="20"/>
              </w:rPr>
              <w:t>mı?</w:t>
            </w:r>
          </w:p>
        </w:tc>
        <w:tc>
          <w:tcPr>
            <w:tcW w:w="876" w:type="dxa"/>
            <w:shd w:val="clear" w:color="auto" w:fill="auto"/>
          </w:tcPr>
          <w:p w14:paraId="63C58129">
            <w:pPr>
              <w:pStyle w:val="29"/>
              <w:rPr>
                <w:sz w:val="20"/>
                <w:szCs w:val="20"/>
              </w:rPr>
            </w:pPr>
          </w:p>
        </w:tc>
        <w:tc>
          <w:tcPr>
            <w:tcW w:w="945" w:type="dxa"/>
            <w:shd w:val="clear" w:color="auto" w:fill="auto"/>
          </w:tcPr>
          <w:p w14:paraId="5AF40657">
            <w:pPr>
              <w:pStyle w:val="29"/>
              <w:rPr>
                <w:sz w:val="20"/>
                <w:szCs w:val="20"/>
              </w:rPr>
            </w:pPr>
          </w:p>
        </w:tc>
        <w:tc>
          <w:tcPr>
            <w:tcW w:w="828" w:type="dxa"/>
            <w:shd w:val="clear" w:color="auto" w:fill="auto"/>
          </w:tcPr>
          <w:p w14:paraId="024DD5C5">
            <w:pPr>
              <w:pStyle w:val="29"/>
              <w:rPr>
                <w:sz w:val="20"/>
                <w:szCs w:val="20"/>
              </w:rPr>
            </w:pPr>
          </w:p>
        </w:tc>
        <w:tc>
          <w:tcPr>
            <w:tcW w:w="732" w:type="dxa"/>
            <w:shd w:val="clear" w:color="auto" w:fill="auto"/>
          </w:tcPr>
          <w:p w14:paraId="4B0BC10C">
            <w:pPr>
              <w:pStyle w:val="29"/>
              <w:rPr>
                <w:sz w:val="20"/>
                <w:szCs w:val="20"/>
              </w:rPr>
            </w:pPr>
          </w:p>
        </w:tc>
        <w:tc>
          <w:tcPr>
            <w:tcW w:w="708" w:type="dxa"/>
          </w:tcPr>
          <w:p w14:paraId="4FA30665">
            <w:pPr>
              <w:pStyle w:val="29"/>
              <w:rPr>
                <w:sz w:val="20"/>
                <w:szCs w:val="20"/>
              </w:rPr>
            </w:pPr>
          </w:p>
        </w:tc>
      </w:tr>
      <w:tr w14:paraId="1B50D8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08" w:hRule="atLeast"/>
        </w:trPr>
        <w:tc>
          <w:tcPr>
            <w:tcW w:w="993" w:type="dxa"/>
            <w:shd w:val="clear" w:color="auto" w:fill="auto"/>
          </w:tcPr>
          <w:p w14:paraId="7572FACD">
            <w:pPr>
              <w:pStyle w:val="29"/>
              <w:rPr>
                <w:b/>
                <w:sz w:val="20"/>
                <w:szCs w:val="20"/>
              </w:rPr>
            </w:pPr>
            <w:r>
              <w:rPr>
                <w:b/>
                <w:sz w:val="20"/>
                <w:szCs w:val="20"/>
              </w:rPr>
              <w:t>4</w:t>
            </w:r>
          </w:p>
        </w:tc>
        <w:tc>
          <w:tcPr>
            <w:tcW w:w="4560" w:type="dxa"/>
            <w:shd w:val="clear" w:color="auto" w:fill="auto"/>
          </w:tcPr>
          <w:p w14:paraId="3B4DEBB7">
            <w:pPr>
              <w:pStyle w:val="29"/>
              <w:ind w:left="100"/>
              <w:jc w:val="both"/>
              <w:rPr>
                <w:sz w:val="20"/>
                <w:szCs w:val="20"/>
              </w:rPr>
            </w:pPr>
            <w:r>
              <w:rPr>
                <w:sz w:val="20"/>
                <w:szCs w:val="20"/>
              </w:rPr>
              <w:t>Bedensel</w:t>
            </w:r>
            <w:r>
              <w:rPr>
                <w:spacing w:val="-3"/>
                <w:sz w:val="20"/>
                <w:szCs w:val="20"/>
              </w:rPr>
              <w:t xml:space="preserve"> </w:t>
            </w:r>
            <w:r>
              <w:rPr>
                <w:sz w:val="20"/>
                <w:szCs w:val="20"/>
              </w:rPr>
              <w:t>hareketlilik</w:t>
            </w:r>
            <w:r>
              <w:rPr>
                <w:spacing w:val="-3"/>
                <w:sz w:val="20"/>
                <w:szCs w:val="20"/>
              </w:rPr>
              <w:t xml:space="preserve"> </w:t>
            </w:r>
            <w:r>
              <w:rPr>
                <w:sz w:val="20"/>
                <w:szCs w:val="20"/>
              </w:rPr>
              <w:t>beceriniz</w:t>
            </w:r>
            <w:r>
              <w:rPr>
                <w:spacing w:val="-2"/>
                <w:sz w:val="20"/>
                <w:szCs w:val="20"/>
              </w:rPr>
              <w:t xml:space="preserve"> nasıldır?</w:t>
            </w:r>
          </w:p>
        </w:tc>
        <w:tc>
          <w:tcPr>
            <w:tcW w:w="876" w:type="dxa"/>
            <w:shd w:val="clear" w:color="auto" w:fill="auto"/>
          </w:tcPr>
          <w:p w14:paraId="75021A6A">
            <w:pPr>
              <w:pStyle w:val="29"/>
              <w:rPr>
                <w:sz w:val="20"/>
                <w:szCs w:val="20"/>
              </w:rPr>
            </w:pPr>
          </w:p>
        </w:tc>
        <w:tc>
          <w:tcPr>
            <w:tcW w:w="945" w:type="dxa"/>
            <w:shd w:val="clear" w:color="auto" w:fill="auto"/>
          </w:tcPr>
          <w:p w14:paraId="72B2D007">
            <w:pPr>
              <w:pStyle w:val="29"/>
              <w:rPr>
                <w:sz w:val="20"/>
                <w:szCs w:val="20"/>
              </w:rPr>
            </w:pPr>
          </w:p>
        </w:tc>
        <w:tc>
          <w:tcPr>
            <w:tcW w:w="828" w:type="dxa"/>
            <w:shd w:val="clear" w:color="auto" w:fill="auto"/>
          </w:tcPr>
          <w:p w14:paraId="58328901">
            <w:pPr>
              <w:pStyle w:val="29"/>
              <w:rPr>
                <w:sz w:val="20"/>
                <w:szCs w:val="20"/>
              </w:rPr>
            </w:pPr>
          </w:p>
        </w:tc>
        <w:tc>
          <w:tcPr>
            <w:tcW w:w="732" w:type="dxa"/>
            <w:shd w:val="clear" w:color="auto" w:fill="auto"/>
          </w:tcPr>
          <w:p w14:paraId="65FD622D">
            <w:pPr>
              <w:pStyle w:val="29"/>
              <w:rPr>
                <w:sz w:val="20"/>
                <w:szCs w:val="20"/>
              </w:rPr>
            </w:pPr>
          </w:p>
        </w:tc>
        <w:tc>
          <w:tcPr>
            <w:tcW w:w="708" w:type="dxa"/>
          </w:tcPr>
          <w:p w14:paraId="3258276E">
            <w:pPr>
              <w:pStyle w:val="29"/>
              <w:rPr>
                <w:sz w:val="20"/>
                <w:szCs w:val="20"/>
              </w:rPr>
            </w:pPr>
          </w:p>
        </w:tc>
      </w:tr>
      <w:tr w14:paraId="49F290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06" w:hRule="atLeast"/>
        </w:trPr>
        <w:tc>
          <w:tcPr>
            <w:tcW w:w="993" w:type="dxa"/>
            <w:shd w:val="clear" w:color="auto" w:fill="auto"/>
          </w:tcPr>
          <w:p w14:paraId="50F79C57">
            <w:pPr>
              <w:pStyle w:val="29"/>
              <w:rPr>
                <w:b/>
                <w:sz w:val="20"/>
                <w:szCs w:val="20"/>
              </w:rPr>
            </w:pPr>
            <w:r>
              <w:rPr>
                <w:b/>
                <w:sz w:val="20"/>
                <w:szCs w:val="20"/>
              </w:rPr>
              <w:t>5</w:t>
            </w:r>
          </w:p>
        </w:tc>
        <w:tc>
          <w:tcPr>
            <w:tcW w:w="4560" w:type="dxa"/>
            <w:shd w:val="clear" w:color="auto" w:fill="auto"/>
          </w:tcPr>
          <w:p w14:paraId="4B47CDF6">
            <w:pPr>
              <w:pStyle w:val="29"/>
              <w:ind w:left="100"/>
              <w:jc w:val="both"/>
              <w:rPr>
                <w:sz w:val="20"/>
                <w:szCs w:val="20"/>
              </w:rPr>
            </w:pPr>
            <w:r>
              <w:rPr>
                <w:sz w:val="20"/>
                <w:szCs w:val="20"/>
              </w:rPr>
              <w:t>Uykunuzdan</w:t>
            </w:r>
            <w:r>
              <w:rPr>
                <w:spacing w:val="-1"/>
                <w:sz w:val="20"/>
                <w:szCs w:val="20"/>
              </w:rPr>
              <w:t xml:space="preserve"> </w:t>
            </w:r>
            <w:r>
              <w:rPr>
                <w:sz w:val="20"/>
                <w:szCs w:val="20"/>
              </w:rPr>
              <w:t>ne</w:t>
            </w:r>
            <w:r>
              <w:rPr>
                <w:spacing w:val="-3"/>
                <w:sz w:val="20"/>
                <w:szCs w:val="20"/>
              </w:rPr>
              <w:t xml:space="preserve"> </w:t>
            </w:r>
            <w:r>
              <w:rPr>
                <w:sz w:val="20"/>
                <w:szCs w:val="20"/>
              </w:rPr>
              <w:t>kadar</w:t>
            </w:r>
            <w:r>
              <w:rPr>
                <w:spacing w:val="-3"/>
                <w:sz w:val="20"/>
                <w:szCs w:val="20"/>
              </w:rPr>
              <w:t xml:space="preserve"> </w:t>
            </w:r>
            <w:r>
              <w:rPr>
                <w:spacing w:val="-2"/>
                <w:sz w:val="20"/>
                <w:szCs w:val="20"/>
              </w:rPr>
              <w:t>hoşnutsunuz?</w:t>
            </w:r>
          </w:p>
        </w:tc>
        <w:tc>
          <w:tcPr>
            <w:tcW w:w="876" w:type="dxa"/>
            <w:shd w:val="clear" w:color="auto" w:fill="auto"/>
          </w:tcPr>
          <w:p w14:paraId="281878E8">
            <w:pPr>
              <w:pStyle w:val="29"/>
              <w:rPr>
                <w:sz w:val="20"/>
                <w:szCs w:val="20"/>
              </w:rPr>
            </w:pPr>
          </w:p>
        </w:tc>
        <w:tc>
          <w:tcPr>
            <w:tcW w:w="945" w:type="dxa"/>
            <w:shd w:val="clear" w:color="auto" w:fill="auto"/>
          </w:tcPr>
          <w:p w14:paraId="36620B97">
            <w:pPr>
              <w:pStyle w:val="29"/>
              <w:rPr>
                <w:sz w:val="20"/>
                <w:szCs w:val="20"/>
              </w:rPr>
            </w:pPr>
          </w:p>
        </w:tc>
        <w:tc>
          <w:tcPr>
            <w:tcW w:w="828" w:type="dxa"/>
            <w:shd w:val="clear" w:color="auto" w:fill="auto"/>
          </w:tcPr>
          <w:p w14:paraId="3A8E2ABF">
            <w:pPr>
              <w:pStyle w:val="29"/>
              <w:rPr>
                <w:sz w:val="20"/>
                <w:szCs w:val="20"/>
              </w:rPr>
            </w:pPr>
          </w:p>
        </w:tc>
        <w:tc>
          <w:tcPr>
            <w:tcW w:w="732" w:type="dxa"/>
            <w:shd w:val="clear" w:color="auto" w:fill="auto"/>
          </w:tcPr>
          <w:p w14:paraId="17E21E2B">
            <w:pPr>
              <w:pStyle w:val="29"/>
              <w:rPr>
                <w:sz w:val="20"/>
                <w:szCs w:val="20"/>
              </w:rPr>
            </w:pPr>
          </w:p>
        </w:tc>
        <w:tc>
          <w:tcPr>
            <w:tcW w:w="708" w:type="dxa"/>
          </w:tcPr>
          <w:p w14:paraId="271D53FF">
            <w:pPr>
              <w:pStyle w:val="29"/>
              <w:rPr>
                <w:sz w:val="20"/>
                <w:szCs w:val="20"/>
              </w:rPr>
            </w:pPr>
          </w:p>
        </w:tc>
      </w:tr>
      <w:tr w14:paraId="5DCE63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14" w:hRule="atLeast"/>
        </w:trPr>
        <w:tc>
          <w:tcPr>
            <w:tcW w:w="993" w:type="dxa"/>
            <w:shd w:val="clear" w:color="auto" w:fill="auto"/>
          </w:tcPr>
          <w:p w14:paraId="7317890E">
            <w:pPr>
              <w:pStyle w:val="29"/>
              <w:rPr>
                <w:b/>
                <w:sz w:val="20"/>
                <w:szCs w:val="20"/>
              </w:rPr>
            </w:pPr>
            <w:r>
              <w:rPr>
                <w:b/>
                <w:sz w:val="20"/>
                <w:szCs w:val="20"/>
              </w:rPr>
              <w:t>6</w:t>
            </w:r>
          </w:p>
        </w:tc>
        <w:tc>
          <w:tcPr>
            <w:tcW w:w="4560" w:type="dxa"/>
            <w:shd w:val="clear" w:color="auto" w:fill="auto"/>
          </w:tcPr>
          <w:p w14:paraId="6A2F89A8">
            <w:pPr>
              <w:pStyle w:val="29"/>
              <w:ind w:left="100"/>
              <w:jc w:val="both"/>
              <w:rPr>
                <w:sz w:val="20"/>
                <w:szCs w:val="20"/>
              </w:rPr>
            </w:pPr>
            <w:r>
              <w:rPr>
                <w:sz w:val="20"/>
                <w:szCs w:val="20"/>
              </w:rPr>
              <w:t>Günlük</w:t>
            </w:r>
            <w:r>
              <w:rPr>
                <w:spacing w:val="-1"/>
                <w:sz w:val="20"/>
                <w:szCs w:val="20"/>
              </w:rPr>
              <w:t xml:space="preserve"> </w:t>
            </w:r>
            <w:r>
              <w:rPr>
                <w:sz w:val="20"/>
                <w:szCs w:val="20"/>
              </w:rPr>
              <w:t>uğraşlarınızı yürütebilme</w:t>
            </w:r>
            <w:r>
              <w:rPr>
                <w:spacing w:val="2"/>
                <w:sz w:val="20"/>
                <w:szCs w:val="20"/>
              </w:rPr>
              <w:t xml:space="preserve"> </w:t>
            </w:r>
            <w:r>
              <w:rPr>
                <w:sz w:val="20"/>
                <w:szCs w:val="20"/>
              </w:rPr>
              <w:t>becerinizden</w:t>
            </w:r>
            <w:r>
              <w:rPr>
                <w:spacing w:val="-1"/>
                <w:sz w:val="20"/>
                <w:szCs w:val="20"/>
              </w:rPr>
              <w:t xml:space="preserve"> </w:t>
            </w:r>
            <w:r>
              <w:rPr>
                <w:sz w:val="20"/>
                <w:szCs w:val="20"/>
              </w:rPr>
              <w:t>ne</w:t>
            </w:r>
            <w:r>
              <w:rPr>
                <w:spacing w:val="1"/>
                <w:sz w:val="20"/>
                <w:szCs w:val="20"/>
              </w:rPr>
              <w:t xml:space="preserve"> </w:t>
            </w:r>
            <w:r>
              <w:rPr>
                <w:spacing w:val="-4"/>
                <w:sz w:val="20"/>
                <w:szCs w:val="20"/>
              </w:rPr>
              <w:t>kadar</w:t>
            </w:r>
            <w:r>
              <w:rPr>
                <w:sz w:val="20"/>
                <w:szCs w:val="20"/>
              </w:rPr>
              <w:t xml:space="preserve"> </w:t>
            </w:r>
            <w:r>
              <w:rPr>
                <w:spacing w:val="-2"/>
                <w:sz w:val="20"/>
                <w:szCs w:val="20"/>
              </w:rPr>
              <w:t>hoşnutsunuz?</w:t>
            </w:r>
          </w:p>
        </w:tc>
        <w:tc>
          <w:tcPr>
            <w:tcW w:w="876" w:type="dxa"/>
            <w:shd w:val="clear" w:color="auto" w:fill="auto"/>
          </w:tcPr>
          <w:p w14:paraId="34A81FE9">
            <w:pPr>
              <w:pStyle w:val="29"/>
              <w:rPr>
                <w:sz w:val="20"/>
                <w:szCs w:val="20"/>
              </w:rPr>
            </w:pPr>
          </w:p>
        </w:tc>
        <w:tc>
          <w:tcPr>
            <w:tcW w:w="945" w:type="dxa"/>
            <w:shd w:val="clear" w:color="auto" w:fill="auto"/>
          </w:tcPr>
          <w:p w14:paraId="5E59D75B">
            <w:pPr>
              <w:pStyle w:val="29"/>
              <w:rPr>
                <w:sz w:val="20"/>
                <w:szCs w:val="20"/>
              </w:rPr>
            </w:pPr>
          </w:p>
        </w:tc>
        <w:tc>
          <w:tcPr>
            <w:tcW w:w="828" w:type="dxa"/>
            <w:shd w:val="clear" w:color="auto" w:fill="auto"/>
          </w:tcPr>
          <w:p w14:paraId="22EEB48E">
            <w:pPr>
              <w:pStyle w:val="29"/>
              <w:rPr>
                <w:sz w:val="20"/>
                <w:szCs w:val="20"/>
              </w:rPr>
            </w:pPr>
          </w:p>
        </w:tc>
        <w:tc>
          <w:tcPr>
            <w:tcW w:w="732" w:type="dxa"/>
            <w:shd w:val="clear" w:color="auto" w:fill="auto"/>
          </w:tcPr>
          <w:p w14:paraId="667F93D9">
            <w:pPr>
              <w:pStyle w:val="29"/>
              <w:rPr>
                <w:sz w:val="20"/>
                <w:szCs w:val="20"/>
              </w:rPr>
            </w:pPr>
          </w:p>
        </w:tc>
        <w:tc>
          <w:tcPr>
            <w:tcW w:w="708" w:type="dxa"/>
          </w:tcPr>
          <w:p w14:paraId="5F620730">
            <w:pPr>
              <w:pStyle w:val="29"/>
              <w:rPr>
                <w:sz w:val="20"/>
                <w:szCs w:val="20"/>
              </w:rPr>
            </w:pPr>
          </w:p>
        </w:tc>
      </w:tr>
      <w:tr w14:paraId="2BB478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05" w:hRule="atLeast"/>
        </w:trPr>
        <w:tc>
          <w:tcPr>
            <w:tcW w:w="993" w:type="dxa"/>
            <w:shd w:val="clear" w:color="auto" w:fill="auto"/>
          </w:tcPr>
          <w:p w14:paraId="0B3FA67B">
            <w:pPr>
              <w:pStyle w:val="29"/>
              <w:rPr>
                <w:b/>
                <w:sz w:val="20"/>
                <w:szCs w:val="20"/>
              </w:rPr>
            </w:pPr>
            <w:r>
              <w:rPr>
                <w:b/>
                <w:sz w:val="20"/>
                <w:szCs w:val="20"/>
              </w:rPr>
              <w:t>7</w:t>
            </w:r>
          </w:p>
        </w:tc>
        <w:tc>
          <w:tcPr>
            <w:tcW w:w="4560" w:type="dxa"/>
            <w:shd w:val="clear" w:color="auto" w:fill="auto"/>
          </w:tcPr>
          <w:p w14:paraId="12125B9D">
            <w:pPr>
              <w:pStyle w:val="29"/>
              <w:ind w:left="100"/>
              <w:jc w:val="both"/>
              <w:rPr>
                <w:sz w:val="20"/>
                <w:szCs w:val="20"/>
              </w:rPr>
            </w:pPr>
            <w:r>
              <w:rPr>
                <w:sz w:val="20"/>
                <w:szCs w:val="20"/>
              </w:rPr>
              <w:t>İş</w:t>
            </w:r>
            <w:r>
              <w:rPr>
                <w:spacing w:val="-3"/>
                <w:sz w:val="20"/>
                <w:szCs w:val="20"/>
              </w:rPr>
              <w:t xml:space="preserve"> </w:t>
            </w:r>
            <w:r>
              <w:rPr>
                <w:sz w:val="20"/>
                <w:szCs w:val="20"/>
              </w:rPr>
              <w:t>görme</w:t>
            </w:r>
            <w:r>
              <w:rPr>
                <w:spacing w:val="-3"/>
                <w:sz w:val="20"/>
                <w:szCs w:val="20"/>
              </w:rPr>
              <w:t xml:space="preserve"> </w:t>
            </w:r>
            <w:r>
              <w:rPr>
                <w:sz w:val="20"/>
                <w:szCs w:val="20"/>
              </w:rPr>
              <w:t>kapasitenizden ne</w:t>
            </w:r>
            <w:r>
              <w:rPr>
                <w:spacing w:val="-3"/>
                <w:sz w:val="20"/>
                <w:szCs w:val="20"/>
              </w:rPr>
              <w:t xml:space="preserve"> </w:t>
            </w:r>
            <w:r>
              <w:rPr>
                <w:sz w:val="20"/>
                <w:szCs w:val="20"/>
              </w:rPr>
              <w:t>kadar</w:t>
            </w:r>
            <w:r>
              <w:rPr>
                <w:spacing w:val="-1"/>
                <w:sz w:val="20"/>
                <w:szCs w:val="20"/>
              </w:rPr>
              <w:t xml:space="preserve"> </w:t>
            </w:r>
            <w:r>
              <w:rPr>
                <w:spacing w:val="-2"/>
                <w:sz w:val="20"/>
                <w:szCs w:val="20"/>
              </w:rPr>
              <w:t>hoşnutsunuz?</w:t>
            </w:r>
          </w:p>
        </w:tc>
        <w:tc>
          <w:tcPr>
            <w:tcW w:w="876" w:type="dxa"/>
            <w:shd w:val="clear" w:color="auto" w:fill="auto"/>
          </w:tcPr>
          <w:p w14:paraId="3FF772D3">
            <w:pPr>
              <w:pStyle w:val="29"/>
              <w:rPr>
                <w:sz w:val="20"/>
                <w:szCs w:val="20"/>
              </w:rPr>
            </w:pPr>
          </w:p>
        </w:tc>
        <w:tc>
          <w:tcPr>
            <w:tcW w:w="945" w:type="dxa"/>
            <w:shd w:val="clear" w:color="auto" w:fill="auto"/>
          </w:tcPr>
          <w:p w14:paraId="60C54C39">
            <w:pPr>
              <w:pStyle w:val="29"/>
              <w:rPr>
                <w:sz w:val="20"/>
                <w:szCs w:val="20"/>
              </w:rPr>
            </w:pPr>
          </w:p>
        </w:tc>
        <w:tc>
          <w:tcPr>
            <w:tcW w:w="828" w:type="dxa"/>
            <w:shd w:val="clear" w:color="auto" w:fill="auto"/>
          </w:tcPr>
          <w:p w14:paraId="716378AC">
            <w:pPr>
              <w:pStyle w:val="29"/>
              <w:rPr>
                <w:sz w:val="20"/>
                <w:szCs w:val="20"/>
              </w:rPr>
            </w:pPr>
          </w:p>
        </w:tc>
        <w:tc>
          <w:tcPr>
            <w:tcW w:w="732" w:type="dxa"/>
            <w:shd w:val="clear" w:color="auto" w:fill="auto"/>
          </w:tcPr>
          <w:p w14:paraId="61358BE6">
            <w:pPr>
              <w:pStyle w:val="29"/>
              <w:rPr>
                <w:sz w:val="20"/>
                <w:szCs w:val="20"/>
              </w:rPr>
            </w:pPr>
          </w:p>
        </w:tc>
        <w:tc>
          <w:tcPr>
            <w:tcW w:w="708" w:type="dxa"/>
          </w:tcPr>
          <w:p w14:paraId="3891026F">
            <w:pPr>
              <w:pStyle w:val="29"/>
              <w:rPr>
                <w:sz w:val="20"/>
                <w:szCs w:val="20"/>
              </w:rPr>
            </w:pPr>
          </w:p>
        </w:tc>
      </w:tr>
      <w:tr w14:paraId="2C618F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06" w:hRule="atLeast"/>
        </w:trPr>
        <w:tc>
          <w:tcPr>
            <w:tcW w:w="993" w:type="dxa"/>
            <w:shd w:val="clear" w:color="auto" w:fill="auto"/>
          </w:tcPr>
          <w:p w14:paraId="4A1A926F">
            <w:pPr>
              <w:pStyle w:val="29"/>
              <w:rPr>
                <w:b/>
                <w:sz w:val="20"/>
                <w:szCs w:val="20"/>
              </w:rPr>
            </w:pPr>
            <w:r>
              <w:rPr>
                <w:b/>
                <w:sz w:val="20"/>
                <w:szCs w:val="20"/>
              </w:rPr>
              <w:t>8</w:t>
            </w:r>
          </w:p>
        </w:tc>
        <w:tc>
          <w:tcPr>
            <w:tcW w:w="4560" w:type="dxa"/>
            <w:shd w:val="clear" w:color="auto" w:fill="auto"/>
          </w:tcPr>
          <w:p w14:paraId="1CF21266">
            <w:pPr>
              <w:pStyle w:val="29"/>
              <w:ind w:left="100"/>
              <w:jc w:val="both"/>
              <w:rPr>
                <w:sz w:val="20"/>
                <w:szCs w:val="20"/>
              </w:rPr>
            </w:pPr>
            <w:r>
              <w:rPr>
                <w:sz w:val="20"/>
                <w:szCs w:val="20"/>
              </w:rPr>
              <w:t>Yaşamaktan</w:t>
            </w:r>
            <w:r>
              <w:rPr>
                <w:spacing w:val="-6"/>
                <w:sz w:val="20"/>
                <w:szCs w:val="20"/>
              </w:rPr>
              <w:t xml:space="preserve"> </w:t>
            </w:r>
            <w:r>
              <w:rPr>
                <w:sz w:val="20"/>
                <w:szCs w:val="20"/>
              </w:rPr>
              <w:t>ne</w:t>
            </w:r>
            <w:r>
              <w:rPr>
                <w:spacing w:val="-8"/>
                <w:sz w:val="20"/>
                <w:szCs w:val="20"/>
              </w:rPr>
              <w:t xml:space="preserve"> </w:t>
            </w:r>
            <w:r>
              <w:rPr>
                <w:sz w:val="20"/>
                <w:szCs w:val="20"/>
              </w:rPr>
              <w:t>kadar</w:t>
            </w:r>
            <w:r>
              <w:rPr>
                <w:spacing w:val="-7"/>
                <w:sz w:val="20"/>
                <w:szCs w:val="20"/>
              </w:rPr>
              <w:t xml:space="preserve"> </w:t>
            </w:r>
            <w:r>
              <w:rPr>
                <w:sz w:val="20"/>
                <w:szCs w:val="20"/>
              </w:rPr>
              <w:t>keyif</w:t>
            </w:r>
            <w:r>
              <w:rPr>
                <w:spacing w:val="-8"/>
                <w:sz w:val="20"/>
                <w:szCs w:val="20"/>
              </w:rPr>
              <w:t xml:space="preserve"> </w:t>
            </w:r>
            <w:r>
              <w:rPr>
                <w:spacing w:val="-2"/>
                <w:sz w:val="20"/>
                <w:szCs w:val="20"/>
              </w:rPr>
              <w:t>alırsınız?</w:t>
            </w:r>
          </w:p>
        </w:tc>
        <w:tc>
          <w:tcPr>
            <w:tcW w:w="876" w:type="dxa"/>
            <w:shd w:val="clear" w:color="auto" w:fill="auto"/>
          </w:tcPr>
          <w:p w14:paraId="48D09B04">
            <w:pPr>
              <w:pStyle w:val="29"/>
              <w:rPr>
                <w:sz w:val="20"/>
                <w:szCs w:val="20"/>
              </w:rPr>
            </w:pPr>
          </w:p>
        </w:tc>
        <w:tc>
          <w:tcPr>
            <w:tcW w:w="945" w:type="dxa"/>
            <w:shd w:val="clear" w:color="auto" w:fill="auto"/>
          </w:tcPr>
          <w:p w14:paraId="05C42122">
            <w:pPr>
              <w:pStyle w:val="29"/>
              <w:rPr>
                <w:sz w:val="20"/>
                <w:szCs w:val="20"/>
              </w:rPr>
            </w:pPr>
          </w:p>
        </w:tc>
        <w:tc>
          <w:tcPr>
            <w:tcW w:w="828" w:type="dxa"/>
            <w:shd w:val="clear" w:color="auto" w:fill="auto"/>
          </w:tcPr>
          <w:p w14:paraId="778CE7DD">
            <w:pPr>
              <w:pStyle w:val="29"/>
              <w:rPr>
                <w:sz w:val="20"/>
                <w:szCs w:val="20"/>
              </w:rPr>
            </w:pPr>
          </w:p>
        </w:tc>
        <w:tc>
          <w:tcPr>
            <w:tcW w:w="732" w:type="dxa"/>
            <w:shd w:val="clear" w:color="auto" w:fill="auto"/>
          </w:tcPr>
          <w:p w14:paraId="5DA95B20">
            <w:pPr>
              <w:pStyle w:val="29"/>
              <w:rPr>
                <w:sz w:val="20"/>
                <w:szCs w:val="20"/>
              </w:rPr>
            </w:pPr>
          </w:p>
        </w:tc>
        <w:tc>
          <w:tcPr>
            <w:tcW w:w="708" w:type="dxa"/>
          </w:tcPr>
          <w:p w14:paraId="6F7AD7AE">
            <w:pPr>
              <w:pStyle w:val="29"/>
              <w:rPr>
                <w:sz w:val="20"/>
                <w:szCs w:val="20"/>
              </w:rPr>
            </w:pPr>
          </w:p>
        </w:tc>
      </w:tr>
      <w:tr w14:paraId="0D3737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08" w:hRule="atLeast"/>
        </w:trPr>
        <w:tc>
          <w:tcPr>
            <w:tcW w:w="993" w:type="dxa"/>
            <w:shd w:val="clear" w:color="auto" w:fill="auto"/>
          </w:tcPr>
          <w:p w14:paraId="2E460E5A">
            <w:pPr>
              <w:pStyle w:val="29"/>
              <w:rPr>
                <w:b/>
                <w:sz w:val="20"/>
                <w:szCs w:val="20"/>
              </w:rPr>
            </w:pPr>
            <w:r>
              <w:rPr>
                <w:b/>
                <w:sz w:val="20"/>
                <w:szCs w:val="20"/>
              </w:rPr>
              <w:t>9</w:t>
            </w:r>
          </w:p>
        </w:tc>
        <w:tc>
          <w:tcPr>
            <w:tcW w:w="4560" w:type="dxa"/>
            <w:shd w:val="clear" w:color="auto" w:fill="auto"/>
          </w:tcPr>
          <w:p w14:paraId="4F3DFC7E">
            <w:pPr>
              <w:pStyle w:val="29"/>
              <w:ind w:left="100"/>
              <w:jc w:val="both"/>
              <w:rPr>
                <w:sz w:val="20"/>
                <w:szCs w:val="20"/>
              </w:rPr>
            </w:pPr>
            <w:r>
              <w:rPr>
                <w:sz w:val="20"/>
                <w:szCs w:val="20"/>
              </w:rPr>
              <w:t>Yaşamınızı</w:t>
            </w:r>
            <w:r>
              <w:rPr>
                <w:spacing w:val="-6"/>
                <w:sz w:val="20"/>
                <w:szCs w:val="20"/>
              </w:rPr>
              <w:t xml:space="preserve"> </w:t>
            </w:r>
            <w:r>
              <w:rPr>
                <w:sz w:val="20"/>
                <w:szCs w:val="20"/>
              </w:rPr>
              <w:t>ne</w:t>
            </w:r>
            <w:r>
              <w:rPr>
                <w:spacing w:val="-7"/>
                <w:sz w:val="20"/>
                <w:szCs w:val="20"/>
              </w:rPr>
              <w:t xml:space="preserve"> </w:t>
            </w:r>
            <w:r>
              <w:rPr>
                <w:sz w:val="20"/>
                <w:szCs w:val="20"/>
              </w:rPr>
              <w:t>ölçüde</w:t>
            </w:r>
            <w:r>
              <w:rPr>
                <w:spacing w:val="-7"/>
                <w:sz w:val="20"/>
                <w:szCs w:val="20"/>
              </w:rPr>
              <w:t xml:space="preserve"> </w:t>
            </w:r>
            <w:r>
              <w:rPr>
                <w:sz w:val="20"/>
                <w:szCs w:val="20"/>
              </w:rPr>
              <w:t>anlamlı</w:t>
            </w:r>
            <w:r>
              <w:rPr>
                <w:spacing w:val="-5"/>
                <w:sz w:val="20"/>
                <w:szCs w:val="20"/>
              </w:rPr>
              <w:t xml:space="preserve"> </w:t>
            </w:r>
            <w:r>
              <w:rPr>
                <w:spacing w:val="-2"/>
                <w:sz w:val="20"/>
                <w:szCs w:val="20"/>
              </w:rPr>
              <w:t>buluyorsunuz?</w:t>
            </w:r>
          </w:p>
        </w:tc>
        <w:tc>
          <w:tcPr>
            <w:tcW w:w="876" w:type="dxa"/>
            <w:shd w:val="clear" w:color="auto" w:fill="auto"/>
          </w:tcPr>
          <w:p w14:paraId="2D15DD98">
            <w:pPr>
              <w:pStyle w:val="29"/>
              <w:rPr>
                <w:sz w:val="20"/>
                <w:szCs w:val="20"/>
              </w:rPr>
            </w:pPr>
          </w:p>
        </w:tc>
        <w:tc>
          <w:tcPr>
            <w:tcW w:w="945" w:type="dxa"/>
            <w:shd w:val="clear" w:color="auto" w:fill="auto"/>
          </w:tcPr>
          <w:p w14:paraId="61289AE8">
            <w:pPr>
              <w:pStyle w:val="29"/>
              <w:rPr>
                <w:sz w:val="20"/>
                <w:szCs w:val="20"/>
              </w:rPr>
            </w:pPr>
          </w:p>
        </w:tc>
        <w:tc>
          <w:tcPr>
            <w:tcW w:w="828" w:type="dxa"/>
            <w:shd w:val="clear" w:color="auto" w:fill="auto"/>
          </w:tcPr>
          <w:p w14:paraId="1596CB50">
            <w:pPr>
              <w:pStyle w:val="29"/>
              <w:rPr>
                <w:sz w:val="20"/>
                <w:szCs w:val="20"/>
              </w:rPr>
            </w:pPr>
          </w:p>
        </w:tc>
        <w:tc>
          <w:tcPr>
            <w:tcW w:w="732" w:type="dxa"/>
            <w:shd w:val="clear" w:color="auto" w:fill="auto"/>
          </w:tcPr>
          <w:p w14:paraId="48CDE52A">
            <w:pPr>
              <w:pStyle w:val="29"/>
              <w:rPr>
                <w:sz w:val="20"/>
                <w:szCs w:val="20"/>
              </w:rPr>
            </w:pPr>
          </w:p>
        </w:tc>
        <w:tc>
          <w:tcPr>
            <w:tcW w:w="708" w:type="dxa"/>
          </w:tcPr>
          <w:p w14:paraId="06C37E6B">
            <w:pPr>
              <w:pStyle w:val="29"/>
              <w:rPr>
                <w:sz w:val="20"/>
                <w:szCs w:val="20"/>
              </w:rPr>
            </w:pPr>
          </w:p>
        </w:tc>
      </w:tr>
      <w:tr w14:paraId="531C97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06" w:hRule="atLeast"/>
        </w:trPr>
        <w:tc>
          <w:tcPr>
            <w:tcW w:w="993" w:type="dxa"/>
            <w:shd w:val="clear" w:color="auto" w:fill="auto"/>
          </w:tcPr>
          <w:p w14:paraId="095445D7">
            <w:pPr>
              <w:pStyle w:val="29"/>
              <w:rPr>
                <w:b/>
                <w:sz w:val="20"/>
                <w:szCs w:val="20"/>
              </w:rPr>
            </w:pPr>
            <w:r>
              <w:rPr>
                <w:b/>
                <w:sz w:val="20"/>
                <w:szCs w:val="20"/>
              </w:rPr>
              <w:t>10</w:t>
            </w:r>
          </w:p>
        </w:tc>
        <w:tc>
          <w:tcPr>
            <w:tcW w:w="4560" w:type="dxa"/>
            <w:shd w:val="clear" w:color="auto" w:fill="auto"/>
          </w:tcPr>
          <w:p w14:paraId="3F4AEA2D">
            <w:pPr>
              <w:pStyle w:val="29"/>
              <w:ind w:left="100"/>
              <w:jc w:val="both"/>
              <w:rPr>
                <w:sz w:val="20"/>
                <w:szCs w:val="20"/>
              </w:rPr>
            </w:pPr>
            <w:r>
              <w:rPr>
                <w:sz w:val="20"/>
                <w:szCs w:val="20"/>
              </w:rPr>
              <w:t>Dikkatinizi</w:t>
            </w:r>
            <w:r>
              <w:rPr>
                <w:spacing w:val="-2"/>
                <w:sz w:val="20"/>
                <w:szCs w:val="20"/>
              </w:rPr>
              <w:t xml:space="preserve"> </w:t>
            </w:r>
            <w:r>
              <w:rPr>
                <w:sz w:val="20"/>
                <w:szCs w:val="20"/>
              </w:rPr>
              <w:t>toplamada</w:t>
            </w:r>
            <w:r>
              <w:rPr>
                <w:spacing w:val="-3"/>
                <w:sz w:val="20"/>
                <w:szCs w:val="20"/>
              </w:rPr>
              <w:t xml:space="preserve"> </w:t>
            </w:r>
            <w:r>
              <w:rPr>
                <w:sz w:val="20"/>
                <w:szCs w:val="20"/>
              </w:rPr>
              <w:t>ne</w:t>
            </w:r>
            <w:r>
              <w:rPr>
                <w:spacing w:val="-3"/>
                <w:sz w:val="20"/>
                <w:szCs w:val="20"/>
              </w:rPr>
              <w:t xml:space="preserve"> </w:t>
            </w:r>
            <w:r>
              <w:rPr>
                <w:sz w:val="20"/>
                <w:szCs w:val="20"/>
              </w:rPr>
              <w:t>kadar</w:t>
            </w:r>
            <w:r>
              <w:rPr>
                <w:spacing w:val="1"/>
                <w:sz w:val="20"/>
                <w:szCs w:val="20"/>
              </w:rPr>
              <w:t xml:space="preserve"> </w:t>
            </w:r>
            <w:r>
              <w:rPr>
                <w:spacing w:val="-2"/>
                <w:sz w:val="20"/>
                <w:szCs w:val="20"/>
              </w:rPr>
              <w:t>başarılısınız?</w:t>
            </w:r>
          </w:p>
        </w:tc>
        <w:tc>
          <w:tcPr>
            <w:tcW w:w="876" w:type="dxa"/>
            <w:shd w:val="clear" w:color="auto" w:fill="auto"/>
          </w:tcPr>
          <w:p w14:paraId="6F741823">
            <w:pPr>
              <w:pStyle w:val="29"/>
              <w:rPr>
                <w:sz w:val="20"/>
                <w:szCs w:val="20"/>
              </w:rPr>
            </w:pPr>
          </w:p>
        </w:tc>
        <w:tc>
          <w:tcPr>
            <w:tcW w:w="945" w:type="dxa"/>
            <w:shd w:val="clear" w:color="auto" w:fill="auto"/>
          </w:tcPr>
          <w:p w14:paraId="79EA7222">
            <w:pPr>
              <w:pStyle w:val="29"/>
              <w:rPr>
                <w:sz w:val="20"/>
                <w:szCs w:val="20"/>
              </w:rPr>
            </w:pPr>
          </w:p>
        </w:tc>
        <w:tc>
          <w:tcPr>
            <w:tcW w:w="828" w:type="dxa"/>
            <w:shd w:val="clear" w:color="auto" w:fill="auto"/>
          </w:tcPr>
          <w:p w14:paraId="3D02139E">
            <w:pPr>
              <w:pStyle w:val="29"/>
              <w:rPr>
                <w:sz w:val="20"/>
                <w:szCs w:val="20"/>
              </w:rPr>
            </w:pPr>
          </w:p>
        </w:tc>
        <w:tc>
          <w:tcPr>
            <w:tcW w:w="732" w:type="dxa"/>
            <w:shd w:val="clear" w:color="auto" w:fill="auto"/>
          </w:tcPr>
          <w:p w14:paraId="27732A04">
            <w:pPr>
              <w:pStyle w:val="29"/>
              <w:rPr>
                <w:sz w:val="20"/>
                <w:szCs w:val="20"/>
              </w:rPr>
            </w:pPr>
          </w:p>
        </w:tc>
        <w:tc>
          <w:tcPr>
            <w:tcW w:w="708" w:type="dxa"/>
          </w:tcPr>
          <w:p w14:paraId="13E4E8B7">
            <w:pPr>
              <w:pStyle w:val="29"/>
              <w:rPr>
                <w:sz w:val="20"/>
                <w:szCs w:val="20"/>
              </w:rPr>
            </w:pPr>
          </w:p>
        </w:tc>
      </w:tr>
      <w:tr w14:paraId="6220C4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08" w:hRule="atLeast"/>
        </w:trPr>
        <w:tc>
          <w:tcPr>
            <w:tcW w:w="993" w:type="dxa"/>
            <w:shd w:val="clear" w:color="auto" w:fill="auto"/>
          </w:tcPr>
          <w:p w14:paraId="751BAFBF">
            <w:pPr>
              <w:pStyle w:val="29"/>
              <w:rPr>
                <w:b/>
                <w:sz w:val="20"/>
                <w:szCs w:val="20"/>
              </w:rPr>
            </w:pPr>
            <w:r>
              <w:rPr>
                <w:b/>
                <w:sz w:val="20"/>
                <w:szCs w:val="20"/>
              </w:rPr>
              <w:t>11</w:t>
            </w:r>
          </w:p>
        </w:tc>
        <w:tc>
          <w:tcPr>
            <w:tcW w:w="4560" w:type="dxa"/>
            <w:shd w:val="clear" w:color="auto" w:fill="auto"/>
          </w:tcPr>
          <w:p w14:paraId="4C857184">
            <w:pPr>
              <w:pStyle w:val="29"/>
              <w:ind w:left="100"/>
              <w:jc w:val="both"/>
              <w:rPr>
                <w:sz w:val="20"/>
                <w:szCs w:val="20"/>
              </w:rPr>
            </w:pPr>
            <w:r>
              <w:rPr>
                <w:sz w:val="20"/>
                <w:szCs w:val="20"/>
              </w:rPr>
              <w:t>Bedensel</w:t>
            </w:r>
            <w:r>
              <w:rPr>
                <w:spacing w:val="-3"/>
                <w:sz w:val="20"/>
                <w:szCs w:val="20"/>
              </w:rPr>
              <w:t xml:space="preserve"> </w:t>
            </w:r>
            <w:r>
              <w:rPr>
                <w:sz w:val="20"/>
                <w:szCs w:val="20"/>
              </w:rPr>
              <w:t>görünüşünüzü</w:t>
            </w:r>
            <w:r>
              <w:rPr>
                <w:spacing w:val="-3"/>
                <w:sz w:val="20"/>
                <w:szCs w:val="20"/>
              </w:rPr>
              <w:t xml:space="preserve"> </w:t>
            </w:r>
            <w:r>
              <w:rPr>
                <w:sz w:val="20"/>
                <w:szCs w:val="20"/>
              </w:rPr>
              <w:t>kabullenir</w:t>
            </w:r>
            <w:r>
              <w:rPr>
                <w:spacing w:val="-2"/>
                <w:sz w:val="20"/>
                <w:szCs w:val="20"/>
              </w:rPr>
              <w:t xml:space="preserve"> misiniz?</w:t>
            </w:r>
          </w:p>
        </w:tc>
        <w:tc>
          <w:tcPr>
            <w:tcW w:w="876" w:type="dxa"/>
            <w:shd w:val="clear" w:color="auto" w:fill="auto"/>
          </w:tcPr>
          <w:p w14:paraId="77CD8C96">
            <w:pPr>
              <w:pStyle w:val="29"/>
              <w:rPr>
                <w:sz w:val="20"/>
                <w:szCs w:val="20"/>
              </w:rPr>
            </w:pPr>
          </w:p>
        </w:tc>
        <w:tc>
          <w:tcPr>
            <w:tcW w:w="945" w:type="dxa"/>
            <w:shd w:val="clear" w:color="auto" w:fill="auto"/>
          </w:tcPr>
          <w:p w14:paraId="32E47094">
            <w:pPr>
              <w:pStyle w:val="29"/>
              <w:rPr>
                <w:sz w:val="20"/>
                <w:szCs w:val="20"/>
              </w:rPr>
            </w:pPr>
          </w:p>
        </w:tc>
        <w:tc>
          <w:tcPr>
            <w:tcW w:w="828" w:type="dxa"/>
            <w:shd w:val="clear" w:color="auto" w:fill="auto"/>
          </w:tcPr>
          <w:p w14:paraId="788693B6">
            <w:pPr>
              <w:pStyle w:val="29"/>
              <w:rPr>
                <w:sz w:val="20"/>
                <w:szCs w:val="20"/>
              </w:rPr>
            </w:pPr>
          </w:p>
        </w:tc>
        <w:tc>
          <w:tcPr>
            <w:tcW w:w="732" w:type="dxa"/>
            <w:shd w:val="clear" w:color="auto" w:fill="auto"/>
          </w:tcPr>
          <w:p w14:paraId="6F98F246">
            <w:pPr>
              <w:pStyle w:val="29"/>
              <w:rPr>
                <w:sz w:val="20"/>
                <w:szCs w:val="20"/>
              </w:rPr>
            </w:pPr>
          </w:p>
        </w:tc>
        <w:tc>
          <w:tcPr>
            <w:tcW w:w="708" w:type="dxa"/>
          </w:tcPr>
          <w:p w14:paraId="7FFFBDC0">
            <w:pPr>
              <w:pStyle w:val="29"/>
              <w:rPr>
                <w:sz w:val="20"/>
                <w:szCs w:val="20"/>
              </w:rPr>
            </w:pPr>
          </w:p>
        </w:tc>
      </w:tr>
      <w:tr w14:paraId="3E730A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05" w:hRule="atLeast"/>
        </w:trPr>
        <w:tc>
          <w:tcPr>
            <w:tcW w:w="993" w:type="dxa"/>
            <w:shd w:val="clear" w:color="auto" w:fill="auto"/>
          </w:tcPr>
          <w:p w14:paraId="141ABBBF">
            <w:pPr>
              <w:pStyle w:val="29"/>
              <w:rPr>
                <w:b/>
                <w:sz w:val="20"/>
                <w:szCs w:val="20"/>
              </w:rPr>
            </w:pPr>
            <w:r>
              <w:rPr>
                <w:b/>
                <w:sz w:val="20"/>
                <w:szCs w:val="20"/>
              </w:rPr>
              <w:t>12</w:t>
            </w:r>
          </w:p>
        </w:tc>
        <w:tc>
          <w:tcPr>
            <w:tcW w:w="4560" w:type="dxa"/>
            <w:shd w:val="clear" w:color="auto" w:fill="auto"/>
          </w:tcPr>
          <w:p w14:paraId="24DC784F">
            <w:pPr>
              <w:pStyle w:val="29"/>
              <w:ind w:left="100"/>
              <w:jc w:val="both"/>
              <w:rPr>
                <w:sz w:val="20"/>
                <w:szCs w:val="20"/>
              </w:rPr>
            </w:pPr>
            <w:r>
              <w:rPr>
                <w:sz w:val="20"/>
                <w:szCs w:val="20"/>
              </w:rPr>
              <w:t>Kendinizden</w:t>
            </w:r>
            <w:r>
              <w:rPr>
                <w:spacing w:val="-3"/>
                <w:sz w:val="20"/>
                <w:szCs w:val="20"/>
              </w:rPr>
              <w:t xml:space="preserve"> </w:t>
            </w:r>
            <w:r>
              <w:rPr>
                <w:sz w:val="20"/>
                <w:szCs w:val="20"/>
              </w:rPr>
              <w:t>ne</w:t>
            </w:r>
            <w:r>
              <w:rPr>
                <w:spacing w:val="-2"/>
                <w:sz w:val="20"/>
                <w:szCs w:val="20"/>
              </w:rPr>
              <w:t xml:space="preserve"> </w:t>
            </w:r>
            <w:r>
              <w:rPr>
                <w:sz w:val="20"/>
                <w:szCs w:val="20"/>
              </w:rPr>
              <w:t>kadar</w:t>
            </w:r>
            <w:r>
              <w:rPr>
                <w:spacing w:val="-1"/>
                <w:sz w:val="20"/>
                <w:szCs w:val="20"/>
              </w:rPr>
              <w:t xml:space="preserve"> </w:t>
            </w:r>
            <w:r>
              <w:rPr>
                <w:spacing w:val="-2"/>
                <w:sz w:val="20"/>
                <w:szCs w:val="20"/>
              </w:rPr>
              <w:t>hoşnutsunuz?</w:t>
            </w:r>
          </w:p>
        </w:tc>
        <w:tc>
          <w:tcPr>
            <w:tcW w:w="876" w:type="dxa"/>
            <w:shd w:val="clear" w:color="auto" w:fill="auto"/>
          </w:tcPr>
          <w:p w14:paraId="038CE729">
            <w:pPr>
              <w:pStyle w:val="29"/>
              <w:rPr>
                <w:sz w:val="20"/>
                <w:szCs w:val="20"/>
              </w:rPr>
            </w:pPr>
          </w:p>
        </w:tc>
        <w:tc>
          <w:tcPr>
            <w:tcW w:w="945" w:type="dxa"/>
            <w:shd w:val="clear" w:color="auto" w:fill="auto"/>
          </w:tcPr>
          <w:p w14:paraId="75D6FE1D">
            <w:pPr>
              <w:pStyle w:val="29"/>
              <w:rPr>
                <w:sz w:val="20"/>
                <w:szCs w:val="20"/>
              </w:rPr>
            </w:pPr>
          </w:p>
        </w:tc>
        <w:tc>
          <w:tcPr>
            <w:tcW w:w="828" w:type="dxa"/>
            <w:shd w:val="clear" w:color="auto" w:fill="auto"/>
          </w:tcPr>
          <w:p w14:paraId="2E3A191A">
            <w:pPr>
              <w:pStyle w:val="29"/>
              <w:rPr>
                <w:sz w:val="20"/>
                <w:szCs w:val="20"/>
              </w:rPr>
            </w:pPr>
          </w:p>
        </w:tc>
        <w:tc>
          <w:tcPr>
            <w:tcW w:w="732" w:type="dxa"/>
            <w:shd w:val="clear" w:color="auto" w:fill="auto"/>
          </w:tcPr>
          <w:p w14:paraId="2FE1EE2C">
            <w:pPr>
              <w:pStyle w:val="29"/>
              <w:rPr>
                <w:sz w:val="20"/>
                <w:szCs w:val="20"/>
              </w:rPr>
            </w:pPr>
          </w:p>
        </w:tc>
        <w:tc>
          <w:tcPr>
            <w:tcW w:w="708" w:type="dxa"/>
          </w:tcPr>
          <w:p w14:paraId="245DDF48">
            <w:pPr>
              <w:pStyle w:val="29"/>
              <w:rPr>
                <w:sz w:val="20"/>
                <w:szCs w:val="20"/>
              </w:rPr>
            </w:pPr>
          </w:p>
        </w:tc>
      </w:tr>
      <w:tr w14:paraId="08DB2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14" w:hRule="atLeast"/>
        </w:trPr>
        <w:tc>
          <w:tcPr>
            <w:tcW w:w="993" w:type="dxa"/>
            <w:shd w:val="clear" w:color="auto" w:fill="auto"/>
          </w:tcPr>
          <w:p w14:paraId="5B1C880F">
            <w:pPr>
              <w:pStyle w:val="29"/>
              <w:rPr>
                <w:b/>
                <w:sz w:val="20"/>
                <w:szCs w:val="20"/>
              </w:rPr>
            </w:pPr>
            <w:r>
              <w:rPr>
                <w:b/>
                <w:sz w:val="20"/>
                <w:szCs w:val="20"/>
              </w:rPr>
              <w:t>13</w:t>
            </w:r>
          </w:p>
        </w:tc>
        <w:tc>
          <w:tcPr>
            <w:tcW w:w="4560" w:type="dxa"/>
            <w:shd w:val="clear" w:color="auto" w:fill="auto"/>
          </w:tcPr>
          <w:p w14:paraId="2E53BEA3">
            <w:pPr>
              <w:pStyle w:val="29"/>
              <w:ind w:left="100"/>
              <w:jc w:val="both"/>
              <w:rPr>
                <w:sz w:val="20"/>
                <w:szCs w:val="20"/>
              </w:rPr>
            </w:pPr>
            <w:r>
              <w:rPr>
                <w:sz w:val="20"/>
                <w:szCs w:val="20"/>
              </w:rPr>
              <w:t>Ne</w:t>
            </w:r>
            <w:r>
              <w:rPr>
                <w:spacing w:val="28"/>
                <w:sz w:val="20"/>
                <w:szCs w:val="20"/>
              </w:rPr>
              <w:t xml:space="preserve"> </w:t>
            </w:r>
            <w:r>
              <w:rPr>
                <w:sz w:val="20"/>
                <w:szCs w:val="20"/>
              </w:rPr>
              <w:t>sıklıkta</w:t>
            </w:r>
            <w:r>
              <w:rPr>
                <w:spacing w:val="30"/>
                <w:sz w:val="20"/>
                <w:szCs w:val="20"/>
              </w:rPr>
              <w:t xml:space="preserve"> </w:t>
            </w:r>
            <w:r>
              <w:rPr>
                <w:sz w:val="20"/>
                <w:szCs w:val="20"/>
              </w:rPr>
              <w:t>hüzün,</w:t>
            </w:r>
            <w:r>
              <w:rPr>
                <w:spacing w:val="30"/>
                <w:sz w:val="20"/>
                <w:szCs w:val="20"/>
              </w:rPr>
              <w:t xml:space="preserve"> </w:t>
            </w:r>
            <w:r>
              <w:rPr>
                <w:sz w:val="20"/>
                <w:szCs w:val="20"/>
              </w:rPr>
              <w:t>ümitsizlik,</w:t>
            </w:r>
            <w:r>
              <w:rPr>
                <w:spacing w:val="31"/>
                <w:sz w:val="20"/>
                <w:szCs w:val="20"/>
              </w:rPr>
              <w:t xml:space="preserve"> </w:t>
            </w:r>
            <w:r>
              <w:rPr>
                <w:sz w:val="20"/>
                <w:szCs w:val="20"/>
              </w:rPr>
              <w:t>bunaltı,</w:t>
            </w:r>
            <w:r>
              <w:rPr>
                <w:spacing w:val="30"/>
                <w:sz w:val="20"/>
                <w:szCs w:val="20"/>
              </w:rPr>
              <w:t xml:space="preserve"> </w:t>
            </w:r>
            <w:r>
              <w:rPr>
                <w:sz w:val="20"/>
                <w:szCs w:val="20"/>
              </w:rPr>
              <w:t>çökkünlük</w:t>
            </w:r>
            <w:r>
              <w:rPr>
                <w:spacing w:val="29"/>
                <w:sz w:val="20"/>
                <w:szCs w:val="20"/>
              </w:rPr>
              <w:t xml:space="preserve"> </w:t>
            </w:r>
            <w:r>
              <w:rPr>
                <w:spacing w:val="-4"/>
                <w:sz w:val="20"/>
                <w:szCs w:val="20"/>
              </w:rPr>
              <w:t>gibi</w:t>
            </w:r>
            <w:r>
              <w:rPr>
                <w:sz w:val="20"/>
                <w:szCs w:val="20"/>
              </w:rPr>
              <w:t xml:space="preserve"> duygulara</w:t>
            </w:r>
            <w:r>
              <w:rPr>
                <w:spacing w:val="-4"/>
                <w:sz w:val="20"/>
                <w:szCs w:val="20"/>
              </w:rPr>
              <w:t xml:space="preserve"> </w:t>
            </w:r>
            <w:r>
              <w:rPr>
                <w:spacing w:val="-2"/>
                <w:sz w:val="20"/>
                <w:szCs w:val="20"/>
              </w:rPr>
              <w:t>kapılırsınız?</w:t>
            </w:r>
          </w:p>
        </w:tc>
        <w:tc>
          <w:tcPr>
            <w:tcW w:w="876" w:type="dxa"/>
            <w:shd w:val="clear" w:color="auto" w:fill="auto"/>
          </w:tcPr>
          <w:p w14:paraId="682A9F62">
            <w:pPr>
              <w:pStyle w:val="29"/>
              <w:rPr>
                <w:sz w:val="20"/>
                <w:szCs w:val="20"/>
              </w:rPr>
            </w:pPr>
          </w:p>
        </w:tc>
        <w:tc>
          <w:tcPr>
            <w:tcW w:w="945" w:type="dxa"/>
            <w:shd w:val="clear" w:color="auto" w:fill="auto"/>
          </w:tcPr>
          <w:p w14:paraId="7F03950F">
            <w:pPr>
              <w:pStyle w:val="29"/>
              <w:rPr>
                <w:sz w:val="20"/>
                <w:szCs w:val="20"/>
              </w:rPr>
            </w:pPr>
          </w:p>
        </w:tc>
        <w:tc>
          <w:tcPr>
            <w:tcW w:w="828" w:type="dxa"/>
            <w:shd w:val="clear" w:color="auto" w:fill="auto"/>
          </w:tcPr>
          <w:p w14:paraId="68B2C634">
            <w:pPr>
              <w:pStyle w:val="29"/>
              <w:rPr>
                <w:sz w:val="20"/>
                <w:szCs w:val="20"/>
              </w:rPr>
            </w:pPr>
          </w:p>
        </w:tc>
        <w:tc>
          <w:tcPr>
            <w:tcW w:w="732" w:type="dxa"/>
            <w:shd w:val="clear" w:color="auto" w:fill="auto"/>
          </w:tcPr>
          <w:p w14:paraId="42CABA85">
            <w:pPr>
              <w:pStyle w:val="29"/>
              <w:rPr>
                <w:sz w:val="20"/>
                <w:szCs w:val="20"/>
              </w:rPr>
            </w:pPr>
          </w:p>
        </w:tc>
        <w:tc>
          <w:tcPr>
            <w:tcW w:w="708" w:type="dxa"/>
          </w:tcPr>
          <w:p w14:paraId="19A9000A">
            <w:pPr>
              <w:pStyle w:val="29"/>
              <w:rPr>
                <w:sz w:val="20"/>
                <w:szCs w:val="20"/>
              </w:rPr>
            </w:pPr>
          </w:p>
        </w:tc>
      </w:tr>
      <w:tr w14:paraId="5989AA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06" w:hRule="atLeast"/>
        </w:trPr>
        <w:tc>
          <w:tcPr>
            <w:tcW w:w="993" w:type="dxa"/>
            <w:shd w:val="clear" w:color="auto" w:fill="auto"/>
          </w:tcPr>
          <w:p w14:paraId="23694324">
            <w:pPr>
              <w:pStyle w:val="29"/>
              <w:rPr>
                <w:b/>
                <w:sz w:val="20"/>
                <w:szCs w:val="20"/>
              </w:rPr>
            </w:pPr>
            <w:r>
              <w:rPr>
                <w:b/>
                <w:sz w:val="20"/>
                <w:szCs w:val="20"/>
              </w:rPr>
              <w:t>14</w:t>
            </w:r>
          </w:p>
        </w:tc>
        <w:tc>
          <w:tcPr>
            <w:tcW w:w="4560" w:type="dxa"/>
            <w:shd w:val="clear" w:color="auto" w:fill="auto"/>
          </w:tcPr>
          <w:p w14:paraId="72968BBE">
            <w:pPr>
              <w:pStyle w:val="29"/>
              <w:ind w:left="100"/>
              <w:jc w:val="both"/>
              <w:rPr>
                <w:sz w:val="20"/>
                <w:szCs w:val="20"/>
              </w:rPr>
            </w:pPr>
            <w:r>
              <w:rPr>
                <w:sz w:val="20"/>
                <w:szCs w:val="20"/>
              </w:rPr>
              <w:t>Aile</w:t>
            </w:r>
            <w:r>
              <w:rPr>
                <w:spacing w:val="-5"/>
                <w:sz w:val="20"/>
                <w:szCs w:val="20"/>
              </w:rPr>
              <w:t xml:space="preserve"> </w:t>
            </w:r>
            <w:r>
              <w:rPr>
                <w:sz w:val="20"/>
                <w:szCs w:val="20"/>
              </w:rPr>
              <w:t>dışı</w:t>
            </w:r>
            <w:r>
              <w:rPr>
                <w:spacing w:val="-4"/>
                <w:sz w:val="20"/>
                <w:szCs w:val="20"/>
              </w:rPr>
              <w:t xml:space="preserve"> </w:t>
            </w:r>
            <w:r>
              <w:rPr>
                <w:sz w:val="20"/>
                <w:szCs w:val="20"/>
              </w:rPr>
              <w:t>kişilerle</w:t>
            </w:r>
            <w:r>
              <w:rPr>
                <w:spacing w:val="-5"/>
                <w:sz w:val="20"/>
                <w:szCs w:val="20"/>
              </w:rPr>
              <w:t xml:space="preserve"> </w:t>
            </w:r>
            <w:r>
              <w:rPr>
                <w:sz w:val="20"/>
                <w:szCs w:val="20"/>
              </w:rPr>
              <w:t>ilişkilerinizden</w:t>
            </w:r>
            <w:r>
              <w:rPr>
                <w:spacing w:val="-5"/>
                <w:sz w:val="20"/>
                <w:szCs w:val="20"/>
              </w:rPr>
              <w:t xml:space="preserve"> </w:t>
            </w:r>
            <w:r>
              <w:rPr>
                <w:sz w:val="20"/>
                <w:szCs w:val="20"/>
              </w:rPr>
              <w:t>ne</w:t>
            </w:r>
            <w:r>
              <w:rPr>
                <w:spacing w:val="-5"/>
                <w:sz w:val="20"/>
                <w:szCs w:val="20"/>
              </w:rPr>
              <w:t xml:space="preserve"> </w:t>
            </w:r>
            <w:r>
              <w:rPr>
                <w:sz w:val="20"/>
                <w:szCs w:val="20"/>
              </w:rPr>
              <w:t>kadar</w:t>
            </w:r>
            <w:r>
              <w:rPr>
                <w:spacing w:val="-3"/>
                <w:sz w:val="20"/>
                <w:szCs w:val="20"/>
              </w:rPr>
              <w:t xml:space="preserve"> </w:t>
            </w:r>
            <w:r>
              <w:rPr>
                <w:spacing w:val="-2"/>
                <w:sz w:val="20"/>
                <w:szCs w:val="20"/>
              </w:rPr>
              <w:t>hoşnutsunuz?</w:t>
            </w:r>
          </w:p>
        </w:tc>
        <w:tc>
          <w:tcPr>
            <w:tcW w:w="876" w:type="dxa"/>
            <w:shd w:val="clear" w:color="auto" w:fill="auto"/>
          </w:tcPr>
          <w:p w14:paraId="0539EF05">
            <w:pPr>
              <w:pStyle w:val="29"/>
              <w:rPr>
                <w:sz w:val="20"/>
                <w:szCs w:val="20"/>
              </w:rPr>
            </w:pPr>
          </w:p>
        </w:tc>
        <w:tc>
          <w:tcPr>
            <w:tcW w:w="945" w:type="dxa"/>
            <w:shd w:val="clear" w:color="auto" w:fill="auto"/>
          </w:tcPr>
          <w:p w14:paraId="7F568928">
            <w:pPr>
              <w:pStyle w:val="29"/>
              <w:rPr>
                <w:sz w:val="20"/>
                <w:szCs w:val="20"/>
              </w:rPr>
            </w:pPr>
          </w:p>
        </w:tc>
        <w:tc>
          <w:tcPr>
            <w:tcW w:w="828" w:type="dxa"/>
            <w:shd w:val="clear" w:color="auto" w:fill="auto"/>
          </w:tcPr>
          <w:p w14:paraId="11368DB3">
            <w:pPr>
              <w:pStyle w:val="29"/>
              <w:rPr>
                <w:sz w:val="20"/>
                <w:szCs w:val="20"/>
              </w:rPr>
            </w:pPr>
          </w:p>
        </w:tc>
        <w:tc>
          <w:tcPr>
            <w:tcW w:w="732" w:type="dxa"/>
            <w:shd w:val="clear" w:color="auto" w:fill="auto"/>
          </w:tcPr>
          <w:p w14:paraId="56B22861">
            <w:pPr>
              <w:pStyle w:val="29"/>
              <w:rPr>
                <w:sz w:val="20"/>
                <w:szCs w:val="20"/>
              </w:rPr>
            </w:pPr>
          </w:p>
        </w:tc>
        <w:tc>
          <w:tcPr>
            <w:tcW w:w="708" w:type="dxa"/>
          </w:tcPr>
          <w:p w14:paraId="750F57ED">
            <w:pPr>
              <w:pStyle w:val="29"/>
              <w:rPr>
                <w:sz w:val="20"/>
                <w:szCs w:val="20"/>
              </w:rPr>
            </w:pPr>
          </w:p>
        </w:tc>
      </w:tr>
      <w:tr w14:paraId="08B2B9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08" w:hRule="atLeast"/>
        </w:trPr>
        <w:tc>
          <w:tcPr>
            <w:tcW w:w="993" w:type="dxa"/>
            <w:shd w:val="clear" w:color="auto" w:fill="auto"/>
          </w:tcPr>
          <w:p w14:paraId="19AD780E">
            <w:pPr>
              <w:pStyle w:val="29"/>
              <w:rPr>
                <w:b/>
                <w:sz w:val="20"/>
                <w:szCs w:val="20"/>
              </w:rPr>
            </w:pPr>
            <w:r>
              <w:rPr>
                <w:b/>
                <w:sz w:val="20"/>
                <w:szCs w:val="20"/>
              </w:rPr>
              <w:t>15</w:t>
            </w:r>
          </w:p>
        </w:tc>
        <w:tc>
          <w:tcPr>
            <w:tcW w:w="4560" w:type="dxa"/>
            <w:shd w:val="clear" w:color="auto" w:fill="auto"/>
          </w:tcPr>
          <w:p w14:paraId="412255E5">
            <w:pPr>
              <w:pStyle w:val="29"/>
              <w:ind w:left="100"/>
              <w:jc w:val="both"/>
              <w:rPr>
                <w:sz w:val="20"/>
                <w:szCs w:val="20"/>
              </w:rPr>
            </w:pPr>
            <w:r>
              <w:rPr>
                <w:sz w:val="20"/>
                <w:szCs w:val="20"/>
              </w:rPr>
              <w:t>Cinsel</w:t>
            </w:r>
            <w:r>
              <w:rPr>
                <w:spacing w:val="-3"/>
                <w:sz w:val="20"/>
                <w:szCs w:val="20"/>
              </w:rPr>
              <w:t xml:space="preserve"> </w:t>
            </w:r>
            <w:r>
              <w:rPr>
                <w:sz w:val="20"/>
                <w:szCs w:val="20"/>
              </w:rPr>
              <w:t>yaşamınızdan</w:t>
            </w:r>
            <w:r>
              <w:rPr>
                <w:spacing w:val="-2"/>
                <w:sz w:val="20"/>
                <w:szCs w:val="20"/>
              </w:rPr>
              <w:t xml:space="preserve"> </w:t>
            </w:r>
            <w:r>
              <w:rPr>
                <w:sz w:val="20"/>
                <w:szCs w:val="20"/>
              </w:rPr>
              <w:t>ne</w:t>
            </w:r>
            <w:r>
              <w:rPr>
                <w:spacing w:val="-3"/>
                <w:sz w:val="20"/>
                <w:szCs w:val="20"/>
              </w:rPr>
              <w:t xml:space="preserve"> </w:t>
            </w:r>
            <w:r>
              <w:rPr>
                <w:sz w:val="20"/>
                <w:szCs w:val="20"/>
              </w:rPr>
              <w:t>kadar</w:t>
            </w:r>
            <w:r>
              <w:rPr>
                <w:spacing w:val="-2"/>
                <w:sz w:val="20"/>
                <w:szCs w:val="20"/>
              </w:rPr>
              <w:t xml:space="preserve"> hoşnutsunuz?</w:t>
            </w:r>
          </w:p>
        </w:tc>
        <w:tc>
          <w:tcPr>
            <w:tcW w:w="876" w:type="dxa"/>
            <w:shd w:val="clear" w:color="auto" w:fill="auto"/>
          </w:tcPr>
          <w:p w14:paraId="2C7F1AF1">
            <w:pPr>
              <w:pStyle w:val="29"/>
              <w:rPr>
                <w:sz w:val="20"/>
                <w:szCs w:val="20"/>
              </w:rPr>
            </w:pPr>
          </w:p>
        </w:tc>
        <w:tc>
          <w:tcPr>
            <w:tcW w:w="945" w:type="dxa"/>
            <w:shd w:val="clear" w:color="auto" w:fill="auto"/>
          </w:tcPr>
          <w:p w14:paraId="01F826A5">
            <w:pPr>
              <w:pStyle w:val="29"/>
              <w:rPr>
                <w:sz w:val="20"/>
                <w:szCs w:val="20"/>
              </w:rPr>
            </w:pPr>
          </w:p>
        </w:tc>
        <w:tc>
          <w:tcPr>
            <w:tcW w:w="828" w:type="dxa"/>
            <w:shd w:val="clear" w:color="auto" w:fill="auto"/>
          </w:tcPr>
          <w:p w14:paraId="0A324F6C">
            <w:pPr>
              <w:pStyle w:val="29"/>
              <w:rPr>
                <w:sz w:val="20"/>
                <w:szCs w:val="20"/>
              </w:rPr>
            </w:pPr>
          </w:p>
        </w:tc>
        <w:tc>
          <w:tcPr>
            <w:tcW w:w="732" w:type="dxa"/>
            <w:shd w:val="clear" w:color="auto" w:fill="auto"/>
          </w:tcPr>
          <w:p w14:paraId="23F09E78">
            <w:pPr>
              <w:pStyle w:val="29"/>
              <w:rPr>
                <w:sz w:val="20"/>
                <w:szCs w:val="20"/>
              </w:rPr>
            </w:pPr>
          </w:p>
        </w:tc>
        <w:tc>
          <w:tcPr>
            <w:tcW w:w="708" w:type="dxa"/>
          </w:tcPr>
          <w:p w14:paraId="16776CA3">
            <w:pPr>
              <w:pStyle w:val="29"/>
              <w:rPr>
                <w:sz w:val="20"/>
                <w:szCs w:val="20"/>
              </w:rPr>
            </w:pPr>
          </w:p>
        </w:tc>
      </w:tr>
      <w:tr w14:paraId="6AA9D4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06" w:hRule="atLeast"/>
        </w:trPr>
        <w:tc>
          <w:tcPr>
            <w:tcW w:w="993" w:type="dxa"/>
            <w:shd w:val="clear" w:color="auto" w:fill="auto"/>
          </w:tcPr>
          <w:p w14:paraId="33CCDD30">
            <w:pPr>
              <w:pStyle w:val="29"/>
              <w:rPr>
                <w:b/>
                <w:sz w:val="20"/>
                <w:szCs w:val="20"/>
              </w:rPr>
            </w:pPr>
            <w:r>
              <w:rPr>
                <w:b/>
                <w:sz w:val="20"/>
                <w:szCs w:val="20"/>
              </w:rPr>
              <w:t>16</w:t>
            </w:r>
          </w:p>
        </w:tc>
        <w:tc>
          <w:tcPr>
            <w:tcW w:w="4560" w:type="dxa"/>
            <w:shd w:val="clear" w:color="auto" w:fill="auto"/>
          </w:tcPr>
          <w:p w14:paraId="3C4D28A5">
            <w:pPr>
              <w:pStyle w:val="29"/>
              <w:ind w:left="100"/>
              <w:jc w:val="both"/>
              <w:rPr>
                <w:sz w:val="20"/>
                <w:szCs w:val="20"/>
              </w:rPr>
            </w:pPr>
            <w:r>
              <w:rPr>
                <w:sz w:val="20"/>
                <w:szCs w:val="20"/>
              </w:rPr>
              <w:t>Arkadaşlarınızın</w:t>
            </w:r>
            <w:r>
              <w:rPr>
                <w:spacing w:val="-2"/>
                <w:sz w:val="20"/>
                <w:szCs w:val="20"/>
              </w:rPr>
              <w:t xml:space="preserve"> </w:t>
            </w:r>
            <w:r>
              <w:rPr>
                <w:sz w:val="20"/>
                <w:szCs w:val="20"/>
              </w:rPr>
              <w:t>desteğinden</w:t>
            </w:r>
            <w:r>
              <w:rPr>
                <w:spacing w:val="-3"/>
                <w:sz w:val="20"/>
                <w:szCs w:val="20"/>
              </w:rPr>
              <w:t xml:space="preserve"> </w:t>
            </w:r>
            <w:r>
              <w:rPr>
                <w:sz w:val="20"/>
                <w:szCs w:val="20"/>
              </w:rPr>
              <w:t>ne</w:t>
            </w:r>
            <w:r>
              <w:rPr>
                <w:spacing w:val="-2"/>
                <w:sz w:val="20"/>
                <w:szCs w:val="20"/>
              </w:rPr>
              <w:t xml:space="preserve"> </w:t>
            </w:r>
            <w:r>
              <w:rPr>
                <w:sz w:val="20"/>
                <w:szCs w:val="20"/>
              </w:rPr>
              <w:t>kadar</w:t>
            </w:r>
            <w:r>
              <w:rPr>
                <w:spacing w:val="-2"/>
                <w:sz w:val="20"/>
                <w:szCs w:val="20"/>
              </w:rPr>
              <w:t xml:space="preserve"> hoşnutsunuz?</w:t>
            </w:r>
          </w:p>
        </w:tc>
        <w:tc>
          <w:tcPr>
            <w:tcW w:w="876" w:type="dxa"/>
            <w:shd w:val="clear" w:color="auto" w:fill="auto"/>
          </w:tcPr>
          <w:p w14:paraId="58A8341D">
            <w:pPr>
              <w:pStyle w:val="29"/>
              <w:rPr>
                <w:sz w:val="20"/>
                <w:szCs w:val="20"/>
              </w:rPr>
            </w:pPr>
          </w:p>
        </w:tc>
        <w:tc>
          <w:tcPr>
            <w:tcW w:w="945" w:type="dxa"/>
            <w:shd w:val="clear" w:color="auto" w:fill="auto"/>
          </w:tcPr>
          <w:p w14:paraId="3D3F175E">
            <w:pPr>
              <w:pStyle w:val="29"/>
              <w:rPr>
                <w:sz w:val="20"/>
                <w:szCs w:val="20"/>
              </w:rPr>
            </w:pPr>
          </w:p>
        </w:tc>
        <w:tc>
          <w:tcPr>
            <w:tcW w:w="828" w:type="dxa"/>
            <w:shd w:val="clear" w:color="auto" w:fill="auto"/>
          </w:tcPr>
          <w:p w14:paraId="31C3B840">
            <w:pPr>
              <w:pStyle w:val="29"/>
              <w:rPr>
                <w:sz w:val="20"/>
                <w:szCs w:val="20"/>
              </w:rPr>
            </w:pPr>
          </w:p>
        </w:tc>
        <w:tc>
          <w:tcPr>
            <w:tcW w:w="732" w:type="dxa"/>
            <w:shd w:val="clear" w:color="auto" w:fill="auto"/>
          </w:tcPr>
          <w:p w14:paraId="3529F03F">
            <w:pPr>
              <w:pStyle w:val="29"/>
              <w:rPr>
                <w:sz w:val="20"/>
                <w:szCs w:val="20"/>
              </w:rPr>
            </w:pPr>
          </w:p>
        </w:tc>
        <w:tc>
          <w:tcPr>
            <w:tcW w:w="708" w:type="dxa"/>
          </w:tcPr>
          <w:p w14:paraId="3CDED9AC">
            <w:pPr>
              <w:pStyle w:val="29"/>
              <w:rPr>
                <w:sz w:val="20"/>
                <w:szCs w:val="20"/>
              </w:rPr>
            </w:pPr>
          </w:p>
        </w:tc>
      </w:tr>
      <w:tr w14:paraId="2B435D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14" w:hRule="atLeast"/>
        </w:trPr>
        <w:tc>
          <w:tcPr>
            <w:tcW w:w="993" w:type="dxa"/>
            <w:shd w:val="clear" w:color="auto" w:fill="auto"/>
          </w:tcPr>
          <w:p w14:paraId="503FBE4D">
            <w:pPr>
              <w:pStyle w:val="29"/>
              <w:rPr>
                <w:b/>
                <w:sz w:val="20"/>
                <w:szCs w:val="20"/>
              </w:rPr>
            </w:pPr>
            <w:r>
              <w:rPr>
                <w:b/>
                <w:sz w:val="20"/>
                <w:szCs w:val="20"/>
              </w:rPr>
              <w:t>17</w:t>
            </w:r>
          </w:p>
        </w:tc>
        <w:tc>
          <w:tcPr>
            <w:tcW w:w="4560" w:type="dxa"/>
            <w:shd w:val="clear" w:color="auto" w:fill="auto"/>
          </w:tcPr>
          <w:p w14:paraId="3BC89FC6">
            <w:pPr>
              <w:pStyle w:val="29"/>
              <w:ind w:left="100"/>
              <w:jc w:val="both"/>
              <w:rPr>
                <w:sz w:val="20"/>
                <w:szCs w:val="20"/>
              </w:rPr>
            </w:pPr>
            <w:r>
              <w:rPr>
                <w:sz w:val="20"/>
                <w:szCs w:val="20"/>
              </w:rPr>
              <w:t>Günlük</w:t>
            </w:r>
            <w:r>
              <w:rPr>
                <w:spacing w:val="79"/>
                <w:w w:val="150"/>
                <w:sz w:val="20"/>
                <w:szCs w:val="20"/>
              </w:rPr>
              <w:t xml:space="preserve"> </w:t>
            </w:r>
            <w:r>
              <w:rPr>
                <w:sz w:val="20"/>
                <w:szCs w:val="20"/>
              </w:rPr>
              <w:t>yaşamınızda</w:t>
            </w:r>
            <w:r>
              <w:rPr>
                <w:spacing w:val="29"/>
                <w:sz w:val="20"/>
                <w:szCs w:val="20"/>
              </w:rPr>
              <w:t xml:space="preserve"> </w:t>
            </w:r>
            <w:r>
              <w:rPr>
                <w:sz w:val="20"/>
                <w:szCs w:val="20"/>
              </w:rPr>
              <w:t>kendinizi</w:t>
            </w:r>
            <w:r>
              <w:rPr>
                <w:spacing w:val="29"/>
                <w:sz w:val="20"/>
                <w:szCs w:val="20"/>
              </w:rPr>
              <w:t xml:space="preserve"> </w:t>
            </w:r>
            <w:r>
              <w:rPr>
                <w:sz w:val="20"/>
                <w:szCs w:val="20"/>
              </w:rPr>
              <w:t>nekadar</w:t>
            </w:r>
            <w:r>
              <w:rPr>
                <w:spacing w:val="31"/>
                <w:sz w:val="20"/>
                <w:szCs w:val="20"/>
              </w:rPr>
              <w:t xml:space="preserve"> </w:t>
            </w:r>
            <w:r>
              <w:rPr>
                <w:spacing w:val="-2"/>
                <w:sz w:val="20"/>
                <w:szCs w:val="20"/>
              </w:rPr>
              <w:t>güvende</w:t>
            </w:r>
            <w:r>
              <w:rPr>
                <w:sz w:val="20"/>
                <w:szCs w:val="20"/>
              </w:rPr>
              <w:t xml:space="preserve"> </w:t>
            </w:r>
            <w:r>
              <w:rPr>
                <w:spacing w:val="-2"/>
                <w:sz w:val="20"/>
                <w:szCs w:val="20"/>
              </w:rPr>
              <w:t>hissediyorsunuz?</w:t>
            </w:r>
          </w:p>
        </w:tc>
        <w:tc>
          <w:tcPr>
            <w:tcW w:w="876" w:type="dxa"/>
            <w:shd w:val="clear" w:color="auto" w:fill="auto"/>
          </w:tcPr>
          <w:p w14:paraId="13711EB4">
            <w:pPr>
              <w:pStyle w:val="29"/>
              <w:rPr>
                <w:sz w:val="20"/>
                <w:szCs w:val="20"/>
              </w:rPr>
            </w:pPr>
          </w:p>
        </w:tc>
        <w:tc>
          <w:tcPr>
            <w:tcW w:w="945" w:type="dxa"/>
            <w:shd w:val="clear" w:color="auto" w:fill="auto"/>
          </w:tcPr>
          <w:p w14:paraId="317355F4">
            <w:pPr>
              <w:pStyle w:val="29"/>
              <w:rPr>
                <w:sz w:val="20"/>
                <w:szCs w:val="20"/>
              </w:rPr>
            </w:pPr>
          </w:p>
        </w:tc>
        <w:tc>
          <w:tcPr>
            <w:tcW w:w="828" w:type="dxa"/>
            <w:shd w:val="clear" w:color="auto" w:fill="auto"/>
          </w:tcPr>
          <w:p w14:paraId="070E74BD">
            <w:pPr>
              <w:pStyle w:val="29"/>
              <w:rPr>
                <w:sz w:val="20"/>
                <w:szCs w:val="20"/>
              </w:rPr>
            </w:pPr>
          </w:p>
        </w:tc>
        <w:tc>
          <w:tcPr>
            <w:tcW w:w="732" w:type="dxa"/>
            <w:shd w:val="clear" w:color="auto" w:fill="auto"/>
          </w:tcPr>
          <w:p w14:paraId="6FDDCF77">
            <w:pPr>
              <w:pStyle w:val="29"/>
              <w:rPr>
                <w:sz w:val="20"/>
                <w:szCs w:val="20"/>
              </w:rPr>
            </w:pPr>
          </w:p>
        </w:tc>
        <w:tc>
          <w:tcPr>
            <w:tcW w:w="708" w:type="dxa"/>
          </w:tcPr>
          <w:p w14:paraId="5235CF9E">
            <w:pPr>
              <w:pStyle w:val="29"/>
              <w:rPr>
                <w:sz w:val="20"/>
                <w:szCs w:val="20"/>
              </w:rPr>
            </w:pPr>
          </w:p>
        </w:tc>
      </w:tr>
      <w:tr w14:paraId="7C77F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06" w:hRule="atLeast"/>
        </w:trPr>
        <w:tc>
          <w:tcPr>
            <w:tcW w:w="993" w:type="dxa"/>
            <w:shd w:val="clear" w:color="auto" w:fill="auto"/>
          </w:tcPr>
          <w:p w14:paraId="417F0D7F">
            <w:pPr>
              <w:pStyle w:val="29"/>
              <w:rPr>
                <w:b/>
                <w:sz w:val="20"/>
                <w:szCs w:val="20"/>
              </w:rPr>
            </w:pPr>
            <w:r>
              <w:rPr>
                <w:b/>
                <w:sz w:val="20"/>
                <w:szCs w:val="20"/>
              </w:rPr>
              <w:t>18</w:t>
            </w:r>
          </w:p>
        </w:tc>
        <w:tc>
          <w:tcPr>
            <w:tcW w:w="4560" w:type="dxa"/>
            <w:shd w:val="clear" w:color="auto" w:fill="auto"/>
          </w:tcPr>
          <w:p w14:paraId="4BC57F7E">
            <w:pPr>
              <w:pStyle w:val="29"/>
              <w:ind w:left="100"/>
              <w:jc w:val="both"/>
              <w:rPr>
                <w:sz w:val="20"/>
                <w:szCs w:val="20"/>
              </w:rPr>
            </w:pPr>
            <w:r>
              <w:rPr>
                <w:sz w:val="20"/>
                <w:szCs w:val="20"/>
              </w:rPr>
              <w:t>Fiziksel</w:t>
            </w:r>
            <w:r>
              <w:rPr>
                <w:spacing w:val="-2"/>
                <w:sz w:val="20"/>
                <w:szCs w:val="20"/>
              </w:rPr>
              <w:t xml:space="preserve"> </w:t>
            </w:r>
            <w:r>
              <w:rPr>
                <w:sz w:val="20"/>
                <w:szCs w:val="20"/>
              </w:rPr>
              <w:t>çevreniz</w:t>
            </w:r>
            <w:r>
              <w:rPr>
                <w:spacing w:val="-1"/>
                <w:sz w:val="20"/>
                <w:szCs w:val="20"/>
              </w:rPr>
              <w:t xml:space="preserve"> </w:t>
            </w:r>
            <w:r>
              <w:rPr>
                <w:sz w:val="20"/>
                <w:szCs w:val="20"/>
              </w:rPr>
              <w:t>ne</w:t>
            </w:r>
            <w:r>
              <w:rPr>
                <w:spacing w:val="-2"/>
                <w:sz w:val="20"/>
                <w:szCs w:val="20"/>
              </w:rPr>
              <w:t xml:space="preserve"> </w:t>
            </w:r>
            <w:r>
              <w:rPr>
                <w:sz w:val="20"/>
                <w:szCs w:val="20"/>
              </w:rPr>
              <w:t>ölçüde</w:t>
            </w:r>
            <w:r>
              <w:rPr>
                <w:spacing w:val="-2"/>
                <w:sz w:val="20"/>
                <w:szCs w:val="20"/>
              </w:rPr>
              <w:t xml:space="preserve"> sağlıklıdır?</w:t>
            </w:r>
          </w:p>
        </w:tc>
        <w:tc>
          <w:tcPr>
            <w:tcW w:w="876" w:type="dxa"/>
            <w:shd w:val="clear" w:color="auto" w:fill="auto"/>
          </w:tcPr>
          <w:p w14:paraId="4370097A">
            <w:pPr>
              <w:pStyle w:val="29"/>
              <w:rPr>
                <w:sz w:val="20"/>
                <w:szCs w:val="20"/>
              </w:rPr>
            </w:pPr>
          </w:p>
        </w:tc>
        <w:tc>
          <w:tcPr>
            <w:tcW w:w="945" w:type="dxa"/>
            <w:shd w:val="clear" w:color="auto" w:fill="auto"/>
          </w:tcPr>
          <w:p w14:paraId="00F334CA">
            <w:pPr>
              <w:pStyle w:val="29"/>
              <w:rPr>
                <w:sz w:val="20"/>
                <w:szCs w:val="20"/>
              </w:rPr>
            </w:pPr>
          </w:p>
        </w:tc>
        <w:tc>
          <w:tcPr>
            <w:tcW w:w="828" w:type="dxa"/>
            <w:shd w:val="clear" w:color="auto" w:fill="auto"/>
          </w:tcPr>
          <w:p w14:paraId="4C6FB6B7">
            <w:pPr>
              <w:pStyle w:val="29"/>
              <w:rPr>
                <w:sz w:val="20"/>
                <w:szCs w:val="20"/>
              </w:rPr>
            </w:pPr>
          </w:p>
        </w:tc>
        <w:tc>
          <w:tcPr>
            <w:tcW w:w="732" w:type="dxa"/>
            <w:shd w:val="clear" w:color="auto" w:fill="auto"/>
          </w:tcPr>
          <w:p w14:paraId="3B023352">
            <w:pPr>
              <w:pStyle w:val="29"/>
              <w:rPr>
                <w:sz w:val="20"/>
                <w:szCs w:val="20"/>
              </w:rPr>
            </w:pPr>
          </w:p>
        </w:tc>
        <w:tc>
          <w:tcPr>
            <w:tcW w:w="708" w:type="dxa"/>
          </w:tcPr>
          <w:p w14:paraId="70ED5417">
            <w:pPr>
              <w:pStyle w:val="29"/>
              <w:rPr>
                <w:sz w:val="20"/>
                <w:szCs w:val="20"/>
              </w:rPr>
            </w:pPr>
          </w:p>
        </w:tc>
      </w:tr>
      <w:tr w14:paraId="5C4306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05" w:hRule="atLeast"/>
        </w:trPr>
        <w:tc>
          <w:tcPr>
            <w:tcW w:w="993" w:type="dxa"/>
            <w:shd w:val="clear" w:color="auto" w:fill="auto"/>
          </w:tcPr>
          <w:p w14:paraId="07FB7059">
            <w:pPr>
              <w:pStyle w:val="29"/>
              <w:rPr>
                <w:b/>
                <w:sz w:val="20"/>
                <w:szCs w:val="20"/>
              </w:rPr>
            </w:pPr>
            <w:r>
              <w:rPr>
                <w:b/>
                <w:sz w:val="20"/>
                <w:szCs w:val="20"/>
              </w:rPr>
              <w:t>19</w:t>
            </w:r>
          </w:p>
        </w:tc>
        <w:tc>
          <w:tcPr>
            <w:tcW w:w="4560" w:type="dxa"/>
            <w:shd w:val="clear" w:color="auto" w:fill="auto"/>
          </w:tcPr>
          <w:p w14:paraId="766FA6F8">
            <w:pPr>
              <w:pStyle w:val="29"/>
              <w:ind w:left="100"/>
              <w:jc w:val="both"/>
              <w:rPr>
                <w:sz w:val="20"/>
                <w:szCs w:val="20"/>
              </w:rPr>
            </w:pPr>
            <w:r>
              <w:rPr>
                <w:sz w:val="20"/>
                <w:szCs w:val="20"/>
              </w:rPr>
              <w:t>İhtiyaçlarınızı</w:t>
            </w:r>
            <w:r>
              <w:rPr>
                <w:spacing w:val="-3"/>
                <w:sz w:val="20"/>
                <w:szCs w:val="20"/>
              </w:rPr>
              <w:t xml:space="preserve"> </w:t>
            </w:r>
            <w:r>
              <w:rPr>
                <w:sz w:val="20"/>
                <w:szCs w:val="20"/>
              </w:rPr>
              <w:t>karşılamaya</w:t>
            </w:r>
            <w:r>
              <w:rPr>
                <w:spacing w:val="-1"/>
                <w:sz w:val="20"/>
                <w:szCs w:val="20"/>
              </w:rPr>
              <w:t xml:space="preserve"> </w:t>
            </w:r>
            <w:r>
              <w:rPr>
                <w:sz w:val="20"/>
                <w:szCs w:val="20"/>
              </w:rPr>
              <w:t>yeterli</w:t>
            </w:r>
            <w:r>
              <w:rPr>
                <w:spacing w:val="-1"/>
                <w:sz w:val="20"/>
                <w:szCs w:val="20"/>
              </w:rPr>
              <w:t xml:space="preserve"> </w:t>
            </w:r>
            <w:r>
              <w:rPr>
                <w:sz w:val="20"/>
                <w:szCs w:val="20"/>
              </w:rPr>
              <w:t>paranız</w:t>
            </w:r>
            <w:r>
              <w:rPr>
                <w:spacing w:val="-3"/>
                <w:sz w:val="20"/>
                <w:szCs w:val="20"/>
              </w:rPr>
              <w:t xml:space="preserve"> </w:t>
            </w:r>
            <w:r>
              <w:rPr>
                <w:sz w:val="20"/>
                <w:szCs w:val="20"/>
              </w:rPr>
              <w:t>var</w:t>
            </w:r>
            <w:r>
              <w:rPr>
                <w:spacing w:val="-2"/>
                <w:sz w:val="20"/>
                <w:szCs w:val="20"/>
              </w:rPr>
              <w:t xml:space="preserve"> </w:t>
            </w:r>
            <w:r>
              <w:rPr>
                <w:spacing w:val="-5"/>
                <w:sz w:val="20"/>
                <w:szCs w:val="20"/>
              </w:rPr>
              <w:t>mı?</w:t>
            </w:r>
          </w:p>
        </w:tc>
        <w:tc>
          <w:tcPr>
            <w:tcW w:w="876" w:type="dxa"/>
            <w:shd w:val="clear" w:color="auto" w:fill="auto"/>
          </w:tcPr>
          <w:p w14:paraId="1B8A1D87">
            <w:pPr>
              <w:pStyle w:val="29"/>
              <w:rPr>
                <w:sz w:val="20"/>
                <w:szCs w:val="20"/>
              </w:rPr>
            </w:pPr>
          </w:p>
        </w:tc>
        <w:tc>
          <w:tcPr>
            <w:tcW w:w="945" w:type="dxa"/>
            <w:shd w:val="clear" w:color="auto" w:fill="auto"/>
          </w:tcPr>
          <w:p w14:paraId="1B0BC720">
            <w:pPr>
              <w:pStyle w:val="29"/>
              <w:rPr>
                <w:sz w:val="20"/>
                <w:szCs w:val="20"/>
              </w:rPr>
            </w:pPr>
          </w:p>
        </w:tc>
        <w:tc>
          <w:tcPr>
            <w:tcW w:w="828" w:type="dxa"/>
            <w:shd w:val="clear" w:color="auto" w:fill="auto"/>
          </w:tcPr>
          <w:p w14:paraId="2220DF60">
            <w:pPr>
              <w:pStyle w:val="29"/>
              <w:rPr>
                <w:sz w:val="20"/>
                <w:szCs w:val="20"/>
              </w:rPr>
            </w:pPr>
          </w:p>
        </w:tc>
        <w:tc>
          <w:tcPr>
            <w:tcW w:w="732" w:type="dxa"/>
            <w:shd w:val="clear" w:color="auto" w:fill="auto"/>
          </w:tcPr>
          <w:p w14:paraId="4C1AFA44">
            <w:pPr>
              <w:pStyle w:val="29"/>
              <w:rPr>
                <w:sz w:val="20"/>
                <w:szCs w:val="20"/>
              </w:rPr>
            </w:pPr>
          </w:p>
        </w:tc>
        <w:tc>
          <w:tcPr>
            <w:tcW w:w="708" w:type="dxa"/>
          </w:tcPr>
          <w:p w14:paraId="713D9250">
            <w:pPr>
              <w:pStyle w:val="29"/>
              <w:rPr>
                <w:sz w:val="20"/>
                <w:szCs w:val="20"/>
              </w:rPr>
            </w:pPr>
          </w:p>
        </w:tc>
      </w:tr>
      <w:tr w14:paraId="3FC71F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14" w:hRule="atLeast"/>
        </w:trPr>
        <w:tc>
          <w:tcPr>
            <w:tcW w:w="993" w:type="dxa"/>
            <w:shd w:val="clear" w:color="auto" w:fill="auto"/>
          </w:tcPr>
          <w:p w14:paraId="5F94E9BB">
            <w:pPr>
              <w:pStyle w:val="29"/>
              <w:rPr>
                <w:b/>
                <w:sz w:val="20"/>
                <w:szCs w:val="20"/>
              </w:rPr>
            </w:pPr>
            <w:r>
              <w:rPr>
                <w:b/>
                <w:sz w:val="20"/>
                <w:szCs w:val="20"/>
              </w:rPr>
              <w:t>20</w:t>
            </w:r>
          </w:p>
        </w:tc>
        <w:tc>
          <w:tcPr>
            <w:tcW w:w="4560" w:type="dxa"/>
            <w:shd w:val="clear" w:color="auto" w:fill="auto"/>
          </w:tcPr>
          <w:p w14:paraId="0976077C">
            <w:pPr>
              <w:pStyle w:val="29"/>
              <w:ind w:left="100"/>
              <w:jc w:val="both"/>
              <w:rPr>
                <w:sz w:val="20"/>
                <w:szCs w:val="20"/>
              </w:rPr>
            </w:pPr>
            <w:r>
              <w:rPr>
                <w:sz w:val="20"/>
                <w:szCs w:val="20"/>
              </w:rPr>
              <w:t>Günlük yaşantınızda size gerekli</w:t>
            </w:r>
            <w:r>
              <w:rPr>
                <w:spacing w:val="19"/>
                <w:sz w:val="20"/>
                <w:szCs w:val="20"/>
              </w:rPr>
              <w:t xml:space="preserve"> </w:t>
            </w:r>
            <w:r>
              <w:rPr>
                <w:sz w:val="20"/>
                <w:szCs w:val="20"/>
              </w:rPr>
              <w:t>bilgi ve haberlere ne ölçüde</w:t>
            </w:r>
            <w:r>
              <w:rPr>
                <w:spacing w:val="-2"/>
                <w:sz w:val="20"/>
                <w:szCs w:val="20"/>
              </w:rPr>
              <w:t xml:space="preserve"> </w:t>
            </w:r>
            <w:r>
              <w:rPr>
                <w:sz w:val="20"/>
                <w:szCs w:val="20"/>
              </w:rPr>
              <w:t>ulaşabiliyorsunuz?</w:t>
            </w:r>
          </w:p>
        </w:tc>
        <w:tc>
          <w:tcPr>
            <w:tcW w:w="876" w:type="dxa"/>
            <w:shd w:val="clear" w:color="auto" w:fill="auto"/>
          </w:tcPr>
          <w:p w14:paraId="059AE6AE">
            <w:pPr>
              <w:pStyle w:val="29"/>
              <w:rPr>
                <w:sz w:val="20"/>
                <w:szCs w:val="20"/>
              </w:rPr>
            </w:pPr>
          </w:p>
        </w:tc>
        <w:tc>
          <w:tcPr>
            <w:tcW w:w="945" w:type="dxa"/>
            <w:shd w:val="clear" w:color="auto" w:fill="auto"/>
          </w:tcPr>
          <w:p w14:paraId="5BA19F38">
            <w:pPr>
              <w:pStyle w:val="29"/>
              <w:rPr>
                <w:sz w:val="20"/>
                <w:szCs w:val="20"/>
              </w:rPr>
            </w:pPr>
          </w:p>
        </w:tc>
        <w:tc>
          <w:tcPr>
            <w:tcW w:w="828" w:type="dxa"/>
            <w:shd w:val="clear" w:color="auto" w:fill="auto"/>
          </w:tcPr>
          <w:p w14:paraId="09561EAB">
            <w:pPr>
              <w:pStyle w:val="29"/>
              <w:rPr>
                <w:sz w:val="20"/>
                <w:szCs w:val="20"/>
              </w:rPr>
            </w:pPr>
          </w:p>
        </w:tc>
        <w:tc>
          <w:tcPr>
            <w:tcW w:w="732" w:type="dxa"/>
            <w:shd w:val="clear" w:color="auto" w:fill="auto"/>
          </w:tcPr>
          <w:p w14:paraId="117152C3">
            <w:pPr>
              <w:pStyle w:val="29"/>
              <w:rPr>
                <w:sz w:val="20"/>
                <w:szCs w:val="20"/>
              </w:rPr>
            </w:pPr>
          </w:p>
        </w:tc>
        <w:tc>
          <w:tcPr>
            <w:tcW w:w="708" w:type="dxa"/>
          </w:tcPr>
          <w:p w14:paraId="424714D3">
            <w:pPr>
              <w:pStyle w:val="29"/>
              <w:rPr>
                <w:sz w:val="20"/>
                <w:szCs w:val="20"/>
              </w:rPr>
            </w:pPr>
          </w:p>
        </w:tc>
      </w:tr>
      <w:tr w14:paraId="77AD06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14" w:hRule="atLeast"/>
        </w:trPr>
        <w:tc>
          <w:tcPr>
            <w:tcW w:w="993" w:type="dxa"/>
            <w:shd w:val="clear" w:color="auto" w:fill="auto"/>
          </w:tcPr>
          <w:p w14:paraId="5306BE09">
            <w:pPr>
              <w:pStyle w:val="29"/>
              <w:rPr>
                <w:b/>
                <w:sz w:val="20"/>
                <w:szCs w:val="20"/>
              </w:rPr>
            </w:pPr>
            <w:r>
              <w:rPr>
                <w:b/>
                <w:sz w:val="20"/>
                <w:szCs w:val="20"/>
              </w:rPr>
              <w:t>21</w:t>
            </w:r>
          </w:p>
        </w:tc>
        <w:tc>
          <w:tcPr>
            <w:tcW w:w="4560" w:type="dxa"/>
            <w:shd w:val="clear" w:color="auto" w:fill="auto"/>
          </w:tcPr>
          <w:p w14:paraId="3F4BB250">
            <w:pPr>
              <w:pStyle w:val="29"/>
              <w:ind w:left="100"/>
              <w:jc w:val="both"/>
              <w:rPr>
                <w:sz w:val="20"/>
                <w:szCs w:val="20"/>
              </w:rPr>
            </w:pPr>
            <w:r>
              <w:rPr>
                <w:sz w:val="20"/>
                <w:szCs w:val="20"/>
              </w:rPr>
              <w:t>Boş</w:t>
            </w:r>
            <w:r>
              <w:rPr>
                <w:spacing w:val="27"/>
                <w:sz w:val="20"/>
                <w:szCs w:val="20"/>
              </w:rPr>
              <w:t xml:space="preserve"> </w:t>
            </w:r>
            <w:r>
              <w:rPr>
                <w:sz w:val="20"/>
                <w:szCs w:val="20"/>
              </w:rPr>
              <w:t>zamanları</w:t>
            </w:r>
            <w:r>
              <w:rPr>
                <w:spacing w:val="30"/>
                <w:sz w:val="20"/>
                <w:szCs w:val="20"/>
              </w:rPr>
              <w:t xml:space="preserve"> </w:t>
            </w:r>
            <w:r>
              <w:rPr>
                <w:sz w:val="20"/>
                <w:szCs w:val="20"/>
              </w:rPr>
              <w:t>değerlendirme</w:t>
            </w:r>
            <w:r>
              <w:rPr>
                <w:spacing w:val="29"/>
                <w:sz w:val="20"/>
                <w:szCs w:val="20"/>
              </w:rPr>
              <w:t xml:space="preserve"> </w:t>
            </w:r>
            <w:r>
              <w:rPr>
                <w:sz w:val="20"/>
                <w:szCs w:val="20"/>
              </w:rPr>
              <w:t>uğraşları</w:t>
            </w:r>
            <w:r>
              <w:rPr>
                <w:spacing w:val="31"/>
                <w:sz w:val="20"/>
                <w:szCs w:val="20"/>
              </w:rPr>
              <w:t xml:space="preserve"> </w:t>
            </w:r>
            <w:r>
              <w:rPr>
                <w:sz w:val="20"/>
                <w:szCs w:val="20"/>
              </w:rPr>
              <w:t>için</w:t>
            </w:r>
            <w:r>
              <w:rPr>
                <w:spacing w:val="31"/>
                <w:sz w:val="20"/>
                <w:szCs w:val="20"/>
              </w:rPr>
              <w:t xml:space="preserve"> </w:t>
            </w:r>
            <w:r>
              <w:rPr>
                <w:sz w:val="20"/>
                <w:szCs w:val="20"/>
              </w:rPr>
              <w:t>ne</w:t>
            </w:r>
            <w:r>
              <w:rPr>
                <w:spacing w:val="29"/>
                <w:sz w:val="20"/>
                <w:szCs w:val="20"/>
              </w:rPr>
              <w:t xml:space="preserve"> </w:t>
            </w:r>
            <w:r>
              <w:rPr>
                <w:spacing w:val="-2"/>
                <w:sz w:val="20"/>
                <w:szCs w:val="20"/>
              </w:rPr>
              <w:t>ölçüde</w:t>
            </w:r>
            <w:r>
              <w:rPr>
                <w:sz w:val="20"/>
                <w:szCs w:val="20"/>
              </w:rPr>
              <w:t xml:space="preserve"> fırsatınız</w:t>
            </w:r>
            <w:r>
              <w:rPr>
                <w:spacing w:val="-5"/>
                <w:sz w:val="20"/>
                <w:szCs w:val="20"/>
              </w:rPr>
              <w:t xml:space="preserve"> </w:t>
            </w:r>
            <w:r>
              <w:rPr>
                <w:spacing w:val="-2"/>
                <w:sz w:val="20"/>
                <w:szCs w:val="20"/>
              </w:rPr>
              <w:t>olur?</w:t>
            </w:r>
          </w:p>
        </w:tc>
        <w:tc>
          <w:tcPr>
            <w:tcW w:w="876" w:type="dxa"/>
            <w:shd w:val="clear" w:color="auto" w:fill="auto"/>
          </w:tcPr>
          <w:p w14:paraId="5DEEDA3E">
            <w:pPr>
              <w:pStyle w:val="29"/>
              <w:rPr>
                <w:sz w:val="20"/>
                <w:szCs w:val="20"/>
              </w:rPr>
            </w:pPr>
          </w:p>
        </w:tc>
        <w:tc>
          <w:tcPr>
            <w:tcW w:w="945" w:type="dxa"/>
            <w:shd w:val="clear" w:color="auto" w:fill="auto"/>
          </w:tcPr>
          <w:p w14:paraId="71B6D19F">
            <w:pPr>
              <w:pStyle w:val="29"/>
              <w:rPr>
                <w:sz w:val="20"/>
                <w:szCs w:val="20"/>
              </w:rPr>
            </w:pPr>
          </w:p>
        </w:tc>
        <w:tc>
          <w:tcPr>
            <w:tcW w:w="828" w:type="dxa"/>
            <w:shd w:val="clear" w:color="auto" w:fill="auto"/>
          </w:tcPr>
          <w:p w14:paraId="6315DA56">
            <w:pPr>
              <w:pStyle w:val="29"/>
              <w:rPr>
                <w:sz w:val="20"/>
                <w:szCs w:val="20"/>
              </w:rPr>
            </w:pPr>
          </w:p>
        </w:tc>
        <w:tc>
          <w:tcPr>
            <w:tcW w:w="732" w:type="dxa"/>
            <w:shd w:val="clear" w:color="auto" w:fill="auto"/>
          </w:tcPr>
          <w:p w14:paraId="54366237">
            <w:pPr>
              <w:pStyle w:val="29"/>
              <w:rPr>
                <w:sz w:val="20"/>
                <w:szCs w:val="20"/>
              </w:rPr>
            </w:pPr>
          </w:p>
        </w:tc>
        <w:tc>
          <w:tcPr>
            <w:tcW w:w="708" w:type="dxa"/>
          </w:tcPr>
          <w:p w14:paraId="163557D2">
            <w:pPr>
              <w:pStyle w:val="29"/>
              <w:rPr>
                <w:sz w:val="20"/>
                <w:szCs w:val="20"/>
              </w:rPr>
            </w:pPr>
          </w:p>
        </w:tc>
      </w:tr>
      <w:tr w14:paraId="48319E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05" w:hRule="atLeast"/>
        </w:trPr>
        <w:tc>
          <w:tcPr>
            <w:tcW w:w="993" w:type="dxa"/>
            <w:shd w:val="clear" w:color="auto" w:fill="auto"/>
          </w:tcPr>
          <w:p w14:paraId="548CE0EB">
            <w:pPr>
              <w:pStyle w:val="29"/>
              <w:rPr>
                <w:b/>
                <w:sz w:val="20"/>
                <w:szCs w:val="20"/>
              </w:rPr>
            </w:pPr>
            <w:r>
              <w:rPr>
                <w:b/>
                <w:sz w:val="20"/>
                <w:szCs w:val="20"/>
              </w:rPr>
              <w:t>22</w:t>
            </w:r>
          </w:p>
        </w:tc>
        <w:tc>
          <w:tcPr>
            <w:tcW w:w="4560" w:type="dxa"/>
            <w:shd w:val="clear" w:color="auto" w:fill="auto"/>
          </w:tcPr>
          <w:p w14:paraId="50C0B39A">
            <w:pPr>
              <w:pStyle w:val="29"/>
              <w:ind w:left="100"/>
              <w:jc w:val="both"/>
              <w:rPr>
                <w:sz w:val="20"/>
                <w:szCs w:val="20"/>
              </w:rPr>
            </w:pPr>
            <w:r>
              <w:rPr>
                <w:sz w:val="20"/>
                <w:szCs w:val="20"/>
              </w:rPr>
              <w:t>Yaşadığınız</w:t>
            </w:r>
            <w:r>
              <w:rPr>
                <w:spacing w:val="-6"/>
                <w:sz w:val="20"/>
                <w:szCs w:val="20"/>
              </w:rPr>
              <w:t xml:space="preserve"> </w:t>
            </w:r>
            <w:r>
              <w:rPr>
                <w:sz w:val="20"/>
                <w:szCs w:val="20"/>
              </w:rPr>
              <w:t>evin</w:t>
            </w:r>
            <w:r>
              <w:rPr>
                <w:spacing w:val="-5"/>
                <w:sz w:val="20"/>
                <w:szCs w:val="20"/>
              </w:rPr>
              <w:t xml:space="preserve"> </w:t>
            </w:r>
            <w:r>
              <w:rPr>
                <w:sz w:val="20"/>
                <w:szCs w:val="20"/>
              </w:rPr>
              <w:t>koşullarından</w:t>
            </w:r>
            <w:r>
              <w:rPr>
                <w:spacing w:val="-6"/>
                <w:sz w:val="20"/>
                <w:szCs w:val="20"/>
              </w:rPr>
              <w:t xml:space="preserve"> </w:t>
            </w:r>
            <w:r>
              <w:rPr>
                <w:sz w:val="20"/>
                <w:szCs w:val="20"/>
              </w:rPr>
              <w:t>ne</w:t>
            </w:r>
            <w:r>
              <w:rPr>
                <w:spacing w:val="-8"/>
                <w:sz w:val="20"/>
                <w:szCs w:val="20"/>
              </w:rPr>
              <w:t xml:space="preserve"> </w:t>
            </w:r>
            <w:r>
              <w:rPr>
                <w:sz w:val="20"/>
                <w:szCs w:val="20"/>
              </w:rPr>
              <w:t>kadar</w:t>
            </w:r>
            <w:r>
              <w:rPr>
                <w:spacing w:val="-5"/>
                <w:sz w:val="20"/>
                <w:szCs w:val="20"/>
              </w:rPr>
              <w:t xml:space="preserve"> </w:t>
            </w:r>
            <w:r>
              <w:rPr>
                <w:spacing w:val="-2"/>
                <w:sz w:val="20"/>
                <w:szCs w:val="20"/>
              </w:rPr>
              <w:t>hoşnutsunuz?</w:t>
            </w:r>
          </w:p>
        </w:tc>
        <w:tc>
          <w:tcPr>
            <w:tcW w:w="876" w:type="dxa"/>
            <w:shd w:val="clear" w:color="auto" w:fill="auto"/>
          </w:tcPr>
          <w:p w14:paraId="5828FC38">
            <w:pPr>
              <w:pStyle w:val="29"/>
              <w:rPr>
                <w:sz w:val="20"/>
                <w:szCs w:val="20"/>
              </w:rPr>
            </w:pPr>
          </w:p>
        </w:tc>
        <w:tc>
          <w:tcPr>
            <w:tcW w:w="945" w:type="dxa"/>
            <w:shd w:val="clear" w:color="auto" w:fill="auto"/>
          </w:tcPr>
          <w:p w14:paraId="10667B67">
            <w:pPr>
              <w:pStyle w:val="29"/>
              <w:rPr>
                <w:sz w:val="20"/>
                <w:szCs w:val="20"/>
              </w:rPr>
            </w:pPr>
          </w:p>
        </w:tc>
        <w:tc>
          <w:tcPr>
            <w:tcW w:w="828" w:type="dxa"/>
            <w:shd w:val="clear" w:color="auto" w:fill="auto"/>
          </w:tcPr>
          <w:p w14:paraId="4C583D3E">
            <w:pPr>
              <w:pStyle w:val="29"/>
              <w:rPr>
                <w:sz w:val="20"/>
                <w:szCs w:val="20"/>
              </w:rPr>
            </w:pPr>
          </w:p>
        </w:tc>
        <w:tc>
          <w:tcPr>
            <w:tcW w:w="732" w:type="dxa"/>
            <w:shd w:val="clear" w:color="auto" w:fill="auto"/>
          </w:tcPr>
          <w:p w14:paraId="596D4772">
            <w:pPr>
              <w:pStyle w:val="29"/>
              <w:rPr>
                <w:sz w:val="20"/>
                <w:szCs w:val="20"/>
              </w:rPr>
            </w:pPr>
          </w:p>
        </w:tc>
        <w:tc>
          <w:tcPr>
            <w:tcW w:w="708" w:type="dxa"/>
          </w:tcPr>
          <w:p w14:paraId="3EC88E24">
            <w:pPr>
              <w:pStyle w:val="29"/>
              <w:rPr>
                <w:sz w:val="20"/>
                <w:szCs w:val="20"/>
              </w:rPr>
            </w:pPr>
          </w:p>
        </w:tc>
      </w:tr>
      <w:tr w14:paraId="282363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15" w:hRule="atLeast"/>
        </w:trPr>
        <w:tc>
          <w:tcPr>
            <w:tcW w:w="993" w:type="dxa"/>
            <w:shd w:val="clear" w:color="auto" w:fill="auto"/>
          </w:tcPr>
          <w:p w14:paraId="36D0518B">
            <w:pPr>
              <w:pStyle w:val="29"/>
              <w:rPr>
                <w:b/>
                <w:sz w:val="20"/>
                <w:szCs w:val="20"/>
              </w:rPr>
            </w:pPr>
            <w:r>
              <w:rPr>
                <w:b/>
                <w:sz w:val="20"/>
                <w:szCs w:val="20"/>
              </w:rPr>
              <w:t>23</w:t>
            </w:r>
          </w:p>
        </w:tc>
        <w:tc>
          <w:tcPr>
            <w:tcW w:w="4560" w:type="dxa"/>
            <w:shd w:val="clear" w:color="auto" w:fill="auto"/>
          </w:tcPr>
          <w:p w14:paraId="03A3D9FB">
            <w:pPr>
              <w:pStyle w:val="29"/>
              <w:ind w:left="100"/>
              <w:jc w:val="both"/>
              <w:rPr>
                <w:sz w:val="20"/>
                <w:szCs w:val="20"/>
              </w:rPr>
            </w:pPr>
            <w:r>
              <w:rPr>
                <w:sz w:val="20"/>
                <w:szCs w:val="20"/>
              </w:rPr>
              <w:t>Sağlık</w:t>
            </w:r>
            <w:r>
              <w:rPr>
                <w:spacing w:val="49"/>
                <w:sz w:val="20"/>
                <w:szCs w:val="20"/>
              </w:rPr>
              <w:t xml:space="preserve"> </w:t>
            </w:r>
            <w:r>
              <w:rPr>
                <w:sz w:val="20"/>
                <w:szCs w:val="20"/>
              </w:rPr>
              <w:t>hizmetlerine</w:t>
            </w:r>
            <w:r>
              <w:rPr>
                <w:spacing w:val="50"/>
                <w:sz w:val="20"/>
                <w:szCs w:val="20"/>
              </w:rPr>
              <w:t xml:space="preserve"> </w:t>
            </w:r>
            <w:r>
              <w:rPr>
                <w:sz w:val="20"/>
                <w:szCs w:val="20"/>
              </w:rPr>
              <w:t>ulaşma</w:t>
            </w:r>
            <w:r>
              <w:rPr>
                <w:spacing w:val="51"/>
                <w:sz w:val="20"/>
                <w:szCs w:val="20"/>
              </w:rPr>
              <w:t xml:space="preserve"> </w:t>
            </w:r>
            <w:r>
              <w:rPr>
                <w:sz w:val="20"/>
                <w:szCs w:val="20"/>
              </w:rPr>
              <w:t>koşullarınızdan</w:t>
            </w:r>
            <w:r>
              <w:rPr>
                <w:spacing w:val="49"/>
                <w:sz w:val="20"/>
                <w:szCs w:val="20"/>
              </w:rPr>
              <w:t xml:space="preserve"> </w:t>
            </w:r>
            <w:r>
              <w:rPr>
                <w:sz w:val="20"/>
                <w:szCs w:val="20"/>
              </w:rPr>
              <w:t>ne</w:t>
            </w:r>
            <w:r>
              <w:rPr>
                <w:spacing w:val="50"/>
                <w:sz w:val="20"/>
                <w:szCs w:val="20"/>
              </w:rPr>
              <w:t xml:space="preserve"> </w:t>
            </w:r>
            <w:r>
              <w:rPr>
                <w:spacing w:val="-4"/>
                <w:sz w:val="20"/>
                <w:szCs w:val="20"/>
              </w:rPr>
              <w:t>kadar</w:t>
            </w:r>
            <w:r>
              <w:rPr>
                <w:sz w:val="20"/>
                <w:szCs w:val="20"/>
              </w:rPr>
              <w:t xml:space="preserve"> </w:t>
            </w:r>
            <w:r>
              <w:rPr>
                <w:spacing w:val="-2"/>
                <w:sz w:val="20"/>
                <w:szCs w:val="20"/>
              </w:rPr>
              <w:t>hoşnutsunuz?</w:t>
            </w:r>
          </w:p>
        </w:tc>
        <w:tc>
          <w:tcPr>
            <w:tcW w:w="876" w:type="dxa"/>
            <w:shd w:val="clear" w:color="auto" w:fill="auto"/>
          </w:tcPr>
          <w:p w14:paraId="2F8637F3">
            <w:pPr>
              <w:pStyle w:val="29"/>
              <w:rPr>
                <w:sz w:val="20"/>
                <w:szCs w:val="20"/>
              </w:rPr>
            </w:pPr>
          </w:p>
        </w:tc>
        <w:tc>
          <w:tcPr>
            <w:tcW w:w="945" w:type="dxa"/>
            <w:shd w:val="clear" w:color="auto" w:fill="auto"/>
          </w:tcPr>
          <w:p w14:paraId="44F0A7E0">
            <w:pPr>
              <w:pStyle w:val="29"/>
              <w:rPr>
                <w:sz w:val="20"/>
                <w:szCs w:val="20"/>
              </w:rPr>
            </w:pPr>
          </w:p>
        </w:tc>
        <w:tc>
          <w:tcPr>
            <w:tcW w:w="828" w:type="dxa"/>
            <w:shd w:val="clear" w:color="auto" w:fill="auto"/>
          </w:tcPr>
          <w:p w14:paraId="5006E72E">
            <w:pPr>
              <w:pStyle w:val="29"/>
              <w:rPr>
                <w:sz w:val="20"/>
                <w:szCs w:val="20"/>
              </w:rPr>
            </w:pPr>
          </w:p>
        </w:tc>
        <w:tc>
          <w:tcPr>
            <w:tcW w:w="732" w:type="dxa"/>
            <w:shd w:val="clear" w:color="auto" w:fill="auto"/>
          </w:tcPr>
          <w:p w14:paraId="6F278CF9">
            <w:pPr>
              <w:pStyle w:val="29"/>
              <w:rPr>
                <w:sz w:val="20"/>
                <w:szCs w:val="20"/>
              </w:rPr>
            </w:pPr>
          </w:p>
        </w:tc>
        <w:tc>
          <w:tcPr>
            <w:tcW w:w="708" w:type="dxa"/>
          </w:tcPr>
          <w:p w14:paraId="49CE260A">
            <w:pPr>
              <w:pStyle w:val="29"/>
              <w:rPr>
                <w:sz w:val="20"/>
                <w:szCs w:val="20"/>
              </w:rPr>
            </w:pPr>
          </w:p>
        </w:tc>
      </w:tr>
      <w:tr w14:paraId="27A752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05" w:hRule="atLeast"/>
        </w:trPr>
        <w:tc>
          <w:tcPr>
            <w:tcW w:w="993" w:type="dxa"/>
            <w:shd w:val="clear" w:color="auto" w:fill="auto"/>
          </w:tcPr>
          <w:p w14:paraId="49AF9B22">
            <w:pPr>
              <w:pStyle w:val="29"/>
              <w:rPr>
                <w:b/>
                <w:sz w:val="20"/>
                <w:szCs w:val="20"/>
              </w:rPr>
            </w:pPr>
            <w:r>
              <w:rPr>
                <w:b/>
                <w:sz w:val="20"/>
                <w:szCs w:val="20"/>
              </w:rPr>
              <w:t>24</w:t>
            </w:r>
          </w:p>
        </w:tc>
        <w:tc>
          <w:tcPr>
            <w:tcW w:w="4560" w:type="dxa"/>
            <w:shd w:val="clear" w:color="auto" w:fill="auto"/>
          </w:tcPr>
          <w:p w14:paraId="01F1E23F">
            <w:pPr>
              <w:pStyle w:val="29"/>
              <w:ind w:left="100"/>
              <w:jc w:val="both"/>
              <w:rPr>
                <w:sz w:val="20"/>
                <w:szCs w:val="20"/>
              </w:rPr>
            </w:pPr>
            <w:r>
              <w:rPr>
                <w:sz w:val="20"/>
                <w:szCs w:val="20"/>
              </w:rPr>
              <w:t>Ulaşım</w:t>
            </w:r>
            <w:r>
              <w:rPr>
                <w:spacing w:val="-4"/>
                <w:sz w:val="20"/>
                <w:szCs w:val="20"/>
              </w:rPr>
              <w:t xml:space="preserve"> </w:t>
            </w:r>
            <w:r>
              <w:rPr>
                <w:sz w:val="20"/>
                <w:szCs w:val="20"/>
              </w:rPr>
              <w:t>olanaklarınızdan</w:t>
            </w:r>
            <w:r>
              <w:rPr>
                <w:spacing w:val="-2"/>
                <w:sz w:val="20"/>
                <w:szCs w:val="20"/>
              </w:rPr>
              <w:t xml:space="preserve"> </w:t>
            </w:r>
            <w:r>
              <w:rPr>
                <w:sz w:val="20"/>
                <w:szCs w:val="20"/>
              </w:rPr>
              <w:t>ne</w:t>
            </w:r>
            <w:r>
              <w:rPr>
                <w:spacing w:val="-2"/>
                <w:sz w:val="20"/>
                <w:szCs w:val="20"/>
              </w:rPr>
              <w:t xml:space="preserve"> </w:t>
            </w:r>
            <w:r>
              <w:rPr>
                <w:sz w:val="20"/>
                <w:szCs w:val="20"/>
              </w:rPr>
              <w:t xml:space="preserve">kadar </w:t>
            </w:r>
            <w:r>
              <w:rPr>
                <w:spacing w:val="-2"/>
                <w:sz w:val="20"/>
                <w:szCs w:val="20"/>
              </w:rPr>
              <w:t>hoşnutsunuz?</w:t>
            </w:r>
          </w:p>
        </w:tc>
        <w:tc>
          <w:tcPr>
            <w:tcW w:w="876" w:type="dxa"/>
            <w:shd w:val="clear" w:color="auto" w:fill="auto"/>
          </w:tcPr>
          <w:p w14:paraId="2980C1DA">
            <w:pPr>
              <w:pStyle w:val="29"/>
              <w:rPr>
                <w:sz w:val="20"/>
                <w:szCs w:val="20"/>
              </w:rPr>
            </w:pPr>
          </w:p>
        </w:tc>
        <w:tc>
          <w:tcPr>
            <w:tcW w:w="945" w:type="dxa"/>
            <w:shd w:val="clear" w:color="auto" w:fill="auto"/>
          </w:tcPr>
          <w:p w14:paraId="43557738">
            <w:pPr>
              <w:pStyle w:val="29"/>
              <w:rPr>
                <w:sz w:val="20"/>
                <w:szCs w:val="20"/>
              </w:rPr>
            </w:pPr>
          </w:p>
        </w:tc>
        <w:tc>
          <w:tcPr>
            <w:tcW w:w="828" w:type="dxa"/>
            <w:shd w:val="clear" w:color="auto" w:fill="auto"/>
          </w:tcPr>
          <w:p w14:paraId="035FA0B9">
            <w:pPr>
              <w:pStyle w:val="29"/>
              <w:rPr>
                <w:sz w:val="20"/>
                <w:szCs w:val="20"/>
              </w:rPr>
            </w:pPr>
          </w:p>
        </w:tc>
        <w:tc>
          <w:tcPr>
            <w:tcW w:w="732" w:type="dxa"/>
            <w:shd w:val="clear" w:color="auto" w:fill="auto"/>
          </w:tcPr>
          <w:p w14:paraId="7D82DAB2">
            <w:pPr>
              <w:pStyle w:val="29"/>
              <w:rPr>
                <w:sz w:val="20"/>
                <w:szCs w:val="20"/>
              </w:rPr>
            </w:pPr>
          </w:p>
        </w:tc>
        <w:tc>
          <w:tcPr>
            <w:tcW w:w="708" w:type="dxa"/>
          </w:tcPr>
          <w:p w14:paraId="429F7A17">
            <w:pPr>
              <w:pStyle w:val="29"/>
              <w:rPr>
                <w:sz w:val="20"/>
                <w:szCs w:val="20"/>
              </w:rPr>
            </w:pPr>
          </w:p>
        </w:tc>
      </w:tr>
      <w:tr w14:paraId="1C5C11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14" w:hRule="atLeast"/>
        </w:trPr>
        <w:tc>
          <w:tcPr>
            <w:tcW w:w="993" w:type="dxa"/>
            <w:shd w:val="clear" w:color="auto" w:fill="auto"/>
          </w:tcPr>
          <w:p w14:paraId="240EA993">
            <w:pPr>
              <w:pStyle w:val="29"/>
              <w:rPr>
                <w:b/>
                <w:sz w:val="20"/>
                <w:szCs w:val="20"/>
              </w:rPr>
            </w:pPr>
            <w:r>
              <w:rPr>
                <w:b/>
                <w:sz w:val="20"/>
                <w:szCs w:val="20"/>
              </w:rPr>
              <w:t>25</w:t>
            </w:r>
          </w:p>
        </w:tc>
        <w:tc>
          <w:tcPr>
            <w:tcW w:w="4560" w:type="dxa"/>
            <w:shd w:val="clear" w:color="auto" w:fill="auto"/>
          </w:tcPr>
          <w:p w14:paraId="72A52F47">
            <w:pPr>
              <w:pStyle w:val="29"/>
              <w:ind w:left="100"/>
              <w:jc w:val="both"/>
              <w:rPr>
                <w:sz w:val="20"/>
                <w:szCs w:val="20"/>
              </w:rPr>
            </w:pPr>
            <w:r>
              <w:rPr>
                <w:sz w:val="20"/>
                <w:szCs w:val="20"/>
              </w:rPr>
              <w:t>Yaşamınızda size</w:t>
            </w:r>
            <w:r>
              <w:rPr>
                <w:spacing w:val="3"/>
                <w:sz w:val="20"/>
                <w:szCs w:val="20"/>
              </w:rPr>
              <w:t xml:space="preserve"> </w:t>
            </w:r>
            <w:r>
              <w:rPr>
                <w:sz w:val="20"/>
                <w:szCs w:val="20"/>
              </w:rPr>
              <w:t>yakın</w:t>
            </w:r>
            <w:r>
              <w:rPr>
                <w:spacing w:val="4"/>
                <w:sz w:val="20"/>
                <w:szCs w:val="20"/>
              </w:rPr>
              <w:t xml:space="preserve"> </w:t>
            </w:r>
            <w:r>
              <w:rPr>
                <w:sz w:val="20"/>
                <w:szCs w:val="20"/>
              </w:rPr>
              <w:t>kişilerle</w:t>
            </w:r>
            <w:r>
              <w:rPr>
                <w:spacing w:val="1"/>
                <w:sz w:val="20"/>
                <w:szCs w:val="20"/>
              </w:rPr>
              <w:t xml:space="preserve"> </w:t>
            </w:r>
            <w:r>
              <w:rPr>
                <w:sz w:val="20"/>
                <w:szCs w:val="20"/>
              </w:rPr>
              <w:t>ilişkilerinizde</w:t>
            </w:r>
            <w:r>
              <w:rPr>
                <w:spacing w:val="1"/>
                <w:sz w:val="20"/>
                <w:szCs w:val="20"/>
              </w:rPr>
              <w:t xml:space="preserve"> </w:t>
            </w:r>
            <w:r>
              <w:rPr>
                <w:sz w:val="20"/>
                <w:szCs w:val="20"/>
              </w:rPr>
              <w:t>baskı</w:t>
            </w:r>
            <w:r>
              <w:rPr>
                <w:spacing w:val="2"/>
                <w:sz w:val="20"/>
                <w:szCs w:val="20"/>
              </w:rPr>
              <w:t xml:space="preserve"> </w:t>
            </w:r>
            <w:r>
              <w:rPr>
                <w:spacing w:val="-5"/>
                <w:sz w:val="20"/>
                <w:szCs w:val="20"/>
              </w:rPr>
              <w:t>ve</w:t>
            </w:r>
            <w:r>
              <w:rPr>
                <w:sz w:val="20"/>
                <w:szCs w:val="20"/>
              </w:rPr>
              <w:t xml:space="preserve"> kontrolle</w:t>
            </w:r>
            <w:r>
              <w:rPr>
                <w:spacing w:val="-4"/>
                <w:sz w:val="20"/>
                <w:szCs w:val="20"/>
              </w:rPr>
              <w:t xml:space="preserve"> </w:t>
            </w:r>
            <w:r>
              <w:rPr>
                <w:sz w:val="20"/>
                <w:szCs w:val="20"/>
              </w:rPr>
              <w:t>ilgili zorluklarınız</w:t>
            </w:r>
            <w:r>
              <w:rPr>
                <w:spacing w:val="-4"/>
                <w:sz w:val="20"/>
                <w:szCs w:val="20"/>
              </w:rPr>
              <w:t xml:space="preserve"> </w:t>
            </w:r>
            <w:r>
              <w:rPr>
                <w:sz w:val="20"/>
                <w:szCs w:val="20"/>
              </w:rPr>
              <w:t>ne</w:t>
            </w:r>
            <w:r>
              <w:rPr>
                <w:spacing w:val="-1"/>
                <w:sz w:val="20"/>
                <w:szCs w:val="20"/>
              </w:rPr>
              <w:t xml:space="preserve"> </w:t>
            </w:r>
            <w:r>
              <w:rPr>
                <w:spacing w:val="-2"/>
                <w:sz w:val="20"/>
                <w:szCs w:val="20"/>
              </w:rPr>
              <w:t>ölçüdedir?</w:t>
            </w:r>
          </w:p>
        </w:tc>
        <w:tc>
          <w:tcPr>
            <w:tcW w:w="876" w:type="dxa"/>
            <w:shd w:val="clear" w:color="auto" w:fill="auto"/>
          </w:tcPr>
          <w:p w14:paraId="60AD92DA">
            <w:pPr>
              <w:pStyle w:val="29"/>
              <w:rPr>
                <w:sz w:val="20"/>
                <w:szCs w:val="20"/>
              </w:rPr>
            </w:pPr>
          </w:p>
        </w:tc>
        <w:tc>
          <w:tcPr>
            <w:tcW w:w="945" w:type="dxa"/>
            <w:shd w:val="clear" w:color="auto" w:fill="auto"/>
          </w:tcPr>
          <w:p w14:paraId="244DF06E">
            <w:pPr>
              <w:pStyle w:val="29"/>
              <w:rPr>
                <w:sz w:val="20"/>
                <w:szCs w:val="20"/>
              </w:rPr>
            </w:pPr>
          </w:p>
        </w:tc>
        <w:tc>
          <w:tcPr>
            <w:tcW w:w="828" w:type="dxa"/>
            <w:shd w:val="clear" w:color="auto" w:fill="auto"/>
          </w:tcPr>
          <w:p w14:paraId="3DD406A3">
            <w:pPr>
              <w:pStyle w:val="29"/>
              <w:rPr>
                <w:sz w:val="20"/>
                <w:szCs w:val="20"/>
              </w:rPr>
            </w:pPr>
          </w:p>
        </w:tc>
        <w:tc>
          <w:tcPr>
            <w:tcW w:w="732" w:type="dxa"/>
            <w:shd w:val="clear" w:color="auto" w:fill="auto"/>
          </w:tcPr>
          <w:p w14:paraId="30BD948E">
            <w:pPr>
              <w:pStyle w:val="29"/>
              <w:rPr>
                <w:sz w:val="20"/>
                <w:szCs w:val="20"/>
              </w:rPr>
            </w:pPr>
          </w:p>
        </w:tc>
        <w:tc>
          <w:tcPr>
            <w:tcW w:w="708" w:type="dxa"/>
          </w:tcPr>
          <w:p w14:paraId="23500383">
            <w:pPr>
              <w:pStyle w:val="29"/>
              <w:rPr>
                <w:sz w:val="20"/>
                <w:szCs w:val="20"/>
              </w:rPr>
            </w:pPr>
          </w:p>
        </w:tc>
      </w:tr>
      <w:tr w14:paraId="3F1F6C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05" w:hRule="atLeast"/>
        </w:trPr>
        <w:tc>
          <w:tcPr>
            <w:tcW w:w="993" w:type="dxa"/>
            <w:shd w:val="clear" w:color="auto" w:fill="auto"/>
          </w:tcPr>
          <w:p w14:paraId="33220D8B">
            <w:pPr>
              <w:pStyle w:val="29"/>
              <w:rPr>
                <w:b/>
                <w:sz w:val="20"/>
                <w:szCs w:val="20"/>
              </w:rPr>
            </w:pPr>
            <w:r>
              <w:rPr>
                <w:b/>
                <w:sz w:val="20"/>
                <w:szCs w:val="20"/>
              </w:rPr>
              <w:t>26</w:t>
            </w:r>
          </w:p>
        </w:tc>
        <w:tc>
          <w:tcPr>
            <w:tcW w:w="4560" w:type="dxa"/>
            <w:shd w:val="clear" w:color="auto" w:fill="auto"/>
          </w:tcPr>
          <w:p w14:paraId="02E0D500">
            <w:pPr>
              <w:pStyle w:val="29"/>
              <w:ind w:left="100"/>
              <w:jc w:val="both"/>
              <w:rPr>
                <w:sz w:val="20"/>
                <w:szCs w:val="20"/>
              </w:rPr>
            </w:pPr>
            <w:r>
              <w:rPr>
                <w:sz w:val="20"/>
                <w:szCs w:val="20"/>
              </w:rPr>
              <w:t>Yaşam</w:t>
            </w:r>
            <w:r>
              <w:rPr>
                <w:spacing w:val="-9"/>
                <w:sz w:val="20"/>
                <w:szCs w:val="20"/>
              </w:rPr>
              <w:t xml:space="preserve"> </w:t>
            </w:r>
            <w:r>
              <w:rPr>
                <w:sz w:val="20"/>
                <w:szCs w:val="20"/>
              </w:rPr>
              <w:t>kalitenizi</w:t>
            </w:r>
            <w:r>
              <w:rPr>
                <w:spacing w:val="-8"/>
                <w:sz w:val="20"/>
                <w:szCs w:val="20"/>
              </w:rPr>
              <w:t xml:space="preserve"> </w:t>
            </w:r>
            <w:r>
              <w:rPr>
                <w:sz w:val="20"/>
                <w:szCs w:val="20"/>
              </w:rPr>
              <w:t>nasıl</w:t>
            </w:r>
            <w:r>
              <w:rPr>
                <w:spacing w:val="-7"/>
                <w:sz w:val="20"/>
                <w:szCs w:val="20"/>
              </w:rPr>
              <w:t xml:space="preserve"> </w:t>
            </w:r>
            <w:r>
              <w:rPr>
                <w:spacing w:val="-2"/>
                <w:sz w:val="20"/>
                <w:szCs w:val="20"/>
              </w:rPr>
              <w:t>buluyorsunuz?</w:t>
            </w:r>
          </w:p>
        </w:tc>
        <w:tc>
          <w:tcPr>
            <w:tcW w:w="876" w:type="dxa"/>
            <w:shd w:val="clear" w:color="auto" w:fill="auto"/>
          </w:tcPr>
          <w:p w14:paraId="4FC9BD84">
            <w:pPr>
              <w:pStyle w:val="29"/>
              <w:rPr>
                <w:sz w:val="20"/>
                <w:szCs w:val="20"/>
              </w:rPr>
            </w:pPr>
          </w:p>
        </w:tc>
        <w:tc>
          <w:tcPr>
            <w:tcW w:w="945" w:type="dxa"/>
            <w:shd w:val="clear" w:color="auto" w:fill="auto"/>
          </w:tcPr>
          <w:p w14:paraId="671B75F0">
            <w:pPr>
              <w:pStyle w:val="29"/>
              <w:rPr>
                <w:sz w:val="20"/>
                <w:szCs w:val="20"/>
              </w:rPr>
            </w:pPr>
          </w:p>
        </w:tc>
        <w:tc>
          <w:tcPr>
            <w:tcW w:w="828" w:type="dxa"/>
            <w:shd w:val="clear" w:color="auto" w:fill="auto"/>
          </w:tcPr>
          <w:p w14:paraId="1AABB54C">
            <w:pPr>
              <w:pStyle w:val="29"/>
              <w:rPr>
                <w:sz w:val="20"/>
                <w:szCs w:val="20"/>
              </w:rPr>
            </w:pPr>
          </w:p>
        </w:tc>
        <w:tc>
          <w:tcPr>
            <w:tcW w:w="732" w:type="dxa"/>
            <w:shd w:val="clear" w:color="auto" w:fill="auto"/>
          </w:tcPr>
          <w:p w14:paraId="1BE0D344">
            <w:pPr>
              <w:pStyle w:val="29"/>
              <w:rPr>
                <w:sz w:val="20"/>
                <w:szCs w:val="20"/>
              </w:rPr>
            </w:pPr>
          </w:p>
        </w:tc>
        <w:tc>
          <w:tcPr>
            <w:tcW w:w="708" w:type="dxa"/>
          </w:tcPr>
          <w:p w14:paraId="08FAF252">
            <w:pPr>
              <w:pStyle w:val="29"/>
              <w:rPr>
                <w:sz w:val="20"/>
                <w:szCs w:val="20"/>
              </w:rPr>
            </w:pPr>
          </w:p>
        </w:tc>
      </w:tr>
      <w:tr w14:paraId="27A771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08" w:hRule="atLeast"/>
        </w:trPr>
        <w:tc>
          <w:tcPr>
            <w:tcW w:w="993" w:type="dxa"/>
            <w:shd w:val="clear" w:color="auto" w:fill="auto"/>
          </w:tcPr>
          <w:p w14:paraId="7E1A1F9F">
            <w:pPr>
              <w:pStyle w:val="29"/>
              <w:rPr>
                <w:b/>
                <w:sz w:val="20"/>
                <w:szCs w:val="20"/>
              </w:rPr>
            </w:pPr>
            <w:r>
              <w:rPr>
                <w:b/>
                <w:sz w:val="20"/>
                <w:szCs w:val="20"/>
              </w:rPr>
              <w:t>27</w:t>
            </w:r>
          </w:p>
        </w:tc>
        <w:tc>
          <w:tcPr>
            <w:tcW w:w="4560" w:type="dxa"/>
            <w:shd w:val="clear" w:color="auto" w:fill="auto"/>
          </w:tcPr>
          <w:p w14:paraId="478EAD85">
            <w:pPr>
              <w:pStyle w:val="29"/>
              <w:ind w:left="100"/>
              <w:jc w:val="both"/>
              <w:rPr>
                <w:sz w:val="20"/>
                <w:szCs w:val="20"/>
              </w:rPr>
            </w:pPr>
            <w:r>
              <w:rPr>
                <w:sz w:val="20"/>
                <w:szCs w:val="20"/>
              </w:rPr>
              <w:t>Sağlığınızdan</w:t>
            </w:r>
            <w:r>
              <w:rPr>
                <w:spacing w:val="-2"/>
                <w:sz w:val="20"/>
                <w:szCs w:val="20"/>
              </w:rPr>
              <w:t xml:space="preserve"> </w:t>
            </w:r>
            <w:r>
              <w:rPr>
                <w:sz w:val="20"/>
                <w:szCs w:val="20"/>
              </w:rPr>
              <w:t>ne</w:t>
            </w:r>
            <w:r>
              <w:rPr>
                <w:spacing w:val="-3"/>
                <w:sz w:val="20"/>
                <w:szCs w:val="20"/>
              </w:rPr>
              <w:t xml:space="preserve"> </w:t>
            </w:r>
            <w:r>
              <w:rPr>
                <w:sz w:val="20"/>
                <w:szCs w:val="20"/>
              </w:rPr>
              <w:t>kadar</w:t>
            </w:r>
            <w:r>
              <w:rPr>
                <w:spacing w:val="-2"/>
                <w:sz w:val="20"/>
                <w:szCs w:val="20"/>
              </w:rPr>
              <w:t xml:space="preserve"> hoşnutsunuz?</w:t>
            </w:r>
          </w:p>
        </w:tc>
        <w:tc>
          <w:tcPr>
            <w:tcW w:w="876" w:type="dxa"/>
            <w:shd w:val="clear" w:color="auto" w:fill="auto"/>
          </w:tcPr>
          <w:p w14:paraId="32A4FB44">
            <w:pPr>
              <w:pStyle w:val="29"/>
              <w:rPr>
                <w:sz w:val="20"/>
                <w:szCs w:val="20"/>
              </w:rPr>
            </w:pPr>
          </w:p>
        </w:tc>
        <w:tc>
          <w:tcPr>
            <w:tcW w:w="945" w:type="dxa"/>
            <w:shd w:val="clear" w:color="auto" w:fill="auto"/>
          </w:tcPr>
          <w:p w14:paraId="6D14D51E">
            <w:pPr>
              <w:pStyle w:val="29"/>
              <w:rPr>
                <w:sz w:val="20"/>
                <w:szCs w:val="20"/>
              </w:rPr>
            </w:pPr>
          </w:p>
        </w:tc>
        <w:tc>
          <w:tcPr>
            <w:tcW w:w="828" w:type="dxa"/>
            <w:shd w:val="clear" w:color="auto" w:fill="auto"/>
          </w:tcPr>
          <w:p w14:paraId="61686FC8">
            <w:pPr>
              <w:pStyle w:val="29"/>
              <w:rPr>
                <w:sz w:val="20"/>
                <w:szCs w:val="20"/>
              </w:rPr>
            </w:pPr>
          </w:p>
        </w:tc>
        <w:tc>
          <w:tcPr>
            <w:tcW w:w="732" w:type="dxa"/>
            <w:shd w:val="clear" w:color="auto" w:fill="auto"/>
          </w:tcPr>
          <w:p w14:paraId="2BBC5D37">
            <w:pPr>
              <w:pStyle w:val="29"/>
              <w:rPr>
                <w:sz w:val="20"/>
                <w:szCs w:val="20"/>
              </w:rPr>
            </w:pPr>
          </w:p>
        </w:tc>
        <w:tc>
          <w:tcPr>
            <w:tcW w:w="708" w:type="dxa"/>
          </w:tcPr>
          <w:p w14:paraId="7234956F">
            <w:pPr>
              <w:pStyle w:val="29"/>
              <w:rPr>
                <w:sz w:val="20"/>
                <w:szCs w:val="20"/>
              </w:rPr>
            </w:pPr>
          </w:p>
        </w:tc>
      </w:tr>
    </w:tbl>
    <w:p w14:paraId="0EF7C77F">
      <w:pPr>
        <w:widowControl/>
        <w:autoSpaceDE/>
        <w:autoSpaceDN/>
        <w:rPr>
          <w:b/>
          <w:bCs/>
          <w:spacing w:val="-2"/>
          <w:sz w:val="24"/>
          <w:szCs w:val="24"/>
        </w:rPr>
      </w:pPr>
    </w:p>
    <w:p w14:paraId="21AF7FB6">
      <w:pPr>
        <w:widowControl/>
        <w:autoSpaceDE/>
        <w:autoSpaceDN/>
        <w:rPr>
          <w:b/>
          <w:bCs/>
          <w:spacing w:val="-2"/>
          <w:sz w:val="24"/>
          <w:szCs w:val="24"/>
        </w:rPr>
      </w:pPr>
      <w:r>
        <w:rPr>
          <w:b/>
          <w:bCs/>
          <w:spacing w:val="-2"/>
          <w:sz w:val="24"/>
          <w:szCs w:val="24"/>
        </w:rPr>
        <w:br w:type="page"/>
      </w:r>
    </w:p>
    <w:bookmarkEnd w:id="259"/>
    <w:bookmarkEnd w:id="260"/>
    <w:bookmarkEnd w:id="261"/>
    <w:p w14:paraId="00FC5052">
      <w:pPr>
        <w:tabs>
          <w:tab w:val="left" w:pos="6955"/>
        </w:tabs>
        <w:ind w:left="110"/>
        <w:rPr>
          <w:sz w:val="20"/>
        </w:rPr>
      </w:pPr>
      <w:r>
        <w:rPr>
          <w:sz w:val="20"/>
          <w:lang w:eastAsia="tr-TR"/>
        </w:rPr>
        <mc:AlternateContent>
          <mc:Choice Requires="wps">
            <w:drawing>
              <wp:inline distT="0" distB="0" distL="0" distR="0">
                <wp:extent cx="3078480" cy="2362200"/>
                <wp:effectExtent l="0" t="0" r="0" b="0"/>
                <wp:docPr id="54" name="Textbox 54"/>
                <wp:cNvGraphicFramePr/>
                <a:graphic xmlns:a="http://schemas.openxmlformats.org/drawingml/2006/main">
                  <a:graphicData uri="http://schemas.microsoft.com/office/word/2010/wordprocessingShape">
                    <wps:wsp>
                      <wps:cNvSpPr txBox="1"/>
                      <wps:spPr>
                        <a:xfrm>
                          <a:off x="0" y="0"/>
                          <a:ext cx="3078480" cy="2362200"/>
                        </a:xfrm>
                        <a:prstGeom prst="rect">
                          <a:avLst/>
                        </a:prstGeom>
                      </wps:spPr>
                      <wps:txbx>
                        <w:txbxContent>
                          <w:tbl>
                            <w:tblPr>
                              <w:tblStyle w:val="7"/>
                              <w:tblW w:w="0" w:type="auto"/>
                              <w:tblInd w:w="7" w:type="dxa"/>
                              <w:tblLayout w:type="fixed"/>
                              <w:tblCellMar>
                                <w:top w:w="0" w:type="dxa"/>
                                <w:left w:w="0" w:type="dxa"/>
                                <w:bottom w:w="0" w:type="dxa"/>
                                <w:right w:w="0" w:type="dxa"/>
                              </w:tblCellMar>
                            </w:tblPr>
                            <w:tblGrid>
                              <w:gridCol w:w="2380"/>
                              <w:gridCol w:w="2467"/>
                            </w:tblGrid>
                            <w:tr w14:paraId="1D5D0789">
                              <w:tblPrEx>
                                <w:tblCellMar>
                                  <w:top w:w="0" w:type="dxa"/>
                                  <w:left w:w="0" w:type="dxa"/>
                                  <w:bottom w:w="0" w:type="dxa"/>
                                  <w:right w:w="0" w:type="dxa"/>
                                </w:tblCellMar>
                              </w:tblPrEx>
                              <w:trPr>
                                <w:trHeight w:val="338" w:hRule="atLeast"/>
                              </w:trPr>
                              <w:tc>
                                <w:tcPr>
                                  <w:tcW w:w="2380" w:type="dxa"/>
                                </w:tcPr>
                                <w:p w14:paraId="4E72BB9C">
                                  <w:pPr>
                                    <w:pStyle w:val="29"/>
                                    <w:spacing w:line="266" w:lineRule="exact"/>
                                    <w:ind w:left="50"/>
                                    <w:rPr>
                                      <w:b/>
                                      <w:sz w:val="24"/>
                                    </w:rPr>
                                  </w:pPr>
                                  <w:r>
                                    <w:rPr>
                                      <w:b/>
                                      <w:spacing w:val="-2"/>
                                      <w:sz w:val="24"/>
                                    </w:rPr>
                                    <w:t>ÖZGEÇMİŞ</w:t>
                                  </w:r>
                                </w:p>
                              </w:tc>
                              <w:tc>
                                <w:tcPr>
                                  <w:tcW w:w="2467" w:type="dxa"/>
                                  <w:vMerge w:val="restart"/>
                                </w:tcPr>
                                <w:p w14:paraId="7F604DB3">
                                  <w:pPr>
                                    <w:pStyle w:val="29"/>
                                  </w:pPr>
                                </w:p>
                              </w:tc>
                            </w:tr>
                            <w:tr w14:paraId="58CFFC5C">
                              <w:tblPrEx>
                                <w:tblCellMar>
                                  <w:top w:w="0" w:type="dxa"/>
                                  <w:left w:w="0" w:type="dxa"/>
                                  <w:bottom w:w="0" w:type="dxa"/>
                                  <w:right w:w="0" w:type="dxa"/>
                                </w:tblCellMar>
                              </w:tblPrEx>
                              <w:trPr>
                                <w:trHeight w:val="480" w:hRule="atLeast"/>
                              </w:trPr>
                              <w:tc>
                                <w:tcPr>
                                  <w:tcW w:w="2380" w:type="dxa"/>
                                </w:tcPr>
                                <w:p w14:paraId="1D4202FC">
                                  <w:pPr>
                                    <w:pStyle w:val="29"/>
                                    <w:spacing w:before="62"/>
                                    <w:ind w:left="50"/>
                                    <w:rPr>
                                      <w:b/>
                                      <w:sz w:val="24"/>
                                    </w:rPr>
                                  </w:pPr>
                                  <w:r>
                                    <w:rPr>
                                      <w:b/>
                                      <w:spacing w:val="-2"/>
                                      <w:sz w:val="24"/>
                                    </w:rPr>
                                    <w:t>KişiselBilgiler</w:t>
                                  </w:r>
                                </w:p>
                              </w:tc>
                              <w:tc>
                                <w:tcPr>
                                  <w:tcW w:w="2467" w:type="dxa"/>
                                  <w:vMerge w:val="continue"/>
                                  <w:tcBorders>
                                    <w:top w:val="nil"/>
                                  </w:tcBorders>
                                </w:tcPr>
                                <w:p w14:paraId="11B2EB32">
                                  <w:pPr>
                                    <w:rPr>
                                      <w:sz w:val="2"/>
                                      <w:szCs w:val="2"/>
                                    </w:rPr>
                                  </w:pPr>
                                </w:p>
                              </w:tc>
                            </w:tr>
                            <w:tr w14:paraId="274D6935">
                              <w:tblPrEx>
                                <w:tblCellMar>
                                  <w:top w:w="0" w:type="dxa"/>
                                  <w:left w:w="0" w:type="dxa"/>
                                  <w:bottom w:w="0" w:type="dxa"/>
                                  <w:right w:w="0" w:type="dxa"/>
                                </w:tblCellMar>
                              </w:tblPrEx>
                              <w:trPr>
                                <w:trHeight w:val="482" w:hRule="atLeast"/>
                              </w:trPr>
                              <w:tc>
                                <w:tcPr>
                                  <w:tcW w:w="2380" w:type="dxa"/>
                                </w:tcPr>
                                <w:p w14:paraId="716120C0">
                                  <w:pPr>
                                    <w:pStyle w:val="29"/>
                                    <w:spacing w:before="131"/>
                                    <w:ind w:left="50"/>
                                    <w:rPr>
                                      <w:sz w:val="24"/>
                                    </w:rPr>
                                  </w:pPr>
                                  <w:r>
                                    <w:rPr>
                                      <w:spacing w:val="-2"/>
                                      <w:sz w:val="24"/>
                                    </w:rPr>
                                    <w:t>Soyadı,adı</w:t>
                                  </w:r>
                                </w:p>
                              </w:tc>
                              <w:tc>
                                <w:tcPr>
                                  <w:tcW w:w="2467" w:type="dxa"/>
                                </w:tcPr>
                                <w:p w14:paraId="18961EC7">
                                  <w:pPr>
                                    <w:pStyle w:val="29"/>
                                    <w:spacing w:before="131"/>
                                    <w:ind w:right="150"/>
                                    <w:jc w:val="right"/>
                                    <w:rPr>
                                      <w:sz w:val="24"/>
                                    </w:rPr>
                                  </w:pPr>
                                  <w:r>
                                    <w:rPr>
                                      <w:spacing w:val="-2"/>
                                      <w:sz w:val="24"/>
                                    </w:rPr>
                                    <w:t>:……………….....</w:t>
                                  </w:r>
                                </w:p>
                              </w:tc>
                            </w:tr>
                            <w:tr w14:paraId="593CA49B">
                              <w:tblPrEx>
                                <w:tblCellMar>
                                  <w:top w:w="0" w:type="dxa"/>
                                  <w:left w:w="0" w:type="dxa"/>
                                  <w:bottom w:w="0" w:type="dxa"/>
                                  <w:right w:w="0" w:type="dxa"/>
                                </w:tblCellMar>
                              </w:tblPrEx>
                              <w:trPr>
                                <w:trHeight w:val="414" w:hRule="atLeast"/>
                              </w:trPr>
                              <w:tc>
                                <w:tcPr>
                                  <w:tcW w:w="2380" w:type="dxa"/>
                                </w:tcPr>
                                <w:p w14:paraId="6F02605B">
                                  <w:pPr>
                                    <w:pStyle w:val="29"/>
                                    <w:spacing w:before="64"/>
                                    <w:ind w:left="50"/>
                                    <w:rPr>
                                      <w:sz w:val="24"/>
                                    </w:rPr>
                                  </w:pPr>
                                  <w:r>
                                    <w:rPr>
                                      <w:spacing w:val="-2"/>
                                      <w:sz w:val="24"/>
                                    </w:rPr>
                                    <w:t>Uyruğu</w:t>
                                  </w:r>
                                </w:p>
                              </w:tc>
                              <w:tc>
                                <w:tcPr>
                                  <w:tcW w:w="2467" w:type="dxa"/>
                                </w:tcPr>
                                <w:p w14:paraId="60899805">
                                  <w:pPr>
                                    <w:pStyle w:val="29"/>
                                    <w:spacing w:before="64"/>
                                    <w:ind w:right="47"/>
                                    <w:jc w:val="right"/>
                                    <w:rPr>
                                      <w:sz w:val="24"/>
                                    </w:rPr>
                                  </w:pPr>
                                  <w:r>
                                    <w:rPr>
                                      <w:spacing w:val="-2"/>
                                      <w:sz w:val="24"/>
                                    </w:rPr>
                                    <w:t>:………………….</w:t>
                                  </w:r>
                                </w:p>
                              </w:tc>
                            </w:tr>
                            <w:tr w14:paraId="5842F226">
                              <w:tblPrEx>
                                <w:tblCellMar>
                                  <w:top w:w="0" w:type="dxa"/>
                                  <w:left w:w="0" w:type="dxa"/>
                                  <w:bottom w:w="0" w:type="dxa"/>
                                  <w:right w:w="0" w:type="dxa"/>
                                </w:tblCellMar>
                              </w:tblPrEx>
                              <w:trPr>
                                <w:trHeight w:val="413" w:hRule="atLeast"/>
                              </w:trPr>
                              <w:tc>
                                <w:tcPr>
                                  <w:tcW w:w="2380" w:type="dxa"/>
                                </w:tcPr>
                                <w:p w14:paraId="678B0BE9">
                                  <w:pPr>
                                    <w:pStyle w:val="29"/>
                                    <w:spacing w:before="63"/>
                                    <w:ind w:left="50"/>
                                    <w:rPr>
                                      <w:sz w:val="24"/>
                                    </w:rPr>
                                  </w:pPr>
                                  <w:r>
                                    <w:rPr>
                                      <w:spacing w:val="-2"/>
                                      <w:sz w:val="24"/>
                                    </w:rPr>
                                    <w:t>Doğumtarihiveyeri</w:t>
                                  </w:r>
                                </w:p>
                              </w:tc>
                              <w:tc>
                                <w:tcPr>
                                  <w:tcW w:w="2467" w:type="dxa"/>
                                </w:tcPr>
                                <w:p w14:paraId="69FD2E86">
                                  <w:pPr>
                                    <w:pStyle w:val="29"/>
                                    <w:spacing w:before="63"/>
                                    <w:ind w:right="47"/>
                                    <w:jc w:val="right"/>
                                    <w:rPr>
                                      <w:sz w:val="24"/>
                                    </w:rPr>
                                  </w:pPr>
                                  <w:r>
                                    <w:rPr>
                                      <w:spacing w:val="-2"/>
                                      <w:sz w:val="24"/>
                                    </w:rPr>
                                    <w:t>:.............................</w:t>
                                  </w:r>
                                </w:p>
                              </w:tc>
                            </w:tr>
                            <w:tr w14:paraId="3204ACEE">
                              <w:tblPrEx>
                                <w:tblCellMar>
                                  <w:top w:w="0" w:type="dxa"/>
                                  <w:left w:w="0" w:type="dxa"/>
                                  <w:bottom w:w="0" w:type="dxa"/>
                                  <w:right w:w="0" w:type="dxa"/>
                                </w:tblCellMar>
                              </w:tblPrEx>
                              <w:trPr>
                                <w:trHeight w:val="413" w:hRule="atLeast"/>
                              </w:trPr>
                              <w:tc>
                                <w:tcPr>
                                  <w:tcW w:w="2380" w:type="dxa"/>
                                </w:tcPr>
                                <w:p w14:paraId="06D9E858">
                                  <w:pPr>
                                    <w:pStyle w:val="29"/>
                                    <w:spacing w:before="64"/>
                                    <w:ind w:left="50"/>
                                    <w:rPr>
                                      <w:sz w:val="24"/>
                                    </w:rPr>
                                  </w:pPr>
                                  <w:r>
                                    <w:rPr>
                                      <w:spacing w:val="-2"/>
                                      <w:sz w:val="24"/>
                                    </w:rPr>
                                    <w:t>Medenihali</w:t>
                                  </w:r>
                                </w:p>
                              </w:tc>
                              <w:tc>
                                <w:tcPr>
                                  <w:tcW w:w="2467" w:type="dxa"/>
                                </w:tcPr>
                                <w:p w14:paraId="35ACB658">
                                  <w:pPr>
                                    <w:pStyle w:val="29"/>
                                    <w:spacing w:before="64"/>
                                    <w:ind w:right="107"/>
                                    <w:jc w:val="right"/>
                                    <w:rPr>
                                      <w:sz w:val="24"/>
                                    </w:rPr>
                                  </w:pPr>
                                  <w:r>
                                    <w:rPr>
                                      <w:spacing w:val="-2"/>
                                      <w:sz w:val="24"/>
                                    </w:rPr>
                                    <w:t>:…………………</w:t>
                                  </w:r>
                                </w:p>
                              </w:tc>
                            </w:tr>
                            <w:tr w14:paraId="3EDD7387">
                              <w:tblPrEx>
                                <w:tblCellMar>
                                  <w:top w:w="0" w:type="dxa"/>
                                  <w:left w:w="0" w:type="dxa"/>
                                  <w:bottom w:w="0" w:type="dxa"/>
                                  <w:right w:w="0" w:type="dxa"/>
                                </w:tblCellMar>
                              </w:tblPrEx>
                              <w:trPr>
                                <w:trHeight w:val="414" w:hRule="atLeast"/>
                              </w:trPr>
                              <w:tc>
                                <w:tcPr>
                                  <w:tcW w:w="2380" w:type="dxa"/>
                                </w:tcPr>
                                <w:p w14:paraId="2C81FD07">
                                  <w:pPr>
                                    <w:pStyle w:val="29"/>
                                    <w:spacing w:before="63"/>
                                    <w:ind w:left="50"/>
                                    <w:rPr>
                                      <w:sz w:val="24"/>
                                    </w:rPr>
                                  </w:pPr>
                                  <w:r>
                                    <w:rPr>
                                      <w:spacing w:val="-2"/>
                                      <w:sz w:val="24"/>
                                    </w:rPr>
                                    <w:t>Telefon</w:t>
                                  </w:r>
                                </w:p>
                              </w:tc>
                              <w:tc>
                                <w:tcPr>
                                  <w:tcW w:w="2467" w:type="dxa"/>
                                </w:tcPr>
                                <w:p w14:paraId="6D49C620">
                                  <w:pPr>
                                    <w:pStyle w:val="29"/>
                                    <w:spacing w:before="63"/>
                                    <w:ind w:right="107"/>
                                    <w:jc w:val="right"/>
                                    <w:rPr>
                                      <w:sz w:val="24"/>
                                    </w:rPr>
                                  </w:pPr>
                                  <w:r>
                                    <w:rPr>
                                      <w:spacing w:val="-2"/>
                                      <w:sz w:val="24"/>
                                    </w:rPr>
                                    <w:t>:…………………</w:t>
                                  </w:r>
                                </w:p>
                              </w:tc>
                            </w:tr>
                            <w:tr w14:paraId="66494EA9">
                              <w:tblPrEx>
                                <w:tblCellMar>
                                  <w:top w:w="0" w:type="dxa"/>
                                  <w:left w:w="0" w:type="dxa"/>
                                  <w:bottom w:w="0" w:type="dxa"/>
                                  <w:right w:w="0" w:type="dxa"/>
                                </w:tblCellMar>
                              </w:tblPrEx>
                              <w:trPr>
                                <w:trHeight w:val="414" w:hRule="atLeast"/>
                              </w:trPr>
                              <w:tc>
                                <w:tcPr>
                                  <w:tcW w:w="2380" w:type="dxa"/>
                                </w:tcPr>
                                <w:p w14:paraId="327594AC">
                                  <w:pPr>
                                    <w:pStyle w:val="29"/>
                                    <w:spacing w:before="64"/>
                                    <w:ind w:left="50"/>
                                    <w:rPr>
                                      <w:sz w:val="24"/>
                                    </w:rPr>
                                  </w:pPr>
                                  <w:r>
                                    <w:rPr>
                                      <w:spacing w:val="-4"/>
                                      <w:sz w:val="24"/>
                                    </w:rPr>
                                    <w:t>Faks</w:t>
                                  </w:r>
                                </w:p>
                              </w:tc>
                              <w:tc>
                                <w:tcPr>
                                  <w:tcW w:w="2467" w:type="dxa"/>
                                </w:tcPr>
                                <w:p w14:paraId="506D4053">
                                  <w:pPr>
                                    <w:pStyle w:val="29"/>
                                    <w:spacing w:before="64"/>
                                    <w:ind w:right="88"/>
                                    <w:jc w:val="right"/>
                                    <w:rPr>
                                      <w:sz w:val="24"/>
                                    </w:rPr>
                                  </w:pPr>
                                  <w:r>
                                    <w:rPr>
                                      <w:spacing w:val="-2"/>
                                      <w:sz w:val="24"/>
                                    </w:rPr>
                                    <w:t>:…………………</w:t>
                                  </w:r>
                                </w:p>
                              </w:tc>
                            </w:tr>
                            <w:tr w14:paraId="107C516A">
                              <w:tblPrEx>
                                <w:tblCellMar>
                                  <w:top w:w="0" w:type="dxa"/>
                                  <w:left w:w="0" w:type="dxa"/>
                                  <w:bottom w:w="0" w:type="dxa"/>
                                  <w:right w:w="0" w:type="dxa"/>
                                </w:tblCellMar>
                              </w:tblPrEx>
                              <w:trPr>
                                <w:trHeight w:val="349" w:hRule="atLeast"/>
                              </w:trPr>
                              <w:tc>
                                <w:tcPr>
                                  <w:tcW w:w="2380" w:type="dxa"/>
                                </w:tcPr>
                                <w:p w14:paraId="182D9E26">
                                  <w:pPr>
                                    <w:pStyle w:val="29"/>
                                    <w:spacing w:before="73" w:line="256" w:lineRule="exact"/>
                                    <w:ind w:left="50"/>
                                    <w:rPr>
                                      <w:sz w:val="24"/>
                                    </w:rPr>
                                  </w:pPr>
                                  <w:r>
                                    <w:rPr>
                                      <w:spacing w:val="-2"/>
                                      <w:sz w:val="24"/>
                                    </w:rPr>
                                    <w:t>e-</w:t>
                                  </w:r>
                                  <w:r>
                                    <w:rPr>
                                      <w:spacing w:val="-4"/>
                                      <w:sz w:val="24"/>
                                    </w:rPr>
                                    <w:t>mail</w:t>
                                  </w:r>
                                </w:p>
                              </w:tc>
                              <w:tc>
                                <w:tcPr>
                                  <w:tcW w:w="2467" w:type="dxa"/>
                                </w:tcPr>
                                <w:p w14:paraId="4C8626EC">
                                  <w:pPr>
                                    <w:pStyle w:val="29"/>
                                    <w:spacing w:before="63" w:line="266" w:lineRule="exact"/>
                                    <w:ind w:right="66"/>
                                    <w:jc w:val="right"/>
                                    <w:rPr>
                                      <w:sz w:val="24"/>
                                    </w:rPr>
                                  </w:pPr>
                                  <w:r>
                                    <w:rPr>
                                      <w:spacing w:val="-2"/>
                                      <w:sz w:val="24"/>
                                    </w:rPr>
                                    <w:t>:</w:t>
                                  </w:r>
                                  <w:r>
                                    <w:rPr>
                                      <w:spacing w:val="-2"/>
                                      <w:position w:val="1"/>
                                      <w:sz w:val="24"/>
                                    </w:rPr>
                                    <w:t>………………….</w:t>
                                  </w:r>
                                </w:p>
                              </w:tc>
                            </w:tr>
                          </w:tbl>
                          <w:p w14:paraId="705BA1E5">
                            <w:pPr>
                              <w:pStyle w:val="9"/>
                              <w:ind w:left="0"/>
                              <w:jc w:val="left"/>
                            </w:pPr>
                          </w:p>
                        </w:txbxContent>
                      </wps:txbx>
                      <wps:bodyPr wrap="square" lIns="0" tIns="0" rIns="0" bIns="0" rtlCol="0">
                        <a:noAutofit/>
                      </wps:bodyPr>
                    </wps:wsp>
                  </a:graphicData>
                </a:graphic>
              </wp:inline>
            </w:drawing>
          </mc:Choice>
          <mc:Fallback>
            <w:pict>
              <v:shape id="Textbox 54" o:spid="_x0000_s1026" o:spt="202" type="#_x0000_t202" style="height:186pt;width:242.4pt;" filled="f" stroked="f" coordsize="21600,21600" o:gfxdata="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0&#10;0pOe1gAAAAUBAAAPAAAAAAAAAAEAIAAAACIAAABkcnMvZG93bnJldi54bWxQSwECFAAUAAAACACH&#10;TuJAe6s01rQBAAB3AwAADgAAAAAAAAABACAAAAAlAQAAZHJzL2Uyb0RvYy54bWxQSwUGAAAAAAYA&#10;BgBZAQAASwUAAAAA&#10;">
                <v:fill on="f" focussize="0,0"/>
                <v:stroke on="f"/>
                <v:imagedata o:title=""/>
                <o:lock v:ext="edit" aspectratio="f"/>
                <v:textbox inset="0mm,0mm,0mm,0mm">
                  <w:txbxContent>
                    <w:tbl>
                      <w:tblPr>
                        <w:tblStyle w:val="7"/>
                        <w:tblW w:w="0" w:type="auto"/>
                        <w:tblInd w:w="7" w:type="dxa"/>
                        <w:tblLayout w:type="fixed"/>
                        <w:tblCellMar>
                          <w:top w:w="0" w:type="dxa"/>
                          <w:left w:w="0" w:type="dxa"/>
                          <w:bottom w:w="0" w:type="dxa"/>
                          <w:right w:w="0" w:type="dxa"/>
                        </w:tblCellMar>
                      </w:tblPr>
                      <w:tblGrid>
                        <w:gridCol w:w="2380"/>
                        <w:gridCol w:w="2467"/>
                      </w:tblGrid>
                      <w:tr w14:paraId="1D5D0789">
                        <w:tblPrEx>
                          <w:tblCellMar>
                            <w:top w:w="0" w:type="dxa"/>
                            <w:left w:w="0" w:type="dxa"/>
                            <w:bottom w:w="0" w:type="dxa"/>
                            <w:right w:w="0" w:type="dxa"/>
                          </w:tblCellMar>
                        </w:tblPrEx>
                        <w:trPr>
                          <w:trHeight w:val="338" w:hRule="atLeast"/>
                        </w:trPr>
                        <w:tc>
                          <w:tcPr>
                            <w:tcW w:w="2380" w:type="dxa"/>
                          </w:tcPr>
                          <w:p w14:paraId="4E72BB9C">
                            <w:pPr>
                              <w:pStyle w:val="29"/>
                              <w:spacing w:line="266" w:lineRule="exact"/>
                              <w:ind w:left="50"/>
                              <w:rPr>
                                <w:b/>
                                <w:sz w:val="24"/>
                              </w:rPr>
                            </w:pPr>
                            <w:r>
                              <w:rPr>
                                <w:b/>
                                <w:spacing w:val="-2"/>
                                <w:sz w:val="24"/>
                              </w:rPr>
                              <w:t>ÖZGEÇMİŞ</w:t>
                            </w:r>
                          </w:p>
                        </w:tc>
                        <w:tc>
                          <w:tcPr>
                            <w:tcW w:w="2467" w:type="dxa"/>
                            <w:vMerge w:val="restart"/>
                          </w:tcPr>
                          <w:p w14:paraId="7F604DB3">
                            <w:pPr>
                              <w:pStyle w:val="29"/>
                            </w:pPr>
                          </w:p>
                        </w:tc>
                      </w:tr>
                      <w:tr w14:paraId="58CFFC5C">
                        <w:tblPrEx>
                          <w:tblCellMar>
                            <w:top w:w="0" w:type="dxa"/>
                            <w:left w:w="0" w:type="dxa"/>
                            <w:bottom w:w="0" w:type="dxa"/>
                            <w:right w:w="0" w:type="dxa"/>
                          </w:tblCellMar>
                        </w:tblPrEx>
                        <w:trPr>
                          <w:trHeight w:val="480" w:hRule="atLeast"/>
                        </w:trPr>
                        <w:tc>
                          <w:tcPr>
                            <w:tcW w:w="2380" w:type="dxa"/>
                          </w:tcPr>
                          <w:p w14:paraId="1D4202FC">
                            <w:pPr>
                              <w:pStyle w:val="29"/>
                              <w:spacing w:before="62"/>
                              <w:ind w:left="50"/>
                              <w:rPr>
                                <w:b/>
                                <w:sz w:val="24"/>
                              </w:rPr>
                            </w:pPr>
                            <w:r>
                              <w:rPr>
                                <w:b/>
                                <w:spacing w:val="-2"/>
                                <w:sz w:val="24"/>
                              </w:rPr>
                              <w:t>KişiselBilgiler</w:t>
                            </w:r>
                          </w:p>
                        </w:tc>
                        <w:tc>
                          <w:tcPr>
                            <w:tcW w:w="2467" w:type="dxa"/>
                            <w:vMerge w:val="continue"/>
                            <w:tcBorders>
                              <w:top w:val="nil"/>
                            </w:tcBorders>
                          </w:tcPr>
                          <w:p w14:paraId="11B2EB32">
                            <w:pPr>
                              <w:rPr>
                                <w:sz w:val="2"/>
                                <w:szCs w:val="2"/>
                              </w:rPr>
                            </w:pPr>
                          </w:p>
                        </w:tc>
                      </w:tr>
                      <w:tr w14:paraId="274D6935">
                        <w:tblPrEx>
                          <w:tblCellMar>
                            <w:top w:w="0" w:type="dxa"/>
                            <w:left w:w="0" w:type="dxa"/>
                            <w:bottom w:w="0" w:type="dxa"/>
                            <w:right w:w="0" w:type="dxa"/>
                          </w:tblCellMar>
                        </w:tblPrEx>
                        <w:trPr>
                          <w:trHeight w:val="482" w:hRule="atLeast"/>
                        </w:trPr>
                        <w:tc>
                          <w:tcPr>
                            <w:tcW w:w="2380" w:type="dxa"/>
                          </w:tcPr>
                          <w:p w14:paraId="716120C0">
                            <w:pPr>
                              <w:pStyle w:val="29"/>
                              <w:spacing w:before="131"/>
                              <w:ind w:left="50"/>
                              <w:rPr>
                                <w:sz w:val="24"/>
                              </w:rPr>
                            </w:pPr>
                            <w:r>
                              <w:rPr>
                                <w:spacing w:val="-2"/>
                                <w:sz w:val="24"/>
                              </w:rPr>
                              <w:t>Soyadı,adı</w:t>
                            </w:r>
                          </w:p>
                        </w:tc>
                        <w:tc>
                          <w:tcPr>
                            <w:tcW w:w="2467" w:type="dxa"/>
                          </w:tcPr>
                          <w:p w14:paraId="18961EC7">
                            <w:pPr>
                              <w:pStyle w:val="29"/>
                              <w:spacing w:before="131"/>
                              <w:ind w:right="150"/>
                              <w:jc w:val="right"/>
                              <w:rPr>
                                <w:sz w:val="24"/>
                              </w:rPr>
                            </w:pPr>
                            <w:r>
                              <w:rPr>
                                <w:spacing w:val="-2"/>
                                <w:sz w:val="24"/>
                              </w:rPr>
                              <w:t>:……………….....</w:t>
                            </w:r>
                          </w:p>
                        </w:tc>
                      </w:tr>
                      <w:tr w14:paraId="593CA49B">
                        <w:tblPrEx>
                          <w:tblCellMar>
                            <w:top w:w="0" w:type="dxa"/>
                            <w:left w:w="0" w:type="dxa"/>
                            <w:bottom w:w="0" w:type="dxa"/>
                            <w:right w:w="0" w:type="dxa"/>
                          </w:tblCellMar>
                        </w:tblPrEx>
                        <w:trPr>
                          <w:trHeight w:val="414" w:hRule="atLeast"/>
                        </w:trPr>
                        <w:tc>
                          <w:tcPr>
                            <w:tcW w:w="2380" w:type="dxa"/>
                          </w:tcPr>
                          <w:p w14:paraId="6F02605B">
                            <w:pPr>
                              <w:pStyle w:val="29"/>
                              <w:spacing w:before="64"/>
                              <w:ind w:left="50"/>
                              <w:rPr>
                                <w:sz w:val="24"/>
                              </w:rPr>
                            </w:pPr>
                            <w:r>
                              <w:rPr>
                                <w:spacing w:val="-2"/>
                                <w:sz w:val="24"/>
                              </w:rPr>
                              <w:t>Uyruğu</w:t>
                            </w:r>
                          </w:p>
                        </w:tc>
                        <w:tc>
                          <w:tcPr>
                            <w:tcW w:w="2467" w:type="dxa"/>
                          </w:tcPr>
                          <w:p w14:paraId="60899805">
                            <w:pPr>
                              <w:pStyle w:val="29"/>
                              <w:spacing w:before="64"/>
                              <w:ind w:right="47"/>
                              <w:jc w:val="right"/>
                              <w:rPr>
                                <w:sz w:val="24"/>
                              </w:rPr>
                            </w:pPr>
                            <w:r>
                              <w:rPr>
                                <w:spacing w:val="-2"/>
                                <w:sz w:val="24"/>
                              </w:rPr>
                              <w:t>:………………….</w:t>
                            </w:r>
                          </w:p>
                        </w:tc>
                      </w:tr>
                      <w:tr w14:paraId="5842F226">
                        <w:tblPrEx>
                          <w:tblCellMar>
                            <w:top w:w="0" w:type="dxa"/>
                            <w:left w:w="0" w:type="dxa"/>
                            <w:bottom w:w="0" w:type="dxa"/>
                            <w:right w:w="0" w:type="dxa"/>
                          </w:tblCellMar>
                        </w:tblPrEx>
                        <w:trPr>
                          <w:trHeight w:val="413" w:hRule="atLeast"/>
                        </w:trPr>
                        <w:tc>
                          <w:tcPr>
                            <w:tcW w:w="2380" w:type="dxa"/>
                          </w:tcPr>
                          <w:p w14:paraId="678B0BE9">
                            <w:pPr>
                              <w:pStyle w:val="29"/>
                              <w:spacing w:before="63"/>
                              <w:ind w:left="50"/>
                              <w:rPr>
                                <w:sz w:val="24"/>
                              </w:rPr>
                            </w:pPr>
                            <w:r>
                              <w:rPr>
                                <w:spacing w:val="-2"/>
                                <w:sz w:val="24"/>
                              </w:rPr>
                              <w:t>Doğumtarihiveyeri</w:t>
                            </w:r>
                          </w:p>
                        </w:tc>
                        <w:tc>
                          <w:tcPr>
                            <w:tcW w:w="2467" w:type="dxa"/>
                          </w:tcPr>
                          <w:p w14:paraId="69FD2E86">
                            <w:pPr>
                              <w:pStyle w:val="29"/>
                              <w:spacing w:before="63"/>
                              <w:ind w:right="47"/>
                              <w:jc w:val="right"/>
                              <w:rPr>
                                <w:sz w:val="24"/>
                              </w:rPr>
                            </w:pPr>
                            <w:r>
                              <w:rPr>
                                <w:spacing w:val="-2"/>
                                <w:sz w:val="24"/>
                              </w:rPr>
                              <w:t>:.............................</w:t>
                            </w:r>
                          </w:p>
                        </w:tc>
                      </w:tr>
                      <w:tr w14:paraId="3204ACEE">
                        <w:tblPrEx>
                          <w:tblCellMar>
                            <w:top w:w="0" w:type="dxa"/>
                            <w:left w:w="0" w:type="dxa"/>
                            <w:bottom w:w="0" w:type="dxa"/>
                            <w:right w:w="0" w:type="dxa"/>
                          </w:tblCellMar>
                        </w:tblPrEx>
                        <w:trPr>
                          <w:trHeight w:val="413" w:hRule="atLeast"/>
                        </w:trPr>
                        <w:tc>
                          <w:tcPr>
                            <w:tcW w:w="2380" w:type="dxa"/>
                          </w:tcPr>
                          <w:p w14:paraId="06D9E858">
                            <w:pPr>
                              <w:pStyle w:val="29"/>
                              <w:spacing w:before="64"/>
                              <w:ind w:left="50"/>
                              <w:rPr>
                                <w:sz w:val="24"/>
                              </w:rPr>
                            </w:pPr>
                            <w:r>
                              <w:rPr>
                                <w:spacing w:val="-2"/>
                                <w:sz w:val="24"/>
                              </w:rPr>
                              <w:t>Medenihali</w:t>
                            </w:r>
                          </w:p>
                        </w:tc>
                        <w:tc>
                          <w:tcPr>
                            <w:tcW w:w="2467" w:type="dxa"/>
                          </w:tcPr>
                          <w:p w14:paraId="35ACB658">
                            <w:pPr>
                              <w:pStyle w:val="29"/>
                              <w:spacing w:before="64"/>
                              <w:ind w:right="107"/>
                              <w:jc w:val="right"/>
                              <w:rPr>
                                <w:sz w:val="24"/>
                              </w:rPr>
                            </w:pPr>
                            <w:r>
                              <w:rPr>
                                <w:spacing w:val="-2"/>
                                <w:sz w:val="24"/>
                              </w:rPr>
                              <w:t>:…………………</w:t>
                            </w:r>
                          </w:p>
                        </w:tc>
                      </w:tr>
                      <w:tr w14:paraId="3EDD7387">
                        <w:tblPrEx>
                          <w:tblCellMar>
                            <w:top w:w="0" w:type="dxa"/>
                            <w:left w:w="0" w:type="dxa"/>
                            <w:bottom w:w="0" w:type="dxa"/>
                            <w:right w:w="0" w:type="dxa"/>
                          </w:tblCellMar>
                        </w:tblPrEx>
                        <w:trPr>
                          <w:trHeight w:val="414" w:hRule="atLeast"/>
                        </w:trPr>
                        <w:tc>
                          <w:tcPr>
                            <w:tcW w:w="2380" w:type="dxa"/>
                          </w:tcPr>
                          <w:p w14:paraId="2C81FD07">
                            <w:pPr>
                              <w:pStyle w:val="29"/>
                              <w:spacing w:before="63"/>
                              <w:ind w:left="50"/>
                              <w:rPr>
                                <w:sz w:val="24"/>
                              </w:rPr>
                            </w:pPr>
                            <w:r>
                              <w:rPr>
                                <w:spacing w:val="-2"/>
                                <w:sz w:val="24"/>
                              </w:rPr>
                              <w:t>Telefon</w:t>
                            </w:r>
                          </w:p>
                        </w:tc>
                        <w:tc>
                          <w:tcPr>
                            <w:tcW w:w="2467" w:type="dxa"/>
                          </w:tcPr>
                          <w:p w14:paraId="6D49C620">
                            <w:pPr>
                              <w:pStyle w:val="29"/>
                              <w:spacing w:before="63"/>
                              <w:ind w:right="107"/>
                              <w:jc w:val="right"/>
                              <w:rPr>
                                <w:sz w:val="24"/>
                              </w:rPr>
                            </w:pPr>
                            <w:r>
                              <w:rPr>
                                <w:spacing w:val="-2"/>
                                <w:sz w:val="24"/>
                              </w:rPr>
                              <w:t>:…………………</w:t>
                            </w:r>
                          </w:p>
                        </w:tc>
                      </w:tr>
                      <w:tr w14:paraId="66494EA9">
                        <w:tblPrEx>
                          <w:tblCellMar>
                            <w:top w:w="0" w:type="dxa"/>
                            <w:left w:w="0" w:type="dxa"/>
                            <w:bottom w:w="0" w:type="dxa"/>
                            <w:right w:w="0" w:type="dxa"/>
                          </w:tblCellMar>
                        </w:tblPrEx>
                        <w:trPr>
                          <w:trHeight w:val="414" w:hRule="atLeast"/>
                        </w:trPr>
                        <w:tc>
                          <w:tcPr>
                            <w:tcW w:w="2380" w:type="dxa"/>
                          </w:tcPr>
                          <w:p w14:paraId="327594AC">
                            <w:pPr>
                              <w:pStyle w:val="29"/>
                              <w:spacing w:before="64"/>
                              <w:ind w:left="50"/>
                              <w:rPr>
                                <w:sz w:val="24"/>
                              </w:rPr>
                            </w:pPr>
                            <w:r>
                              <w:rPr>
                                <w:spacing w:val="-4"/>
                                <w:sz w:val="24"/>
                              </w:rPr>
                              <w:t>Faks</w:t>
                            </w:r>
                          </w:p>
                        </w:tc>
                        <w:tc>
                          <w:tcPr>
                            <w:tcW w:w="2467" w:type="dxa"/>
                          </w:tcPr>
                          <w:p w14:paraId="506D4053">
                            <w:pPr>
                              <w:pStyle w:val="29"/>
                              <w:spacing w:before="64"/>
                              <w:ind w:right="88"/>
                              <w:jc w:val="right"/>
                              <w:rPr>
                                <w:sz w:val="24"/>
                              </w:rPr>
                            </w:pPr>
                            <w:r>
                              <w:rPr>
                                <w:spacing w:val="-2"/>
                                <w:sz w:val="24"/>
                              </w:rPr>
                              <w:t>:…………………</w:t>
                            </w:r>
                          </w:p>
                        </w:tc>
                      </w:tr>
                      <w:tr w14:paraId="107C516A">
                        <w:tblPrEx>
                          <w:tblCellMar>
                            <w:top w:w="0" w:type="dxa"/>
                            <w:left w:w="0" w:type="dxa"/>
                            <w:bottom w:w="0" w:type="dxa"/>
                            <w:right w:w="0" w:type="dxa"/>
                          </w:tblCellMar>
                        </w:tblPrEx>
                        <w:trPr>
                          <w:trHeight w:val="349" w:hRule="atLeast"/>
                        </w:trPr>
                        <w:tc>
                          <w:tcPr>
                            <w:tcW w:w="2380" w:type="dxa"/>
                          </w:tcPr>
                          <w:p w14:paraId="182D9E26">
                            <w:pPr>
                              <w:pStyle w:val="29"/>
                              <w:spacing w:before="73" w:line="256" w:lineRule="exact"/>
                              <w:ind w:left="50"/>
                              <w:rPr>
                                <w:sz w:val="24"/>
                              </w:rPr>
                            </w:pPr>
                            <w:r>
                              <w:rPr>
                                <w:spacing w:val="-2"/>
                                <w:sz w:val="24"/>
                              </w:rPr>
                              <w:t>e-</w:t>
                            </w:r>
                            <w:r>
                              <w:rPr>
                                <w:spacing w:val="-4"/>
                                <w:sz w:val="24"/>
                              </w:rPr>
                              <w:t>mail</w:t>
                            </w:r>
                          </w:p>
                        </w:tc>
                        <w:tc>
                          <w:tcPr>
                            <w:tcW w:w="2467" w:type="dxa"/>
                          </w:tcPr>
                          <w:p w14:paraId="4C8626EC">
                            <w:pPr>
                              <w:pStyle w:val="29"/>
                              <w:spacing w:before="63" w:line="266" w:lineRule="exact"/>
                              <w:ind w:right="66"/>
                              <w:jc w:val="right"/>
                              <w:rPr>
                                <w:sz w:val="24"/>
                              </w:rPr>
                            </w:pPr>
                            <w:r>
                              <w:rPr>
                                <w:spacing w:val="-2"/>
                                <w:sz w:val="24"/>
                              </w:rPr>
                              <w:t>:</w:t>
                            </w:r>
                            <w:r>
                              <w:rPr>
                                <w:spacing w:val="-2"/>
                                <w:position w:val="1"/>
                                <w:sz w:val="24"/>
                              </w:rPr>
                              <w:t>………………….</w:t>
                            </w:r>
                          </w:p>
                        </w:tc>
                      </w:tr>
                    </w:tbl>
                    <w:p w14:paraId="705BA1E5">
                      <w:pPr>
                        <w:pStyle w:val="9"/>
                        <w:ind w:left="0"/>
                        <w:jc w:val="left"/>
                      </w:pPr>
                    </w:p>
                  </w:txbxContent>
                </v:textbox>
                <w10:wrap type="none"/>
                <w10:anchorlock/>
              </v:shape>
            </w:pict>
          </mc:Fallback>
        </mc:AlternateContent>
      </w:r>
      <w:r>
        <w:rPr>
          <w:sz w:val="20"/>
        </w:rPr>
        <w:tab/>
      </w:r>
      <w:r>
        <w:rPr>
          <w:position w:val="71"/>
          <w:sz w:val="20"/>
          <w:lang w:eastAsia="tr-TR"/>
        </w:rPr>
        <w:drawing>
          <wp:inline distT="0" distB="0" distL="0" distR="0">
            <wp:extent cx="1120140" cy="1293495"/>
            <wp:effectExtent l="0" t="0" r="0" b="0"/>
            <wp:docPr id="55" name="Image 55"/>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1" cstate="print"/>
                    <a:stretch>
                      <a:fillRect/>
                    </a:stretch>
                  </pic:blipFill>
                  <pic:spPr>
                    <a:xfrm>
                      <a:off x="0" y="0"/>
                      <a:ext cx="1120146" cy="1293495"/>
                    </a:xfrm>
                    <a:prstGeom prst="rect">
                      <a:avLst/>
                    </a:prstGeom>
                  </pic:spPr>
                </pic:pic>
              </a:graphicData>
            </a:graphic>
          </wp:inline>
        </w:drawing>
      </w:r>
    </w:p>
    <w:p w14:paraId="1069D42F">
      <w:pPr>
        <w:pStyle w:val="9"/>
        <w:ind w:left="0"/>
        <w:jc w:val="left"/>
        <w:rPr>
          <w:b/>
          <w:sz w:val="20"/>
        </w:rPr>
      </w:pPr>
    </w:p>
    <w:p w14:paraId="7E2565A9">
      <w:pPr>
        <w:pStyle w:val="9"/>
        <w:ind w:left="0"/>
        <w:jc w:val="left"/>
        <w:rPr>
          <w:b/>
          <w:sz w:val="20"/>
        </w:rPr>
      </w:pPr>
    </w:p>
    <w:p w14:paraId="3911DCC0">
      <w:pPr>
        <w:pStyle w:val="9"/>
        <w:spacing w:before="10" w:after="1"/>
        <w:ind w:left="0"/>
        <w:jc w:val="left"/>
        <w:rPr>
          <w:b/>
          <w:sz w:val="17"/>
        </w:rPr>
      </w:pPr>
    </w:p>
    <w:tbl>
      <w:tblPr>
        <w:tblStyle w:val="7"/>
        <w:tblW w:w="0" w:type="auto"/>
        <w:tblInd w:w="117" w:type="dxa"/>
        <w:tblLayout w:type="fixed"/>
        <w:tblCellMar>
          <w:top w:w="0" w:type="dxa"/>
          <w:left w:w="0" w:type="dxa"/>
          <w:bottom w:w="0" w:type="dxa"/>
          <w:right w:w="0" w:type="dxa"/>
        </w:tblCellMar>
      </w:tblPr>
      <w:tblGrid>
        <w:gridCol w:w="1574"/>
        <w:gridCol w:w="3457"/>
        <w:gridCol w:w="2694"/>
      </w:tblGrid>
      <w:tr w14:paraId="57432957">
        <w:tblPrEx>
          <w:tblCellMar>
            <w:top w:w="0" w:type="dxa"/>
            <w:left w:w="0" w:type="dxa"/>
            <w:bottom w:w="0" w:type="dxa"/>
            <w:right w:w="0" w:type="dxa"/>
          </w:tblCellMar>
        </w:tblPrEx>
        <w:trPr>
          <w:trHeight w:val="387" w:hRule="atLeast"/>
        </w:trPr>
        <w:tc>
          <w:tcPr>
            <w:tcW w:w="1574" w:type="dxa"/>
          </w:tcPr>
          <w:p w14:paraId="4612D706">
            <w:pPr>
              <w:pStyle w:val="29"/>
              <w:spacing w:line="266" w:lineRule="exact"/>
              <w:ind w:left="50"/>
              <w:rPr>
                <w:b/>
                <w:sz w:val="24"/>
              </w:rPr>
            </w:pPr>
            <w:r>
              <w:rPr>
                <w:b/>
                <w:spacing w:val="-2"/>
                <w:sz w:val="24"/>
              </w:rPr>
              <w:t>Eğitim</w:t>
            </w:r>
          </w:p>
        </w:tc>
        <w:tc>
          <w:tcPr>
            <w:tcW w:w="3457" w:type="dxa"/>
          </w:tcPr>
          <w:p w14:paraId="3C6347D8">
            <w:pPr>
              <w:pStyle w:val="29"/>
            </w:pPr>
          </w:p>
        </w:tc>
        <w:tc>
          <w:tcPr>
            <w:tcW w:w="2694" w:type="dxa"/>
          </w:tcPr>
          <w:p w14:paraId="2875D775">
            <w:pPr>
              <w:pStyle w:val="29"/>
            </w:pPr>
          </w:p>
        </w:tc>
      </w:tr>
      <w:tr w14:paraId="7D19E795">
        <w:tblPrEx>
          <w:tblCellMar>
            <w:top w:w="0" w:type="dxa"/>
            <w:left w:w="0" w:type="dxa"/>
            <w:bottom w:w="0" w:type="dxa"/>
            <w:right w:w="0" w:type="dxa"/>
          </w:tblCellMar>
        </w:tblPrEx>
        <w:trPr>
          <w:trHeight w:val="892" w:hRule="atLeast"/>
        </w:trPr>
        <w:tc>
          <w:tcPr>
            <w:tcW w:w="1574" w:type="dxa"/>
          </w:tcPr>
          <w:p w14:paraId="6B16E209">
            <w:pPr>
              <w:pStyle w:val="29"/>
              <w:spacing w:before="111"/>
              <w:ind w:left="50"/>
              <w:rPr>
                <w:b/>
                <w:sz w:val="24"/>
              </w:rPr>
            </w:pPr>
            <w:r>
              <w:rPr>
                <w:b/>
                <w:spacing w:val="-2"/>
                <w:sz w:val="24"/>
              </w:rPr>
              <w:t>Derece</w:t>
            </w:r>
          </w:p>
          <w:p w14:paraId="75352253">
            <w:pPr>
              <w:pStyle w:val="29"/>
              <w:spacing w:before="132"/>
              <w:ind w:left="50"/>
              <w:rPr>
                <w:sz w:val="24"/>
              </w:rPr>
            </w:pPr>
            <w:r>
              <w:rPr>
                <w:spacing w:val="-2"/>
                <w:sz w:val="24"/>
              </w:rPr>
              <w:t>Yükseklisans</w:t>
            </w:r>
          </w:p>
        </w:tc>
        <w:tc>
          <w:tcPr>
            <w:tcW w:w="3457" w:type="dxa"/>
          </w:tcPr>
          <w:p w14:paraId="3D19FDF6">
            <w:pPr>
              <w:pStyle w:val="29"/>
              <w:spacing w:before="111"/>
              <w:ind w:left="244"/>
              <w:rPr>
                <w:b/>
                <w:sz w:val="24"/>
              </w:rPr>
            </w:pPr>
            <w:r>
              <w:rPr>
                <w:b/>
                <w:spacing w:val="-2"/>
                <w:sz w:val="24"/>
              </w:rPr>
              <w:t>EğitimBirimi</w:t>
            </w:r>
          </w:p>
          <w:p w14:paraId="1E261935">
            <w:pPr>
              <w:pStyle w:val="29"/>
              <w:spacing w:before="132"/>
              <w:ind w:left="244"/>
              <w:rPr>
                <w:sz w:val="24"/>
              </w:rPr>
            </w:pPr>
            <w:r>
              <w:rPr>
                <w:spacing w:val="-2"/>
                <w:sz w:val="24"/>
              </w:rPr>
              <w:t>……………………….</w:t>
            </w:r>
          </w:p>
        </w:tc>
        <w:tc>
          <w:tcPr>
            <w:tcW w:w="2694" w:type="dxa"/>
          </w:tcPr>
          <w:p w14:paraId="78A7F3E2">
            <w:pPr>
              <w:pStyle w:val="29"/>
              <w:spacing w:before="111"/>
              <w:ind w:left="991"/>
              <w:rPr>
                <w:b/>
                <w:sz w:val="24"/>
              </w:rPr>
            </w:pPr>
            <w:r>
              <w:rPr>
                <w:b/>
                <w:spacing w:val="-2"/>
                <w:sz w:val="24"/>
              </w:rPr>
              <w:t>Mezuniyettarihi</w:t>
            </w:r>
          </w:p>
          <w:p w14:paraId="7C40FA47">
            <w:pPr>
              <w:pStyle w:val="29"/>
              <w:spacing w:before="132"/>
              <w:ind w:left="991"/>
              <w:rPr>
                <w:sz w:val="24"/>
              </w:rPr>
            </w:pPr>
            <w:r>
              <w:rPr>
                <w:spacing w:val="-2"/>
                <w:sz w:val="24"/>
              </w:rPr>
              <w:t>……………</w:t>
            </w:r>
          </w:p>
        </w:tc>
      </w:tr>
      <w:tr w14:paraId="1D712413">
        <w:tblPrEx>
          <w:tblCellMar>
            <w:top w:w="0" w:type="dxa"/>
            <w:left w:w="0" w:type="dxa"/>
            <w:bottom w:w="0" w:type="dxa"/>
            <w:right w:w="0" w:type="dxa"/>
          </w:tblCellMar>
        </w:tblPrEx>
        <w:trPr>
          <w:trHeight w:val="436" w:hRule="atLeast"/>
        </w:trPr>
        <w:tc>
          <w:tcPr>
            <w:tcW w:w="1574" w:type="dxa"/>
          </w:tcPr>
          <w:p w14:paraId="5C430E0B">
            <w:pPr>
              <w:pStyle w:val="29"/>
              <w:spacing w:before="87"/>
              <w:ind w:left="50"/>
              <w:rPr>
                <w:sz w:val="24"/>
              </w:rPr>
            </w:pPr>
            <w:r>
              <w:rPr>
                <w:spacing w:val="-2"/>
                <w:sz w:val="24"/>
              </w:rPr>
              <w:t>Lisans</w:t>
            </w:r>
          </w:p>
        </w:tc>
        <w:tc>
          <w:tcPr>
            <w:tcW w:w="3457" w:type="dxa"/>
          </w:tcPr>
          <w:p w14:paraId="09071DD7">
            <w:pPr>
              <w:pStyle w:val="29"/>
              <w:spacing w:before="87"/>
              <w:ind w:left="244"/>
              <w:rPr>
                <w:sz w:val="24"/>
              </w:rPr>
            </w:pPr>
            <w:r>
              <w:rPr>
                <w:spacing w:val="-2"/>
                <w:sz w:val="24"/>
              </w:rPr>
              <w:t>……………………….</w:t>
            </w:r>
          </w:p>
        </w:tc>
        <w:tc>
          <w:tcPr>
            <w:tcW w:w="2694" w:type="dxa"/>
          </w:tcPr>
          <w:p w14:paraId="357FD768">
            <w:pPr>
              <w:pStyle w:val="29"/>
              <w:spacing w:before="87"/>
              <w:ind w:right="560"/>
              <w:jc w:val="right"/>
              <w:rPr>
                <w:sz w:val="24"/>
              </w:rPr>
            </w:pPr>
            <w:r>
              <w:rPr>
                <w:spacing w:val="-2"/>
                <w:sz w:val="24"/>
              </w:rPr>
              <w:t>……….......</w:t>
            </w:r>
          </w:p>
        </w:tc>
      </w:tr>
      <w:tr w14:paraId="0DB9BB60">
        <w:tblPrEx>
          <w:tblCellMar>
            <w:top w:w="0" w:type="dxa"/>
            <w:left w:w="0" w:type="dxa"/>
            <w:bottom w:w="0" w:type="dxa"/>
            <w:right w:w="0" w:type="dxa"/>
          </w:tblCellMar>
        </w:tblPrEx>
        <w:trPr>
          <w:trHeight w:val="339" w:hRule="atLeast"/>
        </w:trPr>
        <w:tc>
          <w:tcPr>
            <w:tcW w:w="1574" w:type="dxa"/>
          </w:tcPr>
          <w:p w14:paraId="5E9EEFB5">
            <w:pPr>
              <w:pStyle w:val="29"/>
              <w:spacing w:before="63" w:line="256" w:lineRule="exact"/>
              <w:ind w:left="50"/>
              <w:rPr>
                <w:sz w:val="24"/>
              </w:rPr>
            </w:pPr>
            <w:r>
              <w:rPr>
                <w:spacing w:val="-4"/>
                <w:sz w:val="24"/>
              </w:rPr>
              <w:t>Lise</w:t>
            </w:r>
          </w:p>
        </w:tc>
        <w:tc>
          <w:tcPr>
            <w:tcW w:w="3457" w:type="dxa"/>
          </w:tcPr>
          <w:p w14:paraId="07109DB6">
            <w:pPr>
              <w:pStyle w:val="29"/>
              <w:spacing w:before="63" w:line="256" w:lineRule="exact"/>
              <w:ind w:left="244"/>
              <w:rPr>
                <w:sz w:val="24"/>
              </w:rPr>
            </w:pPr>
            <w:r>
              <w:rPr>
                <w:spacing w:val="-2"/>
                <w:sz w:val="24"/>
              </w:rPr>
              <w:t>……………………….</w:t>
            </w:r>
          </w:p>
        </w:tc>
        <w:tc>
          <w:tcPr>
            <w:tcW w:w="2694" w:type="dxa"/>
          </w:tcPr>
          <w:p w14:paraId="0FC74C6E">
            <w:pPr>
              <w:pStyle w:val="29"/>
              <w:spacing w:before="63" w:line="256" w:lineRule="exact"/>
              <w:ind w:right="500"/>
              <w:jc w:val="right"/>
              <w:rPr>
                <w:sz w:val="24"/>
              </w:rPr>
            </w:pPr>
            <w:r>
              <w:rPr>
                <w:spacing w:val="-2"/>
                <w:sz w:val="24"/>
              </w:rPr>
              <w:t>……………</w:t>
            </w:r>
          </w:p>
        </w:tc>
      </w:tr>
    </w:tbl>
    <w:p w14:paraId="23878869">
      <w:pPr>
        <w:pStyle w:val="9"/>
        <w:ind w:left="0"/>
        <w:jc w:val="left"/>
        <w:rPr>
          <w:b/>
          <w:sz w:val="20"/>
        </w:rPr>
      </w:pPr>
    </w:p>
    <w:p w14:paraId="62446DFC">
      <w:pPr>
        <w:pStyle w:val="9"/>
        <w:spacing w:before="3"/>
        <w:ind w:left="0"/>
        <w:jc w:val="left"/>
        <w:rPr>
          <w:b/>
          <w:sz w:val="22"/>
        </w:rPr>
      </w:pPr>
    </w:p>
    <w:p w14:paraId="6DD40C69">
      <w:pPr>
        <w:pStyle w:val="3"/>
        <w:spacing w:before="90"/>
        <w:jc w:val="left"/>
      </w:pPr>
      <w:bookmarkStart w:id="262" w:name="_Toc196566267"/>
      <w:bookmarkStart w:id="263" w:name="_Toc195875861"/>
      <w:bookmarkStart w:id="264" w:name="_Toc197351296"/>
      <w:bookmarkStart w:id="265" w:name="_Toc195877841"/>
      <w:r>
        <w:rPr>
          <w:spacing w:val="-2"/>
        </w:rPr>
        <w:t>İşDeneyimi</w:t>
      </w:r>
      <w:bookmarkEnd w:id="262"/>
      <w:bookmarkEnd w:id="263"/>
      <w:bookmarkEnd w:id="264"/>
      <w:bookmarkEnd w:id="265"/>
    </w:p>
    <w:p w14:paraId="7ACCDEAC">
      <w:pPr>
        <w:pStyle w:val="9"/>
        <w:ind w:left="0"/>
        <w:jc w:val="left"/>
        <w:rPr>
          <w:b/>
        </w:rPr>
      </w:pPr>
    </w:p>
    <w:p w14:paraId="758820F3">
      <w:pPr>
        <w:tabs>
          <w:tab w:val="left" w:pos="2027"/>
          <w:tab w:val="left" w:pos="4814"/>
        </w:tabs>
        <w:ind w:left="160"/>
        <w:rPr>
          <w:b/>
          <w:sz w:val="24"/>
        </w:rPr>
      </w:pPr>
      <w:r>
        <w:rPr>
          <w:b/>
          <w:spacing w:val="-5"/>
          <w:sz w:val="24"/>
        </w:rPr>
        <w:t>Yıl</w:t>
      </w:r>
      <w:r>
        <w:rPr>
          <w:b/>
          <w:sz w:val="24"/>
        </w:rPr>
        <w:tab/>
      </w:r>
      <w:r>
        <w:rPr>
          <w:b/>
          <w:spacing w:val="-5"/>
          <w:sz w:val="24"/>
        </w:rPr>
        <w:t>Yer</w:t>
      </w:r>
      <w:r>
        <w:rPr>
          <w:b/>
          <w:sz w:val="24"/>
        </w:rPr>
        <w:tab/>
      </w:r>
      <w:r>
        <w:rPr>
          <w:b/>
          <w:spacing w:val="-2"/>
          <w:sz w:val="24"/>
        </w:rPr>
        <w:t>Görev</w:t>
      </w:r>
    </w:p>
    <w:p w14:paraId="5DC3D23A">
      <w:pPr>
        <w:spacing w:before="132"/>
        <w:ind w:left="160"/>
        <w:rPr>
          <w:sz w:val="24"/>
        </w:rPr>
      </w:pPr>
      <w:r>
        <w:rPr>
          <w:spacing w:val="-2"/>
          <w:sz w:val="24"/>
        </w:rPr>
        <w:t>……………………….………………….</w:t>
      </w:r>
    </w:p>
    <w:p w14:paraId="282A14F3">
      <w:pPr>
        <w:pStyle w:val="9"/>
        <w:ind w:left="0"/>
        <w:jc w:val="left"/>
        <w:rPr>
          <w:sz w:val="26"/>
        </w:rPr>
      </w:pPr>
    </w:p>
    <w:p w14:paraId="0C847D59">
      <w:pPr>
        <w:pStyle w:val="9"/>
        <w:spacing w:before="9"/>
        <w:ind w:left="0"/>
        <w:jc w:val="left"/>
        <w:rPr>
          <w:sz w:val="22"/>
        </w:rPr>
      </w:pPr>
    </w:p>
    <w:p w14:paraId="6FE29D1C">
      <w:pPr>
        <w:pStyle w:val="3"/>
        <w:spacing w:before="1"/>
        <w:jc w:val="left"/>
      </w:pPr>
      <w:bookmarkStart w:id="266" w:name="_Toc195877842"/>
      <w:bookmarkStart w:id="267" w:name="_Toc195875862"/>
      <w:bookmarkStart w:id="268" w:name="_Toc197351297"/>
      <w:bookmarkStart w:id="269" w:name="_Toc196566268"/>
      <w:r>
        <w:rPr>
          <w:spacing w:val="-2"/>
        </w:rPr>
        <w:t>YabancıDil</w:t>
      </w:r>
      <w:bookmarkEnd w:id="266"/>
      <w:bookmarkEnd w:id="267"/>
      <w:bookmarkEnd w:id="268"/>
      <w:bookmarkEnd w:id="269"/>
    </w:p>
    <w:p w14:paraId="7F170109">
      <w:pPr>
        <w:spacing w:before="132"/>
        <w:ind w:left="160"/>
        <w:rPr>
          <w:sz w:val="24"/>
        </w:rPr>
      </w:pPr>
      <w:r>
        <w:rPr>
          <w:spacing w:val="-2"/>
          <w:sz w:val="24"/>
        </w:rPr>
        <w:t>……………</w:t>
      </w:r>
    </w:p>
    <w:p w14:paraId="08BF3E43">
      <w:pPr>
        <w:pStyle w:val="9"/>
        <w:ind w:left="0"/>
        <w:jc w:val="left"/>
        <w:rPr>
          <w:sz w:val="26"/>
        </w:rPr>
      </w:pPr>
    </w:p>
    <w:p w14:paraId="3BC4297B">
      <w:pPr>
        <w:pStyle w:val="9"/>
        <w:spacing w:before="3"/>
        <w:ind w:left="0"/>
        <w:jc w:val="left"/>
        <w:rPr>
          <w:sz w:val="22"/>
        </w:rPr>
      </w:pPr>
    </w:p>
    <w:p w14:paraId="3369B496">
      <w:pPr>
        <w:pStyle w:val="3"/>
        <w:jc w:val="left"/>
      </w:pPr>
      <w:bookmarkStart w:id="270" w:name="_Toc197351298"/>
      <w:bookmarkStart w:id="271" w:name="_Toc195875863"/>
      <w:bookmarkStart w:id="272" w:name="_Toc196566269"/>
      <w:bookmarkStart w:id="273" w:name="_Toc195877843"/>
      <w:r>
        <w:rPr>
          <w:spacing w:val="-2"/>
        </w:rPr>
        <w:t>Yayınlar</w:t>
      </w:r>
      <w:bookmarkEnd w:id="270"/>
      <w:bookmarkEnd w:id="271"/>
      <w:bookmarkEnd w:id="272"/>
      <w:bookmarkEnd w:id="273"/>
    </w:p>
    <w:p w14:paraId="5B6643DA">
      <w:pPr>
        <w:pStyle w:val="9"/>
        <w:spacing w:before="9"/>
        <w:ind w:left="0"/>
        <w:jc w:val="left"/>
        <w:rPr>
          <w:b/>
          <w:sz w:val="23"/>
        </w:rPr>
      </w:pPr>
    </w:p>
    <w:p w14:paraId="4B4C6E3D">
      <w:pPr>
        <w:ind w:left="162"/>
        <w:rPr>
          <w:sz w:val="24"/>
        </w:rPr>
      </w:pPr>
      <w:r>
        <w:rPr>
          <w:spacing w:val="-2"/>
          <w:sz w:val="24"/>
        </w:rPr>
        <w:t>………………</w:t>
      </w:r>
    </w:p>
    <w:p w14:paraId="5FF00123">
      <w:pPr>
        <w:pStyle w:val="9"/>
        <w:ind w:left="0"/>
        <w:jc w:val="left"/>
        <w:rPr>
          <w:sz w:val="26"/>
        </w:rPr>
      </w:pPr>
    </w:p>
    <w:p w14:paraId="4A5E0399">
      <w:pPr>
        <w:pStyle w:val="9"/>
        <w:spacing w:before="5"/>
        <w:ind w:left="0"/>
        <w:jc w:val="left"/>
        <w:rPr>
          <w:sz w:val="22"/>
        </w:rPr>
      </w:pPr>
    </w:p>
    <w:p w14:paraId="08283E7D">
      <w:pPr>
        <w:pStyle w:val="3"/>
        <w:jc w:val="left"/>
      </w:pPr>
      <w:bookmarkStart w:id="274" w:name="_Toc197351299"/>
      <w:bookmarkStart w:id="275" w:name="_Toc195875864"/>
      <w:bookmarkStart w:id="276" w:name="_Toc196566270"/>
      <w:bookmarkStart w:id="277" w:name="_Toc195877844"/>
      <w:r>
        <w:rPr>
          <w:spacing w:val="-2"/>
        </w:rPr>
        <w:t>Hobiler</w:t>
      </w:r>
      <w:bookmarkEnd w:id="274"/>
      <w:bookmarkEnd w:id="275"/>
      <w:bookmarkEnd w:id="276"/>
      <w:bookmarkEnd w:id="277"/>
    </w:p>
    <w:p w14:paraId="5E8D1C9C">
      <w:pPr>
        <w:pStyle w:val="9"/>
        <w:spacing w:before="9"/>
        <w:ind w:left="0"/>
        <w:jc w:val="left"/>
        <w:rPr>
          <w:b/>
          <w:sz w:val="23"/>
        </w:rPr>
      </w:pPr>
    </w:p>
    <w:p w14:paraId="4CA459EE">
      <w:pPr>
        <w:ind w:left="160"/>
        <w:rPr>
          <w:sz w:val="24"/>
        </w:rPr>
      </w:pPr>
      <w:r>
        <w:rPr>
          <w:spacing w:val="-2"/>
          <w:sz w:val="24"/>
        </w:rPr>
        <w:t>………………….</w:t>
      </w:r>
    </w:p>
    <w:p w14:paraId="3A28DE10">
      <w:pPr>
        <w:rPr>
          <w:sz w:val="24"/>
        </w:rPr>
        <w:sectPr>
          <w:pgSz w:w="11900" w:h="16850"/>
          <w:pgMar w:top="1985" w:right="1418" w:bottom="1418" w:left="1418" w:header="0" w:footer="652" w:gutter="0"/>
          <w:cols w:space="720" w:num="1"/>
        </w:sectPr>
      </w:pPr>
    </w:p>
    <w:p w14:paraId="5456BC68">
      <w:pPr>
        <w:pStyle w:val="9"/>
        <w:ind w:left="0"/>
        <w:jc w:val="left"/>
        <w:rPr>
          <w:sz w:val="20"/>
        </w:rPr>
      </w:pPr>
    </w:p>
    <w:p w14:paraId="64D2FD7E">
      <w:pPr>
        <w:pStyle w:val="9"/>
        <w:ind w:left="0"/>
        <w:jc w:val="left"/>
        <w:rPr>
          <w:sz w:val="20"/>
        </w:rPr>
      </w:pPr>
    </w:p>
    <w:p w14:paraId="269B1938">
      <w:pPr>
        <w:pStyle w:val="9"/>
        <w:ind w:left="0"/>
        <w:jc w:val="left"/>
        <w:rPr>
          <w:sz w:val="20"/>
        </w:rPr>
      </w:pPr>
    </w:p>
    <w:p w14:paraId="61537D39">
      <w:pPr>
        <w:pStyle w:val="9"/>
        <w:ind w:left="0"/>
        <w:jc w:val="left"/>
        <w:rPr>
          <w:sz w:val="20"/>
        </w:rPr>
      </w:pPr>
    </w:p>
    <w:p w14:paraId="74A98BC3">
      <w:pPr>
        <w:pStyle w:val="9"/>
        <w:ind w:left="0"/>
        <w:jc w:val="left"/>
        <w:rPr>
          <w:sz w:val="20"/>
        </w:rPr>
      </w:pPr>
    </w:p>
    <w:p w14:paraId="378D9248">
      <w:pPr>
        <w:pStyle w:val="9"/>
        <w:ind w:left="0"/>
        <w:jc w:val="left"/>
        <w:rPr>
          <w:sz w:val="20"/>
        </w:rPr>
      </w:pPr>
    </w:p>
    <w:p w14:paraId="57DD367C">
      <w:pPr>
        <w:pStyle w:val="9"/>
        <w:ind w:left="0"/>
        <w:jc w:val="left"/>
        <w:rPr>
          <w:sz w:val="20"/>
        </w:rPr>
      </w:pPr>
    </w:p>
    <w:p w14:paraId="5C366E0C">
      <w:pPr>
        <w:pStyle w:val="9"/>
        <w:ind w:left="0"/>
        <w:jc w:val="left"/>
        <w:rPr>
          <w:sz w:val="20"/>
        </w:rPr>
      </w:pPr>
    </w:p>
    <w:p w14:paraId="5DFE3E59">
      <w:pPr>
        <w:pStyle w:val="9"/>
        <w:ind w:left="0"/>
        <w:jc w:val="left"/>
        <w:rPr>
          <w:sz w:val="20"/>
        </w:rPr>
      </w:pPr>
    </w:p>
    <w:p w14:paraId="2FC2CE22">
      <w:pPr>
        <w:pStyle w:val="9"/>
        <w:ind w:left="0"/>
        <w:jc w:val="left"/>
        <w:rPr>
          <w:sz w:val="20"/>
        </w:rPr>
      </w:pPr>
    </w:p>
    <w:p w14:paraId="560CA5CE">
      <w:pPr>
        <w:pStyle w:val="9"/>
        <w:ind w:left="0"/>
        <w:jc w:val="left"/>
        <w:rPr>
          <w:sz w:val="20"/>
        </w:rPr>
      </w:pPr>
    </w:p>
    <w:p w14:paraId="521EFD99">
      <w:pPr>
        <w:pStyle w:val="9"/>
        <w:ind w:left="0"/>
        <w:jc w:val="left"/>
        <w:rPr>
          <w:sz w:val="20"/>
        </w:rPr>
      </w:pPr>
    </w:p>
    <w:p w14:paraId="6E53A4E8">
      <w:pPr>
        <w:pStyle w:val="9"/>
        <w:ind w:left="0"/>
        <w:jc w:val="left"/>
        <w:rPr>
          <w:sz w:val="20"/>
        </w:rPr>
      </w:pPr>
    </w:p>
    <w:p w14:paraId="7FB0BD47">
      <w:pPr>
        <w:pStyle w:val="9"/>
        <w:ind w:left="0"/>
        <w:jc w:val="left"/>
        <w:rPr>
          <w:sz w:val="20"/>
        </w:rPr>
      </w:pPr>
    </w:p>
    <w:p w14:paraId="414A3A25">
      <w:pPr>
        <w:pStyle w:val="9"/>
        <w:ind w:left="0"/>
        <w:jc w:val="left"/>
        <w:rPr>
          <w:sz w:val="20"/>
        </w:rPr>
      </w:pPr>
    </w:p>
    <w:p w14:paraId="40A955C2">
      <w:pPr>
        <w:pStyle w:val="9"/>
        <w:ind w:left="0"/>
        <w:jc w:val="left"/>
        <w:rPr>
          <w:sz w:val="20"/>
        </w:rPr>
      </w:pPr>
    </w:p>
    <w:p w14:paraId="21745964">
      <w:pPr>
        <w:pStyle w:val="9"/>
        <w:ind w:left="0"/>
        <w:jc w:val="left"/>
        <w:rPr>
          <w:sz w:val="20"/>
        </w:rPr>
      </w:pPr>
    </w:p>
    <w:p w14:paraId="4CA4DAC4">
      <w:pPr>
        <w:pStyle w:val="9"/>
        <w:ind w:left="0"/>
        <w:jc w:val="left"/>
        <w:rPr>
          <w:sz w:val="20"/>
        </w:rPr>
      </w:pPr>
    </w:p>
    <w:p w14:paraId="48CAFB52">
      <w:pPr>
        <w:pStyle w:val="9"/>
        <w:ind w:left="0"/>
        <w:jc w:val="left"/>
        <w:rPr>
          <w:sz w:val="20"/>
        </w:rPr>
      </w:pPr>
    </w:p>
    <w:p w14:paraId="50639220">
      <w:pPr>
        <w:pStyle w:val="9"/>
        <w:ind w:left="0"/>
        <w:jc w:val="left"/>
        <w:rPr>
          <w:sz w:val="20"/>
        </w:rPr>
      </w:pPr>
    </w:p>
    <w:p w14:paraId="49C8B08F">
      <w:pPr>
        <w:pStyle w:val="9"/>
        <w:ind w:left="0"/>
        <w:jc w:val="left"/>
        <w:rPr>
          <w:sz w:val="20"/>
        </w:rPr>
      </w:pPr>
    </w:p>
    <w:p w14:paraId="6FDF237E">
      <w:pPr>
        <w:pStyle w:val="9"/>
        <w:ind w:left="0"/>
        <w:jc w:val="left"/>
        <w:rPr>
          <w:sz w:val="20"/>
        </w:rPr>
      </w:pPr>
    </w:p>
    <w:p w14:paraId="337EE809">
      <w:pPr>
        <w:pStyle w:val="9"/>
        <w:ind w:left="0"/>
        <w:jc w:val="left"/>
        <w:rPr>
          <w:sz w:val="20"/>
        </w:rPr>
      </w:pPr>
    </w:p>
    <w:p w14:paraId="51E6EE33">
      <w:pPr>
        <w:pStyle w:val="9"/>
        <w:ind w:left="0"/>
        <w:jc w:val="left"/>
        <w:rPr>
          <w:sz w:val="20"/>
        </w:rPr>
      </w:pPr>
    </w:p>
    <w:p w14:paraId="1DE65610">
      <w:pPr>
        <w:pStyle w:val="9"/>
        <w:ind w:left="0"/>
        <w:jc w:val="left"/>
        <w:rPr>
          <w:sz w:val="20"/>
        </w:rPr>
      </w:pPr>
    </w:p>
    <w:p w14:paraId="5A6EA760">
      <w:pPr>
        <w:pStyle w:val="9"/>
        <w:ind w:left="0"/>
        <w:jc w:val="left"/>
        <w:rPr>
          <w:sz w:val="20"/>
        </w:rPr>
      </w:pPr>
    </w:p>
    <w:p w14:paraId="0AE06AA4">
      <w:pPr>
        <w:pStyle w:val="9"/>
        <w:ind w:left="0"/>
        <w:jc w:val="left"/>
        <w:rPr>
          <w:sz w:val="20"/>
        </w:rPr>
      </w:pPr>
    </w:p>
    <w:p w14:paraId="21FECE24">
      <w:pPr>
        <w:pStyle w:val="9"/>
        <w:ind w:left="0"/>
        <w:jc w:val="left"/>
        <w:rPr>
          <w:sz w:val="20"/>
        </w:rPr>
      </w:pPr>
    </w:p>
    <w:p w14:paraId="6FC8E503">
      <w:pPr>
        <w:pStyle w:val="9"/>
        <w:ind w:left="0"/>
        <w:jc w:val="left"/>
        <w:rPr>
          <w:sz w:val="20"/>
        </w:rPr>
      </w:pPr>
    </w:p>
    <w:p w14:paraId="14EA663E">
      <w:pPr>
        <w:pStyle w:val="9"/>
        <w:ind w:left="0"/>
        <w:jc w:val="left"/>
        <w:rPr>
          <w:sz w:val="20"/>
        </w:rPr>
      </w:pPr>
    </w:p>
    <w:p w14:paraId="7716D3BF">
      <w:pPr>
        <w:pStyle w:val="9"/>
        <w:ind w:left="0"/>
        <w:jc w:val="left"/>
        <w:rPr>
          <w:sz w:val="20"/>
        </w:rPr>
      </w:pPr>
    </w:p>
    <w:p w14:paraId="219E1ADC">
      <w:pPr>
        <w:pStyle w:val="9"/>
        <w:ind w:left="0"/>
        <w:jc w:val="left"/>
        <w:rPr>
          <w:sz w:val="20"/>
        </w:rPr>
      </w:pPr>
    </w:p>
    <w:p w14:paraId="73446EAE">
      <w:pPr>
        <w:pStyle w:val="9"/>
        <w:ind w:left="0"/>
        <w:jc w:val="left"/>
        <w:rPr>
          <w:sz w:val="20"/>
        </w:rPr>
      </w:pPr>
    </w:p>
    <w:p w14:paraId="09D14C7E">
      <w:pPr>
        <w:pStyle w:val="9"/>
        <w:ind w:left="0"/>
        <w:jc w:val="left"/>
        <w:rPr>
          <w:sz w:val="20"/>
        </w:rPr>
      </w:pPr>
    </w:p>
    <w:p w14:paraId="0473DCB8">
      <w:pPr>
        <w:pStyle w:val="9"/>
        <w:ind w:left="0"/>
        <w:jc w:val="left"/>
        <w:rPr>
          <w:sz w:val="20"/>
        </w:rPr>
      </w:pPr>
    </w:p>
    <w:p w14:paraId="7CC38D6B">
      <w:pPr>
        <w:pStyle w:val="9"/>
        <w:ind w:left="0"/>
        <w:jc w:val="left"/>
        <w:rPr>
          <w:sz w:val="20"/>
        </w:rPr>
      </w:pPr>
    </w:p>
    <w:p w14:paraId="1ACD7E4C">
      <w:pPr>
        <w:pStyle w:val="9"/>
        <w:ind w:left="0"/>
        <w:jc w:val="left"/>
        <w:rPr>
          <w:sz w:val="20"/>
        </w:rPr>
      </w:pPr>
      <w:r>
        <w:rPr>
          <w:lang w:eastAsia="tr-TR"/>
        </w:rPr>
        <w:drawing>
          <wp:anchor distT="0" distB="0" distL="114300" distR="114300" simplePos="0" relativeHeight="251670528" behindDoc="0" locked="0" layoutInCell="1" allowOverlap="1">
            <wp:simplePos x="0" y="0"/>
            <wp:positionH relativeFrom="margin">
              <wp:align>center</wp:align>
            </wp:positionH>
            <wp:positionV relativeFrom="paragraph">
              <wp:posOffset>5080</wp:posOffset>
            </wp:positionV>
            <wp:extent cx="1371600" cy="1285875"/>
            <wp:effectExtent l="0" t="0" r="0" b="9525"/>
            <wp:wrapSquare wrapText="bothSides"/>
            <wp:docPr id="60" name="Resim 60" descr="C:\Users\topac\Downloads\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descr="C:\Users\topac\Downloads\fram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371600" cy="1285875"/>
                    </a:xfrm>
                    <a:prstGeom prst="rect">
                      <a:avLst/>
                    </a:prstGeom>
                    <a:noFill/>
                    <a:ln>
                      <a:noFill/>
                    </a:ln>
                  </pic:spPr>
                </pic:pic>
              </a:graphicData>
            </a:graphic>
          </wp:anchor>
        </w:drawing>
      </w:r>
    </w:p>
    <w:p w14:paraId="01C35046">
      <w:pPr>
        <w:pStyle w:val="9"/>
        <w:ind w:left="0"/>
        <w:jc w:val="left"/>
        <w:rPr>
          <w:sz w:val="20"/>
        </w:rPr>
      </w:pPr>
    </w:p>
    <w:p w14:paraId="573499B7">
      <w:pPr>
        <w:pStyle w:val="9"/>
        <w:ind w:left="0"/>
        <w:jc w:val="left"/>
        <w:rPr>
          <w:sz w:val="20"/>
        </w:rPr>
      </w:pPr>
    </w:p>
    <w:p w14:paraId="223BDA08">
      <w:pPr>
        <w:pStyle w:val="9"/>
        <w:ind w:left="0"/>
        <w:jc w:val="left"/>
        <w:rPr>
          <w:sz w:val="20"/>
        </w:rPr>
      </w:pPr>
    </w:p>
    <w:p w14:paraId="37DB06B4">
      <w:pPr>
        <w:pStyle w:val="9"/>
        <w:ind w:left="0"/>
        <w:jc w:val="left"/>
        <w:rPr>
          <w:sz w:val="20"/>
        </w:rPr>
      </w:pPr>
    </w:p>
    <w:p w14:paraId="25508876">
      <w:pPr>
        <w:pStyle w:val="9"/>
        <w:spacing w:before="6"/>
        <w:ind w:left="0"/>
        <w:jc w:val="left"/>
        <w:rPr>
          <w:sz w:val="11"/>
        </w:rPr>
      </w:pPr>
    </w:p>
    <w:p w14:paraId="42AF6499">
      <w:pPr>
        <w:pStyle w:val="9"/>
        <w:ind w:left="3487"/>
        <w:jc w:val="left"/>
        <w:rPr>
          <w:sz w:val="20"/>
        </w:rPr>
      </w:pPr>
    </w:p>
    <w:p w14:paraId="235C57B9">
      <w:pPr>
        <w:pStyle w:val="9"/>
        <w:ind w:left="0"/>
        <w:jc w:val="left"/>
        <w:rPr>
          <w:sz w:val="20"/>
        </w:rPr>
      </w:pPr>
    </w:p>
    <w:p w14:paraId="0E7ED92E">
      <w:pPr>
        <w:pStyle w:val="9"/>
        <w:ind w:left="0"/>
        <w:jc w:val="left"/>
        <w:rPr>
          <w:sz w:val="20"/>
        </w:rPr>
      </w:pPr>
    </w:p>
    <w:p w14:paraId="73CA16C9">
      <w:pPr>
        <w:pStyle w:val="9"/>
        <w:spacing w:before="3"/>
        <w:ind w:left="0"/>
        <w:jc w:val="left"/>
        <w:rPr>
          <w:sz w:val="27"/>
        </w:rPr>
        <w:sectPr>
          <w:pgSz w:w="11900" w:h="16850"/>
          <w:pgMar w:top="1985" w:right="1418" w:bottom="1418" w:left="1418" w:header="0" w:footer="652" w:gutter="0"/>
          <w:cols w:space="720" w:num="1"/>
        </w:sectPr>
      </w:pPr>
      <w:r>
        <w:rPr>
          <w:lang w:eastAsia="tr-TR"/>
        </w:rPr>
        <w:drawing>
          <wp:anchor distT="0" distB="0" distL="0" distR="0" simplePos="0" relativeHeight="251668480" behindDoc="1" locked="0" layoutInCell="1" allowOverlap="1">
            <wp:simplePos x="0" y="0"/>
            <wp:positionH relativeFrom="margin">
              <wp:align>center</wp:align>
            </wp:positionH>
            <wp:positionV relativeFrom="paragraph">
              <wp:posOffset>838835</wp:posOffset>
            </wp:positionV>
            <wp:extent cx="868680" cy="797560"/>
            <wp:effectExtent l="0" t="0" r="7620" b="2540"/>
            <wp:wrapTopAndBottom/>
            <wp:docPr id="57" name="Image 57"/>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3" cstate="print"/>
                    <a:stretch>
                      <a:fillRect/>
                    </a:stretch>
                  </pic:blipFill>
                  <pic:spPr>
                    <a:xfrm>
                      <a:off x="0" y="0"/>
                      <a:ext cx="868680" cy="797560"/>
                    </a:xfrm>
                    <a:prstGeom prst="rect">
                      <a:avLst/>
                    </a:prstGeom>
                  </pic:spPr>
                </pic:pic>
              </a:graphicData>
            </a:graphic>
          </wp:anchor>
        </w:drawing>
      </w:r>
    </w:p>
    <w:p w14:paraId="6EE4D7FF">
      <w:pPr>
        <w:pStyle w:val="9"/>
        <w:ind w:left="0"/>
        <w:jc w:val="left"/>
        <w:rPr>
          <w:sz w:val="20"/>
        </w:rPr>
      </w:pPr>
    </w:p>
    <w:p w14:paraId="10A97DB6">
      <w:pPr>
        <w:pStyle w:val="9"/>
        <w:ind w:left="0"/>
        <w:jc w:val="left"/>
        <w:rPr>
          <w:sz w:val="20"/>
        </w:rPr>
      </w:pPr>
    </w:p>
    <w:p w14:paraId="0882F6C4">
      <w:pPr>
        <w:pStyle w:val="9"/>
        <w:ind w:left="0"/>
        <w:jc w:val="left"/>
        <w:rPr>
          <w:sz w:val="20"/>
        </w:rPr>
      </w:pPr>
    </w:p>
    <w:p w14:paraId="2DC582BB">
      <w:pPr>
        <w:pStyle w:val="9"/>
        <w:ind w:left="0"/>
        <w:jc w:val="left"/>
        <w:rPr>
          <w:sz w:val="20"/>
        </w:rPr>
      </w:pPr>
    </w:p>
    <w:p w14:paraId="4B8A7D8E">
      <w:pPr>
        <w:pStyle w:val="9"/>
        <w:ind w:left="0"/>
        <w:jc w:val="left"/>
        <w:rPr>
          <w:sz w:val="20"/>
        </w:rPr>
      </w:pPr>
    </w:p>
    <w:p w14:paraId="08E1E70D">
      <w:pPr>
        <w:pStyle w:val="9"/>
        <w:ind w:left="0"/>
        <w:jc w:val="left"/>
        <w:rPr>
          <w:sz w:val="20"/>
        </w:rPr>
      </w:pPr>
    </w:p>
    <w:p w14:paraId="1A86AE36">
      <w:pPr>
        <w:pStyle w:val="9"/>
        <w:ind w:left="0"/>
        <w:jc w:val="left"/>
        <w:rPr>
          <w:sz w:val="20"/>
        </w:rPr>
      </w:pPr>
    </w:p>
    <w:p w14:paraId="4FC2A6C7">
      <w:pPr>
        <w:pStyle w:val="9"/>
        <w:ind w:left="0"/>
        <w:jc w:val="left"/>
        <w:rPr>
          <w:sz w:val="20"/>
        </w:rPr>
      </w:pPr>
    </w:p>
    <w:p w14:paraId="21E9F37B">
      <w:pPr>
        <w:pStyle w:val="9"/>
        <w:ind w:left="0"/>
        <w:jc w:val="left"/>
        <w:rPr>
          <w:sz w:val="20"/>
        </w:rPr>
      </w:pPr>
    </w:p>
    <w:p w14:paraId="5917E569">
      <w:pPr>
        <w:pStyle w:val="9"/>
        <w:ind w:left="0"/>
        <w:jc w:val="left"/>
        <w:rPr>
          <w:sz w:val="20"/>
        </w:rPr>
      </w:pPr>
    </w:p>
    <w:p w14:paraId="752406EE">
      <w:pPr>
        <w:pStyle w:val="9"/>
        <w:ind w:left="0"/>
        <w:jc w:val="left"/>
        <w:rPr>
          <w:sz w:val="20"/>
        </w:rPr>
      </w:pPr>
    </w:p>
    <w:p w14:paraId="333CEC01">
      <w:pPr>
        <w:pStyle w:val="9"/>
        <w:ind w:left="0"/>
        <w:jc w:val="left"/>
        <w:rPr>
          <w:sz w:val="20"/>
        </w:rPr>
      </w:pPr>
    </w:p>
    <w:p w14:paraId="6C5D2875">
      <w:pPr>
        <w:pStyle w:val="9"/>
        <w:ind w:left="0"/>
        <w:jc w:val="left"/>
        <w:rPr>
          <w:sz w:val="20"/>
        </w:rPr>
      </w:pPr>
    </w:p>
    <w:p w14:paraId="157EA7F9">
      <w:pPr>
        <w:pStyle w:val="9"/>
        <w:ind w:left="0"/>
        <w:jc w:val="left"/>
        <w:rPr>
          <w:sz w:val="20"/>
        </w:rPr>
      </w:pPr>
    </w:p>
    <w:p w14:paraId="5F134F0E">
      <w:pPr>
        <w:pStyle w:val="9"/>
        <w:ind w:left="0"/>
        <w:jc w:val="left"/>
        <w:rPr>
          <w:sz w:val="20"/>
        </w:rPr>
      </w:pPr>
    </w:p>
    <w:p w14:paraId="11046756">
      <w:pPr>
        <w:pStyle w:val="9"/>
        <w:ind w:left="0"/>
        <w:jc w:val="left"/>
        <w:rPr>
          <w:sz w:val="20"/>
        </w:rPr>
      </w:pPr>
    </w:p>
    <w:p w14:paraId="66246F83">
      <w:pPr>
        <w:pStyle w:val="9"/>
        <w:ind w:left="0"/>
        <w:jc w:val="left"/>
        <w:rPr>
          <w:sz w:val="20"/>
        </w:rPr>
      </w:pPr>
    </w:p>
    <w:p w14:paraId="4E8873E7">
      <w:pPr>
        <w:pStyle w:val="9"/>
        <w:ind w:left="0"/>
        <w:jc w:val="left"/>
        <w:rPr>
          <w:sz w:val="20"/>
        </w:rPr>
      </w:pPr>
    </w:p>
    <w:p w14:paraId="6BDBBAEE">
      <w:pPr>
        <w:pStyle w:val="9"/>
        <w:ind w:left="0"/>
        <w:jc w:val="left"/>
        <w:rPr>
          <w:sz w:val="20"/>
        </w:rPr>
      </w:pPr>
    </w:p>
    <w:p w14:paraId="2EC672A6">
      <w:pPr>
        <w:pStyle w:val="9"/>
        <w:ind w:left="0"/>
        <w:jc w:val="left"/>
        <w:rPr>
          <w:sz w:val="20"/>
        </w:rPr>
      </w:pPr>
    </w:p>
    <w:p w14:paraId="7B5D69F7">
      <w:pPr>
        <w:pStyle w:val="9"/>
        <w:ind w:left="0"/>
        <w:jc w:val="left"/>
        <w:rPr>
          <w:sz w:val="20"/>
        </w:rPr>
      </w:pPr>
    </w:p>
    <w:p w14:paraId="30CFACC5">
      <w:pPr>
        <w:pStyle w:val="9"/>
        <w:ind w:left="0"/>
        <w:jc w:val="left"/>
        <w:rPr>
          <w:sz w:val="20"/>
        </w:rPr>
      </w:pPr>
    </w:p>
    <w:p w14:paraId="1D870A74">
      <w:pPr>
        <w:pStyle w:val="9"/>
        <w:ind w:left="0"/>
        <w:jc w:val="left"/>
        <w:rPr>
          <w:sz w:val="20"/>
        </w:rPr>
      </w:pPr>
    </w:p>
    <w:p w14:paraId="76128882">
      <w:pPr>
        <w:pStyle w:val="9"/>
        <w:ind w:left="0"/>
        <w:jc w:val="left"/>
        <w:rPr>
          <w:sz w:val="20"/>
        </w:rPr>
      </w:pPr>
    </w:p>
    <w:p w14:paraId="2852C6F2">
      <w:pPr>
        <w:pStyle w:val="9"/>
        <w:ind w:left="0"/>
        <w:jc w:val="left"/>
        <w:rPr>
          <w:sz w:val="20"/>
        </w:rPr>
      </w:pPr>
    </w:p>
    <w:p w14:paraId="5E120311">
      <w:pPr>
        <w:pStyle w:val="9"/>
        <w:ind w:left="0"/>
        <w:jc w:val="left"/>
        <w:rPr>
          <w:sz w:val="20"/>
        </w:rPr>
      </w:pPr>
    </w:p>
    <w:p w14:paraId="28317844">
      <w:pPr>
        <w:pStyle w:val="9"/>
        <w:ind w:left="0"/>
        <w:jc w:val="left"/>
        <w:rPr>
          <w:sz w:val="20"/>
        </w:rPr>
      </w:pPr>
    </w:p>
    <w:p w14:paraId="7703EAE2">
      <w:pPr>
        <w:pStyle w:val="9"/>
        <w:ind w:left="0"/>
        <w:jc w:val="left"/>
        <w:rPr>
          <w:sz w:val="20"/>
        </w:rPr>
      </w:pPr>
    </w:p>
    <w:p w14:paraId="65380D00">
      <w:pPr>
        <w:pStyle w:val="9"/>
        <w:ind w:left="0"/>
        <w:jc w:val="left"/>
        <w:rPr>
          <w:sz w:val="20"/>
        </w:rPr>
      </w:pPr>
    </w:p>
    <w:p w14:paraId="5D42E2BA">
      <w:pPr>
        <w:pStyle w:val="9"/>
        <w:ind w:left="0"/>
        <w:jc w:val="left"/>
        <w:rPr>
          <w:sz w:val="20"/>
        </w:rPr>
      </w:pPr>
    </w:p>
    <w:p w14:paraId="600FC689">
      <w:pPr>
        <w:pStyle w:val="9"/>
        <w:ind w:left="0"/>
        <w:jc w:val="left"/>
        <w:rPr>
          <w:sz w:val="20"/>
        </w:rPr>
      </w:pPr>
    </w:p>
    <w:p w14:paraId="34E95C15">
      <w:pPr>
        <w:pStyle w:val="9"/>
        <w:ind w:left="0"/>
        <w:jc w:val="left"/>
        <w:rPr>
          <w:sz w:val="20"/>
        </w:rPr>
      </w:pPr>
    </w:p>
    <w:p w14:paraId="49E456A8">
      <w:pPr>
        <w:pStyle w:val="9"/>
        <w:ind w:left="0"/>
        <w:jc w:val="left"/>
        <w:rPr>
          <w:sz w:val="20"/>
        </w:rPr>
      </w:pPr>
    </w:p>
    <w:p w14:paraId="73BE63AD">
      <w:pPr>
        <w:pStyle w:val="9"/>
        <w:ind w:left="0"/>
        <w:jc w:val="left"/>
        <w:rPr>
          <w:sz w:val="20"/>
        </w:rPr>
      </w:pPr>
    </w:p>
    <w:p w14:paraId="25BC5FF5">
      <w:pPr>
        <w:pStyle w:val="9"/>
        <w:ind w:left="0"/>
        <w:jc w:val="left"/>
        <w:rPr>
          <w:sz w:val="20"/>
        </w:rPr>
      </w:pPr>
    </w:p>
    <w:p w14:paraId="0AC8803C">
      <w:pPr>
        <w:pStyle w:val="9"/>
        <w:ind w:left="0"/>
        <w:jc w:val="left"/>
        <w:rPr>
          <w:sz w:val="20"/>
        </w:rPr>
      </w:pPr>
    </w:p>
    <w:p w14:paraId="6F06E5A3">
      <w:pPr>
        <w:pStyle w:val="9"/>
        <w:ind w:left="0"/>
        <w:jc w:val="left"/>
        <w:rPr>
          <w:sz w:val="20"/>
        </w:rPr>
      </w:pPr>
    </w:p>
    <w:p w14:paraId="74E74A4F">
      <w:pPr>
        <w:pStyle w:val="9"/>
        <w:ind w:left="0"/>
        <w:jc w:val="left"/>
        <w:rPr>
          <w:sz w:val="20"/>
        </w:rPr>
      </w:pPr>
    </w:p>
    <w:p w14:paraId="71803D4E">
      <w:pPr>
        <w:pStyle w:val="9"/>
        <w:ind w:left="0"/>
        <w:jc w:val="left"/>
        <w:rPr>
          <w:sz w:val="20"/>
        </w:rPr>
      </w:pPr>
    </w:p>
    <w:p w14:paraId="16616B2F">
      <w:pPr>
        <w:pStyle w:val="9"/>
        <w:ind w:left="0"/>
        <w:jc w:val="left"/>
        <w:rPr>
          <w:sz w:val="20"/>
        </w:rPr>
      </w:pPr>
    </w:p>
    <w:p w14:paraId="0F202531">
      <w:pPr>
        <w:pStyle w:val="9"/>
        <w:ind w:left="0"/>
        <w:jc w:val="left"/>
        <w:rPr>
          <w:sz w:val="20"/>
        </w:rPr>
      </w:pPr>
    </w:p>
    <w:p w14:paraId="3FC38BCC">
      <w:pPr>
        <w:pStyle w:val="9"/>
        <w:ind w:left="0"/>
        <w:jc w:val="left"/>
        <w:rPr>
          <w:sz w:val="20"/>
        </w:rPr>
      </w:pPr>
    </w:p>
    <w:p w14:paraId="19F0BF1B">
      <w:pPr>
        <w:pStyle w:val="9"/>
        <w:ind w:left="0"/>
        <w:jc w:val="left"/>
        <w:rPr>
          <w:sz w:val="20"/>
        </w:rPr>
      </w:pPr>
    </w:p>
    <w:p w14:paraId="770FE877">
      <w:pPr>
        <w:pStyle w:val="9"/>
        <w:ind w:left="0"/>
        <w:jc w:val="left"/>
        <w:rPr>
          <w:sz w:val="20"/>
        </w:rPr>
      </w:pPr>
    </w:p>
    <w:p w14:paraId="589997A1">
      <w:pPr>
        <w:pStyle w:val="9"/>
        <w:ind w:left="0"/>
        <w:jc w:val="left"/>
        <w:rPr>
          <w:sz w:val="20"/>
        </w:rPr>
      </w:pPr>
    </w:p>
    <w:p w14:paraId="3A59F19E">
      <w:pPr>
        <w:pStyle w:val="9"/>
        <w:ind w:left="0"/>
        <w:jc w:val="left"/>
        <w:rPr>
          <w:sz w:val="20"/>
        </w:rPr>
      </w:pPr>
    </w:p>
    <w:p w14:paraId="2757B9D7">
      <w:pPr>
        <w:pStyle w:val="9"/>
        <w:ind w:left="0"/>
        <w:jc w:val="left"/>
        <w:rPr>
          <w:sz w:val="20"/>
        </w:rPr>
      </w:pPr>
    </w:p>
    <w:p w14:paraId="36063772">
      <w:pPr>
        <w:pStyle w:val="9"/>
        <w:ind w:left="0"/>
        <w:jc w:val="left"/>
        <w:rPr>
          <w:sz w:val="20"/>
        </w:rPr>
      </w:pPr>
    </w:p>
    <w:p w14:paraId="6D83F9F2">
      <w:pPr>
        <w:pStyle w:val="9"/>
        <w:spacing w:before="7"/>
        <w:ind w:left="0"/>
        <w:jc w:val="left"/>
        <w:rPr>
          <w:sz w:val="22"/>
        </w:rPr>
      </w:pPr>
    </w:p>
    <w:p w14:paraId="30245AB9">
      <w:pPr>
        <w:pStyle w:val="9"/>
        <w:ind w:left="3596"/>
        <w:jc w:val="left"/>
        <w:rPr>
          <w:sz w:val="20"/>
        </w:rPr>
      </w:pPr>
      <w:r>
        <w:rPr>
          <w:sz w:val="20"/>
          <w:lang w:eastAsia="tr-TR"/>
        </w:rPr>
        <w:drawing>
          <wp:anchor distT="0" distB="0" distL="114300" distR="114300" simplePos="0" relativeHeight="251671552" behindDoc="0" locked="0" layoutInCell="1" allowOverlap="1">
            <wp:simplePos x="0" y="0"/>
            <wp:positionH relativeFrom="margin">
              <wp:align>center</wp:align>
            </wp:positionH>
            <wp:positionV relativeFrom="paragraph">
              <wp:posOffset>99060</wp:posOffset>
            </wp:positionV>
            <wp:extent cx="866775" cy="781685"/>
            <wp:effectExtent l="0" t="0" r="9525" b="0"/>
            <wp:wrapSquare wrapText="bothSides"/>
            <wp:docPr id="58" name="Image 58"/>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66775" cy="781685"/>
                    </a:xfrm>
                    <a:prstGeom prst="rect">
                      <a:avLst/>
                    </a:prstGeom>
                  </pic:spPr>
                </pic:pic>
              </a:graphicData>
            </a:graphic>
          </wp:anchor>
        </w:drawing>
      </w:r>
    </w:p>
    <w:sectPr>
      <w:pgSz w:w="11900" w:h="16850"/>
      <w:pgMar w:top="1985" w:right="1418" w:bottom="1418" w:left="1418" w:header="0" w:footer="65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mbria">
    <w:panose1 w:val="02040503050406030204"/>
    <w:charset w:val="A2"/>
    <w:family w:val="roman"/>
    <w:pitch w:val="default"/>
    <w:sig w:usb0="E00006FF" w:usb1="420024FF" w:usb2="02000000" w:usb3="00000000" w:csb0="2000019F" w:csb1="00000000"/>
  </w:font>
  <w:font w:name="Segoe UI">
    <w:panose1 w:val="020B0502040204020203"/>
    <w:charset w:val="A2"/>
    <w:family w:val="swiss"/>
    <w:pitch w:val="default"/>
    <w:sig w:usb0="E4002EFF" w:usb1="C000E47F" w:usb2="00000009" w:usb3="00000000" w:csb0="200001FF" w:csb1="00000000"/>
  </w:font>
  <w:font w:name="Symbol">
    <w:panose1 w:val="05050102010706020507"/>
    <w:charset w:val="02"/>
    <w:family w:val="roman"/>
    <w:pitch w:val="default"/>
    <w:sig w:usb0="00000000" w:usb1="00000000" w:usb2="00000000" w:usb3="00000000" w:csb0="80000000" w:csb1="00000000"/>
  </w:font>
  <w:font w:name="Arial Unicode MS">
    <w:panose1 w:val="020B0604020202020204"/>
    <w:charset w:val="86"/>
    <w:family w:val="auto"/>
    <w:pitch w:val="default"/>
    <w:sig w:usb0="FFFFFFFF" w:usb1="E9FFFFFF" w:usb2="0000003F" w:usb3="00000000" w:csb0="603F01FF" w:csb1="FFFF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F4D36">
    <w:pPr>
      <w:pStyle w:val="9"/>
      <w:spacing w:line="14" w:lineRule="auto"/>
      <w:ind w:left="0"/>
      <w:jc w:val="left"/>
      <w:rPr>
        <w:sz w:val="13"/>
      </w:rPr>
    </w:pPr>
    <w:r>
      <w:rPr>
        <w:lang w:eastAsia="tr-TR"/>
      </w:rPr>
      <mc:AlternateContent>
        <mc:Choice Requires="wps">
          <w:drawing>
            <wp:anchor distT="0" distB="0" distL="0" distR="0" simplePos="0" relativeHeight="251674624" behindDoc="1" locked="0" layoutInCell="1" allowOverlap="1">
              <wp:simplePos x="0" y="0"/>
              <wp:positionH relativeFrom="page">
                <wp:posOffset>3647440</wp:posOffset>
              </wp:positionH>
              <wp:positionV relativeFrom="page">
                <wp:posOffset>10068560</wp:posOffset>
              </wp:positionV>
              <wp:extent cx="262890" cy="252730"/>
              <wp:effectExtent l="0" t="0" r="0" b="0"/>
              <wp:wrapNone/>
              <wp:docPr id="63" name="Textbox 3"/>
              <wp:cNvGraphicFramePr/>
              <a:graphic xmlns:a="http://schemas.openxmlformats.org/drawingml/2006/main">
                <a:graphicData uri="http://schemas.microsoft.com/office/word/2010/wordprocessingShape">
                  <wps:wsp>
                    <wps:cNvSpPr txBox="1"/>
                    <wps:spPr>
                      <a:xfrm>
                        <a:off x="0" y="0"/>
                        <a:ext cx="262890" cy="252729"/>
                      </a:xfrm>
                      <a:prstGeom prst="rect">
                        <a:avLst/>
                      </a:prstGeom>
                    </wps:spPr>
                    <wps:txbx>
                      <w:txbxContent>
                        <w:p w14:paraId="67C92167">
                          <w:pPr>
                            <w:spacing w:before="124"/>
                            <w:ind w:left="122"/>
                          </w:pPr>
                          <w:r>
                            <w:rPr>
                              <w:spacing w:val="-5"/>
                            </w:rPr>
                            <w:fldChar w:fldCharType="begin"/>
                          </w:r>
                          <w:r>
                            <w:rPr>
                              <w:spacing w:val="-5"/>
                            </w:rPr>
                            <w:instrText xml:space="preserve"> PAGE  \* roman </w:instrText>
                          </w:r>
                          <w:r>
                            <w:rPr>
                              <w:spacing w:val="-5"/>
                            </w:rPr>
                            <w:fldChar w:fldCharType="separate"/>
                          </w:r>
                          <w:r>
                            <w:rPr>
                              <w:spacing w:val="-5"/>
                            </w:rPr>
                            <w:t>iv</w:t>
                          </w:r>
                          <w:r>
                            <w:rPr>
                              <w:spacing w:val="-5"/>
                            </w:rPr>
                            <w:fldChar w:fldCharType="end"/>
                          </w:r>
                        </w:p>
                      </w:txbxContent>
                    </wps:txbx>
                    <wps:bodyPr wrap="square" lIns="0" tIns="0" rIns="0" bIns="0" rtlCol="0">
                      <a:noAutofit/>
                    </wps:bodyPr>
                  </wps:wsp>
                </a:graphicData>
              </a:graphic>
            </wp:anchor>
          </w:drawing>
        </mc:Choice>
        <mc:Fallback>
          <w:pict>
            <v:shape id="Textbox 3" o:spid="_x0000_s1026" o:spt="202" type="#_x0000_t202" style="position:absolute;left:0pt;margin-left:287.2pt;margin-top:792.8pt;height:19.9pt;width:20.7pt;mso-position-horizontal-relative:page;mso-position-vertical-relative:page;z-index:-251641856;mso-width-relative:page;mso-height-relative:page;" filled="f" stroked="f" coordsize="21600,21600" o:gfxdata="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QnBwfaAAAADQEAAA8AAAAAAAAAAQAgAAAAIgAAAGRycy9kb3ducmV2LnhtbFBLAQIUABQAAAAI&#10;AIdO4kAuz03SsgEAAHQDAAAOAAAAAAAAAAEAIAAAACkBAABkcnMvZTJvRG9jLnhtbFBLBQYAAAAA&#10;BgAGAFkBAABNBQAAAAA=&#10;">
              <v:fill on="f" focussize="0,0"/>
              <v:stroke on="f"/>
              <v:imagedata o:title=""/>
              <o:lock v:ext="edit" aspectratio="f"/>
              <v:textbox inset="0mm,0mm,0mm,0mm">
                <w:txbxContent>
                  <w:p w14:paraId="67C92167">
                    <w:pPr>
                      <w:spacing w:before="124"/>
                      <w:ind w:left="122"/>
                    </w:pPr>
                    <w:r>
                      <w:rPr>
                        <w:spacing w:val="-5"/>
                      </w:rPr>
                      <w:fldChar w:fldCharType="begin"/>
                    </w:r>
                    <w:r>
                      <w:rPr>
                        <w:spacing w:val="-5"/>
                      </w:rPr>
                      <w:instrText xml:space="preserve"> PAGE  \* roman </w:instrText>
                    </w:r>
                    <w:r>
                      <w:rPr>
                        <w:spacing w:val="-5"/>
                      </w:rPr>
                      <w:fldChar w:fldCharType="separate"/>
                    </w:r>
                    <w:r>
                      <w:rPr>
                        <w:spacing w:val="-5"/>
                      </w:rPr>
                      <w:t>iv</w:t>
                    </w:r>
                    <w:r>
                      <w:rPr>
                        <w:spacing w:val="-5"/>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BB2B0">
    <w:pPr>
      <w:pStyle w:val="9"/>
      <w:spacing w:line="14" w:lineRule="auto"/>
      <w:ind w:left="0"/>
      <w:jc w:val="left"/>
      <w:rPr>
        <w:sz w:val="13"/>
      </w:rPr>
    </w:pPr>
    <w:r>
      <w:rPr>
        <w:lang w:eastAsia="tr-TR"/>
      </w:rPr>
      <mc:AlternateContent>
        <mc:Choice Requires="wps">
          <w:drawing>
            <wp:anchor distT="0" distB="0" distL="0" distR="0" simplePos="0" relativeHeight="251672576" behindDoc="1" locked="0" layoutInCell="1" allowOverlap="1">
              <wp:simplePos x="0" y="0"/>
              <wp:positionH relativeFrom="page">
                <wp:posOffset>3647440</wp:posOffset>
              </wp:positionH>
              <wp:positionV relativeFrom="page">
                <wp:posOffset>10068560</wp:posOffset>
              </wp:positionV>
              <wp:extent cx="262890" cy="252730"/>
              <wp:effectExtent l="0" t="0" r="0" b="0"/>
              <wp:wrapNone/>
              <wp:docPr id="3" name="Textbox 3"/>
              <wp:cNvGraphicFramePr/>
              <a:graphic xmlns:a="http://schemas.openxmlformats.org/drawingml/2006/main">
                <a:graphicData uri="http://schemas.microsoft.com/office/word/2010/wordprocessingShape">
                  <wps:wsp>
                    <wps:cNvSpPr txBox="1"/>
                    <wps:spPr>
                      <a:xfrm>
                        <a:off x="0" y="0"/>
                        <a:ext cx="262890" cy="252729"/>
                      </a:xfrm>
                      <a:prstGeom prst="rect">
                        <a:avLst/>
                      </a:prstGeom>
                    </wps:spPr>
                    <wps:txbx>
                      <w:txbxContent>
                        <w:p w14:paraId="179ADB3B">
                          <w:pPr>
                            <w:spacing w:before="124"/>
                            <w:ind w:left="122"/>
                          </w:pPr>
                          <w:r>
                            <w:rPr>
                              <w:spacing w:val="-5"/>
                            </w:rPr>
                            <w:fldChar w:fldCharType="begin"/>
                          </w:r>
                          <w:r>
                            <w:rPr>
                              <w:spacing w:val="-5"/>
                            </w:rPr>
                            <w:instrText xml:space="preserve"> PAGE  \* roman </w:instrText>
                          </w:r>
                          <w:r>
                            <w:rPr>
                              <w:spacing w:val="-5"/>
                            </w:rPr>
                            <w:fldChar w:fldCharType="separate"/>
                          </w:r>
                          <w:r>
                            <w:rPr>
                              <w:spacing w:val="-5"/>
                            </w:rPr>
                            <w:t>x</w:t>
                          </w:r>
                          <w:r>
                            <w:rPr>
                              <w:spacing w:val="-5"/>
                            </w:rPr>
                            <w:fldChar w:fldCharType="end"/>
                          </w:r>
                        </w:p>
                      </w:txbxContent>
                    </wps:txbx>
                    <wps:bodyPr wrap="square" lIns="0" tIns="0" rIns="0" bIns="0" rtlCol="0">
                      <a:noAutofit/>
                    </wps:bodyPr>
                  </wps:wsp>
                </a:graphicData>
              </a:graphic>
            </wp:anchor>
          </w:drawing>
        </mc:Choice>
        <mc:Fallback>
          <w:pict>
            <v:shape id="Textbox 3" o:spid="_x0000_s1026" o:spt="202" type="#_x0000_t202" style="position:absolute;left:0pt;margin-left:287.2pt;margin-top:792.8pt;height:19.9pt;width:20.7pt;mso-position-horizontal-relative:page;mso-position-vertical-relative:page;z-index:-251643904;mso-width-relative:page;mso-height-relative:page;" filled="f" stroked="f" coordsize="21600,21600" o:gfxdata="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FCcHB9oAAAANAQAADwAAAAAAAAABACAAAAAiAAAAZHJzL2Rvd25yZXYueG1sUEsBAhQAFAAAAAgA&#10;h07iQMcslBGxAQAAcwMAAA4AAAAAAAAAAQAgAAAAKQEAAGRycy9lMm9Eb2MueG1sUEsFBgAAAAAG&#10;AAYAWQEAAEwFAAAAAA==&#10;">
              <v:fill on="f" focussize="0,0"/>
              <v:stroke on="f"/>
              <v:imagedata o:title=""/>
              <o:lock v:ext="edit" aspectratio="f"/>
              <v:textbox inset="0mm,0mm,0mm,0mm">
                <w:txbxContent>
                  <w:p w14:paraId="179ADB3B">
                    <w:pPr>
                      <w:spacing w:before="124"/>
                      <w:ind w:left="122"/>
                    </w:pPr>
                    <w:r>
                      <w:rPr>
                        <w:spacing w:val="-5"/>
                      </w:rPr>
                      <w:fldChar w:fldCharType="begin"/>
                    </w:r>
                    <w:r>
                      <w:rPr>
                        <w:spacing w:val="-5"/>
                      </w:rPr>
                      <w:instrText xml:space="preserve"> PAGE  \* roman </w:instrText>
                    </w:r>
                    <w:r>
                      <w:rPr>
                        <w:spacing w:val="-5"/>
                      </w:rPr>
                      <w:fldChar w:fldCharType="separate"/>
                    </w:r>
                    <w:r>
                      <w:rPr>
                        <w:spacing w:val="-5"/>
                      </w:rPr>
                      <w:t>x</w:t>
                    </w:r>
                    <w:r>
                      <w:rPr>
                        <w:spacing w:val="-5"/>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04117408"/>
      <w:docPartObj>
        <w:docPartGallery w:val="autotext"/>
      </w:docPartObj>
    </w:sdtPr>
    <w:sdtEndPr>
      <w:rPr>
        <w:sz w:val="22"/>
      </w:rPr>
    </w:sdtEndPr>
    <w:sdtContent>
      <w:p w14:paraId="29ABAC51">
        <w:pPr>
          <w:pStyle w:val="13"/>
          <w:jc w:val="center"/>
          <w:rPr>
            <w:sz w:val="22"/>
          </w:rPr>
        </w:pPr>
        <w:r>
          <w:rPr>
            <w:sz w:val="22"/>
          </w:rPr>
          <w:fldChar w:fldCharType="begin"/>
        </w:r>
        <w:r>
          <w:rPr>
            <w:sz w:val="22"/>
          </w:rPr>
          <w:instrText xml:space="preserve">PAGE   \* MERGEFORMAT</w:instrText>
        </w:r>
        <w:r>
          <w:rPr>
            <w:sz w:val="22"/>
          </w:rPr>
          <w:fldChar w:fldCharType="separate"/>
        </w:r>
        <w:r>
          <w:rPr>
            <w:sz w:val="22"/>
          </w:rPr>
          <w:t>xv</w:t>
        </w:r>
        <w:r>
          <w:rPr>
            <w:sz w:val="22"/>
          </w:rPr>
          <w:fldChar w:fldCharType="end"/>
        </w:r>
      </w:p>
    </w:sdtContent>
  </w:sdt>
  <w:p w14:paraId="55F722AA">
    <w:pPr>
      <w:pStyle w:val="9"/>
      <w:spacing w:line="14" w:lineRule="auto"/>
      <w:ind w:left="0"/>
      <w:jc w:val="left"/>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A96EF">
    <w:pPr>
      <w:pStyle w:val="9"/>
      <w:spacing w:line="14" w:lineRule="auto"/>
      <w:ind w:left="0"/>
      <w:jc w:val="left"/>
      <w:rPr>
        <w:sz w:val="20"/>
      </w:rPr>
    </w:pPr>
    <w:r>
      <w:rPr>
        <w:lang w:eastAsia="tr-TR"/>
      </w:rPr>
      <mc:AlternateContent>
        <mc:Choice Requires="wps">
          <w:drawing>
            <wp:anchor distT="0" distB="0" distL="0" distR="0" simplePos="0" relativeHeight="251673600" behindDoc="1" locked="0" layoutInCell="1" allowOverlap="1">
              <wp:simplePos x="0" y="0"/>
              <wp:positionH relativeFrom="page">
                <wp:posOffset>3635375</wp:posOffset>
              </wp:positionH>
              <wp:positionV relativeFrom="page">
                <wp:posOffset>10139680</wp:posOffset>
              </wp:positionV>
              <wp:extent cx="299720" cy="180975"/>
              <wp:effectExtent l="0" t="0" r="0" b="0"/>
              <wp:wrapNone/>
              <wp:docPr id="5" name="Textbox 5"/>
              <wp:cNvGraphicFramePr/>
              <a:graphic xmlns:a="http://schemas.openxmlformats.org/drawingml/2006/main">
                <a:graphicData uri="http://schemas.microsoft.com/office/word/2010/wordprocessingShape">
                  <wps:wsp>
                    <wps:cNvSpPr txBox="1"/>
                    <wps:spPr>
                      <a:xfrm>
                        <a:off x="0" y="0"/>
                        <a:ext cx="299720" cy="180975"/>
                      </a:xfrm>
                      <a:prstGeom prst="rect">
                        <a:avLst/>
                      </a:prstGeom>
                    </wps:spPr>
                    <wps:txbx>
                      <w:txbxContent>
                        <w:p w14:paraId="0B1BB6C9">
                          <w:pPr>
                            <w:spacing w:before="11"/>
                            <w:ind w:left="60"/>
                          </w:pPr>
                          <w:r>
                            <w:rPr>
                              <w:spacing w:val="-5"/>
                            </w:rPr>
                            <w:fldChar w:fldCharType="begin"/>
                          </w:r>
                          <w:r>
                            <w:rPr>
                              <w:spacing w:val="-5"/>
                            </w:rPr>
                            <w:instrText xml:space="preserve"> PAGE </w:instrText>
                          </w:r>
                          <w:r>
                            <w:rPr>
                              <w:spacing w:val="-5"/>
                            </w:rPr>
                            <w:fldChar w:fldCharType="separate"/>
                          </w:r>
                          <w:r>
                            <w:rPr>
                              <w:spacing w:val="-5"/>
                            </w:rPr>
                            <w:t>170</w:t>
                          </w:r>
                          <w:r>
                            <w:rPr>
                              <w:spacing w:val="-5"/>
                            </w:rPr>
                            <w:fldChar w:fldCharType="end"/>
                          </w:r>
                        </w:p>
                      </w:txbxContent>
                    </wps:txbx>
                    <wps:bodyPr wrap="square" lIns="0" tIns="0" rIns="0" bIns="0" rtlCol="0">
                      <a:noAutofit/>
                    </wps:bodyPr>
                  </wps:wsp>
                </a:graphicData>
              </a:graphic>
            </wp:anchor>
          </w:drawing>
        </mc:Choice>
        <mc:Fallback>
          <w:pict>
            <v:shape id="Textbox 5" o:spid="_x0000_s1026" o:spt="202" type="#_x0000_t202" style="position:absolute;left:0pt;margin-left:286.25pt;margin-top:798.4pt;height:14.25pt;width:23.6pt;mso-position-horizontal-relative:page;mso-position-vertical-relative:page;z-index:-251642880;mso-width-relative:page;mso-height-relative:page;" filled="f" stroked="f" coordsize="21600,21600" o:gfxdata="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GEmyDbAAAADQEAAA8AAAAAAAAAAQAgAAAAIgAAAGRycy9kb3ducmV2LnhtbFBLAQIUABQAAAAI&#10;AIdO4kB+3Iv4sQEAAHMDAAAOAAAAAAAAAAEAIAAAACoBAABkcnMvZTJvRG9jLnhtbFBLBQYAAAAA&#10;BgAGAFkBAABNBQAAAAA=&#10;">
              <v:fill on="f" focussize="0,0"/>
              <v:stroke on="f"/>
              <v:imagedata o:title=""/>
              <o:lock v:ext="edit" aspectratio="f"/>
              <v:textbox inset="0mm,0mm,0mm,0mm">
                <w:txbxContent>
                  <w:p w14:paraId="0B1BB6C9">
                    <w:pPr>
                      <w:spacing w:before="11"/>
                      <w:ind w:left="60"/>
                    </w:pPr>
                    <w:r>
                      <w:rPr>
                        <w:spacing w:val="-5"/>
                      </w:rPr>
                      <w:fldChar w:fldCharType="begin"/>
                    </w:r>
                    <w:r>
                      <w:rPr>
                        <w:spacing w:val="-5"/>
                      </w:rPr>
                      <w:instrText xml:space="preserve"> PAGE </w:instrText>
                    </w:r>
                    <w:r>
                      <w:rPr>
                        <w:spacing w:val="-5"/>
                      </w:rPr>
                      <w:fldChar w:fldCharType="separate"/>
                    </w:r>
                    <w:r>
                      <w:rPr>
                        <w:spacing w:val="-5"/>
                      </w:rPr>
                      <w:t>170</w:t>
                    </w:r>
                    <w:r>
                      <w:rPr>
                        <w:spacing w:val="-5"/>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BC9D70"/>
    <w:multiLevelType w:val="multilevel"/>
    <w:tmpl w:val="96BC9D70"/>
    <w:lvl w:ilvl="0" w:tentative="0">
      <w:start w:val="1"/>
      <w:numFmt w:val="decimal"/>
      <w:lvlText w:val="%1."/>
      <w:lvlJc w:val="left"/>
      <w:pPr>
        <w:ind w:left="444" w:hanging="303"/>
      </w:pPr>
      <w:rPr>
        <w:rFonts w:hint="default"/>
        <w:spacing w:val="0"/>
        <w:w w:val="100"/>
        <w:lang w:val="tr-TR" w:eastAsia="en-US" w:bidi="ar-SA"/>
      </w:rPr>
    </w:lvl>
    <w:lvl w:ilvl="1" w:tentative="0">
      <w:start w:val="0"/>
      <w:numFmt w:val="bullet"/>
      <w:lvlText w:val="•"/>
      <w:lvlJc w:val="left"/>
      <w:pPr>
        <w:ind w:left="1333" w:hanging="303"/>
      </w:pPr>
      <w:rPr>
        <w:rFonts w:hint="default"/>
        <w:lang w:val="tr-TR" w:eastAsia="en-US" w:bidi="ar-SA"/>
      </w:rPr>
    </w:lvl>
    <w:lvl w:ilvl="2" w:tentative="0">
      <w:start w:val="0"/>
      <w:numFmt w:val="bullet"/>
      <w:lvlText w:val="•"/>
      <w:lvlJc w:val="left"/>
      <w:pPr>
        <w:ind w:left="2223" w:hanging="303"/>
      </w:pPr>
      <w:rPr>
        <w:rFonts w:hint="default"/>
        <w:lang w:val="tr-TR" w:eastAsia="en-US" w:bidi="ar-SA"/>
      </w:rPr>
    </w:lvl>
    <w:lvl w:ilvl="3" w:tentative="0">
      <w:start w:val="0"/>
      <w:numFmt w:val="bullet"/>
      <w:lvlText w:val="•"/>
      <w:lvlJc w:val="left"/>
      <w:pPr>
        <w:ind w:left="3113" w:hanging="303"/>
      </w:pPr>
      <w:rPr>
        <w:rFonts w:hint="default"/>
        <w:lang w:val="tr-TR" w:eastAsia="en-US" w:bidi="ar-SA"/>
      </w:rPr>
    </w:lvl>
    <w:lvl w:ilvl="4" w:tentative="0">
      <w:start w:val="0"/>
      <w:numFmt w:val="bullet"/>
      <w:lvlText w:val="•"/>
      <w:lvlJc w:val="left"/>
      <w:pPr>
        <w:ind w:left="4003" w:hanging="303"/>
      </w:pPr>
      <w:rPr>
        <w:rFonts w:hint="default"/>
        <w:lang w:val="tr-TR" w:eastAsia="en-US" w:bidi="ar-SA"/>
      </w:rPr>
    </w:lvl>
    <w:lvl w:ilvl="5" w:tentative="0">
      <w:start w:val="0"/>
      <w:numFmt w:val="bullet"/>
      <w:lvlText w:val="•"/>
      <w:lvlJc w:val="left"/>
      <w:pPr>
        <w:ind w:left="4893" w:hanging="303"/>
      </w:pPr>
      <w:rPr>
        <w:rFonts w:hint="default"/>
        <w:lang w:val="tr-TR" w:eastAsia="en-US" w:bidi="ar-SA"/>
      </w:rPr>
    </w:lvl>
    <w:lvl w:ilvl="6" w:tentative="0">
      <w:start w:val="0"/>
      <w:numFmt w:val="bullet"/>
      <w:lvlText w:val="•"/>
      <w:lvlJc w:val="left"/>
      <w:pPr>
        <w:ind w:left="5783" w:hanging="303"/>
      </w:pPr>
      <w:rPr>
        <w:rFonts w:hint="default"/>
        <w:lang w:val="tr-TR" w:eastAsia="en-US" w:bidi="ar-SA"/>
      </w:rPr>
    </w:lvl>
    <w:lvl w:ilvl="7" w:tentative="0">
      <w:start w:val="0"/>
      <w:numFmt w:val="bullet"/>
      <w:lvlText w:val="•"/>
      <w:lvlJc w:val="left"/>
      <w:pPr>
        <w:ind w:left="6673" w:hanging="303"/>
      </w:pPr>
      <w:rPr>
        <w:rFonts w:hint="default"/>
        <w:lang w:val="tr-TR" w:eastAsia="en-US" w:bidi="ar-SA"/>
      </w:rPr>
    </w:lvl>
    <w:lvl w:ilvl="8" w:tentative="0">
      <w:start w:val="0"/>
      <w:numFmt w:val="bullet"/>
      <w:lvlText w:val="•"/>
      <w:lvlJc w:val="left"/>
      <w:pPr>
        <w:ind w:left="7563" w:hanging="303"/>
      </w:pPr>
      <w:rPr>
        <w:rFonts w:hint="default"/>
        <w:lang w:val="tr-TR" w:eastAsia="en-US" w:bidi="ar-SA"/>
      </w:rPr>
    </w:lvl>
  </w:abstractNum>
  <w:abstractNum w:abstractNumId="1">
    <w:nsid w:val="CAA1EEE5"/>
    <w:multiLevelType w:val="multilevel"/>
    <w:tmpl w:val="CAA1EEE5"/>
    <w:lvl w:ilvl="0" w:tentative="0">
      <w:start w:val="0"/>
      <w:numFmt w:val="bullet"/>
      <w:lvlText w:val=""/>
      <w:lvlJc w:val="left"/>
      <w:pPr>
        <w:ind w:left="880" w:hanging="360"/>
      </w:pPr>
      <w:rPr>
        <w:rFonts w:hint="default" w:ascii="Symbol" w:hAnsi="Symbol" w:eastAsia="Symbol" w:cs="Symbol"/>
        <w:b w:val="0"/>
        <w:bCs w:val="0"/>
        <w:i w:val="0"/>
        <w:iCs w:val="0"/>
        <w:spacing w:val="0"/>
        <w:w w:val="100"/>
        <w:sz w:val="24"/>
        <w:szCs w:val="24"/>
        <w:lang w:val="tr-TR" w:eastAsia="en-US" w:bidi="ar-SA"/>
      </w:rPr>
    </w:lvl>
    <w:lvl w:ilvl="1" w:tentative="0">
      <w:start w:val="0"/>
      <w:numFmt w:val="bullet"/>
      <w:lvlText w:val="•"/>
      <w:lvlJc w:val="left"/>
      <w:pPr>
        <w:ind w:left="1697" w:hanging="360"/>
      </w:pPr>
      <w:rPr>
        <w:rFonts w:hint="default"/>
        <w:lang w:val="tr-TR" w:eastAsia="en-US" w:bidi="ar-SA"/>
      </w:rPr>
    </w:lvl>
    <w:lvl w:ilvl="2" w:tentative="0">
      <w:start w:val="0"/>
      <w:numFmt w:val="bullet"/>
      <w:lvlText w:val="•"/>
      <w:lvlJc w:val="left"/>
      <w:pPr>
        <w:ind w:left="2515" w:hanging="360"/>
      </w:pPr>
      <w:rPr>
        <w:rFonts w:hint="default"/>
        <w:lang w:val="tr-TR" w:eastAsia="en-US" w:bidi="ar-SA"/>
      </w:rPr>
    </w:lvl>
    <w:lvl w:ilvl="3" w:tentative="0">
      <w:start w:val="0"/>
      <w:numFmt w:val="bullet"/>
      <w:lvlText w:val="•"/>
      <w:lvlJc w:val="left"/>
      <w:pPr>
        <w:ind w:left="3333" w:hanging="360"/>
      </w:pPr>
      <w:rPr>
        <w:rFonts w:hint="default"/>
        <w:lang w:val="tr-TR" w:eastAsia="en-US" w:bidi="ar-SA"/>
      </w:rPr>
    </w:lvl>
    <w:lvl w:ilvl="4" w:tentative="0">
      <w:start w:val="0"/>
      <w:numFmt w:val="bullet"/>
      <w:lvlText w:val="•"/>
      <w:lvlJc w:val="left"/>
      <w:pPr>
        <w:ind w:left="4151" w:hanging="360"/>
      </w:pPr>
      <w:rPr>
        <w:rFonts w:hint="default"/>
        <w:lang w:val="tr-TR" w:eastAsia="en-US" w:bidi="ar-SA"/>
      </w:rPr>
    </w:lvl>
    <w:lvl w:ilvl="5" w:tentative="0">
      <w:start w:val="0"/>
      <w:numFmt w:val="bullet"/>
      <w:lvlText w:val="•"/>
      <w:lvlJc w:val="left"/>
      <w:pPr>
        <w:ind w:left="4969" w:hanging="360"/>
      </w:pPr>
      <w:rPr>
        <w:rFonts w:hint="default"/>
        <w:lang w:val="tr-TR" w:eastAsia="en-US" w:bidi="ar-SA"/>
      </w:rPr>
    </w:lvl>
    <w:lvl w:ilvl="6" w:tentative="0">
      <w:start w:val="0"/>
      <w:numFmt w:val="bullet"/>
      <w:lvlText w:val="•"/>
      <w:lvlJc w:val="left"/>
      <w:pPr>
        <w:ind w:left="5787" w:hanging="360"/>
      </w:pPr>
      <w:rPr>
        <w:rFonts w:hint="default"/>
        <w:lang w:val="tr-TR" w:eastAsia="en-US" w:bidi="ar-SA"/>
      </w:rPr>
    </w:lvl>
    <w:lvl w:ilvl="7" w:tentative="0">
      <w:start w:val="0"/>
      <w:numFmt w:val="bullet"/>
      <w:lvlText w:val="•"/>
      <w:lvlJc w:val="left"/>
      <w:pPr>
        <w:ind w:left="6605" w:hanging="360"/>
      </w:pPr>
      <w:rPr>
        <w:rFonts w:hint="default"/>
        <w:lang w:val="tr-TR" w:eastAsia="en-US" w:bidi="ar-SA"/>
      </w:rPr>
    </w:lvl>
    <w:lvl w:ilvl="8" w:tentative="0">
      <w:start w:val="0"/>
      <w:numFmt w:val="bullet"/>
      <w:lvlText w:val="•"/>
      <w:lvlJc w:val="left"/>
      <w:pPr>
        <w:ind w:left="7423" w:hanging="360"/>
      </w:pPr>
      <w:rPr>
        <w:rFonts w:hint="default"/>
        <w:lang w:val="tr-TR" w:eastAsia="en-US" w:bidi="ar-SA"/>
      </w:rPr>
    </w:lvl>
  </w:abstractNum>
  <w:abstractNum w:abstractNumId="2">
    <w:nsid w:val="D233590F"/>
    <w:multiLevelType w:val="multilevel"/>
    <w:tmpl w:val="D233590F"/>
    <w:lvl w:ilvl="0" w:tentative="0">
      <w:start w:val="0"/>
      <w:numFmt w:val="bullet"/>
      <w:lvlText w:val=""/>
      <w:lvlJc w:val="left"/>
      <w:pPr>
        <w:ind w:left="160" w:hanging="360"/>
      </w:pPr>
      <w:rPr>
        <w:rFonts w:hint="default" w:ascii="Symbol" w:hAnsi="Symbol" w:eastAsia="Symbol" w:cs="Symbol"/>
        <w:b w:val="0"/>
        <w:bCs w:val="0"/>
        <w:i w:val="0"/>
        <w:iCs w:val="0"/>
        <w:spacing w:val="0"/>
        <w:w w:val="100"/>
        <w:sz w:val="24"/>
        <w:szCs w:val="24"/>
        <w:lang w:val="tr-TR" w:eastAsia="en-US" w:bidi="ar-SA"/>
      </w:rPr>
    </w:lvl>
    <w:lvl w:ilvl="1" w:tentative="0">
      <w:start w:val="0"/>
      <w:numFmt w:val="bullet"/>
      <w:lvlText w:val="•"/>
      <w:lvlJc w:val="left"/>
      <w:pPr>
        <w:ind w:left="1049" w:hanging="360"/>
      </w:pPr>
      <w:rPr>
        <w:rFonts w:hint="default"/>
        <w:lang w:val="tr-TR" w:eastAsia="en-US" w:bidi="ar-SA"/>
      </w:rPr>
    </w:lvl>
    <w:lvl w:ilvl="2" w:tentative="0">
      <w:start w:val="0"/>
      <w:numFmt w:val="bullet"/>
      <w:lvlText w:val="•"/>
      <w:lvlJc w:val="left"/>
      <w:pPr>
        <w:ind w:left="1939" w:hanging="360"/>
      </w:pPr>
      <w:rPr>
        <w:rFonts w:hint="default"/>
        <w:lang w:val="tr-TR" w:eastAsia="en-US" w:bidi="ar-SA"/>
      </w:rPr>
    </w:lvl>
    <w:lvl w:ilvl="3" w:tentative="0">
      <w:start w:val="0"/>
      <w:numFmt w:val="bullet"/>
      <w:lvlText w:val="•"/>
      <w:lvlJc w:val="left"/>
      <w:pPr>
        <w:ind w:left="2829" w:hanging="360"/>
      </w:pPr>
      <w:rPr>
        <w:rFonts w:hint="default"/>
        <w:lang w:val="tr-TR" w:eastAsia="en-US" w:bidi="ar-SA"/>
      </w:rPr>
    </w:lvl>
    <w:lvl w:ilvl="4" w:tentative="0">
      <w:start w:val="0"/>
      <w:numFmt w:val="bullet"/>
      <w:lvlText w:val="•"/>
      <w:lvlJc w:val="left"/>
      <w:pPr>
        <w:ind w:left="3719" w:hanging="360"/>
      </w:pPr>
      <w:rPr>
        <w:rFonts w:hint="default"/>
        <w:lang w:val="tr-TR" w:eastAsia="en-US" w:bidi="ar-SA"/>
      </w:rPr>
    </w:lvl>
    <w:lvl w:ilvl="5" w:tentative="0">
      <w:start w:val="0"/>
      <w:numFmt w:val="bullet"/>
      <w:lvlText w:val="•"/>
      <w:lvlJc w:val="left"/>
      <w:pPr>
        <w:ind w:left="4609" w:hanging="360"/>
      </w:pPr>
      <w:rPr>
        <w:rFonts w:hint="default"/>
        <w:lang w:val="tr-TR" w:eastAsia="en-US" w:bidi="ar-SA"/>
      </w:rPr>
    </w:lvl>
    <w:lvl w:ilvl="6" w:tentative="0">
      <w:start w:val="0"/>
      <w:numFmt w:val="bullet"/>
      <w:lvlText w:val="•"/>
      <w:lvlJc w:val="left"/>
      <w:pPr>
        <w:ind w:left="5499" w:hanging="360"/>
      </w:pPr>
      <w:rPr>
        <w:rFonts w:hint="default"/>
        <w:lang w:val="tr-TR" w:eastAsia="en-US" w:bidi="ar-SA"/>
      </w:rPr>
    </w:lvl>
    <w:lvl w:ilvl="7" w:tentative="0">
      <w:start w:val="0"/>
      <w:numFmt w:val="bullet"/>
      <w:lvlText w:val="•"/>
      <w:lvlJc w:val="left"/>
      <w:pPr>
        <w:ind w:left="6389" w:hanging="360"/>
      </w:pPr>
      <w:rPr>
        <w:rFonts w:hint="default"/>
        <w:lang w:val="tr-TR" w:eastAsia="en-US" w:bidi="ar-SA"/>
      </w:rPr>
    </w:lvl>
    <w:lvl w:ilvl="8" w:tentative="0">
      <w:start w:val="0"/>
      <w:numFmt w:val="bullet"/>
      <w:lvlText w:val="•"/>
      <w:lvlJc w:val="left"/>
      <w:pPr>
        <w:ind w:left="7279" w:hanging="360"/>
      </w:pPr>
      <w:rPr>
        <w:rFonts w:hint="default"/>
        <w:lang w:val="tr-TR" w:eastAsia="en-US" w:bidi="ar-SA"/>
      </w:rPr>
    </w:lvl>
  </w:abstractNum>
  <w:abstractNum w:abstractNumId="3">
    <w:nsid w:val="E6ED934C"/>
    <w:multiLevelType w:val="multilevel"/>
    <w:tmpl w:val="E6ED934C"/>
    <w:lvl w:ilvl="0" w:tentative="0">
      <w:start w:val="0"/>
      <w:numFmt w:val="bullet"/>
      <w:lvlText w:val="-"/>
      <w:lvlJc w:val="left"/>
      <w:pPr>
        <w:ind w:left="160" w:hanging="708"/>
      </w:pPr>
      <w:rPr>
        <w:rFonts w:hint="default" w:ascii="Times New Roman" w:hAnsi="Times New Roman" w:eastAsia="Times New Roman" w:cs="Times New Roman"/>
        <w:b w:val="0"/>
        <w:bCs w:val="0"/>
        <w:i w:val="0"/>
        <w:iCs w:val="0"/>
        <w:spacing w:val="0"/>
        <w:w w:val="100"/>
        <w:sz w:val="24"/>
        <w:szCs w:val="24"/>
        <w:lang w:val="tr-TR" w:eastAsia="en-US" w:bidi="ar-SA"/>
      </w:rPr>
    </w:lvl>
    <w:lvl w:ilvl="1" w:tentative="0">
      <w:start w:val="0"/>
      <w:numFmt w:val="bullet"/>
      <w:lvlText w:val="•"/>
      <w:lvlJc w:val="left"/>
      <w:pPr>
        <w:ind w:left="1049" w:hanging="708"/>
      </w:pPr>
      <w:rPr>
        <w:rFonts w:hint="default"/>
        <w:lang w:val="tr-TR" w:eastAsia="en-US" w:bidi="ar-SA"/>
      </w:rPr>
    </w:lvl>
    <w:lvl w:ilvl="2" w:tentative="0">
      <w:start w:val="0"/>
      <w:numFmt w:val="bullet"/>
      <w:lvlText w:val="•"/>
      <w:lvlJc w:val="left"/>
      <w:pPr>
        <w:ind w:left="1939" w:hanging="708"/>
      </w:pPr>
      <w:rPr>
        <w:rFonts w:hint="default"/>
        <w:lang w:val="tr-TR" w:eastAsia="en-US" w:bidi="ar-SA"/>
      </w:rPr>
    </w:lvl>
    <w:lvl w:ilvl="3" w:tentative="0">
      <w:start w:val="0"/>
      <w:numFmt w:val="bullet"/>
      <w:lvlText w:val="•"/>
      <w:lvlJc w:val="left"/>
      <w:pPr>
        <w:ind w:left="2829" w:hanging="708"/>
      </w:pPr>
      <w:rPr>
        <w:rFonts w:hint="default"/>
        <w:lang w:val="tr-TR" w:eastAsia="en-US" w:bidi="ar-SA"/>
      </w:rPr>
    </w:lvl>
    <w:lvl w:ilvl="4" w:tentative="0">
      <w:start w:val="0"/>
      <w:numFmt w:val="bullet"/>
      <w:lvlText w:val="•"/>
      <w:lvlJc w:val="left"/>
      <w:pPr>
        <w:ind w:left="3719" w:hanging="708"/>
      </w:pPr>
      <w:rPr>
        <w:rFonts w:hint="default"/>
        <w:lang w:val="tr-TR" w:eastAsia="en-US" w:bidi="ar-SA"/>
      </w:rPr>
    </w:lvl>
    <w:lvl w:ilvl="5" w:tentative="0">
      <w:start w:val="0"/>
      <w:numFmt w:val="bullet"/>
      <w:lvlText w:val="•"/>
      <w:lvlJc w:val="left"/>
      <w:pPr>
        <w:ind w:left="4609" w:hanging="708"/>
      </w:pPr>
      <w:rPr>
        <w:rFonts w:hint="default"/>
        <w:lang w:val="tr-TR" w:eastAsia="en-US" w:bidi="ar-SA"/>
      </w:rPr>
    </w:lvl>
    <w:lvl w:ilvl="6" w:tentative="0">
      <w:start w:val="0"/>
      <w:numFmt w:val="bullet"/>
      <w:lvlText w:val="•"/>
      <w:lvlJc w:val="left"/>
      <w:pPr>
        <w:ind w:left="5499" w:hanging="708"/>
      </w:pPr>
      <w:rPr>
        <w:rFonts w:hint="default"/>
        <w:lang w:val="tr-TR" w:eastAsia="en-US" w:bidi="ar-SA"/>
      </w:rPr>
    </w:lvl>
    <w:lvl w:ilvl="7" w:tentative="0">
      <w:start w:val="0"/>
      <w:numFmt w:val="bullet"/>
      <w:lvlText w:val="•"/>
      <w:lvlJc w:val="left"/>
      <w:pPr>
        <w:ind w:left="6389" w:hanging="708"/>
      </w:pPr>
      <w:rPr>
        <w:rFonts w:hint="default"/>
        <w:lang w:val="tr-TR" w:eastAsia="en-US" w:bidi="ar-SA"/>
      </w:rPr>
    </w:lvl>
    <w:lvl w:ilvl="8" w:tentative="0">
      <w:start w:val="0"/>
      <w:numFmt w:val="bullet"/>
      <w:lvlText w:val="•"/>
      <w:lvlJc w:val="left"/>
      <w:pPr>
        <w:ind w:left="7279" w:hanging="708"/>
      </w:pPr>
      <w:rPr>
        <w:rFonts w:hint="default"/>
        <w:lang w:val="tr-TR" w:eastAsia="en-US" w:bidi="ar-SA"/>
      </w:rPr>
    </w:lvl>
  </w:abstractNum>
  <w:abstractNum w:abstractNumId="4">
    <w:nsid w:val="18F11371"/>
    <w:multiLevelType w:val="multilevel"/>
    <w:tmpl w:val="18F11371"/>
    <w:lvl w:ilvl="0" w:tentative="0">
      <w:start w:val="0"/>
      <w:numFmt w:val="bullet"/>
      <w:lvlText w:val="-"/>
      <w:lvlJc w:val="left"/>
      <w:pPr>
        <w:ind w:left="160" w:hanging="178"/>
      </w:pPr>
      <w:rPr>
        <w:rFonts w:hint="default" w:ascii="Times New Roman" w:hAnsi="Times New Roman" w:eastAsia="Times New Roman" w:cs="Times New Roman"/>
        <w:b w:val="0"/>
        <w:bCs w:val="0"/>
        <w:i w:val="0"/>
        <w:iCs w:val="0"/>
        <w:spacing w:val="0"/>
        <w:w w:val="100"/>
        <w:sz w:val="24"/>
        <w:szCs w:val="24"/>
        <w:lang w:val="tr-TR" w:eastAsia="en-US" w:bidi="ar-SA"/>
      </w:rPr>
    </w:lvl>
    <w:lvl w:ilvl="1" w:tentative="0">
      <w:start w:val="0"/>
      <w:numFmt w:val="bullet"/>
      <w:lvlText w:val="•"/>
      <w:lvlJc w:val="left"/>
      <w:pPr>
        <w:ind w:left="1049" w:hanging="178"/>
      </w:pPr>
      <w:rPr>
        <w:rFonts w:hint="default"/>
        <w:lang w:val="tr-TR" w:eastAsia="en-US" w:bidi="ar-SA"/>
      </w:rPr>
    </w:lvl>
    <w:lvl w:ilvl="2" w:tentative="0">
      <w:start w:val="0"/>
      <w:numFmt w:val="bullet"/>
      <w:lvlText w:val="•"/>
      <w:lvlJc w:val="left"/>
      <w:pPr>
        <w:ind w:left="1939" w:hanging="178"/>
      </w:pPr>
      <w:rPr>
        <w:rFonts w:hint="default"/>
        <w:lang w:val="tr-TR" w:eastAsia="en-US" w:bidi="ar-SA"/>
      </w:rPr>
    </w:lvl>
    <w:lvl w:ilvl="3" w:tentative="0">
      <w:start w:val="0"/>
      <w:numFmt w:val="bullet"/>
      <w:lvlText w:val="•"/>
      <w:lvlJc w:val="left"/>
      <w:pPr>
        <w:ind w:left="2829" w:hanging="178"/>
      </w:pPr>
      <w:rPr>
        <w:rFonts w:hint="default"/>
        <w:lang w:val="tr-TR" w:eastAsia="en-US" w:bidi="ar-SA"/>
      </w:rPr>
    </w:lvl>
    <w:lvl w:ilvl="4" w:tentative="0">
      <w:start w:val="0"/>
      <w:numFmt w:val="bullet"/>
      <w:lvlText w:val="•"/>
      <w:lvlJc w:val="left"/>
      <w:pPr>
        <w:ind w:left="3719" w:hanging="178"/>
      </w:pPr>
      <w:rPr>
        <w:rFonts w:hint="default"/>
        <w:lang w:val="tr-TR" w:eastAsia="en-US" w:bidi="ar-SA"/>
      </w:rPr>
    </w:lvl>
    <w:lvl w:ilvl="5" w:tentative="0">
      <w:start w:val="0"/>
      <w:numFmt w:val="bullet"/>
      <w:lvlText w:val="•"/>
      <w:lvlJc w:val="left"/>
      <w:pPr>
        <w:ind w:left="4609" w:hanging="178"/>
      </w:pPr>
      <w:rPr>
        <w:rFonts w:hint="default"/>
        <w:lang w:val="tr-TR" w:eastAsia="en-US" w:bidi="ar-SA"/>
      </w:rPr>
    </w:lvl>
    <w:lvl w:ilvl="6" w:tentative="0">
      <w:start w:val="0"/>
      <w:numFmt w:val="bullet"/>
      <w:lvlText w:val="•"/>
      <w:lvlJc w:val="left"/>
      <w:pPr>
        <w:ind w:left="5499" w:hanging="178"/>
      </w:pPr>
      <w:rPr>
        <w:rFonts w:hint="default"/>
        <w:lang w:val="tr-TR" w:eastAsia="en-US" w:bidi="ar-SA"/>
      </w:rPr>
    </w:lvl>
    <w:lvl w:ilvl="7" w:tentative="0">
      <w:start w:val="0"/>
      <w:numFmt w:val="bullet"/>
      <w:lvlText w:val="•"/>
      <w:lvlJc w:val="left"/>
      <w:pPr>
        <w:ind w:left="6389" w:hanging="178"/>
      </w:pPr>
      <w:rPr>
        <w:rFonts w:hint="default"/>
        <w:lang w:val="tr-TR" w:eastAsia="en-US" w:bidi="ar-SA"/>
      </w:rPr>
    </w:lvl>
    <w:lvl w:ilvl="8" w:tentative="0">
      <w:start w:val="0"/>
      <w:numFmt w:val="bullet"/>
      <w:lvlText w:val="•"/>
      <w:lvlJc w:val="left"/>
      <w:pPr>
        <w:ind w:left="7279" w:hanging="178"/>
      </w:pPr>
      <w:rPr>
        <w:rFonts w:hint="default"/>
        <w:lang w:val="tr-TR" w:eastAsia="en-US" w:bidi="ar-SA"/>
      </w:rPr>
    </w:lvl>
  </w:abstractNum>
  <w:abstractNum w:abstractNumId="5">
    <w:nsid w:val="20563465"/>
    <w:multiLevelType w:val="multilevel"/>
    <w:tmpl w:val="20563465"/>
    <w:lvl w:ilvl="0" w:tentative="0">
      <w:start w:val="1"/>
      <w:numFmt w:val="decimal"/>
      <w:lvlText w:val="%1."/>
      <w:lvlJc w:val="left"/>
      <w:pPr>
        <w:ind w:left="927" w:hanging="360"/>
      </w:pPr>
      <w:rPr>
        <w:rFonts w:hint="default"/>
      </w:rPr>
    </w:lvl>
    <w:lvl w:ilvl="1" w:tentative="0">
      <w:start w:val="7"/>
      <w:numFmt w:val="decimal"/>
      <w:isLgl/>
      <w:lvlText w:val="%1.%2."/>
      <w:lvlJc w:val="left"/>
      <w:pPr>
        <w:ind w:left="927" w:hanging="360"/>
      </w:pPr>
      <w:rPr>
        <w:rFonts w:hint="default"/>
      </w:rPr>
    </w:lvl>
    <w:lvl w:ilvl="2" w:tentative="0">
      <w:start w:val="1"/>
      <w:numFmt w:val="decimal"/>
      <w:isLgl/>
      <w:lvlText w:val="%1.%2.%3."/>
      <w:lvlJc w:val="left"/>
      <w:pPr>
        <w:ind w:left="1287" w:hanging="720"/>
      </w:pPr>
      <w:rPr>
        <w:rFonts w:hint="default"/>
      </w:rPr>
    </w:lvl>
    <w:lvl w:ilvl="3" w:tentative="0">
      <w:start w:val="1"/>
      <w:numFmt w:val="decimal"/>
      <w:isLgl/>
      <w:lvlText w:val="%1.%2.%3.%4."/>
      <w:lvlJc w:val="left"/>
      <w:pPr>
        <w:ind w:left="1287" w:hanging="720"/>
      </w:pPr>
      <w:rPr>
        <w:rFonts w:hint="default"/>
      </w:rPr>
    </w:lvl>
    <w:lvl w:ilvl="4" w:tentative="0">
      <w:start w:val="1"/>
      <w:numFmt w:val="decimal"/>
      <w:isLgl/>
      <w:lvlText w:val="%1.%2.%3.%4.%5."/>
      <w:lvlJc w:val="left"/>
      <w:pPr>
        <w:ind w:left="1647" w:hanging="1080"/>
      </w:pPr>
      <w:rPr>
        <w:rFonts w:hint="default"/>
      </w:rPr>
    </w:lvl>
    <w:lvl w:ilvl="5" w:tentative="0">
      <w:start w:val="1"/>
      <w:numFmt w:val="decimal"/>
      <w:isLgl/>
      <w:lvlText w:val="%1.%2.%3.%4.%5.%6."/>
      <w:lvlJc w:val="left"/>
      <w:pPr>
        <w:ind w:left="1647" w:hanging="1080"/>
      </w:pPr>
      <w:rPr>
        <w:rFonts w:hint="default"/>
      </w:rPr>
    </w:lvl>
    <w:lvl w:ilvl="6" w:tentative="0">
      <w:start w:val="1"/>
      <w:numFmt w:val="decimal"/>
      <w:isLgl/>
      <w:lvlText w:val="%1.%2.%3.%4.%5.%6.%7."/>
      <w:lvlJc w:val="left"/>
      <w:pPr>
        <w:ind w:left="2007" w:hanging="1440"/>
      </w:pPr>
      <w:rPr>
        <w:rFonts w:hint="default"/>
      </w:rPr>
    </w:lvl>
    <w:lvl w:ilvl="7" w:tentative="0">
      <w:start w:val="1"/>
      <w:numFmt w:val="decimal"/>
      <w:isLgl/>
      <w:lvlText w:val="%1.%2.%3.%4.%5.%6.%7.%8."/>
      <w:lvlJc w:val="left"/>
      <w:pPr>
        <w:ind w:left="2007" w:hanging="1440"/>
      </w:pPr>
      <w:rPr>
        <w:rFonts w:hint="default"/>
      </w:rPr>
    </w:lvl>
    <w:lvl w:ilvl="8" w:tentative="0">
      <w:start w:val="1"/>
      <w:numFmt w:val="decimal"/>
      <w:isLgl/>
      <w:lvlText w:val="%1.%2.%3.%4.%5.%6.%7.%8.%9."/>
      <w:lvlJc w:val="left"/>
      <w:pPr>
        <w:ind w:left="2367" w:hanging="1800"/>
      </w:pPr>
      <w:rPr>
        <w:rFonts w:hint="default"/>
      </w:rPr>
    </w:lvl>
  </w:abstractNum>
  <w:abstractNum w:abstractNumId="6">
    <w:nsid w:val="286D6F2B"/>
    <w:multiLevelType w:val="multilevel"/>
    <w:tmpl w:val="286D6F2B"/>
    <w:lvl w:ilvl="0" w:tentative="0">
      <w:start w:val="1"/>
      <w:numFmt w:val="decimal"/>
      <w:lvlText w:val="%1."/>
      <w:lvlJc w:val="left"/>
      <w:pPr>
        <w:ind w:left="4010" w:hanging="182"/>
      </w:pPr>
      <w:rPr>
        <w:rFonts w:hint="default" w:ascii="Times New Roman" w:hAnsi="Times New Roman" w:eastAsia="Times New Roman" w:cs="Times New Roman"/>
        <w:b/>
        <w:bCs/>
        <w:i w:val="0"/>
        <w:iCs w:val="0"/>
        <w:spacing w:val="0"/>
        <w:w w:val="96"/>
        <w:sz w:val="24"/>
        <w:szCs w:val="22"/>
        <w:lang w:val="tr-TR" w:eastAsia="en-US" w:bidi="ar-SA"/>
      </w:rPr>
    </w:lvl>
    <w:lvl w:ilvl="1" w:tentative="0">
      <w:start w:val="1"/>
      <w:numFmt w:val="decimal"/>
      <w:lvlText w:val="%1.%2."/>
      <w:lvlJc w:val="left"/>
      <w:pPr>
        <w:ind w:left="4673" w:hanging="420"/>
      </w:pPr>
      <w:rPr>
        <w:rFonts w:hint="default" w:ascii="Times New Roman" w:hAnsi="Times New Roman" w:eastAsia="Times New Roman" w:cs="Times New Roman"/>
        <w:b/>
        <w:bCs/>
        <w:i w:val="0"/>
        <w:iCs w:val="0"/>
        <w:spacing w:val="0"/>
        <w:w w:val="93"/>
        <w:sz w:val="24"/>
        <w:szCs w:val="24"/>
        <w:lang w:val="tr-TR" w:eastAsia="en-US" w:bidi="ar-SA"/>
      </w:rPr>
    </w:lvl>
    <w:lvl w:ilvl="2" w:tentative="0">
      <w:start w:val="1"/>
      <w:numFmt w:val="decimal"/>
      <w:lvlText w:val="%1.%2.%3."/>
      <w:lvlJc w:val="left"/>
      <w:pPr>
        <w:ind w:left="5845" w:hanging="600"/>
      </w:pPr>
      <w:rPr>
        <w:rFonts w:hint="default" w:ascii="Times New Roman" w:hAnsi="Times New Roman" w:eastAsia="Times New Roman" w:cs="Times New Roman"/>
        <w:b/>
        <w:bCs/>
        <w:i w:val="0"/>
        <w:iCs w:val="0"/>
        <w:spacing w:val="0"/>
        <w:w w:val="95"/>
        <w:sz w:val="24"/>
        <w:szCs w:val="24"/>
        <w:lang w:val="tr-TR" w:eastAsia="en-US" w:bidi="ar-SA"/>
      </w:rPr>
    </w:lvl>
    <w:lvl w:ilvl="3" w:tentative="0">
      <w:start w:val="1"/>
      <w:numFmt w:val="decimal"/>
      <w:lvlText w:val="%1.%2.%3.%4."/>
      <w:lvlJc w:val="left"/>
      <w:pPr>
        <w:ind w:left="5033" w:hanging="780"/>
      </w:pPr>
      <w:rPr>
        <w:rFonts w:hint="default" w:ascii="Times New Roman" w:hAnsi="Times New Roman" w:eastAsia="Times New Roman" w:cs="Times New Roman"/>
        <w:b/>
        <w:bCs/>
        <w:i/>
        <w:iCs/>
        <w:spacing w:val="0"/>
        <w:w w:val="97"/>
        <w:sz w:val="24"/>
        <w:szCs w:val="24"/>
        <w:lang w:val="tr-TR" w:eastAsia="en-US" w:bidi="ar-SA"/>
      </w:rPr>
    </w:lvl>
    <w:lvl w:ilvl="4" w:tentative="0">
      <w:start w:val="1"/>
      <w:numFmt w:val="decimal"/>
      <w:lvlText w:val="%5."/>
      <w:lvlJc w:val="left"/>
      <w:pPr>
        <w:ind w:left="4973" w:hanging="360"/>
      </w:pPr>
      <w:rPr>
        <w:rFonts w:hint="default" w:ascii="Times New Roman" w:hAnsi="Times New Roman" w:eastAsia="Times New Roman" w:cs="Times New Roman"/>
        <w:b w:val="0"/>
        <w:bCs w:val="0"/>
        <w:i w:val="0"/>
        <w:iCs w:val="0"/>
        <w:spacing w:val="0"/>
        <w:w w:val="100"/>
        <w:sz w:val="24"/>
        <w:szCs w:val="24"/>
        <w:lang w:val="tr-TR" w:eastAsia="en-US" w:bidi="ar-SA"/>
      </w:rPr>
    </w:lvl>
    <w:lvl w:ilvl="5" w:tentative="0">
      <w:start w:val="0"/>
      <w:numFmt w:val="bullet"/>
      <w:lvlText w:val="•"/>
      <w:lvlJc w:val="left"/>
      <w:pPr>
        <w:ind w:left="4973" w:hanging="360"/>
      </w:pPr>
      <w:rPr>
        <w:rFonts w:hint="default"/>
        <w:lang w:val="tr-TR" w:eastAsia="en-US" w:bidi="ar-SA"/>
      </w:rPr>
    </w:lvl>
    <w:lvl w:ilvl="6" w:tentative="0">
      <w:start w:val="0"/>
      <w:numFmt w:val="bullet"/>
      <w:lvlText w:val="•"/>
      <w:lvlJc w:val="left"/>
      <w:pPr>
        <w:ind w:left="5033" w:hanging="360"/>
      </w:pPr>
      <w:rPr>
        <w:rFonts w:hint="default"/>
        <w:lang w:val="tr-TR" w:eastAsia="en-US" w:bidi="ar-SA"/>
      </w:rPr>
    </w:lvl>
    <w:lvl w:ilvl="7" w:tentative="0">
      <w:start w:val="0"/>
      <w:numFmt w:val="bullet"/>
      <w:lvlText w:val="•"/>
      <w:lvlJc w:val="left"/>
      <w:pPr>
        <w:ind w:left="5553" w:hanging="360"/>
      </w:pPr>
      <w:rPr>
        <w:rFonts w:hint="default"/>
        <w:lang w:val="tr-TR" w:eastAsia="en-US" w:bidi="ar-SA"/>
      </w:rPr>
    </w:lvl>
    <w:lvl w:ilvl="8" w:tentative="0">
      <w:start w:val="0"/>
      <w:numFmt w:val="bullet"/>
      <w:lvlText w:val="•"/>
      <w:lvlJc w:val="left"/>
      <w:pPr>
        <w:ind w:left="8086" w:hanging="360"/>
      </w:pPr>
      <w:rPr>
        <w:rFonts w:hint="default"/>
        <w:lang w:val="tr-TR" w:eastAsia="en-US" w:bidi="ar-SA"/>
      </w:rPr>
    </w:lvl>
  </w:abstractNum>
  <w:abstractNum w:abstractNumId="7">
    <w:nsid w:val="287138CA"/>
    <w:multiLevelType w:val="multilevel"/>
    <w:tmpl w:val="287138C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2B2729EB"/>
    <w:multiLevelType w:val="multilevel"/>
    <w:tmpl w:val="2B2729EB"/>
    <w:lvl w:ilvl="0" w:tentative="0">
      <w:start w:val="3"/>
      <w:numFmt w:val="decimal"/>
      <w:lvlText w:val="%1."/>
      <w:lvlJc w:val="left"/>
      <w:pPr>
        <w:ind w:left="672" w:hanging="672"/>
      </w:pPr>
      <w:rPr>
        <w:rFonts w:hint="default"/>
        <w:sz w:val="22"/>
      </w:rPr>
    </w:lvl>
    <w:lvl w:ilvl="1" w:tentative="0">
      <w:start w:val="6"/>
      <w:numFmt w:val="decimal"/>
      <w:lvlText w:val="%1.%2."/>
      <w:lvlJc w:val="left"/>
      <w:pPr>
        <w:ind w:left="672" w:hanging="672"/>
      </w:pPr>
      <w:rPr>
        <w:rFonts w:hint="default"/>
        <w:sz w:val="22"/>
      </w:rPr>
    </w:lvl>
    <w:lvl w:ilvl="2" w:tentative="0">
      <w:start w:val="1"/>
      <w:numFmt w:val="decimal"/>
      <w:lvlText w:val="%1.%2.%3."/>
      <w:lvlJc w:val="left"/>
      <w:pPr>
        <w:ind w:left="720" w:hanging="720"/>
      </w:pPr>
      <w:rPr>
        <w:rFonts w:hint="default"/>
        <w:sz w:val="22"/>
      </w:rPr>
    </w:lvl>
    <w:lvl w:ilvl="3" w:tentative="0">
      <w:start w:val="5"/>
      <w:numFmt w:val="decimal"/>
      <w:lvlText w:val="%1.%2.%3.%4."/>
      <w:lvlJc w:val="left"/>
      <w:pPr>
        <w:ind w:left="720" w:hanging="720"/>
      </w:pPr>
      <w:rPr>
        <w:rFonts w:hint="default"/>
        <w:sz w:val="22"/>
      </w:rPr>
    </w:lvl>
    <w:lvl w:ilvl="4" w:tentative="0">
      <w:start w:val="1"/>
      <w:numFmt w:val="decimal"/>
      <w:lvlText w:val="%1.%2.%3.%4.%5."/>
      <w:lvlJc w:val="left"/>
      <w:pPr>
        <w:ind w:left="1080" w:hanging="1080"/>
      </w:pPr>
      <w:rPr>
        <w:rFonts w:hint="default"/>
        <w:sz w:val="22"/>
      </w:rPr>
    </w:lvl>
    <w:lvl w:ilvl="5" w:tentative="0">
      <w:start w:val="1"/>
      <w:numFmt w:val="decimal"/>
      <w:lvlText w:val="%1.%2.%3.%4.%5.%6."/>
      <w:lvlJc w:val="left"/>
      <w:pPr>
        <w:ind w:left="1080" w:hanging="1080"/>
      </w:pPr>
      <w:rPr>
        <w:rFonts w:hint="default"/>
        <w:sz w:val="22"/>
      </w:rPr>
    </w:lvl>
    <w:lvl w:ilvl="6" w:tentative="0">
      <w:start w:val="1"/>
      <w:numFmt w:val="decimal"/>
      <w:lvlText w:val="%1.%2.%3.%4.%5.%6.%7."/>
      <w:lvlJc w:val="left"/>
      <w:pPr>
        <w:ind w:left="1440" w:hanging="1440"/>
      </w:pPr>
      <w:rPr>
        <w:rFonts w:hint="default"/>
        <w:sz w:val="22"/>
      </w:rPr>
    </w:lvl>
    <w:lvl w:ilvl="7" w:tentative="0">
      <w:start w:val="1"/>
      <w:numFmt w:val="decimal"/>
      <w:lvlText w:val="%1.%2.%3.%4.%5.%6.%7.%8."/>
      <w:lvlJc w:val="left"/>
      <w:pPr>
        <w:ind w:left="1440" w:hanging="1440"/>
      </w:pPr>
      <w:rPr>
        <w:rFonts w:hint="default"/>
        <w:sz w:val="22"/>
      </w:rPr>
    </w:lvl>
    <w:lvl w:ilvl="8" w:tentative="0">
      <w:start w:val="1"/>
      <w:numFmt w:val="decimal"/>
      <w:lvlText w:val="%1.%2.%3.%4.%5.%6.%7.%8.%9."/>
      <w:lvlJc w:val="left"/>
      <w:pPr>
        <w:ind w:left="1800" w:hanging="1800"/>
      </w:pPr>
      <w:rPr>
        <w:rFonts w:hint="default"/>
        <w:sz w:val="22"/>
      </w:rPr>
    </w:lvl>
  </w:abstractNum>
  <w:abstractNum w:abstractNumId="9">
    <w:nsid w:val="32482ED3"/>
    <w:multiLevelType w:val="multilevel"/>
    <w:tmpl w:val="32482ED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40170247"/>
    <w:multiLevelType w:val="multilevel"/>
    <w:tmpl w:val="40170247"/>
    <w:lvl w:ilvl="0" w:tentative="0">
      <w:start w:val="1"/>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41448A28"/>
    <w:multiLevelType w:val="multilevel"/>
    <w:tmpl w:val="41448A28"/>
    <w:lvl w:ilvl="0" w:tentative="0">
      <w:start w:val="1"/>
      <w:numFmt w:val="decimal"/>
      <w:lvlText w:val="%1."/>
      <w:lvlJc w:val="left"/>
      <w:pPr>
        <w:ind w:left="880" w:hanging="360"/>
      </w:pPr>
      <w:rPr>
        <w:rFonts w:hint="default" w:ascii="Times New Roman" w:hAnsi="Times New Roman" w:eastAsia="Times New Roman" w:cs="Times New Roman"/>
        <w:b w:val="0"/>
        <w:bCs w:val="0"/>
        <w:i w:val="0"/>
        <w:iCs w:val="0"/>
        <w:spacing w:val="0"/>
        <w:w w:val="100"/>
        <w:sz w:val="24"/>
        <w:szCs w:val="24"/>
        <w:lang w:val="tr-TR" w:eastAsia="en-US" w:bidi="ar-SA"/>
      </w:rPr>
    </w:lvl>
    <w:lvl w:ilvl="1" w:tentative="0">
      <w:start w:val="0"/>
      <w:numFmt w:val="bullet"/>
      <w:lvlText w:val="•"/>
      <w:lvlJc w:val="left"/>
      <w:pPr>
        <w:ind w:left="1697" w:hanging="360"/>
      </w:pPr>
      <w:rPr>
        <w:rFonts w:hint="default"/>
        <w:lang w:val="tr-TR" w:eastAsia="en-US" w:bidi="ar-SA"/>
      </w:rPr>
    </w:lvl>
    <w:lvl w:ilvl="2" w:tentative="0">
      <w:start w:val="0"/>
      <w:numFmt w:val="bullet"/>
      <w:lvlText w:val="•"/>
      <w:lvlJc w:val="left"/>
      <w:pPr>
        <w:ind w:left="2515" w:hanging="360"/>
      </w:pPr>
      <w:rPr>
        <w:rFonts w:hint="default"/>
        <w:lang w:val="tr-TR" w:eastAsia="en-US" w:bidi="ar-SA"/>
      </w:rPr>
    </w:lvl>
    <w:lvl w:ilvl="3" w:tentative="0">
      <w:start w:val="0"/>
      <w:numFmt w:val="bullet"/>
      <w:lvlText w:val="•"/>
      <w:lvlJc w:val="left"/>
      <w:pPr>
        <w:ind w:left="3333" w:hanging="360"/>
      </w:pPr>
      <w:rPr>
        <w:rFonts w:hint="default"/>
        <w:lang w:val="tr-TR" w:eastAsia="en-US" w:bidi="ar-SA"/>
      </w:rPr>
    </w:lvl>
    <w:lvl w:ilvl="4" w:tentative="0">
      <w:start w:val="0"/>
      <w:numFmt w:val="bullet"/>
      <w:lvlText w:val="•"/>
      <w:lvlJc w:val="left"/>
      <w:pPr>
        <w:ind w:left="4151" w:hanging="360"/>
      </w:pPr>
      <w:rPr>
        <w:rFonts w:hint="default"/>
        <w:lang w:val="tr-TR" w:eastAsia="en-US" w:bidi="ar-SA"/>
      </w:rPr>
    </w:lvl>
    <w:lvl w:ilvl="5" w:tentative="0">
      <w:start w:val="0"/>
      <w:numFmt w:val="bullet"/>
      <w:lvlText w:val="•"/>
      <w:lvlJc w:val="left"/>
      <w:pPr>
        <w:ind w:left="4969" w:hanging="360"/>
      </w:pPr>
      <w:rPr>
        <w:rFonts w:hint="default"/>
        <w:lang w:val="tr-TR" w:eastAsia="en-US" w:bidi="ar-SA"/>
      </w:rPr>
    </w:lvl>
    <w:lvl w:ilvl="6" w:tentative="0">
      <w:start w:val="0"/>
      <w:numFmt w:val="bullet"/>
      <w:lvlText w:val="•"/>
      <w:lvlJc w:val="left"/>
      <w:pPr>
        <w:ind w:left="5787" w:hanging="360"/>
      </w:pPr>
      <w:rPr>
        <w:rFonts w:hint="default"/>
        <w:lang w:val="tr-TR" w:eastAsia="en-US" w:bidi="ar-SA"/>
      </w:rPr>
    </w:lvl>
    <w:lvl w:ilvl="7" w:tentative="0">
      <w:start w:val="0"/>
      <w:numFmt w:val="bullet"/>
      <w:lvlText w:val="•"/>
      <w:lvlJc w:val="left"/>
      <w:pPr>
        <w:ind w:left="6605" w:hanging="360"/>
      </w:pPr>
      <w:rPr>
        <w:rFonts w:hint="default"/>
        <w:lang w:val="tr-TR" w:eastAsia="en-US" w:bidi="ar-SA"/>
      </w:rPr>
    </w:lvl>
    <w:lvl w:ilvl="8" w:tentative="0">
      <w:start w:val="0"/>
      <w:numFmt w:val="bullet"/>
      <w:lvlText w:val="•"/>
      <w:lvlJc w:val="left"/>
      <w:pPr>
        <w:ind w:left="7423" w:hanging="360"/>
      </w:pPr>
      <w:rPr>
        <w:rFonts w:hint="default"/>
        <w:lang w:val="tr-TR" w:eastAsia="en-US" w:bidi="ar-SA"/>
      </w:rPr>
    </w:lvl>
  </w:abstractNum>
  <w:abstractNum w:abstractNumId="12">
    <w:nsid w:val="4B4B78C8"/>
    <w:multiLevelType w:val="multilevel"/>
    <w:tmpl w:val="4B4B78C8"/>
    <w:lvl w:ilvl="0" w:tentative="0">
      <w:start w:val="0"/>
      <w:numFmt w:val="bullet"/>
      <w:lvlText w:val=""/>
      <w:lvlJc w:val="left"/>
      <w:pPr>
        <w:ind w:left="880" w:hanging="360"/>
      </w:pPr>
      <w:rPr>
        <w:rFonts w:hint="default" w:ascii="Symbol" w:hAnsi="Symbol" w:eastAsia="Symbol" w:cs="Symbol"/>
        <w:b w:val="0"/>
        <w:bCs w:val="0"/>
        <w:i w:val="0"/>
        <w:iCs w:val="0"/>
        <w:spacing w:val="0"/>
        <w:w w:val="100"/>
        <w:sz w:val="24"/>
        <w:szCs w:val="24"/>
        <w:lang w:val="tr-TR" w:eastAsia="en-US" w:bidi="ar-SA"/>
      </w:rPr>
    </w:lvl>
    <w:lvl w:ilvl="1" w:tentative="0">
      <w:start w:val="0"/>
      <w:numFmt w:val="bullet"/>
      <w:lvlText w:val="•"/>
      <w:lvlJc w:val="left"/>
      <w:pPr>
        <w:ind w:left="1697" w:hanging="360"/>
      </w:pPr>
      <w:rPr>
        <w:rFonts w:hint="default"/>
        <w:lang w:val="tr-TR" w:eastAsia="en-US" w:bidi="ar-SA"/>
      </w:rPr>
    </w:lvl>
    <w:lvl w:ilvl="2" w:tentative="0">
      <w:start w:val="0"/>
      <w:numFmt w:val="bullet"/>
      <w:lvlText w:val="•"/>
      <w:lvlJc w:val="left"/>
      <w:pPr>
        <w:ind w:left="2515" w:hanging="360"/>
      </w:pPr>
      <w:rPr>
        <w:rFonts w:hint="default"/>
        <w:lang w:val="tr-TR" w:eastAsia="en-US" w:bidi="ar-SA"/>
      </w:rPr>
    </w:lvl>
    <w:lvl w:ilvl="3" w:tentative="0">
      <w:start w:val="0"/>
      <w:numFmt w:val="bullet"/>
      <w:lvlText w:val="•"/>
      <w:lvlJc w:val="left"/>
      <w:pPr>
        <w:ind w:left="3333" w:hanging="360"/>
      </w:pPr>
      <w:rPr>
        <w:rFonts w:hint="default"/>
        <w:lang w:val="tr-TR" w:eastAsia="en-US" w:bidi="ar-SA"/>
      </w:rPr>
    </w:lvl>
    <w:lvl w:ilvl="4" w:tentative="0">
      <w:start w:val="0"/>
      <w:numFmt w:val="bullet"/>
      <w:lvlText w:val="•"/>
      <w:lvlJc w:val="left"/>
      <w:pPr>
        <w:ind w:left="4151" w:hanging="360"/>
      </w:pPr>
      <w:rPr>
        <w:rFonts w:hint="default"/>
        <w:lang w:val="tr-TR" w:eastAsia="en-US" w:bidi="ar-SA"/>
      </w:rPr>
    </w:lvl>
    <w:lvl w:ilvl="5" w:tentative="0">
      <w:start w:val="0"/>
      <w:numFmt w:val="bullet"/>
      <w:lvlText w:val="•"/>
      <w:lvlJc w:val="left"/>
      <w:pPr>
        <w:ind w:left="4969" w:hanging="360"/>
      </w:pPr>
      <w:rPr>
        <w:rFonts w:hint="default"/>
        <w:lang w:val="tr-TR" w:eastAsia="en-US" w:bidi="ar-SA"/>
      </w:rPr>
    </w:lvl>
    <w:lvl w:ilvl="6" w:tentative="0">
      <w:start w:val="0"/>
      <w:numFmt w:val="bullet"/>
      <w:lvlText w:val="•"/>
      <w:lvlJc w:val="left"/>
      <w:pPr>
        <w:ind w:left="5787" w:hanging="360"/>
      </w:pPr>
      <w:rPr>
        <w:rFonts w:hint="default"/>
        <w:lang w:val="tr-TR" w:eastAsia="en-US" w:bidi="ar-SA"/>
      </w:rPr>
    </w:lvl>
    <w:lvl w:ilvl="7" w:tentative="0">
      <w:start w:val="0"/>
      <w:numFmt w:val="bullet"/>
      <w:lvlText w:val="•"/>
      <w:lvlJc w:val="left"/>
      <w:pPr>
        <w:ind w:left="6605" w:hanging="360"/>
      </w:pPr>
      <w:rPr>
        <w:rFonts w:hint="default"/>
        <w:lang w:val="tr-TR" w:eastAsia="en-US" w:bidi="ar-SA"/>
      </w:rPr>
    </w:lvl>
    <w:lvl w:ilvl="8" w:tentative="0">
      <w:start w:val="0"/>
      <w:numFmt w:val="bullet"/>
      <w:lvlText w:val="•"/>
      <w:lvlJc w:val="left"/>
      <w:pPr>
        <w:ind w:left="7423" w:hanging="360"/>
      </w:pPr>
      <w:rPr>
        <w:rFonts w:hint="default"/>
        <w:lang w:val="tr-TR" w:eastAsia="en-US" w:bidi="ar-SA"/>
      </w:rPr>
    </w:lvl>
  </w:abstractNum>
  <w:abstractNum w:abstractNumId="13">
    <w:nsid w:val="504910CD"/>
    <w:multiLevelType w:val="multilevel"/>
    <w:tmpl w:val="504910CD"/>
    <w:lvl w:ilvl="0" w:tentative="0">
      <w:start w:val="0"/>
      <w:numFmt w:val="bullet"/>
      <w:lvlText w:val=""/>
      <w:lvlJc w:val="left"/>
      <w:pPr>
        <w:ind w:left="880" w:hanging="360"/>
      </w:pPr>
      <w:rPr>
        <w:rFonts w:hint="default" w:ascii="Symbol" w:hAnsi="Symbol" w:eastAsia="Symbol" w:cs="Symbol"/>
        <w:b w:val="0"/>
        <w:bCs w:val="0"/>
        <w:i w:val="0"/>
        <w:iCs w:val="0"/>
        <w:spacing w:val="0"/>
        <w:w w:val="100"/>
        <w:sz w:val="24"/>
        <w:szCs w:val="24"/>
        <w:lang w:val="tr-TR" w:eastAsia="en-US" w:bidi="ar-SA"/>
      </w:rPr>
    </w:lvl>
    <w:lvl w:ilvl="1" w:tentative="0">
      <w:start w:val="0"/>
      <w:numFmt w:val="bullet"/>
      <w:lvlText w:val="•"/>
      <w:lvlJc w:val="left"/>
      <w:pPr>
        <w:ind w:left="1697" w:hanging="360"/>
      </w:pPr>
      <w:rPr>
        <w:rFonts w:hint="default"/>
        <w:lang w:val="tr-TR" w:eastAsia="en-US" w:bidi="ar-SA"/>
      </w:rPr>
    </w:lvl>
    <w:lvl w:ilvl="2" w:tentative="0">
      <w:start w:val="0"/>
      <w:numFmt w:val="bullet"/>
      <w:lvlText w:val="•"/>
      <w:lvlJc w:val="left"/>
      <w:pPr>
        <w:ind w:left="2515" w:hanging="360"/>
      </w:pPr>
      <w:rPr>
        <w:rFonts w:hint="default"/>
        <w:lang w:val="tr-TR" w:eastAsia="en-US" w:bidi="ar-SA"/>
      </w:rPr>
    </w:lvl>
    <w:lvl w:ilvl="3" w:tentative="0">
      <w:start w:val="0"/>
      <w:numFmt w:val="bullet"/>
      <w:lvlText w:val="•"/>
      <w:lvlJc w:val="left"/>
      <w:pPr>
        <w:ind w:left="3333" w:hanging="360"/>
      </w:pPr>
      <w:rPr>
        <w:rFonts w:hint="default"/>
        <w:lang w:val="tr-TR" w:eastAsia="en-US" w:bidi="ar-SA"/>
      </w:rPr>
    </w:lvl>
    <w:lvl w:ilvl="4" w:tentative="0">
      <w:start w:val="0"/>
      <w:numFmt w:val="bullet"/>
      <w:lvlText w:val="•"/>
      <w:lvlJc w:val="left"/>
      <w:pPr>
        <w:ind w:left="4151" w:hanging="360"/>
      </w:pPr>
      <w:rPr>
        <w:rFonts w:hint="default"/>
        <w:lang w:val="tr-TR" w:eastAsia="en-US" w:bidi="ar-SA"/>
      </w:rPr>
    </w:lvl>
    <w:lvl w:ilvl="5" w:tentative="0">
      <w:start w:val="0"/>
      <w:numFmt w:val="bullet"/>
      <w:lvlText w:val="•"/>
      <w:lvlJc w:val="left"/>
      <w:pPr>
        <w:ind w:left="4969" w:hanging="360"/>
      </w:pPr>
      <w:rPr>
        <w:rFonts w:hint="default"/>
        <w:lang w:val="tr-TR" w:eastAsia="en-US" w:bidi="ar-SA"/>
      </w:rPr>
    </w:lvl>
    <w:lvl w:ilvl="6" w:tentative="0">
      <w:start w:val="0"/>
      <w:numFmt w:val="bullet"/>
      <w:lvlText w:val="•"/>
      <w:lvlJc w:val="left"/>
      <w:pPr>
        <w:ind w:left="5787" w:hanging="360"/>
      </w:pPr>
      <w:rPr>
        <w:rFonts w:hint="default"/>
        <w:lang w:val="tr-TR" w:eastAsia="en-US" w:bidi="ar-SA"/>
      </w:rPr>
    </w:lvl>
    <w:lvl w:ilvl="7" w:tentative="0">
      <w:start w:val="0"/>
      <w:numFmt w:val="bullet"/>
      <w:lvlText w:val="•"/>
      <w:lvlJc w:val="left"/>
      <w:pPr>
        <w:ind w:left="6605" w:hanging="360"/>
      </w:pPr>
      <w:rPr>
        <w:rFonts w:hint="default"/>
        <w:lang w:val="tr-TR" w:eastAsia="en-US" w:bidi="ar-SA"/>
      </w:rPr>
    </w:lvl>
    <w:lvl w:ilvl="8" w:tentative="0">
      <w:start w:val="0"/>
      <w:numFmt w:val="bullet"/>
      <w:lvlText w:val="•"/>
      <w:lvlJc w:val="left"/>
      <w:pPr>
        <w:ind w:left="7423" w:hanging="360"/>
      </w:pPr>
      <w:rPr>
        <w:rFonts w:hint="default"/>
        <w:lang w:val="tr-TR" w:eastAsia="en-US" w:bidi="ar-SA"/>
      </w:rPr>
    </w:lvl>
  </w:abstractNum>
  <w:abstractNum w:abstractNumId="14">
    <w:nsid w:val="571D1860"/>
    <w:multiLevelType w:val="singleLevel"/>
    <w:tmpl w:val="571D1860"/>
    <w:lvl w:ilvl="0" w:tentative="0">
      <w:start w:val="1"/>
      <w:numFmt w:val="decimal"/>
      <w:suff w:val="nothing"/>
      <w:lvlText w:val="%1-"/>
      <w:lvlJc w:val="left"/>
      <w:rPr>
        <w:b/>
      </w:rPr>
    </w:lvl>
  </w:abstractNum>
  <w:abstractNum w:abstractNumId="15">
    <w:nsid w:val="5AD5E445"/>
    <w:multiLevelType w:val="multilevel"/>
    <w:tmpl w:val="5AD5E445"/>
    <w:lvl w:ilvl="0" w:tentative="0">
      <w:start w:val="0"/>
      <w:numFmt w:val="bullet"/>
      <w:lvlText w:val=""/>
      <w:lvlJc w:val="left"/>
      <w:pPr>
        <w:ind w:left="880" w:hanging="360"/>
      </w:pPr>
      <w:rPr>
        <w:rFonts w:hint="default" w:ascii="Symbol" w:hAnsi="Symbol" w:eastAsia="Symbol" w:cs="Symbol"/>
        <w:b w:val="0"/>
        <w:bCs w:val="0"/>
        <w:i w:val="0"/>
        <w:iCs w:val="0"/>
        <w:spacing w:val="0"/>
        <w:w w:val="100"/>
        <w:sz w:val="24"/>
        <w:szCs w:val="24"/>
        <w:lang w:val="tr-TR" w:eastAsia="en-US" w:bidi="ar-SA"/>
      </w:rPr>
    </w:lvl>
    <w:lvl w:ilvl="1" w:tentative="0">
      <w:start w:val="0"/>
      <w:numFmt w:val="bullet"/>
      <w:lvlText w:val="•"/>
      <w:lvlJc w:val="left"/>
      <w:pPr>
        <w:ind w:left="1697" w:hanging="360"/>
      </w:pPr>
      <w:rPr>
        <w:rFonts w:hint="default"/>
        <w:lang w:val="tr-TR" w:eastAsia="en-US" w:bidi="ar-SA"/>
      </w:rPr>
    </w:lvl>
    <w:lvl w:ilvl="2" w:tentative="0">
      <w:start w:val="0"/>
      <w:numFmt w:val="bullet"/>
      <w:lvlText w:val="•"/>
      <w:lvlJc w:val="left"/>
      <w:pPr>
        <w:ind w:left="2515" w:hanging="360"/>
      </w:pPr>
      <w:rPr>
        <w:rFonts w:hint="default"/>
        <w:lang w:val="tr-TR" w:eastAsia="en-US" w:bidi="ar-SA"/>
      </w:rPr>
    </w:lvl>
    <w:lvl w:ilvl="3" w:tentative="0">
      <w:start w:val="0"/>
      <w:numFmt w:val="bullet"/>
      <w:lvlText w:val="•"/>
      <w:lvlJc w:val="left"/>
      <w:pPr>
        <w:ind w:left="3333" w:hanging="360"/>
      </w:pPr>
      <w:rPr>
        <w:rFonts w:hint="default"/>
        <w:lang w:val="tr-TR" w:eastAsia="en-US" w:bidi="ar-SA"/>
      </w:rPr>
    </w:lvl>
    <w:lvl w:ilvl="4" w:tentative="0">
      <w:start w:val="0"/>
      <w:numFmt w:val="bullet"/>
      <w:lvlText w:val="•"/>
      <w:lvlJc w:val="left"/>
      <w:pPr>
        <w:ind w:left="4151" w:hanging="360"/>
      </w:pPr>
      <w:rPr>
        <w:rFonts w:hint="default"/>
        <w:lang w:val="tr-TR" w:eastAsia="en-US" w:bidi="ar-SA"/>
      </w:rPr>
    </w:lvl>
    <w:lvl w:ilvl="5" w:tentative="0">
      <w:start w:val="0"/>
      <w:numFmt w:val="bullet"/>
      <w:lvlText w:val="•"/>
      <w:lvlJc w:val="left"/>
      <w:pPr>
        <w:ind w:left="4969" w:hanging="360"/>
      </w:pPr>
      <w:rPr>
        <w:rFonts w:hint="default"/>
        <w:lang w:val="tr-TR" w:eastAsia="en-US" w:bidi="ar-SA"/>
      </w:rPr>
    </w:lvl>
    <w:lvl w:ilvl="6" w:tentative="0">
      <w:start w:val="0"/>
      <w:numFmt w:val="bullet"/>
      <w:lvlText w:val="•"/>
      <w:lvlJc w:val="left"/>
      <w:pPr>
        <w:ind w:left="5787" w:hanging="360"/>
      </w:pPr>
      <w:rPr>
        <w:rFonts w:hint="default"/>
        <w:lang w:val="tr-TR" w:eastAsia="en-US" w:bidi="ar-SA"/>
      </w:rPr>
    </w:lvl>
    <w:lvl w:ilvl="7" w:tentative="0">
      <w:start w:val="0"/>
      <w:numFmt w:val="bullet"/>
      <w:lvlText w:val="•"/>
      <w:lvlJc w:val="left"/>
      <w:pPr>
        <w:ind w:left="6605" w:hanging="360"/>
      </w:pPr>
      <w:rPr>
        <w:rFonts w:hint="default"/>
        <w:lang w:val="tr-TR" w:eastAsia="en-US" w:bidi="ar-SA"/>
      </w:rPr>
    </w:lvl>
    <w:lvl w:ilvl="8" w:tentative="0">
      <w:start w:val="0"/>
      <w:numFmt w:val="bullet"/>
      <w:lvlText w:val="•"/>
      <w:lvlJc w:val="left"/>
      <w:pPr>
        <w:ind w:left="7423" w:hanging="360"/>
      </w:pPr>
      <w:rPr>
        <w:rFonts w:hint="default"/>
        <w:lang w:val="tr-TR" w:eastAsia="en-US" w:bidi="ar-SA"/>
      </w:rPr>
    </w:lvl>
  </w:abstractNum>
  <w:num w:numId="1">
    <w:abstractNumId w:val="5"/>
  </w:num>
  <w:num w:numId="2">
    <w:abstractNumId w:val="13"/>
  </w:num>
  <w:num w:numId="3">
    <w:abstractNumId w:val="15"/>
  </w:num>
  <w:num w:numId="4">
    <w:abstractNumId w:val="1"/>
  </w:num>
  <w:num w:numId="5">
    <w:abstractNumId w:val="10"/>
  </w:num>
  <w:num w:numId="6">
    <w:abstractNumId w:val="2"/>
  </w:num>
  <w:num w:numId="7">
    <w:abstractNumId w:val="11"/>
  </w:num>
  <w:num w:numId="8">
    <w:abstractNumId w:val="4"/>
  </w:num>
  <w:num w:numId="9">
    <w:abstractNumId w:val="0"/>
  </w:num>
  <w:num w:numId="10">
    <w:abstractNumId w:val="6"/>
  </w:num>
  <w:num w:numId="11">
    <w:abstractNumId w:val="3"/>
  </w:num>
  <w:num w:numId="12">
    <w:abstractNumId w:val="12"/>
  </w:num>
  <w:num w:numId="13">
    <w:abstractNumId w:val="7"/>
  </w:num>
  <w:num w:numId="14">
    <w:abstractNumId w:val="9"/>
  </w:num>
  <w:num w:numId="15">
    <w:abstractNumId w:val="8"/>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hideSpellingErrors/>
  <w:documentProtection w:enforcement="0"/>
  <w:defaultTabStop w:val="720"/>
  <w:hyphenationZone w:val="425"/>
  <w:drawingGridHorizontalSpacing w:val="110"/>
  <w:noPunctuationKerning w:val="1"/>
  <w:characterSpacingControl w:val="doNotCompress"/>
  <w:compat>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F12"/>
    <w:rsid w:val="00011F6F"/>
    <w:rsid w:val="000152F2"/>
    <w:rsid w:val="000213D1"/>
    <w:rsid w:val="0002364D"/>
    <w:rsid w:val="000247CE"/>
    <w:rsid w:val="000443AC"/>
    <w:rsid w:val="00053F22"/>
    <w:rsid w:val="00064A35"/>
    <w:rsid w:val="00081EFA"/>
    <w:rsid w:val="000940C5"/>
    <w:rsid w:val="000B6F43"/>
    <w:rsid w:val="000D18B7"/>
    <w:rsid w:val="0014613D"/>
    <w:rsid w:val="00154081"/>
    <w:rsid w:val="001553A0"/>
    <w:rsid w:val="001752E6"/>
    <w:rsid w:val="001754E9"/>
    <w:rsid w:val="001804F1"/>
    <w:rsid w:val="00184DE3"/>
    <w:rsid w:val="00185837"/>
    <w:rsid w:val="001931F6"/>
    <w:rsid w:val="001A1C62"/>
    <w:rsid w:val="001C3684"/>
    <w:rsid w:val="001D1978"/>
    <w:rsid w:val="00235F6E"/>
    <w:rsid w:val="0024305F"/>
    <w:rsid w:val="0027396B"/>
    <w:rsid w:val="002754CC"/>
    <w:rsid w:val="00284F93"/>
    <w:rsid w:val="00287C52"/>
    <w:rsid w:val="002948B7"/>
    <w:rsid w:val="002A7EE2"/>
    <w:rsid w:val="002B2412"/>
    <w:rsid w:val="002B4458"/>
    <w:rsid w:val="002F5F12"/>
    <w:rsid w:val="0031553F"/>
    <w:rsid w:val="0031604A"/>
    <w:rsid w:val="003612A6"/>
    <w:rsid w:val="003652FB"/>
    <w:rsid w:val="00372A6E"/>
    <w:rsid w:val="00384FB8"/>
    <w:rsid w:val="00394B3D"/>
    <w:rsid w:val="00394E18"/>
    <w:rsid w:val="003A3A7A"/>
    <w:rsid w:val="003B0272"/>
    <w:rsid w:val="003C5433"/>
    <w:rsid w:val="0041089E"/>
    <w:rsid w:val="00416587"/>
    <w:rsid w:val="004213B9"/>
    <w:rsid w:val="0044473A"/>
    <w:rsid w:val="00450DAB"/>
    <w:rsid w:val="00453CD8"/>
    <w:rsid w:val="00461D25"/>
    <w:rsid w:val="00472D07"/>
    <w:rsid w:val="004759B8"/>
    <w:rsid w:val="0049021C"/>
    <w:rsid w:val="00493D8C"/>
    <w:rsid w:val="004B309B"/>
    <w:rsid w:val="004D0A0B"/>
    <w:rsid w:val="004F37E6"/>
    <w:rsid w:val="004F4E79"/>
    <w:rsid w:val="004F769F"/>
    <w:rsid w:val="005141EB"/>
    <w:rsid w:val="0052167B"/>
    <w:rsid w:val="00535DF9"/>
    <w:rsid w:val="00541C38"/>
    <w:rsid w:val="005461DF"/>
    <w:rsid w:val="00557DA5"/>
    <w:rsid w:val="0058185E"/>
    <w:rsid w:val="00584A5D"/>
    <w:rsid w:val="005A32D5"/>
    <w:rsid w:val="005B578B"/>
    <w:rsid w:val="005C3F31"/>
    <w:rsid w:val="005D6E57"/>
    <w:rsid w:val="005D6E63"/>
    <w:rsid w:val="005D6F82"/>
    <w:rsid w:val="005E59F6"/>
    <w:rsid w:val="005F2782"/>
    <w:rsid w:val="00602408"/>
    <w:rsid w:val="00602C99"/>
    <w:rsid w:val="00620DE2"/>
    <w:rsid w:val="00635A09"/>
    <w:rsid w:val="00641CA4"/>
    <w:rsid w:val="00646ED3"/>
    <w:rsid w:val="0066111F"/>
    <w:rsid w:val="00664BF7"/>
    <w:rsid w:val="0068465A"/>
    <w:rsid w:val="00691924"/>
    <w:rsid w:val="006A499E"/>
    <w:rsid w:val="006C1B97"/>
    <w:rsid w:val="006C1FF4"/>
    <w:rsid w:val="006C5116"/>
    <w:rsid w:val="006E7BAE"/>
    <w:rsid w:val="00720754"/>
    <w:rsid w:val="00725751"/>
    <w:rsid w:val="007413CB"/>
    <w:rsid w:val="00757B40"/>
    <w:rsid w:val="00773FCA"/>
    <w:rsid w:val="007C558B"/>
    <w:rsid w:val="007C6FD9"/>
    <w:rsid w:val="007E7499"/>
    <w:rsid w:val="007E76EB"/>
    <w:rsid w:val="007F326B"/>
    <w:rsid w:val="007F6770"/>
    <w:rsid w:val="00815146"/>
    <w:rsid w:val="0081573D"/>
    <w:rsid w:val="00822080"/>
    <w:rsid w:val="0082256D"/>
    <w:rsid w:val="008245D1"/>
    <w:rsid w:val="0085602E"/>
    <w:rsid w:val="00860480"/>
    <w:rsid w:val="008659D0"/>
    <w:rsid w:val="00874CD6"/>
    <w:rsid w:val="00881663"/>
    <w:rsid w:val="008A39C3"/>
    <w:rsid w:val="008A50F3"/>
    <w:rsid w:val="008B0E3A"/>
    <w:rsid w:val="008B1DAF"/>
    <w:rsid w:val="008D3322"/>
    <w:rsid w:val="008E5C1A"/>
    <w:rsid w:val="008E60ED"/>
    <w:rsid w:val="008F68C2"/>
    <w:rsid w:val="00925A73"/>
    <w:rsid w:val="009634BF"/>
    <w:rsid w:val="009702E3"/>
    <w:rsid w:val="00972397"/>
    <w:rsid w:val="00976AC9"/>
    <w:rsid w:val="00981E45"/>
    <w:rsid w:val="009870E3"/>
    <w:rsid w:val="009A4A73"/>
    <w:rsid w:val="009C040D"/>
    <w:rsid w:val="009F3BDB"/>
    <w:rsid w:val="00A113A0"/>
    <w:rsid w:val="00A165ED"/>
    <w:rsid w:val="00A23FCC"/>
    <w:rsid w:val="00A24ADA"/>
    <w:rsid w:val="00A35046"/>
    <w:rsid w:val="00A6746A"/>
    <w:rsid w:val="00A67EF5"/>
    <w:rsid w:val="00A73DD9"/>
    <w:rsid w:val="00A82E7C"/>
    <w:rsid w:val="00A93A50"/>
    <w:rsid w:val="00AC35A5"/>
    <w:rsid w:val="00AD7123"/>
    <w:rsid w:val="00AE46CA"/>
    <w:rsid w:val="00B01A5E"/>
    <w:rsid w:val="00B16534"/>
    <w:rsid w:val="00B25F00"/>
    <w:rsid w:val="00B30A13"/>
    <w:rsid w:val="00B33B76"/>
    <w:rsid w:val="00B4410F"/>
    <w:rsid w:val="00B4494A"/>
    <w:rsid w:val="00BA75C4"/>
    <w:rsid w:val="00BB0198"/>
    <w:rsid w:val="00BC23D3"/>
    <w:rsid w:val="00BC56C7"/>
    <w:rsid w:val="00BC795E"/>
    <w:rsid w:val="00BF76FA"/>
    <w:rsid w:val="00C101E3"/>
    <w:rsid w:val="00C348CD"/>
    <w:rsid w:val="00C4669D"/>
    <w:rsid w:val="00C662D5"/>
    <w:rsid w:val="00CA34BF"/>
    <w:rsid w:val="00CA5FE8"/>
    <w:rsid w:val="00CB7263"/>
    <w:rsid w:val="00CC3054"/>
    <w:rsid w:val="00CE2F98"/>
    <w:rsid w:val="00CF739A"/>
    <w:rsid w:val="00D21973"/>
    <w:rsid w:val="00D300D3"/>
    <w:rsid w:val="00D459BF"/>
    <w:rsid w:val="00D71322"/>
    <w:rsid w:val="00D8211A"/>
    <w:rsid w:val="00DA1617"/>
    <w:rsid w:val="00DF7D3D"/>
    <w:rsid w:val="00E43351"/>
    <w:rsid w:val="00E52CAE"/>
    <w:rsid w:val="00E57C2E"/>
    <w:rsid w:val="00E86537"/>
    <w:rsid w:val="00E95CD8"/>
    <w:rsid w:val="00EA6167"/>
    <w:rsid w:val="00EA7CED"/>
    <w:rsid w:val="00EB1836"/>
    <w:rsid w:val="00ED0DF5"/>
    <w:rsid w:val="00ED2804"/>
    <w:rsid w:val="00EE4FCF"/>
    <w:rsid w:val="00EE5E4B"/>
    <w:rsid w:val="00EF1700"/>
    <w:rsid w:val="00F0658D"/>
    <w:rsid w:val="00F30DBB"/>
    <w:rsid w:val="00F33626"/>
    <w:rsid w:val="00F40850"/>
    <w:rsid w:val="00F51F3B"/>
    <w:rsid w:val="00F525E6"/>
    <w:rsid w:val="00F52C08"/>
    <w:rsid w:val="00F573EA"/>
    <w:rsid w:val="00F6609A"/>
    <w:rsid w:val="00F70550"/>
    <w:rsid w:val="00F95AAD"/>
    <w:rsid w:val="00FA489F"/>
    <w:rsid w:val="00FB649C"/>
    <w:rsid w:val="00FC1C6C"/>
    <w:rsid w:val="00FC2B06"/>
    <w:rsid w:val="00FC7F5D"/>
    <w:rsid w:val="00FD252F"/>
    <w:rsid w:val="01256C47"/>
    <w:rsid w:val="012E2C6D"/>
    <w:rsid w:val="019A4052"/>
    <w:rsid w:val="01C56F9A"/>
    <w:rsid w:val="02C161C5"/>
    <w:rsid w:val="02C6661C"/>
    <w:rsid w:val="03F51622"/>
    <w:rsid w:val="04904797"/>
    <w:rsid w:val="04C63B63"/>
    <w:rsid w:val="051133F8"/>
    <w:rsid w:val="064F5BE9"/>
    <w:rsid w:val="07F464E6"/>
    <w:rsid w:val="08C2183C"/>
    <w:rsid w:val="09A920E8"/>
    <w:rsid w:val="09AC39DE"/>
    <w:rsid w:val="0A371D40"/>
    <w:rsid w:val="0BB85037"/>
    <w:rsid w:val="0C162D42"/>
    <w:rsid w:val="0C2E6222"/>
    <w:rsid w:val="0DC81FFC"/>
    <w:rsid w:val="10176664"/>
    <w:rsid w:val="110A6481"/>
    <w:rsid w:val="11282A87"/>
    <w:rsid w:val="122C086D"/>
    <w:rsid w:val="13661B11"/>
    <w:rsid w:val="15134B94"/>
    <w:rsid w:val="15395BA5"/>
    <w:rsid w:val="15A06023"/>
    <w:rsid w:val="15E336D6"/>
    <w:rsid w:val="166478ED"/>
    <w:rsid w:val="1727653A"/>
    <w:rsid w:val="174A6ABE"/>
    <w:rsid w:val="188F508D"/>
    <w:rsid w:val="1A96572E"/>
    <w:rsid w:val="1C16042A"/>
    <w:rsid w:val="1D2F7B82"/>
    <w:rsid w:val="1E9D64AA"/>
    <w:rsid w:val="21D02E2A"/>
    <w:rsid w:val="23AB7722"/>
    <w:rsid w:val="23C32F99"/>
    <w:rsid w:val="25B01F9A"/>
    <w:rsid w:val="272E5DBE"/>
    <w:rsid w:val="28195E27"/>
    <w:rsid w:val="29C10255"/>
    <w:rsid w:val="2A2A5C99"/>
    <w:rsid w:val="2A9E191C"/>
    <w:rsid w:val="2AE67A5C"/>
    <w:rsid w:val="2AFB0A91"/>
    <w:rsid w:val="2B0000BF"/>
    <w:rsid w:val="2C4661F6"/>
    <w:rsid w:val="2CCC03D5"/>
    <w:rsid w:val="2DD162CA"/>
    <w:rsid w:val="2FC751F2"/>
    <w:rsid w:val="32560813"/>
    <w:rsid w:val="32792B6C"/>
    <w:rsid w:val="346F6E14"/>
    <w:rsid w:val="37DC2334"/>
    <w:rsid w:val="391354F7"/>
    <w:rsid w:val="397635DC"/>
    <w:rsid w:val="3AFC1275"/>
    <w:rsid w:val="3B512C60"/>
    <w:rsid w:val="3C302E91"/>
    <w:rsid w:val="3D695452"/>
    <w:rsid w:val="3EE0764A"/>
    <w:rsid w:val="40BB5515"/>
    <w:rsid w:val="433B36DA"/>
    <w:rsid w:val="435409FA"/>
    <w:rsid w:val="43D87601"/>
    <w:rsid w:val="4483092E"/>
    <w:rsid w:val="454D7613"/>
    <w:rsid w:val="45570552"/>
    <w:rsid w:val="45AC36E4"/>
    <w:rsid w:val="4890451C"/>
    <w:rsid w:val="49965FC8"/>
    <w:rsid w:val="49D30E40"/>
    <w:rsid w:val="4B494F96"/>
    <w:rsid w:val="4D593D3C"/>
    <w:rsid w:val="4E000794"/>
    <w:rsid w:val="50AD2912"/>
    <w:rsid w:val="50B15470"/>
    <w:rsid w:val="530878B8"/>
    <w:rsid w:val="539E32FA"/>
    <w:rsid w:val="54BC3DAB"/>
    <w:rsid w:val="55514205"/>
    <w:rsid w:val="55964CF9"/>
    <w:rsid w:val="56146F37"/>
    <w:rsid w:val="56A829C8"/>
    <w:rsid w:val="580D2BAD"/>
    <w:rsid w:val="5B104F66"/>
    <w:rsid w:val="5D40169E"/>
    <w:rsid w:val="5D435663"/>
    <w:rsid w:val="5E505DBA"/>
    <w:rsid w:val="5EA9249D"/>
    <w:rsid w:val="5FBD7D9B"/>
    <w:rsid w:val="5FE43B82"/>
    <w:rsid w:val="601147A8"/>
    <w:rsid w:val="60C2173E"/>
    <w:rsid w:val="61B473CC"/>
    <w:rsid w:val="6211089D"/>
    <w:rsid w:val="62172CA1"/>
    <w:rsid w:val="622167EE"/>
    <w:rsid w:val="634E16F7"/>
    <w:rsid w:val="63644E13"/>
    <w:rsid w:val="63F14784"/>
    <w:rsid w:val="64685A85"/>
    <w:rsid w:val="64757546"/>
    <w:rsid w:val="64F121AC"/>
    <w:rsid w:val="681F4459"/>
    <w:rsid w:val="686B4A15"/>
    <w:rsid w:val="69CF4711"/>
    <w:rsid w:val="6A187163"/>
    <w:rsid w:val="6A1C59A5"/>
    <w:rsid w:val="6C143C1D"/>
    <w:rsid w:val="6F024811"/>
    <w:rsid w:val="70350AF9"/>
    <w:rsid w:val="71CF0771"/>
    <w:rsid w:val="723B2C28"/>
    <w:rsid w:val="768A3309"/>
    <w:rsid w:val="7AB51467"/>
    <w:rsid w:val="7AD426FC"/>
    <w:rsid w:val="7B053528"/>
    <w:rsid w:val="7C13401C"/>
    <w:rsid w:val="7E3B7A4F"/>
    <w:rsid w:val="7EB63856"/>
    <w:rsid w:val="7EDD4FB1"/>
    <w:rsid w:val="7F0B4353"/>
    <w:rsid w:val="7FAD7508"/>
    <w:rsid w:val="7FF90B3B"/>
    <w:rsid w:val="7FFF5D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unhideWhenUsed="0" w:uiPriority="39" w:semiHidden="0" w:name="toc 7"/>
    <w:lsdException w:unhideWhenUsed="0" w:uiPriority="39" w:semiHidden="0" w:name="toc 8"/>
    <w:lsdException w:unhideWhenUsed="0" w:uiPriority="3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Times New Roman" w:hAnsi="Times New Roman" w:eastAsia="Times New Roman" w:cs="Times New Roman"/>
      <w:sz w:val="22"/>
      <w:szCs w:val="22"/>
      <w:lang w:val="tr-TR" w:eastAsia="en-US" w:bidi="ar-SA"/>
    </w:rPr>
  </w:style>
  <w:style w:type="paragraph" w:styleId="2">
    <w:name w:val="heading 1"/>
    <w:basedOn w:val="1"/>
    <w:link w:val="23"/>
    <w:qFormat/>
    <w:uiPriority w:val="9"/>
    <w:pPr>
      <w:spacing w:before="67"/>
      <w:ind w:left="400"/>
      <w:jc w:val="center"/>
      <w:outlineLvl w:val="0"/>
    </w:pPr>
    <w:rPr>
      <w:b/>
      <w:bCs/>
      <w:sz w:val="24"/>
      <w:szCs w:val="24"/>
    </w:rPr>
  </w:style>
  <w:style w:type="paragraph" w:styleId="3">
    <w:name w:val="heading 2"/>
    <w:basedOn w:val="1"/>
    <w:qFormat/>
    <w:uiPriority w:val="1"/>
    <w:pPr>
      <w:ind w:left="160"/>
      <w:jc w:val="both"/>
      <w:outlineLvl w:val="1"/>
    </w:pPr>
    <w:rPr>
      <w:b/>
      <w:bCs/>
      <w:sz w:val="24"/>
      <w:szCs w:val="24"/>
    </w:rPr>
  </w:style>
  <w:style w:type="paragraph" w:styleId="4">
    <w:name w:val="heading 3"/>
    <w:basedOn w:val="1"/>
    <w:qFormat/>
    <w:uiPriority w:val="1"/>
    <w:pPr>
      <w:spacing w:before="205"/>
      <w:ind w:left="940" w:hanging="780"/>
      <w:jc w:val="both"/>
      <w:outlineLvl w:val="2"/>
    </w:pPr>
    <w:rPr>
      <w:b/>
      <w:bCs/>
      <w:i/>
      <w:iCs/>
      <w:sz w:val="24"/>
      <w:szCs w:val="24"/>
    </w:rPr>
  </w:style>
  <w:style w:type="paragraph" w:styleId="5">
    <w:name w:val="heading 4"/>
    <w:basedOn w:val="1"/>
    <w:next w:val="1"/>
    <w:link w:val="24"/>
    <w:semiHidden/>
    <w:unhideWhenUsed/>
    <w:qFormat/>
    <w:uiPriority w:val="0"/>
    <w:pPr>
      <w:keepNext/>
      <w:keepLines/>
      <w:spacing w:before="40"/>
      <w:outlineLvl w:val="3"/>
    </w:pPr>
    <w:rPr>
      <w:rFonts w:asciiTheme="majorHAnsi" w:hAnsiTheme="majorHAnsi" w:eastAsiaTheme="majorEastAsia" w:cstheme="majorBidi"/>
      <w:i/>
      <w:iCs/>
      <w:color w:val="376092" w:themeColor="accent1" w:themeShade="BF"/>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37"/>
    <w:qFormat/>
    <w:uiPriority w:val="0"/>
    <w:rPr>
      <w:rFonts w:ascii="Segoe UI" w:hAnsi="Segoe UI" w:cs="Segoe UI"/>
      <w:sz w:val="18"/>
      <w:szCs w:val="18"/>
    </w:rPr>
  </w:style>
  <w:style w:type="paragraph" w:styleId="9">
    <w:name w:val="Body Text"/>
    <w:basedOn w:val="1"/>
    <w:link w:val="25"/>
    <w:qFormat/>
    <w:uiPriority w:val="1"/>
    <w:pPr>
      <w:ind w:left="160"/>
      <w:jc w:val="both"/>
    </w:pPr>
    <w:rPr>
      <w:sz w:val="24"/>
      <w:szCs w:val="24"/>
    </w:rPr>
  </w:style>
  <w:style w:type="character" w:styleId="10">
    <w:name w:val="annotation reference"/>
    <w:basedOn w:val="6"/>
    <w:uiPriority w:val="0"/>
    <w:rPr>
      <w:sz w:val="16"/>
      <w:szCs w:val="16"/>
    </w:rPr>
  </w:style>
  <w:style w:type="paragraph" w:styleId="11">
    <w:name w:val="annotation text"/>
    <w:basedOn w:val="1"/>
    <w:link w:val="35"/>
    <w:qFormat/>
    <w:uiPriority w:val="0"/>
    <w:rPr>
      <w:sz w:val="20"/>
      <w:szCs w:val="20"/>
    </w:rPr>
  </w:style>
  <w:style w:type="paragraph" w:styleId="12">
    <w:name w:val="annotation subject"/>
    <w:basedOn w:val="11"/>
    <w:next w:val="11"/>
    <w:link w:val="36"/>
    <w:qFormat/>
    <w:uiPriority w:val="0"/>
    <w:rPr>
      <w:b/>
      <w:bCs/>
    </w:rPr>
  </w:style>
  <w:style w:type="paragraph" w:styleId="13">
    <w:name w:val="footer"/>
    <w:basedOn w:val="1"/>
    <w:link w:val="34"/>
    <w:qFormat/>
    <w:uiPriority w:val="99"/>
    <w:pPr>
      <w:tabs>
        <w:tab w:val="center" w:pos="4153"/>
        <w:tab w:val="right" w:pos="8306"/>
      </w:tabs>
      <w:snapToGrid w:val="0"/>
    </w:pPr>
    <w:rPr>
      <w:sz w:val="18"/>
      <w:szCs w:val="18"/>
    </w:rPr>
  </w:style>
  <w:style w:type="paragraph" w:styleId="14">
    <w:name w:val="header"/>
    <w:basedOn w:val="1"/>
    <w:link w:val="26"/>
    <w:qFormat/>
    <w:uiPriority w:val="99"/>
    <w:pPr>
      <w:tabs>
        <w:tab w:val="center" w:pos="4153"/>
        <w:tab w:val="right" w:pos="8306"/>
      </w:tabs>
      <w:snapToGrid w:val="0"/>
    </w:pPr>
    <w:rPr>
      <w:sz w:val="18"/>
      <w:szCs w:val="18"/>
    </w:rPr>
  </w:style>
  <w:style w:type="character" w:styleId="15">
    <w:name w:val="Hyperlink"/>
    <w:basedOn w:val="6"/>
    <w:qFormat/>
    <w:uiPriority w:val="99"/>
    <w:rPr>
      <w:color w:val="0000FF" w:themeColor="hyperlink"/>
      <w:u w:val="single"/>
      <w14:textFill>
        <w14:solidFill>
          <w14:schemeClr w14:val="hlink"/>
        </w14:solidFill>
      </w14:textFill>
    </w:rPr>
  </w:style>
  <w:style w:type="table" w:styleId="16">
    <w:name w:val="Table Grid"/>
    <w:basedOn w:val="7"/>
    <w:qFormat/>
    <w:uiPriority w:val="39"/>
    <w:rPr>
      <w:rFonts w:asciiTheme="minorHAnsi" w:hAnsiTheme="minorHAnsi" w:eastAsiaTheme="minorHAnsi" w:cstheme="minorBid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7">
    <w:name w:val="toc 1"/>
    <w:basedOn w:val="1"/>
    <w:qFormat/>
    <w:uiPriority w:val="39"/>
    <w:pPr>
      <w:spacing w:before="139"/>
      <w:ind w:left="160" w:hanging="220"/>
    </w:pPr>
    <w:rPr>
      <w:b/>
      <w:bCs/>
    </w:rPr>
  </w:style>
  <w:style w:type="paragraph" w:styleId="18">
    <w:name w:val="toc 2"/>
    <w:basedOn w:val="1"/>
    <w:qFormat/>
    <w:uiPriority w:val="39"/>
    <w:pPr>
      <w:spacing w:before="138"/>
      <w:ind w:left="160"/>
    </w:pPr>
    <w:rPr>
      <w:b/>
      <w:bCs/>
    </w:rPr>
  </w:style>
  <w:style w:type="paragraph" w:styleId="19">
    <w:name w:val="toc 3"/>
    <w:basedOn w:val="1"/>
    <w:qFormat/>
    <w:uiPriority w:val="39"/>
    <w:pPr>
      <w:spacing w:before="237"/>
      <w:ind w:left="796" w:hanging="420"/>
    </w:pPr>
    <w:rPr>
      <w:b/>
      <w:bCs/>
      <w:sz w:val="24"/>
      <w:szCs w:val="24"/>
    </w:rPr>
  </w:style>
  <w:style w:type="paragraph" w:styleId="20">
    <w:name w:val="toc 4"/>
    <w:basedOn w:val="1"/>
    <w:qFormat/>
    <w:uiPriority w:val="39"/>
    <w:pPr>
      <w:spacing w:before="137"/>
      <w:ind w:left="976" w:hanging="600"/>
    </w:pPr>
    <w:rPr>
      <w:sz w:val="24"/>
      <w:szCs w:val="24"/>
    </w:rPr>
  </w:style>
  <w:style w:type="paragraph" w:styleId="21">
    <w:name w:val="toc 5"/>
    <w:basedOn w:val="1"/>
    <w:qFormat/>
    <w:uiPriority w:val="39"/>
    <w:pPr>
      <w:spacing w:before="139"/>
      <w:ind w:left="1150" w:hanging="551"/>
    </w:pPr>
  </w:style>
  <w:style w:type="paragraph" w:styleId="22">
    <w:name w:val="toc 6"/>
    <w:basedOn w:val="1"/>
    <w:qFormat/>
    <w:uiPriority w:val="39"/>
    <w:pPr>
      <w:spacing w:before="233"/>
      <w:ind w:left="1537" w:hanging="717"/>
    </w:pPr>
  </w:style>
  <w:style w:type="character" w:customStyle="1" w:styleId="23">
    <w:name w:val="Başlık 1 Char"/>
    <w:basedOn w:val="6"/>
    <w:link w:val="2"/>
    <w:qFormat/>
    <w:uiPriority w:val="9"/>
    <w:rPr>
      <w:rFonts w:eastAsia="Times New Roman"/>
      <w:b/>
      <w:bCs/>
      <w:sz w:val="24"/>
      <w:szCs w:val="24"/>
      <w:lang w:eastAsia="en-US"/>
    </w:rPr>
  </w:style>
  <w:style w:type="character" w:customStyle="1" w:styleId="24">
    <w:name w:val="Başlık 4 Char"/>
    <w:basedOn w:val="6"/>
    <w:link w:val="5"/>
    <w:semiHidden/>
    <w:qFormat/>
    <w:uiPriority w:val="0"/>
    <w:rPr>
      <w:rFonts w:asciiTheme="majorHAnsi" w:hAnsiTheme="majorHAnsi" w:eastAsiaTheme="majorEastAsia" w:cstheme="majorBidi"/>
      <w:i/>
      <w:iCs/>
      <w:color w:val="376092" w:themeColor="accent1" w:themeShade="BF"/>
      <w:sz w:val="22"/>
      <w:szCs w:val="22"/>
      <w:lang w:eastAsia="en-US"/>
    </w:rPr>
  </w:style>
  <w:style w:type="character" w:customStyle="1" w:styleId="25">
    <w:name w:val="Gövde Metni Char"/>
    <w:basedOn w:val="6"/>
    <w:link w:val="9"/>
    <w:qFormat/>
    <w:uiPriority w:val="1"/>
    <w:rPr>
      <w:rFonts w:eastAsia="Times New Roman"/>
      <w:sz w:val="24"/>
      <w:szCs w:val="24"/>
      <w:lang w:eastAsia="en-US"/>
    </w:rPr>
  </w:style>
  <w:style w:type="character" w:customStyle="1" w:styleId="26">
    <w:name w:val="Üstbilgi Char"/>
    <w:basedOn w:val="6"/>
    <w:link w:val="14"/>
    <w:qFormat/>
    <w:uiPriority w:val="99"/>
    <w:rPr>
      <w:rFonts w:eastAsia="Times New Roman"/>
      <w:sz w:val="18"/>
      <w:szCs w:val="18"/>
      <w:lang w:eastAsia="en-US"/>
    </w:rPr>
  </w:style>
  <w:style w:type="table" w:customStyle="1" w:styleId="27">
    <w:name w:val="Table Normal1"/>
    <w:semiHidden/>
    <w:unhideWhenUsed/>
    <w:qFormat/>
    <w:uiPriority w:val="2"/>
    <w:tblPr>
      <w:tblCellMar>
        <w:top w:w="0" w:type="dxa"/>
        <w:left w:w="0" w:type="dxa"/>
        <w:bottom w:w="0" w:type="dxa"/>
        <w:right w:w="0" w:type="dxa"/>
      </w:tblCellMar>
    </w:tblPr>
  </w:style>
  <w:style w:type="paragraph" w:styleId="28">
    <w:name w:val="List Paragraph"/>
    <w:basedOn w:val="1"/>
    <w:qFormat/>
    <w:uiPriority w:val="34"/>
    <w:pPr>
      <w:ind w:left="880" w:hanging="360"/>
    </w:pPr>
  </w:style>
  <w:style w:type="paragraph" w:customStyle="1" w:styleId="29">
    <w:name w:val="Table Paragraph"/>
    <w:basedOn w:val="1"/>
    <w:qFormat/>
    <w:uiPriority w:val="1"/>
  </w:style>
  <w:style w:type="table" w:customStyle="1" w:styleId="30">
    <w:name w:val="Tablo Kılavuzu1"/>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1">
    <w:name w:val="TEŞEKKÜR"/>
    <w:basedOn w:val="1"/>
    <w:next w:val="1"/>
    <w:link w:val="32"/>
    <w:qFormat/>
    <w:uiPriority w:val="0"/>
    <w:pPr>
      <w:tabs>
        <w:tab w:val="right" w:leader="dot" w:pos="8209"/>
      </w:tabs>
      <w:spacing w:before="120" w:after="120"/>
      <w:jc w:val="center"/>
      <w:outlineLvl w:val="0"/>
    </w:pPr>
    <w:rPr>
      <w:b/>
      <w:bCs/>
      <w:caps/>
      <w:color w:val="0D0D0D" w:themeColor="text1" w:themeTint="F2"/>
      <w:sz w:val="24"/>
      <w:szCs w:val="24"/>
      <w14:textFill>
        <w14:solidFill>
          <w14:schemeClr w14:val="tx1">
            <w14:lumMod w14:val="95000"/>
            <w14:lumOff w14:val="5000"/>
          </w14:schemeClr>
        </w14:solidFill>
      </w14:textFill>
    </w:rPr>
  </w:style>
  <w:style w:type="character" w:customStyle="1" w:styleId="32">
    <w:name w:val="TEŞEKKÜR Char"/>
    <w:basedOn w:val="6"/>
    <w:link w:val="31"/>
    <w:qFormat/>
    <w:uiPriority w:val="0"/>
    <w:rPr>
      <w:rFonts w:eastAsia="Times New Roman"/>
      <w:b/>
      <w:bCs/>
      <w:caps/>
      <w:color w:val="0D0D0D" w:themeColor="text1" w:themeTint="F2"/>
      <w:sz w:val="24"/>
      <w:szCs w:val="24"/>
      <w:lang w:eastAsia="en-US"/>
      <w14:textFill>
        <w14:solidFill>
          <w14:schemeClr w14:val="tx1">
            <w14:lumMod w14:val="95000"/>
            <w14:lumOff w14:val="5000"/>
          </w14:schemeClr>
        </w14:solidFill>
      </w14:textFill>
    </w:rPr>
  </w:style>
  <w:style w:type="paragraph" w:customStyle="1" w:styleId="33">
    <w:name w:val="TOC Heading"/>
    <w:basedOn w:val="2"/>
    <w:next w:val="1"/>
    <w:unhideWhenUsed/>
    <w:qFormat/>
    <w:uiPriority w:val="39"/>
    <w:pPr>
      <w:keepNext/>
      <w:keepLines/>
      <w:widowControl/>
      <w:autoSpaceDE/>
      <w:autoSpaceDN/>
      <w:spacing w:before="240" w:line="259" w:lineRule="auto"/>
      <w:ind w:left="0"/>
      <w:jc w:val="left"/>
      <w:outlineLvl w:val="9"/>
    </w:pPr>
    <w:rPr>
      <w:rFonts w:asciiTheme="majorHAnsi" w:hAnsiTheme="majorHAnsi" w:eastAsiaTheme="majorEastAsia" w:cstheme="majorBidi"/>
      <w:b w:val="0"/>
      <w:bCs w:val="0"/>
      <w:color w:val="376092" w:themeColor="accent1" w:themeShade="BF"/>
      <w:sz w:val="32"/>
      <w:szCs w:val="32"/>
      <w:lang w:eastAsia="tr-TR"/>
    </w:rPr>
  </w:style>
  <w:style w:type="character" w:customStyle="1" w:styleId="34">
    <w:name w:val="Altbilgi Char"/>
    <w:basedOn w:val="6"/>
    <w:link w:val="13"/>
    <w:qFormat/>
    <w:uiPriority w:val="99"/>
    <w:rPr>
      <w:rFonts w:eastAsia="Times New Roman"/>
      <w:sz w:val="18"/>
      <w:szCs w:val="18"/>
      <w:lang w:eastAsia="en-US"/>
    </w:rPr>
  </w:style>
  <w:style w:type="character" w:customStyle="1" w:styleId="35">
    <w:name w:val="Açıklama Metni Char"/>
    <w:basedOn w:val="6"/>
    <w:link w:val="11"/>
    <w:qFormat/>
    <w:uiPriority w:val="0"/>
    <w:rPr>
      <w:rFonts w:eastAsia="Times New Roman"/>
      <w:lang w:eastAsia="en-US"/>
    </w:rPr>
  </w:style>
  <w:style w:type="character" w:customStyle="1" w:styleId="36">
    <w:name w:val="Açıklama Konusu Char"/>
    <w:basedOn w:val="35"/>
    <w:link w:val="12"/>
    <w:qFormat/>
    <w:uiPriority w:val="0"/>
    <w:rPr>
      <w:rFonts w:eastAsia="Times New Roman"/>
      <w:b/>
      <w:bCs/>
      <w:lang w:eastAsia="en-US"/>
    </w:rPr>
  </w:style>
  <w:style w:type="character" w:customStyle="1" w:styleId="37">
    <w:name w:val="Balon Metni Char"/>
    <w:basedOn w:val="6"/>
    <w:link w:val="8"/>
    <w:qFormat/>
    <w:uiPriority w:val="0"/>
    <w:rPr>
      <w:rFonts w:ascii="Segoe UI" w:hAnsi="Segoe UI" w:eastAsia="Times New Roman" w:cs="Segoe UI"/>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1.jpeg"/><Relationship Id="rId42" Type="http://schemas.openxmlformats.org/officeDocument/2006/relationships/image" Target="media/image30.png"/><Relationship Id="rId41" Type="http://schemas.openxmlformats.org/officeDocument/2006/relationships/image" Target="media/image29.jpeg"/><Relationship Id="rId40" Type="http://schemas.openxmlformats.org/officeDocument/2006/relationships/image" Target="media/image28.png"/><Relationship Id="rId4" Type="http://schemas.openxmlformats.org/officeDocument/2006/relationships/footer" Target="foot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microsoft.com/office/2007/relationships/diagramDrawing" Target="diagrams/drawing1.xml"/><Relationship Id="rId35" Type="http://schemas.openxmlformats.org/officeDocument/2006/relationships/diagramColors" Target="diagrams/colors1.xml"/><Relationship Id="rId34" Type="http://schemas.openxmlformats.org/officeDocument/2006/relationships/diagramQuickStyle" Target="diagrams/quickStyle1.xml"/><Relationship Id="rId33" Type="http://schemas.openxmlformats.org/officeDocument/2006/relationships/diagramLayout" Target="diagrams/layout1.xml"/><Relationship Id="rId32" Type="http://schemas.openxmlformats.org/officeDocument/2006/relationships/diagramData" Target="diagrams/data1.xml"/><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9D9587B2-2394-4ECB-BE40-17A32454BE26}" type="doc">
      <dgm:prSet loTypeId="urn:microsoft.com/office/officeart/2005/8/layout/chevron1" loCatId="process" qsTypeId="urn:microsoft.com/office/officeart/2005/8/quickstyle/simple1" qsCatId="simple" csTypeId="urn:microsoft.com/office/officeart/2005/8/colors/accent1_2" csCatId="accent1" phldr="1"/>
      <dgm:spPr/>
      <dgm:t>
        <a:bodyPr/>
        <a:p>
          <a:endParaRPr lang="tr-TR"/>
        </a:p>
      </dgm:t>
    </dgm:pt>
    <dgm:pt modelId="{7D5A0197-7CE3-473B-95E5-01A760B7A685}">
      <dgm:prSet phldrT="[Metin]" custT="1"/>
      <dgm:spPr/>
      <dgm:t>
        <a:bodyPr/>
        <a:p>
          <a:pPr algn="ctr"/>
          <a:r>
            <a:rPr lang="tr-TR" sz="900"/>
            <a:t>Madde havuzu </a:t>
          </a:r>
          <a:r>
            <a:rPr lang="tr-TR" sz="900">
              <a:latin typeface="Times New Roman" panose="02020603050405020304" charset="0"/>
              <a:cs typeface="Times New Roman" panose="02020603050405020304" charset="0"/>
            </a:rPr>
            <a:t>oluşturma</a:t>
          </a:r>
        </a:p>
      </dgm:t>
    </dgm:pt>
    <dgm:pt modelId="{969F1E1F-D8D7-4CFB-82AA-86506D96A631}" cxnId="{3072C7D8-BC5C-4578-AE3C-D9AAABEF890E}" type="parTrans">
      <dgm:prSet/>
      <dgm:spPr/>
      <dgm:t>
        <a:bodyPr/>
        <a:p>
          <a:endParaRPr lang="tr-TR"/>
        </a:p>
      </dgm:t>
    </dgm:pt>
    <dgm:pt modelId="{341EC8FA-FD6A-49A3-92B1-E6CF0AF7AE35}" cxnId="{3072C7D8-BC5C-4578-AE3C-D9AAABEF890E}" type="sibTrans">
      <dgm:prSet/>
      <dgm:spPr/>
      <dgm:t>
        <a:bodyPr/>
        <a:p>
          <a:endParaRPr lang="tr-TR"/>
        </a:p>
      </dgm:t>
    </dgm:pt>
    <dgm:pt modelId="{89B08CE4-EF88-4763-8B37-E131F8150B11}">
      <dgm:prSet phldrT="[Metin]" custT="1"/>
      <dgm:spPr/>
      <dgm:t>
        <a:bodyPr/>
        <a:p>
          <a:pPr algn="ctr"/>
          <a:r>
            <a:rPr lang="tr-TR" sz="900">
              <a:latin typeface="Times New Roman" panose="02020603050405020304" charset="0"/>
              <a:cs typeface="Times New Roman" panose="02020603050405020304" charset="0"/>
            </a:rPr>
            <a:t>Uzman görüşlerine başvurma (15 uzman)</a:t>
          </a:r>
        </a:p>
      </dgm:t>
    </dgm:pt>
    <dgm:pt modelId="{AF6194F4-3937-4E28-9D2C-8FBDD03095FC}" cxnId="{F6F66FBF-D4A2-4C34-B35C-9071AA1F9307}" type="parTrans">
      <dgm:prSet/>
      <dgm:spPr/>
      <dgm:t>
        <a:bodyPr/>
        <a:p>
          <a:endParaRPr lang="tr-TR"/>
        </a:p>
      </dgm:t>
    </dgm:pt>
    <dgm:pt modelId="{5AE48505-CE2D-4CB7-88C0-0F33D2A2CA16}" cxnId="{F6F66FBF-D4A2-4C34-B35C-9071AA1F9307}" type="sibTrans">
      <dgm:prSet/>
      <dgm:spPr/>
      <dgm:t>
        <a:bodyPr/>
        <a:p>
          <a:endParaRPr lang="tr-TR"/>
        </a:p>
      </dgm:t>
    </dgm:pt>
    <dgm:pt modelId="{D8F0C216-CC75-4DA5-B4DE-8F2B41CC81C4}">
      <dgm:prSet phldrT="[Metin]" custT="1"/>
      <dgm:spPr/>
      <dgm:t>
        <a:bodyPr/>
        <a:p>
          <a:r>
            <a:rPr lang="tr-TR" sz="900">
              <a:latin typeface="Times New Roman" panose="02020603050405020304" charset="0"/>
              <a:cs typeface="Times New Roman" panose="02020603050405020304" charset="0"/>
            </a:rPr>
            <a:t>Pilot çalışma (Ankara - Altındağ ilçesi)</a:t>
          </a:r>
        </a:p>
      </dgm:t>
    </dgm:pt>
    <dgm:pt modelId="{428B350C-928C-4FE5-9C59-7CE73A18A78A}" cxnId="{DB71BB02-8A05-4B86-B1BE-69652F5BF6DC}" type="parTrans">
      <dgm:prSet/>
      <dgm:spPr/>
      <dgm:t>
        <a:bodyPr/>
        <a:p>
          <a:endParaRPr lang="tr-TR"/>
        </a:p>
      </dgm:t>
    </dgm:pt>
    <dgm:pt modelId="{738E8EBF-F87F-4A60-A527-A01B08E8C69C}" cxnId="{DB71BB02-8A05-4B86-B1BE-69652F5BF6DC}" type="sibTrans">
      <dgm:prSet/>
      <dgm:spPr/>
      <dgm:t>
        <a:bodyPr/>
        <a:p>
          <a:endParaRPr lang="tr-TR"/>
        </a:p>
      </dgm:t>
    </dgm:pt>
    <dgm:pt modelId="{41BED184-0880-4C18-8D55-A32AD1756CF2}">
      <dgm:prSet phldrT="[Metin]" custT="1"/>
      <dgm:spPr/>
      <dgm:t>
        <a:bodyPr/>
        <a:p>
          <a:r>
            <a:rPr lang="tr-TR" sz="900">
              <a:latin typeface="Times New Roman" panose="02020603050405020304" charset="0"/>
              <a:cs typeface="Times New Roman" panose="02020603050405020304" charset="0"/>
            </a:rPr>
            <a:t>Ölçeğin ortaya konulması (44 madde)</a:t>
          </a:r>
        </a:p>
      </dgm:t>
    </dgm:pt>
    <dgm:pt modelId="{73361F51-9331-4165-9754-F5EEBBB59947}" cxnId="{3A6876ED-39D3-4CF0-84CA-3CD9387FEDB1}" type="parTrans">
      <dgm:prSet/>
      <dgm:spPr/>
      <dgm:t>
        <a:bodyPr/>
        <a:p>
          <a:endParaRPr lang="tr-TR"/>
        </a:p>
      </dgm:t>
    </dgm:pt>
    <dgm:pt modelId="{589278BE-3FC6-48A5-B72D-9797390A187A}" cxnId="{3A6876ED-39D3-4CF0-84CA-3CD9387FEDB1}" type="sibTrans">
      <dgm:prSet/>
      <dgm:spPr/>
      <dgm:t>
        <a:bodyPr/>
        <a:p>
          <a:endParaRPr lang="tr-TR"/>
        </a:p>
      </dgm:t>
    </dgm:pt>
    <dgm:pt modelId="{5299491F-680A-498A-A1CD-D947762446D1}">
      <dgm:prSet phldrT="[Metin]" custT="1"/>
      <dgm:spPr/>
      <dgm:t>
        <a:bodyPr/>
        <a:p>
          <a:r>
            <a:rPr lang="tr-TR" sz="900">
              <a:latin typeface="Times New Roman" panose="02020603050405020304" charset="0"/>
              <a:cs typeface="Times New Roman" panose="02020603050405020304" charset="0"/>
            </a:rPr>
            <a:t>Uygulama</a:t>
          </a:r>
          <a:r>
            <a:rPr lang="tr-TR" sz="900" baseline="0">
              <a:latin typeface="Times New Roman" panose="02020603050405020304" charset="0"/>
              <a:cs typeface="Times New Roman" panose="02020603050405020304" charset="0"/>
            </a:rPr>
            <a:t> (104 Anket)</a:t>
          </a:r>
          <a:endParaRPr lang="tr-TR" sz="900">
            <a:latin typeface="Times New Roman" panose="02020603050405020304" charset="0"/>
            <a:cs typeface="Times New Roman" panose="02020603050405020304" charset="0"/>
          </a:endParaRPr>
        </a:p>
      </dgm:t>
    </dgm:pt>
    <dgm:pt modelId="{EB3B7EC1-CFCC-4E70-947B-0A89953C9D4A}" cxnId="{515A497B-0CFB-43AF-A5A3-A284FF59F29B}" type="sibTrans">
      <dgm:prSet/>
      <dgm:spPr/>
      <dgm:t>
        <a:bodyPr/>
        <a:p>
          <a:endParaRPr lang="tr-TR"/>
        </a:p>
      </dgm:t>
    </dgm:pt>
    <dgm:pt modelId="{BAE8F5E3-5588-43BC-A0AF-76765E359F36}" cxnId="{515A497B-0CFB-43AF-A5A3-A284FF59F29B}" type="parTrans">
      <dgm:prSet/>
      <dgm:spPr/>
      <dgm:t>
        <a:bodyPr/>
        <a:p>
          <a:endParaRPr lang="tr-TR"/>
        </a:p>
      </dgm:t>
    </dgm:pt>
    <dgm:pt modelId="{138840C6-9F6B-416F-8538-B72BF84D0B4A}" type="pres">
      <dgm:prSet presAssocID="{9D9587B2-2394-4ECB-BE40-17A32454BE26}" presName="Name0" presStyleCnt="0">
        <dgm:presLayoutVars>
          <dgm:dir/>
          <dgm:animLvl val="lvl"/>
          <dgm:resizeHandles val="exact"/>
        </dgm:presLayoutVars>
      </dgm:prSet>
      <dgm:spPr/>
      <dgm:t>
        <a:bodyPr/>
        <a:p>
          <a:endParaRPr lang="tr-TR"/>
        </a:p>
      </dgm:t>
    </dgm:pt>
    <dgm:pt modelId="{9A5E94E6-B3A9-4062-A81A-F4F95451FADF}" type="pres">
      <dgm:prSet presAssocID="{7D5A0197-7CE3-473B-95E5-01A760B7A685}" presName="parTxOnly" presStyleLbl="node1" presStyleIdx="0" presStyleCnt="5" custScaleX="46581" custScaleY="42950" custLinFactNeighborX="-26923" custLinFactNeighborY="-534">
        <dgm:presLayoutVars>
          <dgm:chMax val="0"/>
          <dgm:chPref val="0"/>
          <dgm:bulletEnabled val="1"/>
        </dgm:presLayoutVars>
      </dgm:prSet>
      <dgm:spPr/>
      <dgm:t>
        <a:bodyPr/>
        <a:p>
          <a:endParaRPr lang="tr-TR"/>
        </a:p>
      </dgm:t>
    </dgm:pt>
    <dgm:pt modelId="{3A7ADE27-6F75-439D-B0E7-1D4096CBA7BA}" type="pres">
      <dgm:prSet presAssocID="{341EC8FA-FD6A-49A3-92B1-E6CF0AF7AE35}" presName="parTxOnlySpace" presStyleCnt="0"/>
      <dgm:spPr/>
    </dgm:pt>
    <dgm:pt modelId="{5FD7EAB8-6E69-4844-8665-12E4567B2F64}" type="pres">
      <dgm:prSet presAssocID="{89B08CE4-EF88-4763-8B37-E131F8150B11}" presName="parTxOnly" presStyleLbl="node1" presStyleIdx="1" presStyleCnt="5" custScaleX="46581" custScaleY="42950" custLinFactNeighborX="-26923" custLinFactNeighborY="-534">
        <dgm:presLayoutVars>
          <dgm:chMax val="0"/>
          <dgm:chPref val="0"/>
          <dgm:bulletEnabled val="1"/>
        </dgm:presLayoutVars>
      </dgm:prSet>
      <dgm:spPr/>
      <dgm:t>
        <a:bodyPr/>
        <a:p>
          <a:endParaRPr lang="tr-TR"/>
        </a:p>
      </dgm:t>
    </dgm:pt>
    <dgm:pt modelId="{E9F1261E-16C7-409F-B025-65DE5829EB0D}" type="pres">
      <dgm:prSet presAssocID="{5AE48505-CE2D-4CB7-88C0-0F33D2A2CA16}" presName="parTxOnlySpace" presStyleCnt="0"/>
      <dgm:spPr/>
    </dgm:pt>
    <dgm:pt modelId="{AB5AECF2-34DC-4BB9-8BD1-18EEA053900E}" type="pres">
      <dgm:prSet presAssocID="{D8F0C216-CC75-4DA5-B4DE-8F2B41CC81C4}" presName="parTxOnly" presStyleLbl="node1" presStyleIdx="2" presStyleCnt="5" custScaleX="46581" custScaleY="42950" custLinFactNeighborX="-26923" custLinFactNeighborY="-534">
        <dgm:presLayoutVars>
          <dgm:chMax val="0"/>
          <dgm:chPref val="0"/>
          <dgm:bulletEnabled val="1"/>
        </dgm:presLayoutVars>
      </dgm:prSet>
      <dgm:spPr/>
      <dgm:t>
        <a:bodyPr/>
        <a:p>
          <a:endParaRPr lang="tr-TR"/>
        </a:p>
      </dgm:t>
    </dgm:pt>
    <dgm:pt modelId="{E363FBCC-1F5D-4C38-A0F4-172885F04E14}" type="pres">
      <dgm:prSet presAssocID="{738E8EBF-F87F-4A60-A527-A01B08E8C69C}" presName="parTxOnlySpace" presStyleCnt="0"/>
      <dgm:spPr/>
    </dgm:pt>
    <dgm:pt modelId="{A55D70CB-70E6-4BF9-AB71-F3C7216B4F81}" type="pres">
      <dgm:prSet presAssocID="{5299491F-680A-498A-A1CD-D947762446D1}" presName="parTxOnly" presStyleLbl="node1" presStyleIdx="3" presStyleCnt="5" custScaleX="46581" custScaleY="42950" custLinFactNeighborX="-26923" custLinFactNeighborY="-534">
        <dgm:presLayoutVars>
          <dgm:chMax val="0"/>
          <dgm:chPref val="0"/>
          <dgm:bulletEnabled val="1"/>
        </dgm:presLayoutVars>
      </dgm:prSet>
      <dgm:spPr/>
      <dgm:t>
        <a:bodyPr/>
        <a:p>
          <a:endParaRPr lang="tr-TR"/>
        </a:p>
      </dgm:t>
    </dgm:pt>
    <dgm:pt modelId="{74B87B57-982A-4E04-8CB9-EE6F1F479C7B}" type="pres">
      <dgm:prSet presAssocID="{EB3B7EC1-CFCC-4E70-947B-0A89953C9D4A}" presName="parTxOnlySpace" presStyleCnt="0"/>
      <dgm:spPr/>
    </dgm:pt>
    <dgm:pt modelId="{B23BF92A-71D5-42D2-8E9C-94843BF98FA5}" type="pres">
      <dgm:prSet presAssocID="{41BED184-0880-4C18-8D55-A32AD1756CF2}" presName="parTxOnly" presStyleLbl="node1" presStyleIdx="4" presStyleCnt="5" custScaleX="46581" custScaleY="42950" custLinFactNeighborX="-26923" custLinFactNeighborY="-534">
        <dgm:presLayoutVars>
          <dgm:chMax val="0"/>
          <dgm:chPref val="0"/>
          <dgm:bulletEnabled val="1"/>
        </dgm:presLayoutVars>
      </dgm:prSet>
      <dgm:spPr/>
      <dgm:t>
        <a:bodyPr/>
        <a:p>
          <a:endParaRPr lang="tr-TR"/>
        </a:p>
      </dgm:t>
    </dgm:pt>
  </dgm:ptLst>
  <dgm:cxnLst>
    <dgm:cxn modelId="{DB71BB02-8A05-4B86-B1BE-69652F5BF6DC}" srcId="{9D9587B2-2394-4ECB-BE40-17A32454BE26}" destId="{D8F0C216-CC75-4DA5-B4DE-8F2B41CC81C4}" srcOrd="2" destOrd="0" parTransId="{428B350C-928C-4FE5-9C59-7CE73A18A78A}" sibTransId="{738E8EBF-F87F-4A60-A527-A01B08E8C69C}"/>
    <dgm:cxn modelId="{3EAD7C41-A2C5-4A6E-A293-EEFE5490FE62}" type="presOf" srcId="{7D5A0197-7CE3-473B-95E5-01A760B7A685}" destId="{9A5E94E6-B3A9-4062-A81A-F4F95451FADF}" srcOrd="0" destOrd="0" presId="urn:microsoft.com/office/officeart/2005/8/layout/chevron1"/>
    <dgm:cxn modelId="{F6F66FBF-D4A2-4C34-B35C-9071AA1F9307}" srcId="{9D9587B2-2394-4ECB-BE40-17A32454BE26}" destId="{89B08CE4-EF88-4763-8B37-E131F8150B11}" srcOrd="1" destOrd="0" parTransId="{AF6194F4-3937-4E28-9D2C-8FBDD03095FC}" sibTransId="{5AE48505-CE2D-4CB7-88C0-0F33D2A2CA16}"/>
    <dgm:cxn modelId="{667FD6EE-ED2E-42F7-BA46-37FE524196F5}" type="presOf" srcId="{D8F0C216-CC75-4DA5-B4DE-8F2B41CC81C4}" destId="{AB5AECF2-34DC-4BB9-8BD1-18EEA053900E}" srcOrd="0" destOrd="0" presId="urn:microsoft.com/office/officeart/2005/8/layout/chevron1"/>
    <dgm:cxn modelId="{3072C7D8-BC5C-4578-AE3C-D9AAABEF890E}" srcId="{9D9587B2-2394-4ECB-BE40-17A32454BE26}" destId="{7D5A0197-7CE3-473B-95E5-01A760B7A685}" srcOrd="0" destOrd="0" parTransId="{969F1E1F-D8D7-4CFB-82AA-86506D96A631}" sibTransId="{341EC8FA-FD6A-49A3-92B1-E6CF0AF7AE35}"/>
    <dgm:cxn modelId="{3EC153AA-04D6-4BB6-949A-7D461586473D}" type="presOf" srcId="{5299491F-680A-498A-A1CD-D947762446D1}" destId="{A55D70CB-70E6-4BF9-AB71-F3C7216B4F81}" srcOrd="0" destOrd="0" presId="urn:microsoft.com/office/officeart/2005/8/layout/chevron1"/>
    <dgm:cxn modelId="{49C5776C-BE9D-4454-897C-C9B8F8C1C2E5}" type="presOf" srcId="{41BED184-0880-4C18-8D55-A32AD1756CF2}" destId="{B23BF92A-71D5-42D2-8E9C-94843BF98FA5}" srcOrd="0" destOrd="0" presId="urn:microsoft.com/office/officeart/2005/8/layout/chevron1"/>
    <dgm:cxn modelId="{515A497B-0CFB-43AF-A5A3-A284FF59F29B}" srcId="{9D9587B2-2394-4ECB-BE40-17A32454BE26}" destId="{5299491F-680A-498A-A1CD-D947762446D1}" srcOrd="3" destOrd="0" parTransId="{BAE8F5E3-5588-43BC-A0AF-76765E359F36}" sibTransId="{EB3B7EC1-CFCC-4E70-947B-0A89953C9D4A}"/>
    <dgm:cxn modelId="{68B9BBCC-1434-43B3-945E-2219E7459948}" type="presOf" srcId="{89B08CE4-EF88-4763-8B37-E131F8150B11}" destId="{5FD7EAB8-6E69-4844-8665-12E4567B2F64}" srcOrd="0" destOrd="0" presId="urn:microsoft.com/office/officeart/2005/8/layout/chevron1"/>
    <dgm:cxn modelId="{3A6876ED-39D3-4CF0-84CA-3CD9387FEDB1}" srcId="{9D9587B2-2394-4ECB-BE40-17A32454BE26}" destId="{41BED184-0880-4C18-8D55-A32AD1756CF2}" srcOrd="4" destOrd="0" parTransId="{73361F51-9331-4165-9754-F5EEBBB59947}" sibTransId="{589278BE-3FC6-48A5-B72D-9797390A187A}"/>
    <dgm:cxn modelId="{D6BDEAD9-B6A6-449A-991F-400BF0809B2F}" type="presOf" srcId="{9D9587B2-2394-4ECB-BE40-17A32454BE26}" destId="{138840C6-9F6B-416F-8538-B72BF84D0B4A}" srcOrd="0" destOrd="0" presId="urn:microsoft.com/office/officeart/2005/8/layout/chevron1"/>
    <dgm:cxn modelId="{754FA016-D3E6-4BCE-B077-FDDA7452ACDA}" type="presParOf" srcId="{138840C6-9F6B-416F-8538-B72BF84D0B4A}" destId="{9A5E94E6-B3A9-4062-A81A-F4F95451FADF}" srcOrd="0" destOrd="0" presId="urn:microsoft.com/office/officeart/2005/8/layout/chevron1"/>
    <dgm:cxn modelId="{F1D25D76-CC6A-4871-BC40-554155CA27BA}" type="presParOf" srcId="{138840C6-9F6B-416F-8538-B72BF84D0B4A}" destId="{3A7ADE27-6F75-439D-B0E7-1D4096CBA7BA}" srcOrd="1" destOrd="0" presId="urn:microsoft.com/office/officeart/2005/8/layout/chevron1"/>
    <dgm:cxn modelId="{6B7E71AD-9EE2-4384-B278-81FDFBC7F8CA}" type="presParOf" srcId="{138840C6-9F6B-416F-8538-B72BF84D0B4A}" destId="{5FD7EAB8-6E69-4844-8665-12E4567B2F64}" srcOrd="2" destOrd="0" presId="urn:microsoft.com/office/officeart/2005/8/layout/chevron1"/>
    <dgm:cxn modelId="{FDFABE2B-678F-4D0F-A18C-079EDFB17783}" type="presParOf" srcId="{138840C6-9F6B-416F-8538-B72BF84D0B4A}" destId="{E9F1261E-16C7-409F-B025-65DE5829EB0D}" srcOrd="3" destOrd="0" presId="urn:microsoft.com/office/officeart/2005/8/layout/chevron1"/>
    <dgm:cxn modelId="{7027C2D4-8293-4DD9-AD41-543B332FC882}" type="presParOf" srcId="{138840C6-9F6B-416F-8538-B72BF84D0B4A}" destId="{AB5AECF2-34DC-4BB9-8BD1-18EEA053900E}" srcOrd="4" destOrd="0" presId="urn:microsoft.com/office/officeart/2005/8/layout/chevron1"/>
    <dgm:cxn modelId="{5BB5936A-FF51-41B6-9BE3-0BDA1FEF7861}" type="presParOf" srcId="{138840C6-9F6B-416F-8538-B72BF84D0B4A}" destId="{E363FBCC-1F5D-4C38-A0F4-172885F04E14}" srcOrd="5" destOrd="0" presId="urn:microsoft.com/office/officeart/2005/8/layout/chevron1"/>
    <dgm:cxn modelId="{9BEB03D5-78F7-4A58-A415-FB8A597E984D}" type="presParOf" srcId="{138840C6-9F6B-416F-8538-B72BF84D0B4A}" destId="{A55D70CB-70E6-4BF9-AB71-F3C7216B4F81}" srcOrd="6" destOrd="0" presId="urn:microsoft.com/office/officeart/2005/8/layout/chevron1"/>
    <dgm:cxn modelId="{F1893E77-498C-4EE1-874A-2AC6D8596054}" type="presParOf" srcId="{138840C6-9F6B-416F-8538-B72BF84D0B4A}" destId="{74B87B57-982A-4E04-8CB9-EE6F1F479C7B}" srcOrd="7" destOrd="0" presId="urn:microsoft.com/office/officeart/2005/8/layout/chevron1"/>
    <dgm:cxn modelId="{641D896D-FEEA-4ABE-BBC8-E933F3142208}" type="presParOf" srcId="{138840C6-9F6B-416F-8538-B72BF84D0B4A}" destId="{B23BF92A-71D5-42D2-8E9C-94843BF98FA5}" srcOrd="8" destOrd="0" presId="urn:microsoft.com/office/officeart/2005/8/layout/chevron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Group 1"/>
      <dsp:cNvGrpSpPr/>
    </dsp:nvGrpSpPr>
    <dsp:grpSpPr>
      <a:xfrm>
        <a:off x="0" y="0"/>
        <a:ext cx="5486400" cy="1189355"/>
        <a:chOff x="0" y="0"/>
        <a:chExt cx="5486400" cy="1189355"/>
      </a:xfrm>
    </dsp:grpSpPr>
    <dsp:sp modelId="{9A5E94E6-B3A9-4062-A81A-F4F95451FADF}">
      <dsp:nvSpPr>
        <dsp:cNvPr id="3" name="Chevron 2"/>
        <dsp:cNvSpPr/>
      </dsp:nvSpPr>
      <dsp:spPr bwMode="white">
        <a:xfrm>
          <a:off x="32111" y="350207"/>
          <a:ext cx="1192696" cy="477078"/>
        </a:xfrm>
        <a:prstGeom prst="chevron">
          <a:avLst/>
        </a:prstGeom>
      </dsp:spPr>
      <dsp:style>
        <a:lnRef idx="2">
          <a:schemeClr val="lt1"/>
        </a:lnRef>
        <a:fillRef idx="1">
          <a:schemeClr val="accent1"/>
        </a:fillRef>
        <a:effectRef idx="0">
          <a:scrgbClr r="0" g="0" b="0"/>
        </a:effectRef>
        <a:fontRef idx="minor">
          <a:schemeClr val="lt1"/>
        </a:fontRef>
      </dsp:style>
      <dsp:txBody>
        <a:bodyPr lIns="36004" tIns="12001" rIns="12001" bIns="12001"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tr-TR" sz="900"/>
            <a:t>Madde havuzu </a:t>
          </a:r>
          <a:r>
            <a:rPr lang="tr-TR" sz="900">
              <a:latin typeface="Times New Roman" panose="02020603050405020304" charset="0"/>
              <a:cs typeface="Times New Roman" panose="02020603050405020304" charset="0"/>
            </a:rPr>
            <a:t>oluşturma</a:t>
          </a:r>
        </a:p>
      </dsp:txBody>
      <dsp:txXfrm>
        <a:off x="32111" y="350207"/>
        <a:ext cx="1192696" cy="477078"/>
      </dsp:txXfrm>
    </dsp:sp>
    <dsp:sp modelId="{5FD7EAB8-6E69-4844-8665-12E4567B2F64}">
      <dsp:nvSpPr>
        <dsp:cNvPr id="4" name="Chevron 3"/>
        <dsp:cNvSpPr/>
      </dsp:nvSpPr>
      <dsp:spPr bwMode="white">
        <a:xfrm>
          <a:off x="1105537" y="350207"/>
          <a:ext cx="1192696" cy="477078"/>
        </a:xfrm>
        <a:prstGeom prst="chevron">
          <a:avLst/>
        </a:prstGeom>
      </dsp:spPr>
      <dsp:style>
        <a:lnRef idx="2">
          <a:schemeClr val="lt1"/>
        </a:lnRef>
        <a:fillRef idx="1">
          <a:schemeClr val="accent1"/>
        </a:fillRef>
        <a:effectRef idx="0">
          <a:scrgbClr r="0" g="0" b="0"/>
        </a:effectRef>
        <a:fontRef idx="minor">
          <a:schemeClr val="lt1"/>
        </a:fontRef>
      </dsp:style>
      <dsp:txBody>
        <a:bodyPr lIns="36004" tIns="12001" rIns="12001" bIns="12001"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tr-TR" sz="900">
              <a:latin typeface="Times New Roman" panose="02020603050405020304" charset="0"/>
              <a:cs typeface="Times New Roman" panose="02020603050405020304" charset="0"/>
            </a:rPr>
            <a:t>Uzman görüşlerine başvurma (15 uzman)</a:t>
          </a:r>
        </a:p>
      </dsp:txBody>
      <dsp:txXfrm>
        <a:off x="1105537" y="350207"/>
        <a:ext cx="1192696" cy="477078"/>
      </dsp:txXfrm>
    </dsp:sp>
    <dsp:sp modelId="{AB5AECF2-34DC-4BB9-8BD1-18EEA053900E}">
      <dsp:nvSpPr>
        <dsp:cNvPr id="5" name="Chevron 4"/>
        <dsp:cNvSpPr/>
      </dsp:nvSpPr>
      <dsp:spPr bwMode="white">
        <a:xfrm>
          <a:off x="2178963" y="350207"/>
          <a:ext cx="1192696" cy="477078"/>
        </a:xfrm>
        <a:prstGeom prst="chevron">
          <a:avLst/>
        </a:prstGeom>
      </dsp:spPr>
      <dsp:style>
        <a:lnRef idx="2">
          <a:schemeClr val="lt1"/>
        </a:lnRef>
        <a:fillRef idx="1">
          <a:schemeClr val="accent1"/>
        </a:fillRef>
        <a:effectRef idx="0">
          <a:scrgbClr r="0" g="0" b="0"/>
        </a:effectRef>
        <a:fontRef idx="minor">
          <a:schemeClr val="lt1"/>
        </a:fontRef>
      </dsp:style>
      <dsp:txBody>
        <a:bodyPr lIns="36004" tIns="12001" rIns="12001" bIns="12001"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tr-TR" sz="900">
              <a:latin typeface="Times New Roman" panose="02020603050405020304" charset="0"/>
              <a:cs typeface="Times New Roman" panose="02020603050405020304" charset="0"/>
            </a:rPr>
            <a:t>Pilot çalışma (Ankara - Altındağ ilçesi)</a:t>
          </a:r>
        </a:p>
      </dsp:txBody>
      <dsp:txXfrm>
        <a:off x="2178963" y="350207"/>
        <a:ext cx="1192696" cy="477078"/>
      </dsp:txXfrm>
    </dsp:sp>
    <dsp:sp modelId="{A55D70CB-70E6-4BF9-AB71-F3C7216B4F81}">
      <dsp:nvSpPr>
        <dsp:cNvPr id="6" name="Chevron 5"/>
        <dsp:cNvSpPr/>
      </dsp:nvSpPr>
      <dsp:spPr bwMode="white">
        <a:xfrm>
          <a:off x="3252389" y="350207"/>
          <a:ext cx="1192696" cy="477078"/>
        </a:xfrm>
        <a:prstGeom prst="chevron">
          <a:avLst/>
        </a:prstGeom>
      </dsp:spPr>
      <dsp:style>
        <a:lnRef idx="2">
          <a:schemeClr val="lt1"/>
        </a:lnRef>
        <a:fillRef idx="1">
          <a:schemeClr val="accent1"/>
        </a:fillRef>
        <a:effectRef idx="0">
          <a:scrgbClr r="0" g="0" b="0"/>
        </a:effectRef>
        <a:fontRef idx="minor">
          <a:schemeClr val="lt1"/>
        </a:fontRef>
      </dsp:style>
      <dsp:txBody>
        <a:bodyPr lIns="36004" tIns="12001" rIns="12001" bIns="12001"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tr-TR" sz="900">
              <a:latin typeface="Times New Roman" panose="02020603050405020304" charset="0"/>
              <a:cs typeface="Times New Roman" panose="02020603050405020304" charset="0"/>
            </a:rPr>
            <a:t>Uygulama</a:t>
          </a:r>
          <a:r>
            <a:rPr lang="tr-TR" sz="900" baseline="0">
              <a:latin typeface="Times New Roman" panose="02020603050405020304" charset="0"/>
              <a:cs typeface="Times New Roman" panose="02020603050405020304" charset="0"/>
            </a:rPr>
            <a:t> (104 Anket)</a:t>
          </a:r>
          <a:endParaRPr lang="tr-TR" sz="900">
            <a:latin typeface="Times New Roman" panose="02020603050405020304" charset="0"/>
            <a:cs typeface="Times New Roman" panose="02020603050405020304" charset="0"/>
          </a:endParaRPr>
        </a:p>
      </dsp:txBody>
      <dsp:txXfrm>
        <a:off x="3252389" y="350207"/>
        <a:ext cx="1192696" cy="477078"/>
      </dsp:txXfrm>
    </dsp:sp>
    <dsp:sp modelId="{B23BF92A-71D5-42D2-8E9C-94843BF98FA5}">
      <dsp:nvSpPr>
        <dsp:cNvPr id="7" name="Chevron 6"/>
        <dsp:cNvSpPr/>
      </dsp:nvSpPr>
      <dsp:spPr bwMode="white">
        <a:xfrm>
          <a:off x="4293704" y="350207"/>
          <a:ext cx="1192696" cy="477078"/>
        </a:xfrm>
        <a:prstGeom prst="chevron">
          <a:avLst/>
        </a:prstGeom>
      </dsp:spPr>
      <dsp:style>
        <a:lnRef idx="2">
          <a:schemeClr val="lt1"/>
        </a:lnRef>
        <a:fillRef idx="1">
          <a:schemeClr val="accent1"/>
        </a:fillRef>
        <a:effectRef idx="0">
          <a:scrgbClr r="0" g="0" b="0"/>
        </a:effectRef>
        <a:fontRef idx="minor">
          <a:schemeClr val="lt1"/>
        </a:fontRef>
      </dsp:style>
      <dsp:txBody>
        <a:bodyPr lIns="36004" tIns="12001" rIns="12001" bIns="12001"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tr-TR" sz="900">
              <a:latin typeface="Times New Roman" panose="02020603050405020304" charset="0"/>
              <a:cs typeface="Times New Roman" panose="02020603050405020304" charset="0"/>
            </a:rPr>
            <a:t>Ölçeğin ortaya konulması (44 madde)</a:t>
          </a:r>
        </a:p>
      </dsp:txBody>
      <dsp:txXfrm>
        <a:off x="4293704" y="350207"/>
        <a:ext cx="1192696" cy="47707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type="chevron" r:blip="" rot="180">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type="chevron" r:blip="" rot="180">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ED63E0-F855-4CD2-96A7-591E9715B6FD}">
  <ds:schemaRefs/>
</ds:datastoreItem>
</file>

<file path=docProps/app.xml><?xml version="1.0" encoding="utf-8"?>
<Properties xmlns="http://schemas.openxmlformats.org/officeDocument/2006/extended-properties" xmlns:vt="http://schemas.openxmlformats.org/officeDocument/2006/docPropsVTypes">
  <Template>Normal</Template>
  <Pages>207</Pages>
  <Words>64415</Words>
  <Characters>367167</Characters>
  <Lines>3059</Lines>
  <Paragraphs>861</Paragraphs>
  <TotalTime>56</TotalTime>
  <ScaleCrop>false</ScaleCrop>
  <LinksUpToDate>false</LinksUpToDate>
  <CharactersWithSpaces>430721</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2025-05-24T17:48:00Z</dcterms:created>
  <dc:creator>min</dc:creator>
  <cp:lastModifiedBy>User</cp:lastModifiedBy>
  <cp:lastPrinted>2025-05-08T18:33:00Z</cp:lastPrinted>
  <dcterms:modified xsi:type="dcterms:W3CDTF">2025-05-30T08:48:23Z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2024-11-26T00:00:00Z</vt:filetime>
  </property>
  <property fmtid="{D5CDD505-2E9C-101B-9397-08002B2CF9AE}" pid="3" name="Creator">
    <vt:lpwstr>Microsoft® Word 2013</vt:lpwstr>
  </property>
  <property fmtid="{D5CDD505-2E9C-101B-9397-08002B2CF9AE}" pid="4" name="LastSaved">
    <vt:filetime>2024-11-28T00:00:00Z</vt:filetime>
  </property>
  <property fmtid="{D5CDD505-2E9C-101B-9397-08002B2CF9AE}" pid="5" name="Producer">
    <vt:lpwstr>Microsoft® Word 2013</vt:lpwstr>
  </property>
  <property fmtid="{D5CDD505-2E9C-101B-9397-08002B2CF9AE}" pid="6" name="KSOProductBuildVer">
    <vt:lpwstr>1033-12.2.0.21179</vt:lpwstr>
  </property>
  <property fmtid="{D5CDD505-2E9C-101B-9397-08002B2CF9AE}" pid="7" name="ICV">
    <vt:lpwstr>A7681B7F21AD47A1A4EA114452013DA2_13</vt:lpwstr>
  </property>
</Properties>
</file>