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54"/>
        <w:tblW w:w="10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055"/>
        <w:gridCol w:w="1417"/>
        <w:gridCol w:w="1276"/>
        <w:gridCol w:w="1134"/>
        <w:gridCol w:w="1134"/>
        <w:gridCol w:w="1276"/>
      </w:tblGrid>
      <w:tr w:rsidR="008C394E" w:rsidRPr="008C394E" w:rsidTr="008C394E">
        <w:trPr>
          <w:trHeight w:val="1396"/>
        </w:trPr>
        <w:tc>
          <w:tcPr>
            <w:tcW w:w="4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94E0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  <w:t>İşbirlikli</w:t>
            </w:r>
            <w:proofErr w:type="spellEnd"/>
            <w:r w:rsidRPr="00394E0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94E0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  <w:t>Öğrenme</w:t>
            </w:r>
            <w:proofErr w:type="spellEnd"/>
            <w:r w:rsidRPr="00394E0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94E0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  <w:t>Ölçeği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ind w:left="10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Hiç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ind w:left="10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Katılmıyorum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ind w:left="10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Segoe UI Symbol" w:eastAsiaTheme="minorEastAsia" w:hAnsi="Segoe UI Symbol" w:cs="Segoe UI Symbol"/>
                <w:color w:val="000000"/>
                <w:sz w:val="18"/>
                <w:szCs w:val="18"/>
                <w:shd w:val="clear" w:color="auto" w:fill="FFFFFF"/>
                <w:lang w:eastAsia="tr-TR"/>
              </w:rPr>
              <w:t>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Katılmıyorum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Segoe UI Symbol" w:eastAsiaTheme="minorEastAsia" w:hAnsi="Segoe UI Symbol" w:cs="Segoe UI Symbol"/>
                <w:color w:val="000000"/>
                <w:sz w:val="18"/>
                <w:szCs w:val="18"/>
                <w:shd w:val="clear" w:color="auto" w:fill="FFFFFF"/>
                <w:lang w:eastAsia="tr-TR"/>
              </w:rPr>
              <w:t>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ind w:left="10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Kararsızım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ind w:left="10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Segoe UI Symbol" w:eastAsiaTheme="minorEastAsia" w:hAnsi="Segoe UI Symbol" w:cs="Segoe UI Symbol"/>
                <w:color w:val="000000"/>
                <w:sz w:val="18"/>
                <w:szCs w:val="18"/>
                <w:shd w:val="clear" w:color="auto" w:fill="FFFFFF"/>
                <w:lang w:eastAsia="tr-TR"/>
              </w:rPr>
              <w:t>😐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Katılıyorum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Segoe UI Symbol" w:eastAsiaTheme="minorEastAsia" w:hAnsi="Segoe UI Symbol" w:cs="Segoe UI Symbol"/>
                <w:color w:val="000000"/>
                <w:sz w:val="18"/>
                <w:szCs w:val="18"/>
                <w:shd w:val="clear" w:color="auto" w:fill="FFFFFF"/>
                <w:lang w:eastAsia="tr-TR"/>
              </w:rPr>
              <w:t>🙂</w:t>
            </w:r>
            <w:r w:rsidRPr="008C394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shd w:val="clear" w:color="auto" w:fill="FFFFFF"/>
                <w:lang w:eastAsia="tr-TR"/>
              </w:rPr>
              <w:t>‍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ind w:left="10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Tamamen Katılıyorum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C394E">
              <w:rPr>
                <w:rFonts w:ascii="Segoe UI Symbol" w:eastAsiaTheme="minorEastAsia" w:hAnsi="Segoe UI Symbol" w:cs="Segoe UI Symbol"/>
                <w:color w:val="000000"/>
                <w:sz w:val="18"/>
                <w:szCs w:val="18"/>
                <w:shd w:val="clear" w:color="auto" w:fill="FFFFFF"/>
                <w:lang w:eastAsia="tr-TR"/>
              </w:rPr>
              <w:t>😀</w:t>
            </w:r>
          </w:p>
        </w:tc>
      </w:tr>
      <w:tr w:rsidR="008C394E" w:rsidRPr="008C394E" w:rsidTr="008C394E">
        <w:trPr>
          <w:trHeight w:val="9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Biz grup arkadaşlarımızla birbirimizi dinlemeye, görüşlerimizi paylaşmaya ve tartışmaya çalışırız.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7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 Yaptığımız görevi herkesin anladığından emin olmak için aramızda konuşuruz.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6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Grup arkadaşlarımızın yardımı olmadan görevleri bitiremeyiz.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7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Görevlerimizi yaparken grup arkadaşlarımız birbiriyle ilgilenir ve iletişim kurar.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6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Her bir grup üyesinin grubun görevlerine katılması gerekir.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69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Düşüncelerimizi ve kişisel bakış açılarımızı grup arkadaşlarımızın önünde  açıklarız ve savunuruz.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23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Grup içinde anlaşıp karar veririz.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69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 Görevleri tamamlamak için faydalandığımız</w:t>
            </w:r>
            <w:r w:rsidR="008C394E"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 xml:space="preserve"> kaynakları ve </w:t>
            </w: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edindiğimiz bilgileri birbirimizle paylaşmak önemlidir.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7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Görevlerimizi tamamlamak için grup arkadaşlarımızla iletişimde olmalıyız.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6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Her grup arkadaşı, grup etkinliklerinde elinden gelenin en iyisini yapmalıdır.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7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Birbirimizin düşüncelerini, görüşlerini ve bakış açılarını dinleriz.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6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Grup arkadaşlarımız düşüncelerini ve görüşlerini tartışırlar.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47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 Her grup üyesi kendi görevini ne kadar iyi yaparsa, grup için o kadar iyi olur.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22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  <w:lang w:eastAsia="tr-TR"/>
              </w:rPr>
              <w:t> </w:t>
            </w: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Grup arkadaşlarımızla yüz yüze birlikte çalışırız.</w:t>
            </w:r>
          </w:p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  <w:tr w:rsidR="008C394E" w:rsidRPr="008C394E" w:rsidTr="008C394E">
        <w:trPr>
          <w:trHeight w:val="7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61C5" w:rsidRPr="00394E02" w:rsidRDefault="00E761C5" w:rsidP="008C39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394E0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Verilen görevi sevmese bile her grup üyesinin göreve katılmaya çalışması önemlidir.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E761C5" w:rsidRPr="008C394E" w:rsidRDefault="00E761C5" w:rsidP="008C394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C394E">
              <w:rPr>
                <w:rFonts w:ascii="Times New Roman" w:eastAsiaTheme="minorEastAsia" w:hAnsi="Times New Roman" w:cs="Times New Roman"/>
                <w:lang w:val="en-US" w:eastAsia="zh-CN"/>
              </w:rPr>
              <w:t> </w:t>
            </w:r>
          </w:p>
        </w:tc>
      </w:tr>
    </w:tbl>
    <w:p w:rsidR="0026056A" w:rsidRPr="008C394E" w:rsidRDefault="0026056A">
      <w:pPr>
        <w:pStyle w:val="GvdeMetni"/>
        <w:spacing w:before="36"/>
        <w:ind w:left="0"/>
        <w:rPr>
          <w:rFonts w:ascii="Times New Roman" w:hAnsi="Times New Roman" w:cs="Times New Roman"/>
        </w:rPr>
      </w:pPr>
    </w:p>
    <w:p w:rsidR="004412ED" w:rsidRDefault="00E761C5" w:rsidP="008C394E">
      <w:pPr>
        <w:pStyle w:val="KonuBal"/>
        <w:rPr>
          <w:rFonts w:ascii="Times New Roman" w:hAnsi="Times New Roman" w:cs="Times New Roman"/>
          <w:spacing w:val="-2"/>
          <w:sz w:val="22"/>
          <w:szCs w:val="22"/>
        </w:rPr>
      </w:pPr>
      <w:proofErr w:type="spellStart"/>
      <w:r w:rsidRPr="008C394E">
        <w:rPr>
          <w:rFonts w:ascii="Times New Roman" w:hAnsi="Times New Roman" w:cs="Times New Roman"/>
          <w:sz w:val="22"/>
          <w:szCs w:val="22"/>
          <w:lang w:val="en-US"/>
        </w:rPr>
        <w:t>İşbirlikli</w:t>
      </w:r>
      <w:proofErr w:type="spellEnd"/>
      <w:r w:rsidRPr="008C394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C394E">
        <w:rPr>
          <w:rFonts w:ascii="Times New Roman" w:hAnsi="Times New Roman" w:cs="Times New Roman"/>
          <w:sz w:val="22"/>
          <w:szCs w:val="22"/>
          <w:lang w:val="en-US"/>
        </w:rPr>
        <w:t>Öğrenme</w:t>
      </w:r>
      <w:proofErr w:type="spellEnd"/>
      <w:r w:rsidRPr="008C394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C394E">
        <w:rPr>
          <w:rFonts w:ascii="Times New Roman" w:hAnsi="Times New Roman" w:cs="Times New Roman"/>
          <w:sz w:val="22"/>
          <w:szCs w:val="22"/>
          <w:lang w:val="en-US"/>
        </w:rPr>
        <w:t>Ölçeği</w:t>
      </w:r>
      <w:proofErr w:type="spellEnd"/>
      <w:r w:rsidR="00AD0DAB" w:rsidRPr="008C394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AD0DAB" w:rsidRPr="008C394E">
        <w:rPr>
          <w:rFonts w:ascii="Times New Roman" w:hAnsi="Times New Roman" w:cs="Times New Roman"/>
          <w:sz w:val="22"/>
          <w:szCs w:val="22"/>
        </w:rPr>
        <w:t>Hakkında</w:t>
      </w:r>
      <w:r w:rsidR="00AD0DAB" w:rsidRPr="008C394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D0DAB" w:rsidRPr="008C394E">
        <w:rPr>
          <w:rFonts w:ascii="Times New Roman" w:hAnsi="Times New Roman" w:cs="Times New Roman"/>
          <w:sz w:val="22"/>
          <w:szCs w:val="22"/>
        </w:rPr>
        <w:t>Genel</w:t>
      </w:r>
      <w:r w:rsidR="00AD0DAB" w:rsidRPr="008C394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D0DAB" w:rsidRPr="008C394E">
        <w:rPr>
          <w:rFonts w:ascii="Times New Roman" w:hAnsi="Times New Roman" w:cs="Times New Roman"/>
          <w:spacing w:val="-2"/>
          <w:sz w:val="22"/>
          <w:szCs w:val="22"/>
        </w:rPr>
        <w:t>Bilgi:</w:t>
      </w:r>
    </w:p>
    <w:p w:rsidR="008C394E" w:rsidRPr="008C394E" w:rsidRDefault="008C394E" w:rsidP="008C394E">
      <w:pPr>
        <w:pStyle w:val="KonuBal"/>
        <w:rPr>
          <w:rFonts w:ascii="Times New Roman" w:hAnsi="Times New Roman" w:cs="Times New Roman"/>
          <w:sz w:val="22"/>
          <w:szCs w:val="22"/>
        </w:rPr>
      </w:pPr>
    </w:p>
    <w:p w:rsidR="000B616D" w:rsidRDefault="00E761C5" w:rsidP="000B616D">
      <w:pPr>
        <w:pStyle w:val="GvdeMetni"/>
        <w:ind w:right="84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C394E">
        <w:rPr>
          <w:rFonts w:ascii="Times New Roman" w:hAnsi="Times New Roman" w:cs="Times New Roman"/>
          <w:i/>
          <w:sz w:val="22"/>
          <w:szCs w:val="22"/>
        </w:rPr>
        <w:t>İşbirlikli</w:t>
      </w:r>
      <w:proofErr w:type="spellEnd"/>
      <w:r w:rsidRPr="008C394E">
        <w:rPr>
          <w:rFonts w:ascii="Times New Roman" w:hAnsi="Times New Roman" w:cs="Times New Roman"/>
          <w:i/>
          <w:sz w:val="22"/>
          <w:szCs w:val="22"/>
        </w:rPr>
        <w:t xml:space="preserve"> Öğrenme</w:t>
      </w:r>
      <w:r w:rsidR="00AD0DAB" w:rsidRPr="008C394E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="00AD0DAB" w:rsidRPr="008C394E">
        <w:rPr>
          <w:rFonts w:ascii="Times New Roman" w:hAnsi="Times New Roman" w:cs="Times New Roman"/>
          <w:i/>
          <w:sz w:val="22"/>
          <w:szCs w:val="22"/>
        </w:rPr>
        <w:t>Ölçeği</w:t>
      </w:r>
      <w:r w:rsidR="00AD0DAB" w:rsidRPr="008C394E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8C394E">
        <w:rPr>
          <w:rFonts w:ascii="Times New Roman" w:hAnsi="Times New Roman" w:cs="Times New Roman"/>
          <w:i/>
          <w:sz w:val="22"/>
          <w:szCs w:val="22"/>
        </w:rPr>
        <w:t>(İÖÖ</w:t>
      </w:r>
      <w:r w:rsidR="00AD0DAB" w:rsidRPr="008C394E">
        <w:rPr>
          <w:rFonts w:ascii="Times New Roman" w:hAnsi="Times New Roman" w:cs="Times New Roman"/>
          <w:i/>
          <w:sz w:val="22"/>
          <w:szCs w:val="22"/>
        </w:rPr>
        <w:t>):</w:t>
      </w:r>
      <w:r w:rsidR="00AD0DAB" w:rsidRPr="008C394E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Fernandez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-Rio ve arkadaşları (2017) tarafından İspanyolca geliştirilen ve 2022 yılında İngilizceye uyarlanan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Cooperative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Learning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Scale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(CLS) Güngör, Uyanık Kaya ve Yeşil (2025) tarafından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Türkçe’ye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uyarlanmıştır. CLS, öğrencilerin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işbirlikli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öğrenme becerilerini değerlendirmek üzere beş faktörden (kişilerarası beceriler, grup işlem süreci, olumlu bağımlılık, destekleyici etkileşim ve bireysel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değerlendirilebilirlik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) ve 15 maddeden oluşmaktadır. Araştırma, Sakarya İl Milli Eğitim Müdürlüğü’ne bağlı ilk ve ortaöğretimde öğrenim gören 1237 öğrenciden elde edilen verilerle gerçekleştirilmiştir. Dilsel eşdeğerlik analizlerinde, İngilizce ve Türkçe formlar arasındaki korelasyon </w:t>
      </w:r>
      <w:proofErr w:type="gramStart"/>
      <w:r w:rsidR="000B616D" w:rsidRPr="008C394E">
        <w:rPr>
          <w:rFonts w:ascii="Times New Roman" w:hAnsi="Times New Roman" w:cs="Times New Roman"/>
          <w:sz w:val="22"/>
          <w:szCs w:val="22"/>
        </w:rPr>
        <w:t>katsayıları .65</w:t>
      </w:r>
      <w:proofErr w:type="gram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ile .92 arasında değişmektedir.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Açımlayıcı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Faktör Analizi (AFA), ölçeğin toplam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varyansın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%66.96’sını açıklamaktadır. Doğrulayıcı Faktör Analizi (DFA), RMSEA = 0.04, CFI = 0.96 ve GFI = 0.94 değerleriyle ölçeğin Türkçe formunun yapı geçerliğini doğrulamıştır. Yakınsama geçerliği analizlerinde Ortalama Açıklanan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Varyans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(OAV) değerleri %55 ile %65 arasında olup; ayırt edicilik geçerliği analizlerine göre, madde ve faktörler ayırt edicidir. Ölçüt geçerliği analizleri,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İşbirlikli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Öğrenme Ölçeği ile Burak (2020)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İşbirlikli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Öğrenme </w:t>
      </w:r>
      <w:r w:rsidR="000B616D" w:rsidRPr="008C394E">
        <w:rPr>
          <w:rFonts w:ascii="Times New Roman" w:hAnsi="Times New Roman" w:cs="Times New Roman"/>
          <w:sz w:val="22"/>
          <w:szCs w:val="22"/>
        </w:rPr>
        <w:lastRenderedPageBreak/>
        <w:t xml:space="preserve">Becerisi Ölçeği arasında r = 0.610 (p &lt; 0.01) düzeyinde anlamlıdır. Güvenirlik analizlerine göre,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Cronbach’s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Alpha </w:t>
      </w:r>
      <w:proofErr w:type="gramStart"/>
      <w:r w:rsidR="000B616D" w:rsidRPr="008C394E">
        <w:rPr>
          <w:rFonts w:ascii="Times New Roman" w:hAnsi="Times New Roman" w:cs="Times New Roman"/>
          <w:sz w:val="22"/>
          <w:szCs w:val="22"/>
        </w:rPr>
        <w:t>katsayıları .70</w:t>
      </w:r>
      <w:proofErr w:type="gram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ile .87 arasında değişmekte ve test-tekrar test sonuçları anlamlıdır. Buna göre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CLS’nin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Türkçeye uyarlanması ile üretilen </w:t>
      </w:r>
      <w:proofErr w:type="spellStart"/>
      <w:r w:rsidR="000B616D" w:rsidRPr="008C394E">
        <w:rPr>
          <w:rFonts w:ascii="Times New Roman" w:hAnsi="Times New Roman" w:cs="Times New Roman"/>
          <w:sz w:val="22"/>
          <w:szCs w:val="22"/>
        </w:rPr>
        <w:t>İşbirlikli</w:t>
      </w:r>
      <w:proofErr w:type="spellEnd"/>
      <w:r w:rsidR="000B616D" w:rsidRPr="008C394E">
        <w:rPr>
          <w:rFonts w:ascii="Times New Roman" w:hAnsi="Times New Roman" w:cs="Times New Roman"/>
          <w:sz w:val="22"/>
          <w:szCs w:val="22"/>
        </w:rPr>
        <w:t xml:space="preserve"> Öğrenme Ölçeği Türkçe Formunun geçerli ve güvenilir bir ölçek olduğu söylenebilir.</w:t>
      </w:r>
    </w:p>
    <w:p w:rsidR="008C394E" w:rsidRPr="008C394E" w:rsidRDefault="008C394E" w:rsidP="000B616D">
      <w:pPr>
        <w:pStyle w:val="GvdeMetni"/>
        <w:ind w:right="846"/>
        <w:jc w:val="both"/>
        <w:rPr>
          <w:rFonts w:ascii="Times New Roman" w:hAnsi="Times New Roman" w:cs="Times New Roman"/>
          <w:sz w:val="22"/>
          <w:szCs w:val="22"/>
        </w:rPr>
      </w:pPr>
    </w:p>
    <w:p w:rsidR="004412ED" w:rsidRPr="008C394E" w:rsidRDefault="000B616D" w:rsidP="000B616D">
      <w:pPr>
        <w:pStyle w:val="GvdeMetni"/>
        <w:ind w:right="84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39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0DAB" w:rsidRPr="008C394E">
        <w:rPr>
          <w:rFonts w:ascii="Times New Roman" w:hAnsi="Times New Roman" w:cs="Times New Roman"/>
          <w:b/>
          <w:spacing w:val="-2"/>
          <w:sz w:val="22"/>
          <w:szCs w:val="22"/>
        </w:rPr>
        <w:t>Kaynakça:</w:t>
      </w:r>
    </w:p>
    <w:p w:rsidR="000B616D" w:rsidRPr="008C394E" w:rsidRDefault="000B616D" w:rsidP="000B616D">
      <w:pPr>
        <w:pStyle w:val="ListeParagraf"/>
        <w:numPr>
          <w:ilvl w:val="0"/>
          <w:numId w:val="1"/>
        </w:numPr>
        <w:tabs>
          <w:tab w:val="left" w:pos="1003"/>
        </w:tabs>
      </w:pPr>
      <w:proofErr w:type="spellStart"/>
      <w:r w:rsidRPr="008C394E">
        <w:t>Fernández-Río</w:t>
      </w:r>
      <w:proofErr w:type="spellEnd"/>
      <w:r w:rsidRPr="008C394E">
        <w:t>, J</w:t>
      </w:r>
      <w:proofErr w:type="gramStart"/>
      <w:r w:rsidRPr="008C394E">
        <w:t>.,</w:t>
      </w:r>
      <w:proofErr w:type="gramEnd"/>
      <w:r w:rsidRPr="008C394E">
        <w:t xml:space="preserve"> </w:t>
      </w:r>
      <w:proofErr w:type="spellStart"/>
      <w:r w:rsidRPr="008C394E">
        <w:t>Cecchini</w:t>
      </w:r>
      <w:proofErr w:type="spellEnd"/>
      <w:r w:rsidRPr="008C394E">
        <w:t xml:space="preserve">, J. A., </w:t>
      </w:r>
      <w:proofErr w:type="spellStart"/>
      <w:r w:rsidRPr="008C394E">
        <w:t>Méndez-Giménez</w:t>
      </w:r>
      <w:proofErr w:type="spellEnd"/>
      <w:r w:rsidRPr="008C394E">
        <w:t xml:space="preserve">, A., </w:t>
      </w:r>
      <w:proofErr w:type="spellStart"/>
      <w:r w:rsidRPr="008C394E">
        <w:t>Méndez-Alonso</w:t>
      </w:r>
      <w:proofErr w:type="spellEnd"/>
      <w:r w:rsidRPr="008C394E">
        <w:t xml:space="preserve">, D., &amp; </w:t>
      </w:r>
      <w:proofErr w:type="spellStart"/>
      <w:r w:rsidRPr="008C394E">
        <w:t>Prieto</w:t>
      </w:r>
      <w:proofErr w:type="spellEnd"/>
      <w:r w:rsidRPr="008C394E">
        <w:t>, J. A. (2017). Self-</w:t>
      </w:r>
      <w:proofErr w:type="spellStart"/>
      <w:r w:rsidRPr="008C394E">
        <w:t>regulation</w:t>
      </w:r>
      <w:proofErr w:type="spellEnd"/>
      <w:r w:rsidRPr="008C394E">
        <w:t xml:space="preserve">, </w:t>
      </w:r>
      <w:proofErr w:type="spellStart"/>
      <w:r w:rsidRPr="008C394E">
        <w:t>cooperative</w:t>
      </w:r>
      <w:proofErr w:type="spellEnd"/>
      <w:r w:rsidRPr="008C394E">
        <w:t xml:space="preserve"> </w:t>
      </w:r>
      <w:proofErr w:type="spellStart"/>
      <w:r w:rsidRPr="008C394E">
        <w:t>learning</w:t>
      </w:r>
      <w:proofErr w:type="spellEnd"/>
      <w:r w:rsidRPr="008C394E">
        <w:t xml:space="preserve">, </w:t>
      </w:r>
      <w:proofErr w:type="spellStart"/>
      <w:r w:rsidRPr="008C394E">
        <w:t>and</w:t>
      </w:r>
      <w:proofErr w:type="spellEnd"/>
      <w:r w:rsidRPr="008C394E">
        <w:t xml:space="preserve"> </w:t>
      </w:r>
      <w:proofErr w:type="spellStart"/>
      <w:r w:rsidRPr="008C394E">
        <w:t>academic</w:t>
      </w:r>
      <w:proofErr w:type="spellEnd"/>
      <w:r w:rsidRPr="008C394E">
        <w:t xml:space="preserve"> self-</w:t>
      </w:r>
      <w:proofErr w:type="spellStart"/>
      <w:r w:rsidRPr="008C394E">
        <w:t>efficacy</w:t>
      </w:r>
      <w:proofErr w:type="spellEnd"/>
      <w:r w:rsidRPr="008C394E">
        <w:t xml:space="preserve">: </w:t>
      </w:r>
      <w:proofErr w:type="spellStart"/>
      <w:r w:rsidRPr="008C394E">
        <w:t>Interactions</w:t>
      </w:r>
      <w:proofErr w:type="spellEnd"/>
      <w:r w:rsidRPr="008C394E">
        <w:t xml:space="preserve"> </w:t>
      </w:r>
      <w:proofErr w:type="spellStart"/>
      <w:r w:rsidRPr="008C394E">
        <w:t>to</w:t>
      </w:r>
      <w:proofErr w:type="spellEnd"/>
      <w:r w:rsidRPr="008C394E">
        <w:t xml:space="preserve"> </w:t>
      </w:r>
      <w:proofErr w:type="spellStart"/>
      <w:r w:rsidRPr="008C394E">
        <w:t>prevent</w:t>
      </w:r>
      <w:proofErr w:type="spellEnd"/>
      <w:r w:rsidRPr="008C394E">
        <w:t xml:space="preserve"> </w:t>
      </w:r>
      <w:proofErr w:type="spellStart"/>
      <w:r w:rsidRPr="008C394E">
        <w:t>school</w:t>
      </w:r>
      <w:proofErr w:type="spellEnd"/>
      <w:r w:rsidRPr="008C394E">
        <w:t xml:space="preserve"> </w:t>
      </w:r>
      <w:proofErr w:type="spellStart"/>
      <w:r w:rsidRPr="008C394E">
        <w:t>failure</w:t>
      </w:r>
      <w:proofErr w:type="spellEnd"/>
      <w:r w:rsidRPr="008C394E">
        <w:t xml:space="preserve">. </w:t>
      </w:r>
      <w:proofErr w:type="spellStart"/>
      <w:r w:rsidRPr="008C394E">
        <w:t>Frontiers</w:t>
      </w:r>
      <w:proofErr w:type="spellEnd"/>
      <w:r w:rsidRPr="008C394E">
        <w:t xml:space="preserve"> in </w:t>
      </w:r>
      <w:proofErr w:type="spellStart"/>
      <w:r w:rsidRPr="008C394E">
        <w:t>Psychology</w:t>
      </w:r>
      <w:proofErr w:type="spellEnd"/>
      <w:r w:rsidRPr="008C394E">
        <w:t xml:space="preserve">, 8, 22. </w:t>
      </w:r>
      <w:hyperlink r:id="rId6" w:history="1">
        <w:r w:rsidRPr="008C394E">
          <w:rPr>
            <w:rStyle w:val="Kpr"/>
          </w:rPr>
          <w:t>https://doi.org/10.3389/fpsyg.2017.00022</w:t>
        </w:r>
      </w:hyperlink>
      <w:r w:rsidRPr="008C394E">
        <w:t xml:space="preserve"> </w:t>
      </w:r>
    </w:p>
    <w:p w:rsidR="000B616D" w:rsidRPr="008C394E" w:rsidRDefault="000B616D" w:rsidP="000B616D">
      <w:pPr>
        <w:pStyle w:val="ListeParagraf"/>
        <w:numPr>
          <w:ilvl w:val="0"/>
          <w:numId w:val="1"/>
        </w:numPr>
        <w:tabs>
          <w:tab w:val="left" w:pos="1003"/>
        </w:tabs>
      </w:pPr>
      <w:proofErr w:type="spellStart"/>
      <w:r w:rsidRPr="008C394E">
        <w:t>Fernandez</w:t>
      </w:r>
      <w:proofErr w:type="spellEnd"/>
      <w:r w:rsidRPr="008C394E">
        <w:t>-Rio, J</w:t>
      </w:r>
      <w:proofErr w:type="gramStart"/>
      <w:r w:rsidRPr="008C394E">
        <w:t>.,</w:t>
      </w:r>
      <w:proofErr w:type="gramEnd"/>
      <w:r w:rsidRPr="008C394E">
        <w:t xml:space="preserve"> </w:t>
      </w:r>
      <w:proofErr w:type="spellStart"/>
      <w:r w:rsidRPr="008C394E">
        <w:t>Cecchini</w:t>
      </w:r>
      <w:proofErr w:type="spellEnd"/>
      <w:r w:rsidRPr="008C394E">
        <w:t xml:space="preserve">, J. A., Morgan, K., </w:t>
      </w:r>
      <w:proofErr w:type="spellStart"/>
      <w:r w:rsidRPr="008C394E">
        <w:t>Mendez-Gimenez</w:t>
      </w:r>
      <w:proofErr w:type="spellEnd"/>
      <w:r w:rsidRPr="008C394E">
        <w:t xml:space="preserve">, A., &amp; Lloyd, R. (2022). </w:t>
      </w:r>
      <w:proofErr w:type="spellStart"/>
      <w:r w:rsidRPr="008C394E">
        <w:t>Validation</w:t>
      </w:r>
      <w:proofErr w:type="spellEnd"/>
      <w:r w:rsidRPr="008C394E">
        <w:t xml:space="preserve"> of </w:t>
      </w:r>
      <w:proofErr w:type="spellStart"/>
      <w:r w:rsidRPr="008C394E">
        <w:t>the</w:t>
      </w:r>
      <w:proofErr w:type="spellEnd"/>
      <w:r w:rsidRPr="008C394E">
        <w:t xml:space="preserve"> </w:t>
      </w:r>
      <w:proofErr w:type="spellStart"/>
      <w:r w:rsidRPr="008C394E">
        <w:t>cooperative</w:t>
      </w:r>
      <w:proofErr w:type="spellEnd"/>
      <w:r w:rsidRPr="008C394E">
        <w:t xml:space="preserve"> </w:t>
      </w:r>
      <w:proofErr w:type="spellStart"/>
      <w:r w:rsidRPr="008C394E">
        <w:t>learning</w:t>
      </w:r>
      <w:proofErr w:type="spellEnd"/>
      <w:r w:rsidRPr="008C394E">
        <w:t xml:space="preserve"> </w:t>
      </w:r>
      <w:proofErr w:type="spellStart"/>
      <w:r w:rsidRPr="008C394E">
        <w:t>scale</w:t>
      </w:r>
      <w:proofErr w:type="spellEnd"/>
      <w:r w:rsidRPr="008C394E">
        <w:t xml:space="preserve"> </w:t>
      </w:r>
      <w:proofErr w:type="spellStart"/>
      <w:r w:rsidRPr="008C394E">
        <w:t>and</w:t>
      </w:r>
      <w:proofErr w:type="spellEnd"/>
      <w:r w:rsidRPr="008C394E">
        <w:t xml:space="preserve"> </w:t>
      </w:r>
      <w:proofErr w:type="spellStart"/>
      <w:r w:rsidRPr="008C394E">
        <w:t>cooperation</w:t>
      </w:r>
      <w:proofErr w:type="spellEnd"/>
      <w:r w:rsidRPr="008C394E">
        <w:t xml:space="preserve"> </w:t>
      </w:r>
      <w:proofErr w:type="gramStart"/>
      <w:r w:rsidRPr="008C394E">
        <w:t>global</w:t>
      </w:r>
      <w:proofErr w:type="gramEnd"/>
      <w:r w:rsidRPr="008C394E">
        <w:t xml:space="preserve"> </w:t>
      </w:r>
      <w:proofErr w:type="spellStart"/>
      <w:r w:rsidRPr="008C394E">
        <w:t>factor</w:t>
      </w:r>
      <w:proofErr w:type="spellEnd"/>
      <w:r w:rsidRPr="008C394E">
        <w:t xml:space="preserve"> </w:t>
      </w:r>
      <w:proofErr w:type="spellStart"/>
      <w:r w:rsidRPr="008C394E">
        <w:t>using</w:t>
      </w:r>
      <w:proofErr w:type="spellEnd"/>
      <w:r w:rsidRPr="008C394E">
        <w:t xml:space="preserve"> </w:t>
      </w:r>
      <w:proofErr w:type="spellStart"/>
      <w:r w:rsidRPr="008C394E">
        <w:t>bifactor</w:t>
      </w:r>
      <w:proofErr w:type="spellEnd"/>
      <w:r w:rsidRPr="008C394E">
        <w:t xml:space="preserve"> </w:t>
      </w:r>
      <w:proofErr w:type="spellStart"/>
      <w:r w:rsidRPr="008C394E">
        <w:t>structural</w:t>
      </w:r>
      <w:proofErr w:type="spellEnd"/>
      <w:r w:rsidRPr="008C394E">
        <w:t xml:space="preserve"> </w:t>
      </w:r>
      <w:proofErr w:type="spellStart"/>
      <w:r w:rsidRPr="008C394E">
        <w:t>equation</w:t>
      </w:r>
      <w:proofErr w:type="spellEnd"/>
      <w:r w:rsidRPr="008C394E">
        <w:t xml:space="preserve"> </w:t>
      </w:r>
      <w:proofErr w:type="spellStart"/>
      <w:r w:rsidRPr="008C394E">
        <w:t>modelling</w:t>
      </w:r>
      <w:proofErr w:type="spellEnd"/>
      <w:r w:rsidRPr="008C394E">
        <w:t xml:space="preserve">. </w:t>
      </w:r>
      <w:proofErr w:type="spellStart"/>
      <w:r w:rsidRPr="008C394E">
        <w:t>Psicología</w:t>
      </w:r>
      <w:proofErr w:type="spellEnd"/>
      <w:r w:rsidRPr="008C394E">
        <w:t xml:space="preserve"> </w:t>
      </w:r>
      <w:proofErr w:type="spellStart"/>
      <w:r w:rsidRPr="008C394E">
        <w:t>Educativa</w:t>
      </w:r>
      <w:proofErr w:type="spellEnd"/>
      <w:r w:rsidRPr="008C394E">
        <w:t xml:space="preserve">, 28(2), 91-97. </w:t>
      </w:r>
    </w:p>
    <w:p w:rsidR="00AD0DAB" w:rsidRDefault="008C394E" w:rsidP="00AD0DAB">
      <w:pPr>
        <w:pStyle w:val="ListeParagraf"/>
        <w:tabs>
          <w:tab w:val="left" w:pos="1003"/>
        </w:tabs>
      </w:pPr>
      <w:r>
        <w:t xml:space="preserve">       </w:t>
      </w:r>
      <w:hyperlink r:id="rId7" w:history="1">
        <w:r w:rsidR="000B616D" w:rsidRPr="008C394E">
          <w:rPr>
            <w:rStyle w:val="Kpr"/>
          </w:rPr>
          <w:t>https://doi.org/10.5093/psed2021a2</w:t>
        </w:r>
      </w:hyperlink>
      <w:r w:rsidR="000B616D" w:rsidRPr="008C394E">
        <w:t xml:space="preserve"> </w:t>
      </w:r>
    </w:p>
    <w:p w:rsidR="008C394E" w:rsidRPr="008C394E" w:rsidRDefault="008C394E" w:rsidP="00AD0DAB">
      <w:pPr>
        <w:pStyle w:val="ListeParagraf"/>
        <w:tabs>
          <w:tab w:val="left" w:pos="1003"/>
        </w:tabs>
      </w:pPr>
    </w:p>
    <w:p w:rsidR="008C394E" w:rsidRDefault="000B616D" w:rsidP="008C394E">
      <w:pPr>
        <w:pStyle w:val="ListeParagraf"/>
        <w:numPr>
          <w:ilvl w:val="0"/>
          <w:numId w:val="4"/>
        </w:numPr>
        <w:tabs>
          <w:tab w:val="left" w:pos="1003"/>
        </w:tabs>
      </w:pPr>
      <w:r w:rsidRPr="008C394E">
        <w:t>Güngör, P</w:t>
      </w:r>
      <w:proofErr w:type="gramStart"/>
      <w:r w:rsidRPr="008C394E">
        <w:t>.,</w:t>
      </w:r>
      <w:proofErr w:type="gramEnd"/>
      <w:r w:rsidRPr="008C394E">
        <w:t xml:space="preserve"> Kaya Uyanık, G., &amp; Yeşil, R. (2025). </w:t>
      </w:r>
      <w:proofErr w:type="spellStart"/>
      <w:r w:rsidRPr="008C394E">
        <w:t>İşbirlikli</w:t>
      </w:r>
      <w:proofErr w:type="spellEnd"/>
      <w:r w:rsidRPr="008C394E">
        <w:t xml:space="preserve"> Öğrenme Ölçeği: Türkçeye Uyarlama Çalışması. MANAS Sosyal Araştırmalar Dergisi, 14(Eğitim Bilimleri Ek Sayısı), 31-49.</w:t>
      </w:r>
    </w:p>
    <w:p w:rsidR="000B616D" w:rsidRPr="008C394E" w:rsidRDefault="008C394E" w:rsidP="008C394E">
      <w:pPr>
        <w:tabs>
          <w:tab w:val="left" w:pos="1003"/>
        </w:tabs>
      </w:pPr>
      <w:r>
        <w:t xml:space="preserve">                      </w:t>
      </w:r>
      <w:hyperlink r:id="rId8" w:history="1">
        <w:r w:rsidRPr="008C394E">
          <w:rPr>
            <w:rFonts w:ascii="Poppins" w:hAnsi="Poppins"/>
            <w:color w:val="2739C1"/>
            <w:u w:val="single"/>
            <w:shd w:val="clear" w:color="auto" w:fill="FFFFFF"/>
          </w:rPr>
          <w:t>https://doi.org/10.33206/mjss.1627888</w:t>
        </w:r>
      </w:hyperlink>
    </w:p>
    <w:p w:rsidR="000B616D" w:rsidRPr="008C394E" w:rsidRDefault="000B616D" w:rsidP="000B616D">
      <w:pPr>
        <w:pStyle w:val="ListeParagraf"/>
        <w:tabs>
          <w:tab w:val="left" w:pos="1003"/>
        </w:tabs>
        <w:ind w:firstLine="0"/>
      </w:pPr>
    </w:p>
    <w:p w:rsidR="008C394E" w:rsidRPr="008C394E" w:rsidRDefault="008C394E">
      <w:pPr>
        <w:pStyle w:val="ListeParagraf"/>
        <w:tabs>
          <w:tab w:val="left" w:pos="1003"/>
        </w:tabs>
        <w:ind w:firstLine="0"/>
      </w:pPr>
    </w:p>
    <w:sectPr w:rsidR="008C394E" w:rsidRPr="008C394E">
      <w:type w:val="continuous"/>
      <w:pgSz w:w="11910" w:h="16840"/>
      <w:pgMar w:top="1380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F90"/>
    <w:multiLevelType w:val="hybridMultilevel"/>
    <w:tmpl w:val="B92C3CF0"/>
    <w:lvl w:ilvl="0" w:tplc="041F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">
    <w:nsid w:val="171A6CE2"/>
    <w:multiLevelType w:val="hybridMultilevel"/>
    <w:tmpl w:val="C94C1736"/>
    <w:lvl w:ilvl="0" w:tplc="DAA0E794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810C064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  <w:lvl w:ilvl="2" w:tplc="74A8DF58">
      <w:numFmt w:val="bullet"/>
      <w:lvlText w:val="•"/>
      <w:lvlJc w:val="left"/>
      <w:pPr>
        <w:ind w:left="2841" w:hanging="360"/>
      </w:pPr>
      <w:rPr>
        <w:rFonts w:hint="default"/>
        <w:lang w:val="tr-TR" w:eastAsia="en-US" w:bidi="ar-SA"/>
      </w:rPr>
    </w:lvl>
    <w:lvl w:ilvl="3" w:tplc="D382CBCE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2E804B9C">
      <w:numFmt w:val="bullet"/>
      <w:lvlText w:val="•"/>
      <w:lvlJc w:val="left"/>
      <w:pPr>
        <w:ind w:left="4682" w:hanging="360"/>
      </w:pPr>
      <w:rPr>
        <w:rFonts w:hint="default"/>
        <w:lang w:val="tr-TR" w:eastAsia="en-US" w:bidi="ar-SA"/>
      </w:rPr>
    </w:lvl>
    <w:lvl w:ilvl="5" w:tplc="F446CB38">
      <w:numFmt w:val="bullet"/>
      <w:lvlText w:val="•"/>
      <w:lvlJc w:val="left"/>
      <w:pPr>
        <w:ind w:left="5603" w:hanging="360"/>
      </w:pPr>
      <w:rPr>
        <w:rFonts w:hint="default"/>
        <w:lang w:val="tr-TR" w:eastAsia="en-US" w:bidi="ar-SA"/>
      </w:rPr>
    </w:lvl>
    <w:lvl w:ilvl="6" w:tplc="ADCC21DC">
      <w:numFmt w:val="bullet"/>
      <w:lvlText w:val="•"/>
      <w:lvlJc w:val="left"/>
      <w:pPr>
        <w:ind w:left="6524" w:hanging="360"/>
      </w:pPr>
      <w:rPr>
        <w:rFonts w:hint="default"/>
        <w:lang w:val="tr-TR" w:eastAsia="en-US" w:bidi="ar-SA"/>
      </w:rPr>
    </w:lvl>
    <w:lvl w:ilvl="7" w:tplc="3654B8C2">
      <w:numFmt w:val="bullet"/>
      <w:lvlText w:val="•"/>
      <w:lvlJc w:val="left"/>
      <w:pPr>
        <w:ind w:left="7445" w:hanging="360"/>
      </w:pPr>
      <w:rPr>
        <w:rFonts w:hint="default"/>
        <w:lang w:val="tr-TR" w:eastAsia="en-US" w:bidi="ar-SA"/>
      </w:rPr>
    </w:lvl>
    <w:lvl w:ilvl="8" w:tplc="742E74AA">
      <w:numFmt w:val="bullet"/>
      <w:lvlText w:val="•"/>
      <w:lvlJc w:val="left"/>
      <w:pPr>
        <w:ind w:left="8365" w:hanging="360"/>
      </w:pPr>
      <w:rPr>
        <w:rFonts w:hint="default"/>
        <w:lang w:val="tr-TR" w:eastAsia="en-US" w:bidi="ar-SA"/>
      </w:rPr>
    </w:lvl>
  </w:abstractNum>
  <w:abstractNum w:abstractNumId="2">
    <w:nsid w:val="3CDA4933"/>
    <w:multiLevelType w:val="hybridMultilevel"/>
    <w:tmpl w:val="00503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55A4D"/>
    <w:multiLevelType w:val="hybridMultilevel"/>
    <w:tmpl w:val="E5A814FE"/>
    <w:lvl w:ilvl="0" w:tplc="041F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12ED"/>
    <w:rsid w:val="000B616D"/>
    <w:rsid w:val="0026056A"/>
    <w:rsid w:val="00394E02"/>
    <w:rsid w:val="004412ED"/>
    <w:rsid w:val="008C394E"/>
    <w:rsid w:val="00AD0DAB"/>
    <w:rsid w:val="00E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83"/>
      <w:jc w:val="both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03" w:right="84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0B6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83"/>
      <w:jc w:val="both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03" w:right="84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0B6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06/mjss.16278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5093/psed2021a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89/fpsyg.2017.000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 akın</dc:creator>
  <cp:lastModifiedBy>YEŞİLVADİ</cp:lastModifiedBy>
  <cp:revision>2</cp:revision>
  <dcterms:created xsi:type="dcterms:W3CDTF">2025-10-31T06:56:00Z</dcterms:created>
  <dcterms:modified xsi:type="dcterms:W3CDTF">2025-10-31T06:56:00Z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LTSC</vt:lpwstr>
  </property>
</Properties>
</file>