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98" w:rightFromText="198" w:vertAnchor="page" w:horzAnchor="margin" w:tblpY="9264"/>
        <w:tblW w:w="2410" w:type="dxa"/>
        <w:tblLayout w:type="fixed"/>
        <w:tblCellMar>
          <w:left w:w="0" w:type="dxa"/>
          <w:right w:w="0" w:type="dxa"/>
        </w:tblCellMar>
        <w:tblLook w:val="04A0" w:firstRow="1" w:lastRow="0" w:firstColumn="1" w:lastColumn="0" w:noHBand="0" w:noVBand="1"/>
      </w:tblPr>
      <w:tblGrid>
        <w:gridCol w:w="2410"/>
      </w:tblGrid>
      <w:tr w:rsidR="006B550A" w:rsidRPr="00E8314F" w14:paraId="4B23026B" w14:textId="77777777" w:rsidTr="006B550A">
        <w:tc>
          <w:tcPr>
            <w:tcW w:w="2410" w:type="dxa"/>
          </w:tcPr>
          <w:p w14:paraId="0B80E2FB" w14:textId="77777777" w:rsidR="006B550A" w:rsidRPr="00E8314F" w:rsidRDefault="006B550A" w:rsidP="006B550A">
            <w:pPr>
              <w:pStyle w:val="MDPI61Citation"/>
              <w:spacing w:after="120" w:line="240" w:lineRule="exact"/>
            </w:pPr>
            <w:r w:rsidRPr="00E8314F">
              <w:rPr>
                <w:b/>
              </w:rPr>
              <w:t xml:space="preserve">Citation: </w:t>
            </w:r>
            <w:r>
              <w:t>Gurol, A., Ilhan-</w:t>
            </w:r>
            <w:proofErr w:type="spellStart"/>
            <w:r>
              <w:t>Findikoglu</w:t>
            </w:r>
            <w:proofErr w:type="spellEnd"/>
            <w:r>
              <w:t xml:space="preserve">, D., Gurol, M., </w:t>
            </w:r>
            <w:proofErr w:type="spellStart"/>
            <w:r>
              <w:t>Findikoglu</w:t>
            </w:r>
            <w:proofErr w:type="spellEnd"/>
            <w:r>
              <w:t xml:space="preserve">, F., &amp; </w:t>
            </w:r>
            <w:proofErr w:type="spellStart"/>
            <w:r>
              <w:t>Yesilkaya</w:t>
            </w:r>
            <w:proofErr w:type="spellEnd"/>
            <w:r>
              <w:t xml:space="preserve">, M. (2025). Work-Domain Goal Orientation: A Theoretical Framework for the Construct and Turkish Adaptation of a Work-Domain Goal Orientation Instrument. </w:t>
            </w:r>
            <w:r w:rsidRPr="0073647A">
              <w:rPr>
                <w:i/>
                <w:iCs/>
              </w:rPr>
              <w:t>Education Sciences, 15</w:t>
            </w:r>
            <w:r>
              <w:t>(1), 67. https://doi.org/10.3390/educsci15010067</w:t>
            </w:r>
            <w:r w:rsidRPr="00E8314F">
              <w:t>.</w:t>
            </w:r>
          </w:p>
          <w:p w14:paraId="6A905BE5" w14:textId="77777777" w:rsidR="006B550A" w:rsidRPr="00E8314F" w:rsidRDefault="006B550A" w:rsidP="006B550A">
            <w:pPr>
              <w:pStyle w:val="MDPI15academiceditor"/>
              <w:spacing w:after="120"/>
            </w:pPr>
            <w:r w:rsidRPr="00E8314F">
              <w:t xml:space="preserve">Academic Editor: </w:t>
            </w:r>
            <w:proofErr w:type="spellStart"/>
            <w:r w:rsidRPr="00FF3396">
              <w:t>Xinqiao</w:t>
            </w:r>
            <w:proofErr w:type="spellEnd"/>
            <w:r w:rsidRPr="00FF3396">
              <w:t xml:space="preserve"> Liu</w:t>
            </w:r>
          </w:p>
          <w:p w14:paraId="3F22608B" w14:textId="77777777" w:rsidR="006B550A" w:rsidRPr="00E8314F" w:rsidRDefault="006B550A" w:rsidP="006B550A">
            <w:pPr>
              <w:pStyle w:val="MDPI14history"/>
              <w:spacing w:before="120"/>
            </w:pPr>
            <w:r w:rsidRPr="00E8314F">
              <w:t xml:space="preserve">Received: </w:t>
            </w:r>
            <w:r>
              <w:t>19 November 2024</w:t>
            </w:r>
          </w:p>
          <w:p w14:paraId="24DE941B" w14:textId="77777777" w:rsidR="006B550A" w:rsidRPr="00E8314F" w:rsidRDefault="006B550A" w:rsidP="006B550A">
            <w:pPr>
              <w:pStyle w:val="MDPI14history"/>
            </w:pPr>
            <w:r w:rsidRPr="00E8314F">
              <w:t xml:space="preserve">Revised: </w:t>
            </w:r>
            <w:r>
              <w:t>22 December 2024</w:t>
            </w:r>
          </w:p>
          <w:p w14:paraId="09E4A0F6" w14:textId="77777777" w:rsidR="006B550A" w:rsidRPr="00E8314F" w:rsidRDefault="006B550A" w:rsidP="006B550A">
            <w:pPr>
              <w:pStyle w:val="MDPI14history"/>
            </w:pPr>
            <w:r w:rsidRPr="00E8314F">
              <w:t xml:space="preserve">Accepted: </w:t>
            </w:r>
            <w:r>
              <w:t>28 December 2024</w:t>
            </w:r>
          </w:p>
          <w:p w14:paraId="22FFA5FB" w14:textId="77777777" w:rsidR="006B550A" w:rsidRPr="00E8314F" w:rsidRDefault="006B550A" w:rsidP="006B550A">
            <w:pPr>
              <w:pStyle w:val="MDPI14history"/>
              <w:spacing w:after="120"/>
            </w:pPr>
            <w:r w:rsidRPr="00E8314F">
              <w:t xml:space="preserve">Published: </w:t>
            </w:r>
            <w:r>
              <w:t>10 January 2025</w:t>
            </w:r>
          </w:p>
          <w:p w14:paraId="448F52E5" w14:textId="77777777" w:rsidR="006B550A" w:rsidRPr="00E8314F" w:rsidRDefault="006B550A" w:rsidP="006B550A">
            <w:pPr>
              <w:adjustRightInd w:val="0"/>
              <w:snapToGrid w:val="0"/>
              <w:spacing w:before="120" w:line="240" w:lineRule="atLeast"/>
              <w:ind w:right="113"/>
              <w:jc w:val="left"/>
              <w:rPr>
                <w:rFonts w:eastAsia="DengXian"/>
                <w:bCs/>
                <w:sz w:val="14"/>
                <w:szCs w:val="14"/>
                <w:lang w:bidi="en-US"/>
              </w:rPr>
            </w:pPr>
            <w:r w:rsidRPr="00E8314F">
              <w:rPr>
                <w:rFonts w:eastAsia="DengXian"/>
                <w:noProof/>
              </w:rPr>
              <w:drawing>
                <wp:inline distT="0" distB="0" distL="0" distR="0" wp14:anchorId="19209A8A" wp14:editId="12D5678B">
                  <wp:extent cx="692785" cy="249555"/>
                  <wp:effectExtent l="0" t="0" r="0" b="0"/>
                  <wp:docPr id="3" name="Picture 4"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96BE452" w14:textId="77777777" w:rsidR="006B550A" w:rsidRPr="00E8314F" w:rsidRDefault="006B550A" w:rsidP="006B550A">
            <w:pPr>
              <w:pStyle w:val="MDPI72Copyright"/>
              <w:rPr>
                <w:rFonts w:eastAsia="DengXian"/>
                <w:lang w:val="en-US" w:bidi="en-US"/>
              </w:rPr>
            </w:pPr>
            <w:r w:rsidRPr="00E8314F">
              <w:rPr>
                <w:rFonts w:eastAsia="DengXian"/>
                <w:b/>
                <w:lang w:val="en-US" w:bidi="en-US"/>
              </w:rPr>
              <w:t>Copyright:</w:t>
            </w:r>
            <w:r w:rsidRPr="00E8314F">
              <w:rPr>
                <w:rFonts w:eastAsia="DengXian"/>
                <w:lang w:val="en-US" w:bidi="en-US"/>
              </w:rPr>
              <w:t xml:space="preserve"> © 202</w:t>
            </w:r>
            <w:r>
              <w:rPr>
                <w:rFonts w:eastAsia="DengXian"/>
                <w:lang w:val="en-US" w:bidi="en-US"/>
              </w:rPr>
              <w:t>5</w:t>
            </w:r>
            <w:r w:rsidRPr="00E8314F">
              <w:rPr>
                <w:rFonts w:eastAsia="DengXian"/>
                <w:lang w:val="en-US" w:bidi="en-US"/>
              </w:rPr>
              <w:t xml:space="preserve"> by the authors. Submitted for possible open access publication under the terms and conditions of the Creative Commons Attribution (CC BY) license (https://creativecommons.org/licenses/by/4.0/).</w:t>
            </w:r>
          </w:p>
        </w:tc>
      </w:tr>
    </w:tbl>
    <w:p w14:paraId="179ED116" w14:textId="34A12D42" w:rsidR="00355503" w:rsidRPr="00E8314F" w:rsidRDefault="003C0CA6" w:rsidP="00355503">
      <w:pPr>
        <w:pStyle w:val="MDPI11articletype"/>
      </w:pPr>
      <w:r>
        <w:t>Article</w:t>
      </w:r>
    </w:p>
    <w:p w14:paraId="0CC73240" w14:textId="5BD32C2B" w:rsidR="00FC13B8" w:rsidRPr="00E8314F" w:rsidRDefault="00AD65B9" w:rsidP="00085F1A">
      <w:pPr>
        <w:pStyle w:val="MDPI12title"/>
      </w:pPr>
      <w:r w:rsidRPr="00D6602F">
        <w:t>Work-Domain Goal Orientation: A Theoretical Framework for the Construct and Turkish Adaptation of the Work-Domain Goal Orientation Instrument</w:t>
      </w:r>
    </w:p>
    <w:p w14:paraId="7796662C" w14:textId="44BD97A4" w:rsidR="00355503" w:rsidRPr="00E8314F" w:rsidRDefault="00085F1A" w:rsidP="00085F1A">
      <w:pPr>
        <w:pStyle w:val="MDPI16affiliation"/>
      </w:pPr>
      <w:r>
        <w:rPr>
          <w:vertAlign w:val="superscript"/>
        </w:rPr>
        <w:t xml:space="preserve"> </w:t>
      </w:r>
      <w:r>
        <w:rPr>
          <w:b/>
        </w:rPr>
        <w:t xml:space="preserve">  </w:t>
      </w:r>
      <w:r w:rsidR="00355503" w:rsidRPr="00E8314F">
        <w:rPr>
          <w:b/>
        </w:rPr>
        <w:t xml:space="preserve">Abstract: </w:t>
      </w:r>
      <w:r w:rsidR="007D3477" w:rsidRPr="007D3477">
        <w:t>This</w:t>
      </w:r>
      <w:r w:rsidR="00226F58" w:rsidRPr="00226F58">
        <w:t xml:space="preserve"> </w:t>
      </w:r>
      <w:r w:rsidR="0030498F" w:rsidRPr="0030498F">
        <w:t xml:space="preserve">study brings </w:t>
      </w:r>
      <w:r w:rsidR="007A524F">
        <w:t>a</w:t>
      </w:r>
      <w:r w:rsidR="0030498F" w:rsidRPr="0030498F">
        <w:t xml:space="preserve"> novel perspective to the relationship between higher education and work life by examining work-domain goal orientation as a critical factor in preparing students for professional environments. Through an extensive literature review, it highlights the role of </w:t>
      </w:r>
      <w:r w:rsidR="00626AC5">
        <w:t>wor</w:t>
      </w:r>
      <w:r w:rsidR="004E6FE0">
        <w:t>k</w:t>
      </w:r>
      <w:r w:rsidR="00626AC5">
        <w:t xml:space="preserve">-domain </w:t>
      </w:r>
      <w:r w:rsidR="0030498F" w:rsidRPr="0030498F">
        <w:t xml:space="preserve">goal orientation in aligning higher education curricula with the demands of the modern workplace, emphasizing how students' goal orientation influences their future professional success. Additionally, this study adapts and validates the Work-Domain Goal Orientation instrument into Turkish, offering a reliable tool for use in </w:t>
      </w:r>
      <w:r w:rsidR="00626AC5">
        <w:t>Turkish contexts</w:t>
      </w:r>
      <w:r w:rsidR="0030498F" w:rsidRPr="0030498F">
        <w:t>. A sample of 729 undergraduate students from various academic disciplines participated</w:t>
      </w:r>
      <w:r w:rsidR="00626AC5">
        <w:t xml:space="preserve"> in the study</w:t>
      </w:r>
      <w:r w:rsidR="0030498F" w:rsidRPr="0030498F">
        <w:t xml:space="preserve">. Exploratory and confirmatory factor analyses confirmed a three-factor structure (Learning, Proving, Avoiding), accounting for 68.4% of the variance. The internal consistency was reliable, with Cronbach’s alpha </w:t>
      </w:r>
      <w:r w:rsidR="00603E61">
        <w:t xml:space="preserve">values </w:t>
      </w:r>
      <w:r w:rsidR="0030498F" w:rsidRPr="0030498F">
        <w:t>ranging from .8</w:t>
      </w:r>
      <w:r w:rsidR="003114F6">
        <w:t>4</w:t>
      </w:r>
      <w:r w:rsidR="0030498F" w:rsidRPr="0030498F">
        <w:t xml:space="preserve"> to .86 across subscales. </w:t>
      </w:r>
      <w:r w:rsidR="000207DE" w:rsidRPr="000207DE">
        <w:t>The study provides a dual contribution by offering theoretical insights into work-domain goal orientation and delivering a psychometrically validated tool for assessing students’ readiness for professional life in a non-Western context. These findings address gaps in the literature on goal orientation and its application in diverse cultural settings, advancing both academic understanding and practical applications for educational institutions and employers.</w:t>
      </w:r>
      <w:r w:rsidR="0030498F" w:rsidRPr="0030498F">
        <w:t xml:space="preserve"> This study contributes to bridging the gap between higher education and work life, offering both theoretical perspectives and a practical tool to improve workforce preparedness.</w:t>
      </w:r>
    </w:p>
    <w:p w14:paraId="5FDA8E22" w14:textId="65939567" w:rsidR="00355503" w:rsidRPr="00E8314F" w:rsidRDefault="00355503" w:rsidP="00355503">
      <w:pPr>
        <w:pStyle w:val="MDPI18keywords"/>
        <w:rPr>
          <w:szCs w:val="18"/>
        </w:rPr>
      </w:pPr>
      <w:r w:rsidRPr="00E8314F">
        <w:rPr>
          <w:b/>
          <w:szCs w:val="18"/>
        </w:rPr>
        <w:t xml:space="preserve">Keywords: </w:t>
      </w:r>
      <w:r w:rsidR="003650FD">
        <w:rPr>
          <w:szCs w:val="18"/>
        </w:rPr>
        <w:t>work-domain goal orientation</w:t>
      </w:r>
      <w:r w:rsidRPr="00E8314F">
        <w:rPr>
          <w:szCs w:val="18"/>
        </w:rPr>
        <w:t xml:space="preserve">; </w:t>
      </w:r>
      <w:r w:rsidR="007D2054">
        <w:rPr>
          <w:szCs w:val="18"/>
        </w:rPr>
        <w:t>higher education curriculum</w:t>
      </w:r>
      <w:r w:rsidRPr="00E8314F">
        <w:rPr>
          <w:szCs w:val="18"/>
        </w:rPr>
        <w:t xml:space="preserve">; </w:t>
      </w:r>
      <w:r w:rsidR="007D2054">
        <w:rPr>
          <w:szCs w:val="18"/>
        </w:rPr>
        <w:t xml:space="preserve">student readiness for work; scale adaptation; </w:t>
      </w:r>
      <w:r w:rsidR="00755C2A">
        <w:rPr>
          <w:szCs w:val="18"/>
        </w:rPr>
        <w:t>factor analysis</w:t>
      </w:r>
    </w:p>
    <w:p w14:paraId="5E8B9AC5" w14:textId="77777777" w:rsidR="00355503" w:rsidRPr="00E8314F" w:rsidRDefault="00355503" w:rsidP="00355503">
      <w:pPr>
        <w:pStyle w:val="MDPI19line"/>
      </w:pPr>
    </w:p>
    <w:p w14:paraId="167AD937" w14:textId="77777777" w:rsidR="00355503" w:rsidRPr="00212463" w:rsidRDefault="00355503" w:rsidP="00355503">
      <w:pPr>
        <w:pStyle w:val="MDPI21heading1"/>
        <w:rPr>
          <w:color w:val="FFFFFF" w:themeColor="background1"/>
          <w:lang w:eastAsia="zh-CN"/>
        </w:rPr>
      </w:pPr>
      <w:r w:rsidRPr="00212463">
        <w:rPr>
          <w:color w:val="FFFFFF" w:themeColor="background1"/>
          <w:lang w:eastAsia="zh-CN"/>
        </w:rPr>
        <w:t>1. Introduction</w:t>
      </w:r>
    </w:p>
    <w:p w14:paraId="1257209B" w14:textId="29B3B55E" w:rsidR="00B409DF" w:rsidRPr="00212463" w:rsidRDefault="00AA22C7" w:rsidP="00B409DF">
      <w:pPr>
        <w:pStyle w:val="MDPI31text"/>
        <w:rPr>
          <w:color w:val="FFFFFF" w:themeColor="background1"/>
        </w:rPr>
      </w:pPr>
      <w:r w:rsidRPr="00212463">
        <w:rPr>
          <w:color w:val="FFFFFF" w:themeColor="background1"/>
        </w:rPr>
        <w:t xml:space="preserve">The </w:t>
      </w:r>
      <w:r w:rsidR="00B409DF" w:rsidRPr="00212463">
        <w:rPr>
          <w:color w:val="FFFFFF" w:themeColor="background1"/>
        </w:rPr>
        <w:t xml:space="preserve">purpose of education has undergone significant evolution, shaped by philosophical, economic, political, and social forces. This evolution is reflected in both teaching philosophies and curricular reforms. Dewey </w:t>
      </w:r>
      <w:r w:rsidR="001F37A4" w:rsidRPr="00212463">
        <w:rPr>
          <w:color w:val="FFFFFF" w:themeColor="background1"/>
        </w:rPr>
        <w:t>[1]</w:t>
      </w:r>
      <w:r w:rsidR="00B409DF" w:rsidRPr="00212463">
        <w:rPr>
          <w:color w:val="FFFFFF" w:themeColor="background1"/>
        </w:rPr>
        <w:t xml:space="preserve"> emphasized that education’s primary function is to prepare individuals for the society they will inhabit. Similarly, Martin Luther King Jr. </w:t>
      </w:r>
      <w:r w:rsidR="00B87DC9" w:rsidRPr="00212463">
        <w:rPr>
          <w:color w:val="FFFFFF" w:themeColor="background1"/>
        </w:rPr>
        <w:t>[2]</w:t>
      </w:r>
      <w:r w:rsidR="00B409DF" w:rsidRPr="00212463">
        <w:rPr>
          <w:color w:val="FFFFFF" w:themeColor="background1"/>
        </w:rPr>
        <w:t xml:space="preserve"> underscored the critical role of education in fostering intensive thinking and strong character, asserting that a failure to fulfill this role poses a substantial threat to society. The Association for Supervision and Development Committee </w:t>
      </w:r>
      <w:r w:rsidR="00B87DC9" w:rsidRPr="00212463">
        <w:rPr>
          <w:color w:val="FFFFFF" w:themeColor="background1"/>
        </w:rPr>
        <w:t>[3]</w:t>
      </w:r>
      <w:r w:rsidR="00B409DF" w:rsidRPr="00212463">
        <w:rPr>
          <w:color w:val="FFFFFF" w:themeColor="background1"/>
        </w:rPr>
        <w:t xml:space="preserve"> further argued that education should enable learners to develop holistically, preparing them to lead moral, creative, and productive lives within a democratic society. Later, Ammons </w:t>
      </w:r>
      <w:r w:rsidR="00B87DC9" w:rsidRPr="00212463">
        <w:rPr>
          <w:color w:val="FFFFFF" w:themeColor="background1"/>
        </w:rPr>
        <w:t>[4]</w:t>
      </w:r>
      <w:r w:rsidR="00B409DF" w:rsidRPr="00212463">
        <w:rPr>
          <w:color w:val="FFFFFF" w:themeColor="background1"/>
        </w:rPr>
        <w:t xml:space="preserve"> expanded this view, suggesting that education’s purpose had shifted towards creating a "learning society" rather than merely producing literate citizens. Foshay </w:t>
      </w:r>
      <w:r w:rsidR="00B87DC9" w:rsidRPr="00212463">
        <w:rPr>
          <w:color w:val="FFFFFF" w:themeColor="background1"/>
        </w:rPr>
        <w:t>[5]</w:t>
      </w:r>
      <w:r w:rsidR="00B409DF" w:rsidRPr="00212463">
        <w:rPr>
          <w:color w:val="FFFFFF" w:themeColor="background1"/>
        </w:rPr>
        <w:t xml:space="preserve"> offered a broader humanistic perspective, acknowledging the multifaceted purposes of education, including intellectual development, social contribution, economic expectations, and professional growth. However, he warned that focusing exclusively on any single dimension risks distorting the essence of human development.</w:t>
      </w:r>
    </w:p>
    <w:p w14:paraId="66963C5E" w14:textId="77777777" w:rsidR="00B409DF" w:rsidRPr="00212463" w:rsidRDefault="00B409DF" w:rsidP="00B409DF">
      <w:pPr>
        <w:pStyle w:val="MDPI31text"/>
        <w:rPr>
          <w:color w:val="FFFFFF" w:themeColor="background1"/>
        </w:rPr>
      </w:pPr>
      <w:r w:rsidRPr="00212463">
        <w:rPr>
          <w:color w:val="FFFFFF" w:themeColor="background1"/>
        </w:rPr>
        <w:t>While the debate has historically focused on developed countries, it is crucial to explore these issues from the perspective of developing nations. In a world where technological advances are proceeding at an unprecedented pace, the role of education in keeping up with such progress becomes even more critical. The discussion surrounding the purpose of education is closely intertwined with curriculum research, which continues to be a central focus in educational systems worldwide.</w:t>
      </w:r>
    </w:p>
    <w:p w14:paraId="40690280" w14:textId="6D9EB809" w:rsidR="0035077A" w:rsidRDefault="00B409DF" w:rsidP="00411186">
      <w:pPr>
        <w:pStyle w:val="MDPI31text"/>
      </w:pPr>
      <w:r w:rsidRPr="00212463">
        <w:rPr>
          <w:color w:val="FFFFFF" w:themeColor="background1"/>
        </w:rPr>
        <w:t xml:space="preserve">Despite the broad consensus on the evolving purpose of education, some scholars have expressed concerns. Chomsky </w:t>
      </w:r>
      <w:r w:rsidR="007D6134" w:rsidRPr="00212463">
        <w:rPr>
          <w:color w:val="FFFFFF" w:themeColor="background1"/>
        </w:rPr>
        <w:t>[6]</w:t>
      </w:r>
      <w:r w:rsidRPr="00212463">
        <w:rPr>
          <w:color w:val="FFFFFF" w:themeColor="background1"/>
        </w:rPr>
        <w:t xml:space="preserve">, for instance, posited that education should primarily serve as a tool for individual self-actualization, while Barnett </w:t>
      </w:r>
      <w:r w:rsidR="00E46300" w:rsidRPr="00212463">
        <w:rPr>
          <w:color w:val="FFFFFF" w:themeColor="background1"/>
        </w:rPr>
        <w:t>[7]</w:t>
      </w:r>
      <w:r w:rsidRPr="00212463">
        <w:rPr>
          <w:color w:val="FFFFFF" w:themeColor="background1"/>
        </w:rPr>
        <w:t xml:space="preserve"> warned that </w:t>
      </w:r>
      <w:r w:rsidRPr="006B550A">
        <w:rPr>
          <w:color w:val="FFFFFF" w:themeColor="background1"/>
        </w:rPr>
        <w:t xml:space="preserve">higher education’s professional mission could undermine its broader societal role. </w:t>
      </w:r>
    </w:p>
    <w:p w14:paraId="592D4694" w14:textId="460A4547" w:rsidR="007A0117" w:rsidRPr="00E8314F" w:rsidRDefault="007A0117" w:rsidP="007A0117">
      <w:pPr>
        <w:adjustRightInd w:val="0"/>
        <w:snapToGrid w:val="0"/>
        <w:spacing w:before="240" w:after="60" w:line="228" w:lineRule="auto"/>
        <w:ind w:left="2608"/>
        <w:rPr>
          <w:b/>
          <w:bCs/>
          <w:szCs w:val="18"/>
          <w:lang w:bidi="en-US"/>
        </w:rPr>
      </w:pPr>
      <w:r w:rsidRPr="00411186">
        <w:rPr>
          <w:b/>
          <w:bCs/>
          <w:szCs w:val="18"/>
          <w:lang w:bidi="en-US"/>
        </w:rPr>
        <w:lastRenderedPageBreak/>
        <w:t>Appendix B</w:t>
      </w:r>
    </w:p>
    <w:p w14:paraId="38F99470" w14:textId="2E922F3B" w:rsidR="007A0117" w:rsidRDefault="007A0117" w:rsidP="007A0117">
      <w:pPr>
        <w:pStyle w:val="MDPI31text"/>
      </w:pPr>
      <w:r w:rsidRPr="00E8314F">
        <w:t>The</w:t>
      </w:r>
      <w:r>
        <w:t xml:space="preserve"> following are the items of the adapted version of the Work Domain Goal Orientation Instrument.</w:t>
      </w:r>
    </w:p>
    <w:p w14:paraId="59C067CD" w14:textId="77777777" w:rsidR="007A0117" w:rsidRDefault="007A0117" w:rsidP="007A0117">
      <w:pPr>
        <w:pStyle w:val="MDPI31text"/>
      </w:pP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69"/>
        <w:gridCol w:w="4536"/>
        <w:gridCol w:w="425"/>
        <w:gridCol w:w="426"/>
        <w:gridCol w:w="425"/>
        <w:gridCol w:w="425"/>
        <w:gridCol w:w="425"/>
        <w:gridCol w:w="426"/>
        <w:gridCol w:w="400"/>
      </w:tblGrid>
      <w:tr w:rsidR="007A0117" w:rsidRPr="00E8314F" w14:paraId="745F07AE" w14:textId="77777777">
        <w:tc>
          <w:tcPr>
            <w:tcW w:w="7857" w:type="dxa"/>
            <w:gridSpan w:val="9"/>
            <w:tcBorders>
              <w:bottom w:val="single" w:sz="4" w:space="0" w:color="auto"/>
            </w:tcBorders>
            <w:vAlign w:val="center"/>
          </w:tcPr>
          <w:p w14:paraId="455AF884" w14:textId="77777777" w:rsidR="007A0117" w:rsidRPr="00B17133" w:rsidRDefault="007A0117">
            <w:pPr>
              <w:pStyle w:val="MDPI42tablebody"/>
              <w:spacing w:line="240" w:lineRule="auto"/>
              <w:rPr>
                <w:b/>
                <w:snapToGrid/>
                <w:sz w:val="18"/>
                <w:szCs w:val="18"/>
                <w:lang w:val="tr-TR"/>
              </w:rPr>
            </w:pPr>
            <w:r w:rsidRPr="00B17133">
              <w:rPr>
                <w:b/>
                <w:snapToGrid/>
                <w:sz w:val="18"/>
                <w:szCs w:val="18"/>
                <w:lang w:val="tr-TR"/>
              </w:rPr>
              <w:t>İŞ ORTAMI HEDEF YÖNELİMİ ÖLÇEĞİ</w:t>
            </w:r>
          </w:p>
          <w:p w14:paraId="4DFCC003" w14:textId="77777777" w:rsidR="007A0117" w:rsidRPr="00B17133" w:rsidRDefault="007A0117">
            <w:pPr>
              <w:pStyle w:val="MDPI42tablebody"/>
              <w:spacing w:line="240" w:lineRule="auto"/>
              <w:rPr>
                <w:bCs/>
                <w:snapToGrid/>
                <w:sz w:val="18"/>
                <w:szCs w:val="18"/>
              </w:rPr>
            </w:pPr>
            <w:r w:rsidRPr="00B17133">
              <w:rPr>
                <w:bCs/>
                <w:snapToGrid/>
                <w:sz w:val="18"/>
                <w:szCs w:val="18"/>
              </w:rPr>
              <w:t>WORK DOMAIN GOAL ORIENTATION INSTRUMENT</w:t>
            </w:r>
          </w:p>
        </w:tc>
      </w:tr>
      <w:tr w:rsidR="007A0117" w:rsidRPr="00E8314F" w14:paraId="1665840B" w14:textId="77777777">
        <w:trPr>
          <w:cantSplit/>
          <w:trHeight w:val="3869"/>
        </w:trPr>
        <w:tc>
          <w:tcPr>
            <w:tcW w:w="369" w:type="dxa"/>
            <w:tcBorders>
              <w:left w:val="nil"/>
              <w:bottom w:val="nil"/>
              <w:right w:val="nil"/>
            </w:tcBorders>
            <w:textDirection w:val="btLr"/>
            <w:vAlign w:val="center"/>
          </w:tcPr>
          <w:p w14:paraId="7CB6A12F" w14:textId="77777777" w:rsidR="007A0117" w:rsidRPr="00185C7D" w:rsidRDefault="007A0117">
            <w:pPr>
              <w:pStyle w:val="MDPI42tablebody"/>
              <w:spacing w:line="240" w:lineRule="auto"/>
              <w:jc w:val="left"/>
              <w:rPr>
                <w:bCs/>
                <w:snapToGrid/>
                <w:sz w:val="18"/>
                <w:szCs w:val="18"/>
              </w:rPr>
            </w:pPr>
            <w:r w:rsidRPr="00B17133">
              <w:rPr>
                <w:b/>
                <w:bCs/>
                <w:sz w:val="18"/>
                <w:szCs w:val="18"/>
                <w:lang w:val="tr-TR"/>
              </w:rPr>
              <w:t xml:space="preserve">Madde Numarası </w:t>
            </w:r>
            <w:r w:rsidRPr="00B17133">
              <w:rPr>
                <w:i/>
                <w:iCs/>
                <w:sz w:val="18"/>
                <w:szCs w:val="18"/>
              </w:rPr>
              <w:t>Item Number</w:t>
            </w:r>
          </w:p>
        </w:tc>
        <w:tc>
          <w:tcPr>
            <w:tcW w:w="4536" w:type="dxa"/>
            <w:tcBorders>
              <w:left w:val="nil"/>
              <w:bottom w:val="nil"/>
              <w:right w:val="nil"/>
            </w:tcBorders>
            <w:vAlign w:val="bottom"/>
          </w:tcPr>
          <w:p w14:paraId="05527566" w14:textId="77777777" w:rsidR="007A0117" w:rsidRPr="00185C7D" w:rsidRDefault="007A0117">
            <w:pPr>
              <w:pStyle w:val="MDPI42tablebody"/>
              <w:spacing w:line="240" w:lineRule="auto"/>
              <w:jc w:val="both"/>
              <w:rPr>
                <w:bCs/>
                <w:snapToGrid/>
                <w:sz w:val="18"/>
                <w:szCs w:val="18"/>
                <w:lang w:val="tr-TR"/>
              </w:rPr>
            </w:pPr>
            <w:r w:rsidRPr="00185C7D">
              <w:rPr>
                <w:bCs/>
                <w:snapToGrid/>
                <w:sz w:val="18"/>
                <w:szCs w:val="18"/>
                <w:lang w:val="tr-TR"/>
              </w:rPr>
              <w:t xml:space="preserve">Bu ölçeğin amacı, Üniversite Öğrencilerinin </w:t>
            </w:r>
            <w:r>
              <w:rPr>
                <w:bCs/>
                <w:snapToGrid/>
                <w:sz w:val="18"/>
                <w:szCs w:val="18"/>
                <w:lang w:val="tr-TR"/>
              </w:rPr>
              <w:t>İş Ortamı H</w:t>
            </w:r>
            <w:r w:rsidRPr="00185C7D">
              <w:rPr>
                <w:bCs/>
                <w:snapToGrid/>
                <w:sz w:val="18"/>
                <w:szCs w:val="18"/>
                <w:lang w:val="tr-TR"/>
              </w:rPr>
              <w:t xml:space="preserve">edef Yönelimi </w:t>
            </w:r>
            <w:r>
              <w:rPr>
                <w:bCs/>
                <w:snapToGrid/>
                <w:sz w:val="18"/>
                <w:szCs w:val="18"/>
                <w:lang w:val="tr-TR"/>
              </w:rPr>
              <w:t>d</w:t>
            </w:r>
            <w:r w:rsidRPr="00185C7D">
              <w:rPr>
                <w:bCs/>
                <w:snapToGrid/>
                <w:sz w:val="18"/>
                <w:szCs w:val="18"/>
                <w:lang w:val="tr-TR"/>
              </w:rPr>
              <w:t xml:space="preserve">üzeylerini belirlemektir. </w:t>
            </w:r>
          </w:p>
          <w:p w14:paraId="476E7E21" w14:textId="77777777" w:rsidR="007A0117" w:rsidRPr="00185C7D" w:rsidRDefault="007A0117">
            <w:pPr>
              <w:pStyle w:val="MDPI42tablebody"/>
              <w:spacing w:line="240" w:lineRule="auto"/>
              <w:jc w:val="both"/>
              <w:rPr>
                <w:bCs/>
                <w:snapToGrid/>
                <w:sz w:val="18"/>
                <w:szCs w:val="18"/>
                <w:lang w:val="tr-TR"/>
              </w:rPr>
            </w:pPr>
          </w:p>
          <w:p w14:paraId="74E99B0A" w14:textId="77777777" w:rsidR="007A0117" w:rsidRPr="00185C7D" w:rsidRDefault="007A0117">
            <w:pPr>
              <w:pStyle w:val="MDPI42tablebody"/>
              <w:spacing w:line="240" w:lineRule="auto"/>
              <w:jc w:val="both"/>
              <w:rPr>
                <w:bCs/>
                <w:snapToGrid/>
                <w:sz w:val="18"/>
                <w:szCs w:val="18"/>
              </w:rPr>
            </w:pPr>
            <w:r w:rsidRPr="00185C7D">
              <w:rPr>
                <w:bCs/>
                <w:snapToGrid/>
                <w:sz w:val="18"/>
                <w:szCs w:val="18"/>
                <w:lang w:val="tr-TR"/>
              </w:rPr>
              <w:t>Aşağıdaki ölçekteki ifadelerin size uygunluk derecesini “7-Kesinlikle Katılıyorum”; “1-Kesinlikle Katılmıyorum” olmak üzere, ifadelerin karşısındaki kutucukları işaretleyerek belirtiniz. Lütfen her ifade için bir kutucuğu işaretleyiniz.</w:t>
            </w:r>
          </w:p>
        </w:tc>
        <w:tc>
          <w:tcPr>
            <w:tcW w:w="425" w:type="dxa"/>
            <w:tcBorders>
              <w:left w:val="nil"/>
              <w:bottom w:val="nil"/>
              <w:right w:val="nil"/>
            </w:tcBorders>
            <w:textDirection w:val="btLr"/>
            <w:vAlign w:val="center"/>
          </w:tcPr>
          <w:p w14:paraId="40EDD3C8" w14:textId="77777777" w:rsidR="007A0117" w:rsidRPr="00185C7D" w:rsidRDefault="007A0117">
            <w:pPr>
              <w:pStyle w:val="MDPI42tablebody"/>
              <w:spacing w:line="240" w:lineRule="auto"/>
              <w:ind w:left="113" w:right="113"/>
              <w:jc w:val="left"/>
              <w:rPr>
                <w:bCs/>
                <w:snapToGrid/>
                <w:sz w:val="18"/>
                <w:szCs w:val="18"/>
              </w:rPr>
            </w:pPr>
            <w:r w:rsidRPr="00B17133">
              <w:rPr>
                <w:b/>
                <w:sz w:val="18"/>
                <w:szCs w:val="18"/>
                <w:lang w:val="tr-TR"/>
              </w:rPr>
              <w:t xml:space="preserve">Kesinlikle Katılıyorum </w:t>
            </w:r>
            <w:r w:rsidRPr="00B17133">
              <w:rPr>
                <w:bCs/>
                <w:i/>
                <w:iCs/>
                <w:sz w:val="18"/>
                <w:szCs w:val="18"/>
              </w:rPr>
              <w:t>Strongly Agree</w:t>
            </w:r>
          </w:p>
        </w:tc>
        <w:tc>
          <w:tcPr>
            <w:tcW w:w="426" w:type="dxa"/>
            <w:tcBorders>
              <w:left w:val="nil"/>
              <w:bottom w:val="nil"/>
              <w:right w:val="nil"/>
            </w:tcBorders>
            <w:textDirection w:val="btLr"/>
            <w:vAlign w:val="center"/>
          </w:tcPr>
          <w:p w14:paraId="7EE270F3" w14:textId="77777777" w:rsidR="007A0117" w:rsidRPr="00185C7D" w:rsidRDefault="007A0117">
            <w:pPr>
              <w:pStyle w:val="MDPI42tablebody"/>
              <w:spacing w:line="240" w:lineRule="auto"/>
              <w:ind w:left="113" w:right="113"/>
              <w:jc w:val="left"/>
              <w:rPr>
                <w:bCs/>
                <w:snapToGrid/>
                <w:sz w:val="18"/>
                <w:szCs w:val="18"/>
              </w:rPr>
            </w:pPr>
            <w:r w:rsidRPr="00B17133">
              <w:rPr>
                <w:b/>
                <w:sz w:val="18"/>
                <w:szCs w:val="18"/>
                <w:lang w:val="tr-TR"/>
              </w:rPr>
              <w:t>Katılıyorum</w:t>
            </w:r>
            <w:r w:rsidRPr="00185C7D">
              <w:rPr>
                <w:bCs/>
                <w:sz w:val="18"/>
                <w:szCs w:val="18"/>
              </w:rPr>
              <w:t xml:space="preserve"> </w:t>
            </w:r>
            <w:r w:rsidRPr="00B17133">
              <w:rPr>
                <w:bCs/>
                <w:i/>
                <w:iCs/>
                <w:sz w:val="18"/>
                <w:szCs w:val="18"/>
              </w:rPr>
              <w:t>Agree</w:t>
            </w:r>
          </w:p>
        </w:tc>
        <w:tc>
          <w:tcPr>
            <w:tcW w:w="425" w:type="dxa"/>
            <w:tcBorders>
              <w:left w:val="nil"/>
              <w:bottom w:val="nil"/>
              <w:right w:val="nil"/>
            </w:tcBorders>
            <w:textDirection w:val="btLr"/>
            <w:vAlign w:val="center"/>
          </w:tcPr>
          <w:p w14:paraId="50141D8D" w14:textId="77777777" w:rsidR="007A0117" w:rsidRPr="00185C7D" w:rsidRDefault="007A0117">
            <w:pPr>
              <w:pStyle w:val="MDPI42tablebody"/>
              <w:spacing w:line="240" w:lineRule="auto"/>
              <w:ind w:left="113" w:right="113"/>
              <w:jc w:val="left"/>
              <w:rPr>
                <w:bCs/>
                <w:snapToGrid/>
                <w:sz w:val="18"/>
                <w:szCs w:val="18"/>
              </w:rPr>
            </w:pPr>
            <w:r w:rsidRPr="00B17133">
              <w:rPr>
                <w:b/>
                <w:sz w:val="18"/>
                <w:szCs w:val="18"/>
                <w:lang w:val="tr-TR"/>
              </w:rPr>
              <w:t xml:space="preserve">Biraz Katılıyorum </w:t>
            </w:r>
            <w:r w:rsidRPr="00B17133">
              <w:rPr>
                <w:bCs/>
                <w:i/>
                <w:iCs/>
                <w:sz w:val="18"/>
                <w:szCs w:val="18"/>
              </w:rPr>
              <w:t>Somewhat Agree</w:t>
            </w:r>
          </w:p>
        </w:tc>
        <w:tc>
          <w:tcPr>
            <w:tcW w:w="425" w:type="dxa"/>
            <w:tcBorders>
              <w:left w:val="nil"/>
              <w:bottom w:val="nil"/>
              <w:right w:val="nil"/>
            </w:tcBorders>
            <w:textDirection w:val="btLr"/>
            <w:vAlign w:val="center"/>
          </w:tcPr>
          <w:p w14:paraId="2EBE8D0E" w14:textId="77777777" w:rsidR="007A0117" w:rsidRPr="00185C7D" w:rsidRDefault="007A0117">
            <w:pPr>
              <w:pStyle w:val="MDPI42tablebody"/>
              <w:spacing w:line="240" w:lineRule="auto"/>
              <w:ind w:left="113" w:right="113"/>
              <w:jc w:val="left"/>
              <w:rPr>
                <w:bCs/>
                <w:snapToGrid/>
                <w:sz w:val="18"/>
                <w:szCs w:val="18"/>
              </w:rPr>
            </w:pPr>
            <w:r w:rsidRPr="00B17133">
              <w:rPr>
                <w:b/>
                <w:snapToGrid/>
                <w:sz w:val="18"/>
                <w:szCs w:val="18"/>
                <w:lang w:val="tr-TR"/>
              </w:rPr>
              <w:t>Kararsızım</w:t>
            </w:r>
            <w:r w:rsidRPr="00185C7D">
              <w:rPr>
                <w:bCs/>
                <w:snapToGrid/>
                <w:sz w:val="18"/>
                <w:szCs w:val="18"/>
              </w:rPr>
              <w:t xml:space="preserve"> </w:t>
            </w:r>
            <w:r w:rsidRPr="00B17133">
              <w:rPr>
                <w:bCs/>
                <w:i/>
                <w:iCs/>
                <w:snapToGrid/>
                <w:sz w:val="18"/>
                <w:szCs w:val="18"/>
              </w:rPr>
              <w:t>Neutral</w:t>
            </w:r>
          </w:p>
        </w:tc>
        <w:tc>
          <w:tcPr>
            <w:tcW w:w="425" w:type="dxa"/>
            <w:tcBorders>
              <w:left w:val="nil"/>
              <w:bottom w:val="nil"/>
              <w:right w:val="nil"/>
            </w:tcBorders>
            <w:textDirection w:val="btLr"/>
            <w:vAlign w:val="center"/>
          </w:tcPr>
          <w:p w14:paraId="5F361BF7" w14:textId="77777777" w:rsidR="007A0117" w:rsidRPr="00185C7D" w:rsidRDefault="007A0117">
            <w:pPr>
              <w:pStyle w:val="MDPI42tablebody"/>
              <w:spacing w:line="240" w:lineRule="auto"/>
              <w:ind w:left="113" w:right="113"/>
              <w:jc w:val="left"/>
              <w:rPr>
                <w:bCs/>
                <w:snapToGrid/>
                <w:sz w:val="18"/>
                <w:szCs w:val="18"/>
              </w:rPr>
            </w:pPr>
            <w:r w:rsidRPr="00B17133">
              <w:rPr>
                <w:b/>
                <w:snapToGrid/>
                <w:sz w:val="18"/>
                <w:szCs w:val="18"/>
                <w:lang w:val="tr-TR"/>
              </w:rPr>
              <w:t xml:space="preserve">Biraz Katılmıyorum </w:t>
            </w:r>
            <w:r w:rsidRPr="00B17133">
              <w:rPr>
                <w:bCs/>
                <w:i/>
                <w:iCs/>
                <w:snapToGrid/>
                <w:sz w:val="18"/>
                <w:szCs w:val="18"/>
              </w:rPr>
              <w:t>Somewhat Disagree</w:t>
            </w:r>
          </w:p>
        </w:tc>
        <w:tc>
          <w:tcPr>
            <w:tcW w:w="426" w:type="dxa"/>
            <w:tcBorders>
              <w:left w:val="nil"/>
              <w:bottom w:val="nil"/>
              <w:right w:val="nil"/>
            </w:tcBorders>
            <w:textDirection w:val="btLr"/>
            <w:vAlign w:val="center"/>
          </w:tcPr>
          <w:p w14:paraId="39DBB051" w14:textId="77777777" w:rsidR="007A0117" w:rsidRPr="00185C7D" w:rsidRDefault="007A0117">
            <w:pPr>
              <w:pStyle w:val="MDPI42tablebody"/>
              <w:spacing w:line="240" w:lineRule="auto"/>
              <w:ind w:left="113" w:right="113"/>
              <w:jc w:val="left"/>
              <w:rPr>
                <w:bCs/>
                <w:snapToGrid/>
                <w:sz w:val="18"/>
                <w:szCs w:val="18"/>
              </w:rPr>
            </w:pPr>
            <w:r w:rsidRPr="00B17133">
              <w:rPr>
                <w:b/>
                <w:snapToGrid/>
                <w:sz w:val="18"/>
                <w:szCs w:val="18"/>
                <w:lang w:val="tr-TR"/>
              </w:rPr>
              <w:t>Katılmıyorum</w:t>
            </w:r>
            <w:r w:rsidRPr="00185C7D">
              <w:rPr>
                <w:bCs/>
                <w:snapToGrid/>
                <w:sz w:val="18"/>
                <w:szCs w:val="18"/>
              </w:rPr>
              <w:t xml:space="preserve"> </w:t>
            </w:r>
            <w:r w:rsidRPr="00B17133">
              <w:rPr>
                <w:bCs/>
                <w:i/>
                <w:iCs/>
                <w:snapToGrid/>
                <w:sz w:val="18"/>
                <w:szCs w:val="18"/>
              </w:rPr>
              <w:t>Disagree</w:t>
            </w:r>
          </w:p>
        </w:tc>
        <w:tc>
          <w:tcPr>
            <w:tcW w:w="400" w:type="dxa"/>
            <w:tcBorders>
              <w:left w:val="nil"/>
              <w:bottom w:val="nil"/>
              <w:right w:val="nil"/>
            </w:tcBorders>
            <w:textDirection w:val="btLr"/>
            <w:vAlign w:val="center"/>
          </w:tcPr>
          <w:p w14:paraId="3C07E83F" w14:textId="77777777" w:rsidR="007A0117" w:rsidRPr="00185C7D" w:rsidRDefault="007A0117">
            <w:pPr>
              <w:pStyle w:val="MDPI42tablebody"/>
              <w:spacing w:line="240" w:lineRule="auto"/>
              <w:ind w:left="113" w:right="113"/>
              <w:jc w:val="left"/>
              <w:rPr>
                <w:bCs/>
                <w:snapToGrid/>
                <w:sz w:val="18"/>
                <w:szCs w:val="18"/>
              </w:rPr>
            </w:pPr>
            <w:r w:rsidRPr="00B17133">
              <w:rPr>
                <w:b/>
                <w:snapToGrid/>
                <w:sz w:val="18"/>
                <w:szCs w:val="18"/>
                <w:lang w:val="tr-TR"/>
              </w:rPr>
              <w:t xml:space="preserve">Kesinlikle Katılmıyorum </w:t>
            </w:r>
            <w:r w:rsidRPr="00B17133">
              <w:rPr>
                <w:bCs/>
                <w:i/>
                <w:iCs/>
                <w:snapToGrid/>
                <w:sz w:val="18"/>
                <w:szCs w:val="18"/>
              </w:rPr>
              <w:t>Strongly Disagree</w:t>
            </w:r>
          </w:p>
        </w:tc>
      </w:tr>
      <w:tr w:rsidR="007A0117" w:rsidRPr="00E8314F" w14:paraId="07B2E1ED" w14:textId="77777777">
        <w:tc>
          <w:tcPr>
            <w:tcW w:w="369" w:type="dxa"/>
            <w:tcBorders>
              <w:top w:val="nil"/>
              <w:left w:val="nil"/>
              <w:bottom w:val="nil"/>
              <w:right w:val="nil"/>
            </w:tcBorders>
            <w:vAlign w:val="center"/>
          </w:tcPr>
          <w:p w14:paraId="4F875497" w14:textId="77777777" w:rsidR="007A0117" w:rsidRPr="00646B71" w:rsidRDefault="007A0117">
            <w:pPr>
              <w:pStyle w:val="MDPI42tablebody"/>
              <w:spacing w:line="240" w:lineRule="auto"/>
              <w:rPr>
                <w:b/>
                <w:bCs/>
                <w:sz w:val="18"/>
                <w:szCs w:val="18"/>
              </w:rPr>
            </w:pPr>
            <w:r w:rsidRPr="00646B71">
              <w:rPr>
                <w:b/>
                <w:bCs/>
                <w:sz w:val="18"/>
                <w:szCs w:val="18"/>
              </w:rPr>
              <w:t>1</w:t>
            </w:r>
          </w:p>
        </w:tc>
        <w:tc>
          <w:tcPr>
            <w:tcW w:w="4536" w:type="dxa"/>
            <w:tcBorders>
              <w:top w:val="nil"/>
              <w:left w:val="nil"/>
              <w:bottom w:val="nil"/>
              <w:right w:val="nil"/>
            </w:tcBorders>
            <w:vAlign w:val="center"/>
          </w:tcPr>
          <w:p w14:paraId="15C50059" w14:textId="77777777" w:rsidR="007A0117" w:rsidRPr="0068523A" w:rsidRDefault="007A0117">
            <w:pPr>
              <w:pStyle w:val="MDPI42tablebody"/>
              <w:spacing w:line="240" w:lineRule="auto"/>
              <w:jc w:val="both"/>
              <w:rPr>
                <w:sz w:val="18"/>
                <w:szCs w:val="18"/>
                <w:lang w:val="tr-TR"/>
              </w:rPr>
            </w:pPr>
            <w:r w:rsidRPr="0068523A">
              <w:rPr>
                <w:sz w:val="18"/>
                <w:szCs w:val="18"/>
                <w:lang w:val="tr-TR"/>
              </w:rPr>
              <w:t>Çok şey öğrenmemi sağlayacak zorlu görevler seçmeyi tercih ederim.</w:t>
            </w:r>
          </w:p>
        </w:tc>
        <w:tc>
          <w:tcPr>
            <w:tcW w:w="425" w:type="dxa"/>
            <w:tcBorders>
              <w:top w:val="nil"/>
              <w:left w:val="nil"/>
              <w:bottom w:val="nil"/>
              <w:right w:val="nil"/>
            </w:tcBorders>
            <w:vAlign w:val="center"/>
          </w:tcPr>
          <w:p w14:paraId="41AB017E"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58650A3A"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3746298A"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19B45E24"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378C37BC"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19430B07"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3C0ADC51"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4F04A3DC" w14:textId="77777777">
        <w:tc>
          <w:tcPr>
            <w:tcW w:w="369" w:type="dxa"/>
            <w:tcBorders>
              <w:top w:val="nil"/>
              <w:left w:val="nil"/>
              <w:bottom w:val="nil"/>
              <w:right w:val="nil"/>
            </w:tcBorders>
            <w:vAlign w:val="center"/>
          </w:tcPr>
          <w:p w14:paraId="7491F40C"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536" w:type="dxa"/>
            <w:tcBorders>
              <w:top w:val="nil"/>
              <w:left w:val="nil"/>
              <w:bottom w:val="nil"/>
              <w:right w:val="nil"/>
            </w:tcBorders>
            <w:vAlign w:val="center"/>
          </w:tcPr>
          <w:p w14:paraId="1E4C5DFB" w14:textId="77777777" w:rsidR="007A0117" w:rsidRPr="0068523A" w:rsidRDefault="007A0117">
            <w:pPr>
              <w:pStyle w:val="MDPI42tablebody"/>
              <w:spacing w:line="240" w:lineRule="auto"/>
              <w:jc w:val="both"/>
              <w:rPr>
                <w:sz w:val="18"/>
                <w:szCs w:val="18"/>
                <w:lang w:val="tr-TR"/>
              </w:rPr>
            </w:pPr>
            <w:r w:rsidRPr="00825BF7">
              <w:rPr>
                <w:sz w:val="18"/>
                <w:szCs w:val="18"/>
                <w:lang w:val="tr-TR"/>
              </w:rPr>
              <w:t>Çoğu zaman yeni bilgi ve beceriler edinebileceğim fırsatlar ararım.</w:t>
            </w:r>
          </w:p>
        </w:tc>
        <w:tc>
          <w:tcPr>
            <w:tcW w:w="425" w:type="dxa"/>
            <w:tcBorders>
              <w:top w:val="nil"/>
              <w:left w:val="nil"/>
              <w:bottom w:val="nil"/>
              <w:right w:val="nil"/>
            </w:tcBorders>
            <w:vAlign w:val="center"/>
          </w:tcPr>
          <w:p w14:paraId="72BE3621" w14:textId="77777777" w:rsidR="007A0117" w:rsidRPr="00185C7D" w:rsidRDefault="007A0117">
            <w:pPr>
              <w:pStyle w:val="MDPI42tablebody"/>
              <w:spacing w:line="240" w:lineRule="auto"/>
              <w:rPr>
                <w:sz w:val="18"/>
                <w:szCs w:val="18"/>
              </w:rPr>
            </w:pPr>
            <w:r w:rsidRPr="00646B71">
              <w:rPr>
                <w:b/>
                <w:bCs/>
                <w:sz w:val="18"/>
                <w:szCs w:val="18"/>
              </w:rPr>
              <w:t>(7)</w:t>
            </w:r>
          </w:p>
        </w:tc>
        <w:tc>
          <w:tcPr>
            <w:tcW w:w="426" w:type="dxa"/>
            <w:tcBorders>
              <w:top w:val="nil"/>
              <w:left w:val="nil"/>
              <w:bottom w:val="nil"/>
              <w:right w:val="nil"/>
            </w:tcBorders>
            <w:vAlign w:val="center"/>
          </w:tcPr>
          <w:p w14:paraId="062F88ED" w14:textId="77777777" w:rsidR="007A0117" w:rsidRPr="00185C7D" w:rsidRDefault="007A0117">
            <w:pPr>
              <w:pStyle w:val="MDPI42tablebody"/>
              <w:spacing w:line="240" w:lineRule="auto"/>
              <w:rPr>
                <w:sz w:val="18"/>
                <w:szCs w:val="18"/>
              </w:rPr>
            </w:pPr>
            <w:r w:rsidRPr="00646B71">
              <w:rPr>
                <w:b/>
                <w:bCs/>
                <w:sz w:val="18"/>
                <w:szCs w:val="18"/>
              </w:rPr>
              <w:t>(6)</w:t>
            </w:r>
          </w:p>
        </w:tc>
        <w:tc>
          <w:tcPr>
            <w:tcW w:w="425" w:type="dxa"/>
            <w:tcBorders>
              <w:top w:val="nil"/>
              <w:left w:val="nil"/>
              <w:bottom w:val="nil"/>
              <w:right w:val="nil"/>
            </w:tcBorders>
            <w:vAlign w:val="center"/>
          </w:tcPr>
          <w:p w14:paraId="68A4A62A" w14:textId="77777777" w:rsidR="007A0117" w:rsidRPr="00185C7D" w:rsidRDefault="007A0117">
            <w:pPr>
              <w:pStyle w:val="MDPI42tablebody"/>
              <w:spacing w:line="240" w:lineRule="auto"/>
              <w:rPr>
                <w:sz w:val="18"/>
                <w:szCs w:val="18"/>
              </w:rPr>
            </w:pPr>
            <w:r w:rsidRPr="00646B71">
              <w:rPr>
                <w:b/>
                <w:bCs/>
                <w:sz w:val="18"/>
                <w:szCs w:val="18"/>
              </w:rPr>
              <w:t>(5)</w:t>
            </w:r>
          </w:p>
        </w:tc>
        <w:tc>
          <w:tcPr>
            <w:tcW w:w="425" w:type="dxa"/>
            <w:tcBorders>
              <w:top w:val="nil"/>
              <w:left w:val="nil"/>
              <w:bottom w:val="nil"/>
              <w:right w:val="nil"/>
            </w:tcBorders>
            <w:vAlign w:val="center"/>
          </w:tcPr>
          <w:p w14:paraId="0F8790B2" w14:textId="77777777" w:rsidR="007A0117" w:rsidRPr="00185C7D" w:rsidRDefault="007A0117">
            <w:pPr>
              <w:pStyle w:val="MDPI42tablebody"/>
              <w:spacing w:line="240" w:lineRule="auto"/>
              <w:rPr>
                <w:sz w:val="18"/>
                <w:szCs w:val="18"/>
              </w:rPr>
            </w:pPr>
            <w:r w:rsidRPr="00646B71">
              <w:rPr>
                <w:b/>
                <w:bCs/>
                <w:sz w:val="18"/>
                <w:szCs w:val="18"/>
              </w:rPr>
              <w:t>(4)</w:t>
            </w:r>
          </w:p>
        </w:tc>
        <w:tc>
          <w:tcPr>
            <w:tcW w:w="425" w:type="dxa"/>
            <w:tcBorders>
              <w:top w:val="nil"/>
              <w:left w:val="nil"/>
              <w:bottom w:val="nil"/>
              <w:right w:val="nil"/>
            </w:tcBorders>
            <w:vAlign w:val="center"/>
          </w:tcPr>
          <w:p w14:paraId="5EC6C4AB" w14:textId="77777777" w:rsidR="007A0117" w:rsidRPr="00185C7D" w:rsidRDefault="007A0117">
            <w:pPr>
              <w:pStyle w:val="MDPI42tablebody"/>
              <w:spacing w:line="240" w:lineRule="auto"/>
              <w:rPr>
                <w:sz w:val="18"/>
                <w:szCs w:val="18"/>
              </w:rPr>
            </w:pPr>
            <w:r w:rsidRPr="00646B71">
              <w:rPr>
                <w:b/>
                <w:bCs/>
                <w:sz w:val="18"/>
                <w:szCs w:val="18"/>
              </w:rPr>
              <w:t>(3)</w:t>
            </w:r>
          </w:p>
        </w:tc>
        <w:tc>
          <w:tcPr>
            <w:tcW w:w="426" w:type="dxa"/>
            <w:tcBorders>
              <w:top w:val="nil"/>
              <w:left w:val="nil"/>
              <w:bottom w:val="nil"/>
              <w:right w:val="nil"/>
            </w:tcBorders>
            <w:vAlign w:val="center"/>
          </w:tcPr>
          <w:p w14:paraId="0A73C351" w14:textId="77777777" w:rsidR="007A0117" w:rsidRPr="00185C7D" w:rsidRDefault="007A0117">
            <w:pPr>
              <w:pStyle w:val="MDPI42tablebody"/>
              <w:spacing w:line="240" w:lineRule="auto"/>
              <w:rPr>
                <w:sz w:val="18"/>
                <w:szCs w:val="18"/>
              </w:rPr>
            </w:pPr>
            <w:r w:rsidRPr="00646B71">
              <w:rPr>
                <w:b/>
                <w:bCs/>
                <w:sz w:val="18"/>
                <w:szCs w:val="18"/>
              </w:rPr>
              <w:t>(2)</w:t>
            </w:r>
          </w:p>
        </w:tc>
        <w:tc>
          <w:tcPr>
            <w:tcW w:w="400" w:type="dxa"/>
            <w:tcBorders>
              <w:top w:val="nil"/>
              <w:left w:val="nil"/>
              <w:bottom w:val="nil"/>
              <w:right w:val="nil"/>
            </w:tcBorders>
            <w:vAlign w:val="center"/>
          </w:tcPr>
          <w:p w14:paraId="1618C32F" w14:textId="77777777" w:rsidR="007A0117" w:rsidRPr="00185C7D" w:rsidRDefault="007A0117">
            <w:pPr>
              <w:pStyle w:val="MDPI42tablebody"/>
              <w:spacing w:line="240" w:lineRule="auto"/>
              <w:rPr>
                <w:sz w:val="18"/>
                <w:szCs w:val="18"/>
              </w:rPr>
            </w:pPr>
            <w:r w:rsidRPr="00646B71">
              <w:rPr>
                <w:b/>
                <w:bCs/>
                <w:sz w:val="18"/>
                <w:szCs w:val="18"/>
              </w:rPr>
              <w:t>(1)</w:t>
            </w:r>
          </w:p>
        </w:tc>
      </w:tr>
      <w:tr w:rsidR="007A0117" w:rsidRPr="00E8314F" w14:paraId="76417D06" w14:textId="77777777">
        <w:tc>
          <w:tcPr>
            <w:tcW w:w="369" w:type="dxa"/>
            <w:tcBorders>
              <w:top w:val="nil"/>
              <w:left w:val="nil"/>
              <w:bottom w:val="nil"/>
              <w:right w:val="nil"/>
            </w:tcBorders>
            <w:vAlign w:val="center"/>
          </w:tcPr>
          <w:p w14:paraId="000F1B33" w14:textId="77777777" w:rsidR="007A0117" w:rsidRPr="00646B71" w:rsidRDefault="007A0117">
            <w:pPr>
              <w:pStyle w:val="MDPI42tablebody"/>
              <w:spacing w:line="240" w:lineRule="auto"/>
              <w:rPr>
                <w:b/>
                <w:bCs/>
                <w:sz w:val="18"/>
                <w:szCs w:val="18"/>
              </w:rPr>
            </w:pPr>
            <w:r>
              <w:rPr>
                <w:b/>
                <w:bCs/>
                <w:sz w:val="18"/>
                <w:szCs w:val="18"/>
              </w:rPr>
              <w:t>3</w:t>
            </w:r>
          </w:p>
        </w:tc>
        <w:tc>
          <w:tcPr>
            <w:tcW w:w="4536" w:type="dxa"/>
            <w:tcBorders>
              <w:top w:val="nil"/>
              <w:left w:val="nil"/>
              <w:bottom w:val="nil"/>
              <w:right w:val="nil"/>
            </w:tcBorders>
            <w:vAlign w:val="center"/>
          </w:tcPr>
          <w:p w14:paraId="5E9312B2" w14:textId="77777777" w:rsidR="007A0117" w:rsidRPr="0068523A" w:rsidRDefault="007A0117">
            <w:pPr>
              <w:pStyle w:val="MDPI42tablebody"/>
              <w:spacing w:line="240" w:lineRule="auto"/>
              <w:jc w:val="both"/>
              <w:rPr>
                <w:sz w:val="18"/>
                <w:szCs w:val="18"/>
                <w:lang w:val="tr-TR"/>
              </w:rPr>
            </w:pPr>
            <w:r w:rsidRPr="00825BF7">
              <w:rPr>
                <w:sz w:val="18"/>
                <w:szCs w:val="18"/>
                <w:lang w:val="tr-TR"/>
              </w:rPr>
              <w:t>İş ortamında bana yeni beceriler katacak zorlu görevler yapmayı severim.</w:t>
            </w:r>
          </w:p>
        </w:tc>
        <w:tc>
          <w:tcPr>
            <w:tcW w:w="425" w:type="dxa"/>
            <w:tcBorders>
              <w:top w:val="nil"/>
              <w:left w:val="nil"/>
              <w:bottom w:val="nil"/>
              <w:right w:val="nil"/>
            </w:tcBorders>
            <w:vAlign w:val="center"/>
          </w:tcPr>
          <w:p w14:paraId="4B412615"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1D5EDEEE"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5B9B0822"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6593D89D"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73E9FE30"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72C95AA4"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31A7324D"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54984FAD" w14:textId="77777777">
        <w:tc>
          <w:tcPr>
            <w:tcW w:w="369" w:type="dxa"/>
            <w:tcBorders>
              <w:top w:val="nil"/>
              <w:left w:val="nil"/>
              <w:bottom w:val="nil"/>
              <w:right w:val="nil"/>
            </w:tcBorders>
            <w:vAlign w:val="center"/>
          </w:tcPr>
          <w:p w14:paraId="49665334" w14:textId="77777777" w:rsidR="007A0117" w:rsidRPr="00646B71" w:rsidRDefault="007A0117">
            <w:pPr>
              <w:pStyle w:val="MDPI42tablebody"/>
              <w:spacing w:line="240" w:lineRule="auto"/>
              <w:rPr>
                <w:b/>
                <w:bCs/>
                <w:sz w:val="18"/>
                <w:szCs w:val="18"/>
              </w:rPr>
            </w:pPr>
            <w:r>
              <w:rPr>
                <w:b/>
                <w:bCs/>
                <w:sz w:val="18"/>
                <w:szCs w:val="18"/>
              </w:rPr>
              <w:t>4</w:t>
            </w:r>
          </w:p>
        </w:tc>
        <w:tc>
          <w:tcPr>
            <w:tcW w:w="4536" w:type="dxa"/>
            <w:tcBorders>
              <w:top w:val="nil"/>
              <w:left w:val="nil"/>
              <w:bottom w:val="nil"/>
              <w:right w:val="nil"/>
            </w:tcBorders>
            <w:vAlign w:val="center"/>
          </w:tcPr>
          <w:p w14:paraId="7592CDD3" w14:textId="77777777" w:rsidR="007A0117" w:rsidRPr="0068523A" w:rsidRDefault="007A0117">
            <w:pPr>
              <w:pStyle w:val="MDPI42tablebody"/>
              <w:spacing w:line="240" w:lineRule="auto"/>
              <w:jc w:val="both"/>
              <w:rPr>
                <w:sz w:val="18"/>
                <w:szCs w:val="18"/>
                <w:lang w:val="tr-TR"/>
              </w:rPr>
            </w:pPr>
            <w:r w:rsidRPr="00825BF7">
              <w:rPr>
                <w:sz w:val="18"/>
                <w:szCs w:val="18"/>
                <w:lang w:val="tr-TR"/>
              </w:rPr>
              <w:t>Çalışma becerilerimin gelişecek olması risk almama değecek kadar önemlidir.</w:t>
            </w:r>
          </w:p>
        </w:tc>
        <w:tc>
          <w:tcPr>
            <w:tcW w:w="425" w:type="dxa"/>
            <w:tcBorders>
              <w:top w:val="nil"/>
              <w:left w:val="nil"/>
              <w:bottom w:val="nil"/>
              <w:right w:val="nil"/>
            </w:tcBorders>
            <w:vAlign w:val="center"/>
          </w:tcPr>
          <w:p w14:paraId="1BEF12FD"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3DB826C9"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5CB4D3AB"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2029417B"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69C1D6E9"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4C5E9092"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62DD0867"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57C66437" w14:textId="77777777">
        <w:tc>
          <w:tcPr>
            <w:tcW w:w="369" w:type="dxa"/>
            <w:tcBorders>
              <w:top w:val="nil"/>
              <w:left w:val="nil"/>
              <w:bottom w:val="nil"/>
              <w:right w:val="nil"/>
            </w:tcBorders>
            <w:vAlign w:val="center"/>
          </w:tcPr>
          <w:p w14:paraId="72358E24" w14:textId="77777777" w:rsidR="007A0117" w:rsidRPr="00646B71" w:rsidRDefault="007A0117">
            <w:pPr>
              <w:pStyle w:val="MDPI42tablebody"/>
              <w:spacing w:line="240" w:lineRule="auto"/>
              <w:rPr>
                <w:b/>
                <w:bCs/>
                <w:sz w:val="18"/>
                <w:szCs w:val="18"/>
              </w:rPr>
            </w:pPr>
            <w:r>
              <w:rPr>
                <w:b/>
                <w:bCs/>
                <w:sz w:val="18"/>
                <w:szCs w:val="18"/>
              </w:rPr>
              <w:t>5</w:t>
            </w:r>
          </w:p>
        </w:tc>
        <w:tc>
          <w:tcPr>
            <w:tcW w:w="4536" w:type="dxa"/>
            <w:tcBorders>
              <w:top w:val="nil"/>
              <w:left w:val="nil"/>
              <w:bottom w:val="nil"/>
              <w:right w:val="nil"/>
            </w:tcBorders>
            <w:vAlign w:val="center"/>
          </w:tcPr>
          <w:p w14:paraId="0B9AE34F" w14:textId="77777777" w:rsidR="007A0117" w:rsidRPr="0068523A" w:rsidRDefault="007A0117">
            <w:pPr>
              <w:pStyle w:val="MDPI42tablebody"/>
              <w:spacing w:line="240" w:lineRule="auto"/>
              <w:jc w:val="both"/>
              <w:rPr>
                <w:sz w:val="18"/>
                <w:szCs w:val="18"/>
                <w:lang w:val="tr-TR"/>
              </w:rPr>
            </w:pPr>
            <w:r w:rsidRPr="00825BF7">
              <w:rPr>
                <w:sz w:val="18"/>
                <w:szCs w:val="18"/>
                <w:lang w:val="tr-TR"/>
              </w:rPr>
              <w:t>Yüksek seviyede kabiliyet ve yetenek gerektiren durumlarda çalışmayı tercih ederim.</w:t>
            </w:r>
          </w:p>
        </w:tc>
        <w:tc>
          <w:tcPr>
            <w:tcW w:w="425" w:type="dxa"/>
            <w:tcBorders>
              <w:top w:val="nil"/>
              <w:left w:val="nil"/>
              <w:bottom w:val="nil"/>
              <w:right w:val="nil"/>
            </w:tcBorders>
            <w:vAlign w:val="center"/>
          </w:tcPr>
          <w:p w14:paraId="500EF449"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68BE8343"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6FBE8D02"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7C34869A"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061CABF9"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14FE23D6"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74B17AF1"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19AB959B" w14:textId="77777777">
        <w:tc>
          <w:tcPr>
            <w:tcW w:w="369" w:type="dxa"/>
            <w:tcBorders>
              <w:top w:val="nil"/>
              <w:left w:val="nil"/>
              <w:bottom w:val="nil"/>
              <w:right w:val="nil"/>
            </w:tcBorders>
            <w:vAlign w:val="center"/>
          </w:tcPr>
          <w:p w14:paraId="70FF64C6" w14:textId="77777777" w:rsidR="007A0117" w:rsidRPr="00646B71" w:rsidRDefault="007A0117">
            <w:pPr>
              <w:pStyle w:val="MDPI42tablebody"/>
              <w:spacing w:line="240" w:lineRule="auto"/>
              <w:rPr>
                <w:b/>
                <w:bCs/>
                <w:sz w:val="18"/>
                <w:szCs w:val="18"/>
              </w:rPr>
            </w:pPr>
            <w:r>
              <w:rPr>
                <w:b/>
                <w:bCs/>
                <w:sz w:val="18"/>
                <w:szCs w:val="18"/>
              </w:rPr>
              <w:t>6</w:t>
            </w:r>
          </w:p>
        </w:tc>
        <w:tc>
          <w:tcPr>
            <w:tcW w:w="4536" w:type="dxa"/>
            <w:tcBorders>
              <w:top w:val="nil"/>
              <w:left w:val="nil"/>
              <w:bottom w:val="nil"/>
              <w:right w:val="nil"/>
            </w:tcBorders>
            <w:vAlign w:val="center"/>
          </w:tcPr>
          <w:p w14:paraId="10C9F51F" w14:textId="77777777" w:rsidR="007A0117" w:rsidRPr="0068523A" w:rsidRDefault="007A0117">
            <w:pPr>
              <w:pStyle w:val="MDPI42tablebody"/>
              <w:spacing w:line="240" w:lineRule="auto"/>
              <w:jc w:val="both"/>
              <w:rPr>
                <w:sz w:val="18"/>
                <w:szCs w:val="18"/>
                <w:lang w:val="tr-TR"/>
              </w:rPr>
            </w:pPr>
            <w:r w:rsidRPr="006901F0">
              <w:rPr>
                <w:sz w:val="18"/>
                <w:szCs w:val="18"/>
                <w:lang w:val="tr-TR"/>
              </w:rPr>
              <w:t>İş yerimdeki diğer çalışanlardan daha iyi performans sergilediğimi göstermek benim için önemlidir.</w:t>
            </w:r>
          </w:p>
        </w:tc>
        <w:tc>
          <w:tcPr>
            <w:tcW w:w="425" w:type="dxa"/>
            <w:tcBorders>
              <w:top w:val="nil"/>
              <w:left w:val="nil"/>
              <w:bottom w:val="nil"/>
              <w:right w:val="nil"/>
            </w:tcBorders>
            <w:vAlign w:val="center"/>
          </w:tcPr>
          <w:p w14:paraId="2ECD5D09"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1776F3A5"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496DBE75"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12306D37"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66DAA13B"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6C6854DC"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798C627F"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7F8C2706" w14:textId="77777777">
        <w:tc>
          <w:tcPr>
            <w:tcW w:w="369" w:type="dxa"/>
            <w:tcBorders>
              <w:top w:val="nil"/>
              <w:left w:val="nil"/>
              <w:bottom w:val="nil"/>
              <w:right w:val="nil"/>
            </w:tcBorders>
            <w:vAlign w:val="center"/>
          </w:tcPr>
          <w:p w14:paraId="66970B56" w14:textId="77777777" w:rsidR="007A0117" w:rsidRDefault="007A0117">
            <w:pPr>
              <w:pStyle w:val="MDPI42tablebody"/>
              <w:spacing w:line="240" w:lineRule="auto"/>
              <w:rPr>
                <w:b/>
                <w:bCs/>
                <w:sz w:val="18"/>
                <w:szCs w:val="18"/>
              </w:rPr>
            </w:pPr>
            <w:r>
              <w:rPr>
                <w:b/>
                <w:bCs/>
                <w:sz w:val="18"/>
                <w:szCs w:val="18"/>
              </w:rPr>
              <w:t>7</w:t>
            </w:r>
          </w:p>
        </w:tc>
        <w:tc>
          <w:tcPr>
            <w:tcW w:w="4536" w:type="dxa"/>
            <w:tcBorders>
              <w:top w:val="nil"/>
              <w:left w:val="nil"/>
              <w:bottom w:val="nil"/>
              <w:right w:val="nil"/>
            </w:tcBorders>
            <w:vAlign w:val="center"/>
          </w:tcPr>
          <w:p w14:paraId="4B9ACCA4" w14:textId="77777777" w:rsidR="007A0117" w:rsidRPr="0068523A" w:rsidRDefault="007A0117">
            <w:pPr>
              <w:pStyle w:val="MDPI42tablebody"/>
              <w:spacing w:line="240" w:lineRule="auto"/>
              <w:jc w:val="both"/>
              <w:rPr>
                <w:sz w:val="18"/>
                <w:szCs w:val="18"/>
                <w:lang w:val="tr-TR"/>
              </w:rPr>
            </w:pPr>
            <w:r w:rsidRPr="006901F0">
              <w:rPr>
                <w:sz w:val="18"/>
                <w:szCs w:val="18"/>
                <w:lang w:val="tr-TR"/>
              </w:rPr>
              <w:t>Kabiliyetlerimi iş yerindekilere gösterebilmenin yollarını ararım.</w:t>
            </w:r>
          </w:p>
        </w:tc>
        <w:tc>
          <w:tcPr>
            <w:tcW w:w="425" w:type="dxa"/>
            <w:tcBorders>
              <w:top w:val="nil"/>
              <w:left w:val="nil"/>
              <w:bottom w:val="nil"/>
              <w:right w:val="nil"/>
            </w:tcBorders>
            <w:vAlign w:val="center"/>
          </w:tcPr>
          <w:p w14:paraId="0CA986B9"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5EA22432"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0D538CD3"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594E3B64"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294942C5"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7A93586E"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01B45E23"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2DA30AE2" w14:textId="77777777">
        <w:tc>
          <w:tcPr>
            <w:tcW w:w="369" w:type="dxa"/>
            <w:tcBorders>
              <w:top w:val="nil"/>
              <w:left w:val="nil"/>
              <w:bottom w:val="nil"/>
              <w:right w:val="nil"/>
            </w:tcBorders>
            <w:vAlign w:val="center"/>
          </w:tcPr>
          <w:p w14:paraId="3EC207DE" w14:textId="77777777" w:rsidR="007A0117" w:rsidRDefault="007A0117">
            <w:pPr>
              <w:pStyle w:val="MDPI42tablebody"/>
              <w:spacing w:line="240" w:lineRule="auto"/>
              <w:rPr>
                <w:b/>
                <w:bCs/>
                <w:sz w:val="18"/>
                <w:szCs w:val="18"/>
              </w:rPr>
            </w:pPr>
            <w:r>
              <w:rPr>
                <w:b/>
                <w:bCs/>
                <w:sz w:val="18"/>
                <w:szCs w:val="18"/>
              </w:rPr>
              <w:t>8</w:t>
            </w:r>
          </w:p>
        </w:tc>
        <w:tc>
          <w:tcPr>
            <w:tcW w:w="4536" w:type="dxa"/>
            <w:tcBorders>
              <w:top w:val="nil"/>
              <w:left w:val="nil"/>
              <w:bottom w:val="nil"/>
              <w:right w:val="nil"/>
            </w:tcBorders>
            <w:vAlign w:val="center"/>
          </w:tcPr>
          <w:p w14:paraId="34B4B5C7" w14:textId="77777777" w:rsidR="007A0117" w:rsidRPr="0068523A" w:rsidRDefault="007A0117">
            <w:pPr>
              <w:pStyle w:val="MDPI42tablebody"/>
              <w:spacing w:line="240" w:lineRule="auto"/>
              <w:jc w:val="both"/>
              <w:rPr>
                <w:sz w:val="18"/>
                <w:szCs w:val="18"/>
                <w:lang w:val="tr-TR"/>
              </w:rPr>
            </w:pPr>
            <w:r w:rsidRPr="006901F0">
              <w:rPr>
                <w:sz w:val="18"/>
                <w:szCs w:val="18"/>
                <w:lang w:val="tr-TR"/>
              </w:rPr>
              <w:t>İş yerindekilerin ne kadar iyi çalıştığımın farkında olmaları beni memnun eder.</w:t>
            </w:r>
          </w:p>
        </w:tc>
        <w:tc>
          <w:tcPr>
            <w:tcW w:w="425" w:type="dxa"/>
            <w:tcBorders>
              <w:top w:val="nil"/>
              <w:left w:val="nil"/>
              <w:bottom w:val="nil"/>
              <w:right w:val="nil"/>
            </w:tcBorders>
            <w:vAlign w:val="center"/>
          </w:tcPr>
          <w:p w14:paraId="13AE5CE0"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232DBF17"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2D08944C"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3D2DF144"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268D8663"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1E693EC9"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469A6F0C"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55A4F734" w14:textId="77777777">
        <w:tc>
          <w:tcPr>
            <w:tcW w:w="369" w:type="dxa"/>
            <w:tcBorders>
              <w:top w:val="nil"/>
              <w:left w:val="nil"/>
              <w:bottom w:val="nil"/>
              <w:right w:val="nil"/>
            </w:tcBorders>
            <w:vAlign w:val="center"/>
          </w:tcPr>
          <w:p w14:paraId="62E54CAD" w14:textId="77777777" w:rsidR="007A0117" w:rsidRDefault="007A0117">
            <w:pPr>
              <w:pStyle w:val="MDPI42tablebody"/>
              <w:spacing w:line="240" w:lineRule="auto"/>
              <w:rPr>
                <w:b/>
                <w:bCs/>
                <w:sz w:val="18"/>
                <w:szCs w:val="18"/>
              </w:rPr>
            </w:pPr>
            <w:r>
              <w:rPr>
                <w:b/>
                <w:bCs/>
                <w:sz w:val="18"/>
                <w:szCs w:val="18"/>
              </w:rPr>
              <w:t>9</w:t>
            </w:r>
          </w:p>
        </w:tc>
        <w:tc>
          <w:tcPr>
            <w:tcW w:w="4536" w:type="dxa"/>
            <w:tcBorders>
              <w:top w:val="nil"/>
              <w:left w:val="nil"/>
              <w:bottom w:val="nil"/>
              <w:right w:val="nil"/>
            </w:tcBorders>
            <w:vAlign w:val="center"/>
          </w:tcPr>
          <w:p w14:paraId="11BB7B1E" w14:textId="77777777" w:rsidR="007A0117" w:rsidRPr="0068523A" w:rsidRDefault="007A0117">
            <w:pPr>
              <w:pStyle w:val="MDPI42tablebody"/>
              <w:spacing w:line="240" w:lineRule="auto"/>
              <w:jc w:val="both"/>
              <w:rPr>
                <w:sz w:val="18"/>
                <w:szCs w:val="18"/>
                <w:lang w:val="tr-TR"/>
              </w:rPr>
            </w:pPr>
            <w:r w:rsidRPr="006901F0">
              <w:rPr>
                <w:sz w:val="18"/>
                <w:szCs w:val="18"/>
                <w:lang w:val="tr-TR"/>
              </w:rPr>
              <w:t>Kabiliyetlerimi diğerlerine gösterebileceğim projelerde çalışmayı tercih ederim.</w:t>
            </w:r>
          </w:p>
        </w:tc>
        <w:tc>
          <w:tcPr>
            <w:tcW w:w="425" w:type="dxa"/>
            <w:tcBorders>
              <w:top w:val="nil"/>
              <w:left w:val="nil"/>
              <w:bottom w:val="nil"/>
              <w:right w:val="nil"/>
            </w:tcBorders>
            <w:vAlign w:val="center"/>
          </w:tcPr>
          <w:p w14:paraId="606EE173"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18CBD16C"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5E2DCB23"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1DD6F2AE"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5A28C571"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692B5DC9"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3FB9CAC6"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5D1CCCD5" w14:textId="77777777">
        <w:tc>
          <w:tcPr>
            <w:tcW w:w="369" w:type="dxa"/>
            <w:tcBorders>
              <w:top w:val="nil"/>
              <w:left w:val="nil"/>
              <w:bottom w:val="nil"/>
              <w:right w:val="nil"/>
            </w:tcBorders>
            <w:vAlign w:val="center"/>
          </w:tcPr>
          <w:p w14:paraId="34AC6799" w14:textId="77777777" w:rsidR="007A0117" w:rsidRDefault="007A0117">
            <w:pPr>
              <w:pStyle w:val="MDPI42tablebody"/>
              <w:spacing w:line="240" w:lineRule="auto"/>
              <w:rPr>
                <w:b/>
                <w:bCs/>
                <w:sz w:val="18"/>
                <w:szCs w:val="18"/>
              </w:rPr>
            </w:pPr>
            <w:r>
              <w:rPr>
                <w:b/>
                <w:bCs/>
                <w:sz w:val="18"/>
                <w:szCs w:val="18"/>
              </w:rPr>
              <w:t>10</w:t>
            </w:r>
          </w:p>
        </w:tc>
        <w:tc>
          <w:tcPr>
            <w:tcW w:w="4536" w:type="dxa"/>
            <w:tcBorders>
              <w:top w:val="nil"/>
              <w:left w:val="nil"/>
              <w:bottom w:val="nil"/>
              <w:right w:val="nil"/>
            </w:tcBorders>
            <w:vAlign w:val="center"/>
          </w:tcPr>
          <w:p w14:paraId="550F2D06" w14:textId="77777777" w:rsidR="007A0117" w:rsidRPr="0068523A" w:rsidRDefault="007A0117">
            <w:pPr>
              <w:pStyle w:val="MDPI42tablebody"/>
              <w:spacing w:line="240" w:lineRule="auto"/>
              <w:jc w:val="both"/>
              <w:rPr>
                <w:sz w:val="18"/>
                <w:szCs w:val="18"/>
                <w:lang w:val="tr-TR"/>
              </w:rPr>
            </w:pPr>
            <w:r w:rsidRPr="00B17133">
              <w:rPr>
                <w:sz w:val="18"/>
                <w:szCs w:val="18"/>
                <w:lang w:val="tr-TR"/>
              </w:rPr>
              <w:t>Başkalarına yetersiz görünme ihtimalim varsa yeni bir görev üstlenmekten kaçınırım.</w:t>
            </w:r>
          </w:p>
        </w:tc>
        <w:tc>
          <w:tcPr>
            <w:tcW w:w="425" w:type="dxa"/>
            <w:tcBorders>
              <w:top w:val="nil"/>
              <w:left w:val="nil"/>
              <w:bottom w:val="nil"/>
              <w:right w:val="nil"/>
            </w:tcBorders>
            <w:vAlign w:val="center"/>
          </w:tcPr>
          <w:p w14:paraId="423F3438"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0DC3178C"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106B091D"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75495A4D"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1A1A21BA"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778CA9D1"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6A5BC18A"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2788473C" w14:textId="77777777">
        <w:tc>
          <w:tcPr>
            <w:tcW w:w="369" w:type="dxa"/>
            <w:tcBorders>
              <w:top w:val="nil"/>
              <w:left w:val="nil"/>
              <w:bottom w:val="nil"/>
              <w:right w:val="nil"/>
            </w:tcBorders>
            <w:vAlign w:val="center"/>
          </w:tcPr>
          <w:p w14:paraId="34EAF154" w14:textId="77777777" w:rsidR="007A0117" w:rsidRDefault="007A0117">
            <w:pPr>
              <w:pStyle w:val="MDPI42tablebody"/>
              <w:spacing w:line="240" w:lineRule="auto"/>
              <w:rPr>
                <w:b/>
                <w:bCs/>
                <w:sz w:val="18"/>
                <w:szCs w:val="18"/>
              </w:rPr>
            </w:pPr>
            <w:r>
              <w:rPr>
                <w:b/>
                <w:bCs/>
                <w:sz w:val="18"/>
                <w:szCs w:val="18"/>
              </w:rPr>
              <w:t>11</w:t>
            </w:r>
          </w:p>
        </w:tc>
        <w:tc>
          <w:tcPr>
            <w:tcW w:w="4536" w:type="dxa"/>
            <w:tcBorders>
              <w:top w:val="nil"/>
              <w:left w:val="nil"/>
              <w:bottom w:val="nil"/>
              <w:right w:val="nil"/>
            </w:tcBorders>
            <w:vAlign w:val="center"/>
          </w:tcPr>
          <w:p w14:paraId="3438F736" w14:textId="77777777" w:rsidR="007A0117" w:rsidRPr="0068523A" w:rsidRDefault="007A0117">
            <w:pPr>
              <w:pStyle w:val="MDPI42tablebody"/>
              <w:spacing w:line="240" w:lineRule="auto"/>
              <w:jc w:val="both"/>
              <w:rPr>
                <w:sz w:val="18"/>
                <w:szCs w:val="18"/>
                <w:lang w:val="tr-TR"/>
              </w:rPr>
            </w:pPr>
            <w:r w:rsidRPr="00B17133">
              <w:rPr>
                <w:sz w:val="18"/>
                <w:szCs w:val="18"/>
                <w:lang w:val="tr-TR"/>
              </w:rPr>
              <w:t>Benim için kabiliyetlerimi zayıf gösterecek durumlardan kaçınmak yeni bir beceri kazanmaktan daha önemlidir.</w:t>
            </w:r>
          </w:p>
        </w:tc>
        <w:tc>
          <w:tcPr>
            <w:tcW w:w="425" w:type="dxa"/>
            <w:tcBorders>
              <w:top w:val="nil"/>
              <w:left w:val="nil"/>
              <w:bottom w:val="nil"/>
              <w:right w:val="nil"/>
            </w:tcBorders>
            <w:vAlign w:val="center"/>
          </w:tcPr>
          <w:p w14:paraId="0870A857"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64F6BD49"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68C895C0"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7225C6BB"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2E45E7ED"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4ADF2977"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6E46A72C"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087DFC56" w14:textId="77777777">
        <w:tc>
          <w:tcPr>
            <w:tcW w:w="369" w:type="dxa"/>
            <w:tcBorders>
              <w:top w:val="nil"/>
              <w:left w:val="nil"/>
              <w:bottom w:val="nil"/>
              <w:right w:val="nil"/>
            </w:tcBorders>
            <w:vAlign w:val="center"/>
          </w:tcPr>
          <w:p w14:paraId="32219334" w14:textId="77777777" w:rsidR="007A0117" w:rsidRDefault="007A0117">
            <w:pPr>
              <w:pStyle w:val="MDPI42tablebody"/>
              <w:spacing w:line="240" w:lineRule="auto"/>
              <w:rPr>
                <w:b/>
                <w:bCs/>
                <w:sz w:val="18"/>
                <w:szCs w:val="18"/>
              </w:rPr>
            </w:pPr>
            <w:r>
              <w:rPr>
                <w:b/>
                <w:bCs/>
                <w:sz w:val="18"/>
                <w:szCs w:val="18"/>
              </w:rPr>
              <w:t>12</w:t>
            </w:r>
          </w:p>
        </w:tc>
        <w:tc>
          <w:tcPr>
            <w:tcW w:w="4536" w:type="dxa"/>
            <w:tcBorders>
              <w:top w:val="nil"/>
              <w:left w:val="nil"/>
              <w:bottom w:val="nil"/>
              <w:right w:val="nil"/>
            </w:tcBorders>
            <w:vAlign w:val="center"/>
          </w:tcPr>
          <w:p w14:paraId="4D18F387" w14:textId="77777777" w:rsidR="007A0117" w:rsidRPr="0068523A" w:rsidRDefault="007A0117">
            <w:pPr>
              <w:pStyle w:val="MDPI42tablebody"/>
              <w:spacing w:line="240" w:lineRule="auto"/>
              <w:jc w:val="both"/>
              <w:rPr>
                <w:sz w:val="18"/>
                <w:szCs w:val="18"/>
                <w:lang w:val="tr-TR"/>
              </w:rPr>
            </w:pPr>
            <w:r w:rsidRPr="00B17133">
              <w:rPr>
                <w:sz w:val="18"/>
                <w:szCs w:val="18"/>
                <w:lang w:val="tr-TR"/>
              </w:rPr>
              <w:t>İş yerinde bir görevde göstereceğim performans kabiliyetlerimin zayıf olduğunu ortaya çıkaracaksa, o görevi üstlenirken endişe duyarım.</w:t>
            </w:r>
          </w:p>
        </w:tc>
        <w:tc>
          <w:tcPr>
            <w:tcW w:w="425" w:type="dxa"/>
            <w:tcBorders>
              <w:top w:val="nil"/>
              <w:left w:val="nil"/>
              <w:bottom w:val="nil"/>
              <w:right w:val="nil"/>
            </w:tcBorders>
            <w:vAlign w:val="center"/>
          </w:tcPr>
          <w:p w14:paraId="51436061"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20D53704"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2EAC5CC3"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256F632F"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3D3CBA59"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5DC5AB9E"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0355AA96"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2DEC405F" w14:textId="77777777">
        <w:tc>
          <w:tcPr>
            <w:tcW w:w="369" w:type="dxa"/>
            <w:tcBorders>
              <w:top w:val="nil"/>
              <w:left w:val="nil"/>
              <w:bottom w:val="nil"/>
              <w:right w:val="nil"/>
            </w:tcBorders>
            <w:vAlign w:val="center"/>
          </w:tcPr>
          <w:p w14:paraId="6446196D" w14:textId="77777777" w:rsidR="007A0117" w:rsidRDefault="007A0117">
            <w:pPr>
              <w:pStyle w:val="MDPI42tablebody"/>
              <w:spacing w:line="240" w:lineRule="auto"/>
              <w:rPr>
                <w:b/>
                <w:bCs/>
                <w:sz w:val="18"/>
                <w:szCs w:val="18"/>
              </w:rPr>
            </w:pPr>
            <w:r>
              <w:rPr>
                <w:b/>
                <w:bCs/>
                <w:sz w:val="18"/>
                <w:szCs w:val="18"/>
              </w:rPr>
              <w:t>13</w:t>
            </w:r>
          </w:p>
        </w:tc>
        <w:tc>
          <w:tcPr>
            <w:tcW w:w="4536" w:type="dxa"/>
            <w:tcBorders>
              <w:top w:val="nil"/>
              <w:left w:val="nil"/>
              <w:bottom w:val="nil"/>
              <w:right w:val="nil"/>
            </w:tcBorders>
            <w:vAlign w:val="center"/>
          </w:tcPr>
          <w:p w14:paraId="704A4E8D" w14:textId="77777777" w:rsidR="007A0117" w:rsidRPr="0068523A" w:rsidRDefault="007A0117">
            <w:pPr>
              <w:pStyle w:val="MDPI42tablebody"/>
              <w:spacing w:line="240" w:lineRule="auto"/>
              <w:jc w:val="both"/>
              <w:rPr>
                <w:sz w:val="18"/>
                <w:szCs w:val="18"/>
                <w:lang w:val="tr-TR"/>
              </w:rPr>
            </w:pPr>
            <w:r w:rsidRPr="00B17133">
              <w:rPr>
                <w:sz w:val="18"/>
                <w:szCs w:val="18"/>
                <w:lang w:val="tr-TR"/>
              </w:rPr>
              <w:t>İş yerinde düşük performans gösterebileceğim durumlardan kaçınmayı tercih ederim.</w:t>
            </w:r>
          </w:p>
        </w:tc>
        <w:tc>
          <w:tcPr>
            <w:tcW w:w="425" w:type="dxa"/>
            <w:tcBorders>
              <w:top w:val="nil"/>
              <w:left w:val="nil"/>
              <w:bottom w:val="nil"/>
              <w:right w:val="nil"/>
            </w:tcBorders>
            <w:vAlign w:val="center"/>
          </w:tcPr>
          <w:p w14:paraId="6DB45CE6" w14:textId="77777777" w:rsidR="007A0117" w:rsidRPr="00646B71" w:rsidRDefault="007A0117">
            <w:pPr>
              <w:pStyle w:val="MDPI42tablebody"/>
              <w:spacing w:line="240" w:lineRule="auto"/>
              <w:rPr>
                <w:b/>
                <w:bCs/>
                <w:sz w:val="18"/>
                <w:szCs w:val="18"/>
              </w:rPr>
            </w:pPr>
            <w:r w:rsidRPr="00646B71">
              <w:rPr>
                <w:b/>
                <w:bCs/>
                <w:sz w:val="18"/>
                <w:szCs w:val="18"/>
              </w:rPr>
              <w:t>(7)</w:t>
            </w:r>
          </w:p>
        </w:tc>
        <w:tc>
          <w:tcPr>
            <w:tcW w:w="426" w:type="dxa"/>
            <w:tcBorders>
              <w:top w:val="nil"/>
              <w:left w:val="nil"/>
              <w:bottom w:val="nil"/>
              <w:right w:val="nil"/>
            </w:tcBorders>
            <w:vAlign w:val="center"/>
          </w:tcPr>
          <w:p w14:paraId="3B5CD020" w14:textId="77777777" w:rsidR="007A0117" w:rsidRPr="00646B71" w:rsidRDefault="007A0117">
            <w:pPr>
              <w:pStyle w:val="MDPI42tablebody"/>
              <w:spacing w:line="240" w:lineRule="auto"/>
              <w:rPr>
                <w:b/>
                <w:bCs/>
                <w:sz w:val="18"/>
                <w:szCs w:val="18"/>
              </w:rPr>
            </w:pPr>
            <w:r w:rsidRPr="00646B71">
              <w:rPr>
                <w:b/>
                <w:bCs/>
                <w:sz w:val="18"/>
                <w:szCs w:val="18"/>
              </w:rPr>
              <w:t>(6)</w:t>
            </w:r>
          </w:p>
        </w:tc>
        <w:tc>
          <w:tcPr>
            <w:tcW w:w="425" w:type="dxa"/>
            <w:tcBorders>
              <w:top w:val="nil"/>
              <w:left w:val="nil"/>
              <w:bottom w:val="nil"/>
              <w:right w:val="nil"/>
            </w:tcBorders>
            <w:vAlign w:val="center"/>
          </w:tcPr>
          <w:p w14:paraId="72A93D1B" w14:textId="77777777" w:rsidR="007A0117" w:rsidRPr="00646B71" w:rsidRDefault="007A0117">
            <w:pPr>
              <w:pStyle w:val="MDPI42tablebody"/>
              <w:spacing w:line="240" w:lineRule="auto"/>
              <w:rPr>
                <w:b/>
                <w:bCs/>
                <w:sz w:val="18"/>
                <w:szCs w:val="18"/>
              </w:rPr>
            </w:pPr>
            <w:r w:rsidRPr="00646B71">
              <w:rPr>
                <w:b/>
                <w:bCs/>
                <w:sz w:val="18"/>
                <w:szCs w:val="18"/>
              </w:rPr>
              <w:t>(5)</w:t>
            </w:r>
          </w:p>
        </w:tc>
        <w:tc>
          <w:tcPr>
            <w:tcW w:w="425" w:type="dxa"/>
            <w:tcBorders>
              <w:top w:val="nil"/>
              <w:left w:val="nil"/>
              <w:bottom w:val="nil"/>
              <w:right w:val="nil"/>
            </w:tcBorders>
            <w:vAlign w:val="center"/>
          </w:tcPr>
          <w:p w14:paraId="619A1AB6" w14:textId="77777777" w:rsidR="007A0117" w:rsidRPr="00646B71" w:rsidRDefault="007A0117">
            <w:pPr>
              <w:pStyle w:val="MDPI42tablebody"/>
              <w:spacing w:line="240" w:lineRule="auto"/>
              <w:rPr>
                <w:b/>
                <w:bCs/>
                <w:sz w:val="18"/>
                <w:szCs w:val="18"/>
              </w:rPr>
            </w:pPr>
            <w:r w:rsidRPr="00646B71">
              <w:rPr>
                <w:b/>
                <w:bCs/>
                <w:sz w:val="18"/>
                <w:szCs w:val="18"/>
              </w:rPr>
              <w:t>(4)</w:t>
            </w:r>
          </w:p>
        </w:tc>
        <w:tc>
          <w:tcPr>
            <w:tcW w:w="425" w:type="dxa"/>
            <w:tcBorders>
              <w:top w:val="nil"/>
              <w:left w:val="nil"/>
              <w:bottom w:val="nil"/>
              <w:right w:val="nil"/>
            </w:tcBorders>
            <w:vAlign w:val="center"/>
          </w:tcPr>
          <w:p w14:paraId="6FFF9327" w14:textId="77777777" w:rsidR="007A0117" w:rsidRPr="00646B71" w:rsidRDefault="007A0117">
            <w:pPr>
              <w:pStyle w:val="MDPI42tablebody"/>
              <w:spacing w:line="240" w:lineRule="auto"/>
              <w:rPr>
                <w:b/>
                <w:bCs/>
                <w:sz w:val="18"/>
                <w:szCs w:val="18"/>
              </w:rPr>
            </w:pPr>
            <w:r w:rsidRPr="00646B71">
              <w:rPr>
                <w:b/>
                <w:bCs/>
                <w:sz w:val="18"/>
                <w:szCs w:val="18"/>
              </w:rPr>
              <w:t>(3)</w:t>
            </w:r>
          </w:p>
        </w:tc>
        <w:tc>
          <w:tcPr>
            <w:tcW w:w="426" w:type="dxa"/>
            <w:tcBorders>
              <w:top w:val="nil"/>
              <w:left w:val="nil"/>
              <w:bottom w:val="nil"/>
              <w:right w:val="nil"/>
            </w:tcBorders>
            <w:vAlign w:val="center"/>
          </w:tcPr>
          <w:p w14:paraId="3ABD339B" w14:textId="77777777" w:rsidR="007A0117" w:rsidRPr="00646B71" w:rsidRDefault="007A0117">
            <w:pPr>
              <w:pStyle w:val="MDPI42tablebody"/>
              <w:spacing w:line="240" w:lineRule="auto"/>
              <w:rPr>
                <w:b/>
                <w:bCs/>
                <w:sz w:val="18"/>
                <w:szCs w:val="18"/>
              </w:rPr>
            </w:pPr>
            <w:r w:rsidRPr="00646B71">
              <w:rPr>
                <w:b/>
                <w:bCs/>
                <w:sz w:val="18"/>
                <w:szCs w:val="18"/>
              </w:rPr>
              <w:t>(2)</w:t>
            </w:r>
          </w:p>
        </w:tc>
        <w:tc>
          <w:tcPr>
            <w:tcW w:w="400" w:type="dxa"/>
            <w:tcBorders>
              <w:top w:val="nil"/>
              <w:left w:val="nil"/>
              <w:bottom w:val="nil"/>
              <w:right w:val="nil"/>
            </w:tcBorders>
            <w:vAlign w:val="center"/>
          </w:tcPr>
          <w:p w14:paraId="0771A5A4" w14:textId="77777777" w:rsidR="007A0117" w:rsidRPr="00646B71" w:rsidRDefault="007A0117">
            <w:pPr>
              <w:pStyle w:val="MDPI42tablebody"/>
              <w:spacing w:line="240" w:lineRule="auto"/>
              <w:rPr>
                <w:b/>
                <w:bCs/>
                <w:sz w:val="18"/>
                <w:szCs w:val="18"/>
              </w:rPr>
            </w:pPr>
            <w:r w:rsidRPr="00646B71">
              <w:rPr>
                <w:b/>
                <w:bCs/>
                <w:sz w:val="18"/>
                <w:szCs w:val="18"/>
              </w:rPr>
              <w:t>(1)</w:t>
            </w:r>
          </w:p>
        </w:tc>
      </w:tr>
      <w:tr w:rsidR="007A0117" w:rsidRPr="00E8314F" w14:paraId="39151997" w14:textId="77777777">
        <w:trPr>
          <w:trHeight w:val="660"/>
        </w:trPr>
        <w:tc>
          <w:tcPr>
            <w:tcW w:w="369" w:type="dxa"/>
            <w:tcBorders>
              <w:top w:val="nil"/>
              <w:left w:val="nil"/>
              <w:right w:val="nil"/>
            </w:tcBorders>
            <w:vAlign w:val="center"/>
          </w:tcPr>
          <w:p w14:paraId="5B6E5467" w14:textId="77777777" w:rsidR="007A0117" w:rsidRDefault="007A0117">
            <w:pPr>
              <w:pStyle w:val="MDPI42tablebody"/>
              <w:spacing w:line="240" w:lineRule="auto"/>
              <w:rPr>
                <w:b/>
                <w:bCs/>
                <w:sz w:val="18"/>
                <w:szCs w:val="18"/>
              </w:rPr>
            </w:pPr>
          </w:p>
        </w:tc>
        <w:tc>
          <w:tcPr>
            <w:tcW w:w="4536" w:type="dxa"/>
            <w:tcBorders>
              <w:top w:val="nil"/>
              <w:left w:val="nil"/>
              <w:right w:val="nil"/>
            </w:tcBorders>
            <w:vAlign w:val="center"/>
          </w:tcPr>
          <w:p w14:paraId="32A8CFBB" w14:textId="77777777" w:rsidR="007A0117" w:rsidRDefault="007A0117">
            <w:pPr>
              <w:pStyle w:val="MDPI42tablebody"/>
              <w:spacing w:line="240" w:lineRule="auto"/>
              <w:jc w:val="both"/>
              <w:rPr>
                <w:sz w:val="18"/>
                <w:szCs w:val="18"/>
              </w:rPr>
            </w:pPr>
            <w:r>
              <w:rPr>
                <w:sz w:val="18"/>
                <w:szCs w:val="18"/>
              </w:rPr>
              <w:t xml:space="preserve">Corresponding author: </w:t>
            </w:r>
            <w:r w:rsidRPr="00AF79E1">
              <w:rPr>
                <w:sz w:val="18"/>
                <w:szCs w:val="18"/>
              </w:rPr>
              <w:t>Fuat Fındıkoğlu</w:t>
            </w:r>
          </w:p>
          <w:p w14:paraId="11360A62" w14:textId="77777777" w:rsidR="007A0117" w:rsidRPr="00185C7D" w:rsidRDefault="007A0117">
            <w:pPr>
              <w:pStyle w:val="MDPI42tablebody"/>
              <w:spacing w:line="240" w:lineRule="auto"/>
              <w:jc w:val="both"/>
              <w:rPr>
                <w:sz w:val="18"/>
                <w:szCs w:val="18"/>
              </w:rPr>
            </w:pPr>
            <w:r>
              <w:rPr>
                <w:sz w:val="18"/>
                <w:szCs w:val="18"/>
              </w:rPr>
              <w:t xml:space="preserve">ORCID ID: </w:t>
            </w:r>
            <w:hyperlink r:id="rId9" w:history="1">
              <w:r w:rsidRPr="00D44BE1">
                <w:rPr>
                  <w:rStyle w:val="Hyperlink"/>
                  <w:sz w:val="18"/>
                  <w:szCs w:val="18"/>
                </w:rPr>
                <w:t>https://orcid.org/0000-0002-4480-353X</w:t>
              </w:r>
            </w:hyperlink>
          </w:p>
        </w:tc>
        <w:tc>
          <w:tcPr>
            <w:tcW w:w="425" w:type="dxa"/>
            <w:tcBorders>
              <w:top w:val="nil"/>
              <w:left w:val="nil"/>
              <w:right w:val="nil"/>
            </w:tcBorders>
          </w:tcPr>
          <w:p w14:paraId="61391616" w14:textId="77777777" w:rsidR="007A0117" w:rsidRPr="00646B71" w:rsidRDefault="007A0117">
            <w:pPr>
              <w:pStyle w:val="MDPI42tablebody"/>
              <w:spacing w:line="240" w:lineRule="auto"/>
              <w:rPr>
                <w:b/>
                <w:bCs/>
                <w:sz w:val="18"/>
                <w:szCs w:val="18"/>
              </w:rPr>
            </w:pPr>
          </w:p>
        </w:tc>
        <w:tc>
          <w:tcPr>
            <w:tcW w:w="426" w:type="dxa"/>
            <w:tcBorders>
              <w:top w:val="nil"/>
              <w:left w:val="nil"/>
              <w:right w:val="nil"/>
            </w:tcBorders>
          </w:tcPr>
          <w:p w14:paraId="66112494" w14:textId="77777777" w:rsidR="007A0117" w:rsidRPr="00646B71" w:rsidRDefault="007A0117">
            <w:pPr>
              <w:pStyle w:val="MDPI42tablebody"/>
              <w:spacing w:line="240" w:lineRule="auto"/>
              <w:rPr>
                <w:b/>
                <w:bCs/>
                <w:sz w:val="18"/>
                <w:szCs w:val="18"/>
              </w:rPr>
            </w:pPr>
          </w:p>
        </w:tc>
        <w:tc>
          <w:tcPr>
            <w:tcW w:w="425" w:type="dxa"/>
            <w:tcBorders>
              <w:top w:val="nil"/>
              <w:left w:val="nil"/>
              <w:right w:val="nil"/>
            </w:tcBorders>
          </w:tcPr>
          <w:p w14:paraId="3AB532C2" w14:textId="77777777" w:rsidR="007A0117" w:rsidRPr="00646B71" w:rsidRDefault="007A0117">
            <w:pPr>
              <w:pStyle w:val="MDPI42tablebody"/>
              <w:spacing w:line="240" w:lineRule="auto"/>
              <w:rPr>
                <w:b/>
                <w:bCs/>
                <w:sz w:val="18"/>
                <w:szCs w:val="18"/>
              </w:rPr>
            </w:pPr>
          </w:p>
        </w:tc>
        <w:tc>
          <w:tcPr>
            <w:tcW w:w="425" w:type="dxa"/>
            <w:tcBorders>
              <w:top w:val="nil"/>
              <w:left w:val="nil"/>
              <w:right w:val="nil"/>
            </w:tcBorders>
          </w:tcPr>
          <w:p w14:paraId="54691305" w14:textId="77777777" w:rsidR="007A0117" w:rsidRPr="00646B71" w:rsidRDefault="007A0117">
            <w:pPr>
              <w:pStyle w:val="MDPI42tablebody"/>
              <w:spacing w:line="240" w:lineRule="auto"/>
              <w:rPr>
                <w:b/>
                <w:bCs/>
                <w:sz w:val="18"/>
                <w:szCs w:val="18"/>
              </w:rPr>
            </w:pPr>
          </w:p>
        </w:tc>
        <w:tc>
          <w:tcPr>
            <w:tcW w:w="425" w:type="dxa"/>
            <w:tcBorders>
              <w:top w:val="nil"/>
              <w:left w:val="nil"/>
              <w:right w:val="nil"/>
            </w:tcBorders>
          </w:tcPr>
          <w:p w14:paraId="5E0B78C9" w14:textId="77777777" w:rsidR="007A0117" w:rsidRPr="00646B71" w:rsidRDefault="007A0117">
            <w:pPr>
              <w:pStyle w:val="MDPI42tablebody"/>
              <w:spacing w:line="240" w:lineRule="auto"/>
              <w:rPr>
                <w:b/>
                <w:bCs/>
                <w:sz w:val="18"/>
                <w:szCs w:val="18"/>
              </w:rPr>
            </w:pPr>
          </w:p>
        </w:tc>
        <w:tc>
          <w:tcPr>
            <w:tcW w:w="426" w:type="dxa"/>
            <w:tcBorders>
              <w:top w:val="nil"/>
              <w:left w:val="nil"/>
              <w:right w:val="nil"/>
            </w:tcBorders>
          </w:tcPr>
          <w:p w14:paraId="7925AC47" w14:textId="77777777" w:rsidR="007A0117" w:rsidRPr="00646B71" w:rsidRDefault="007A0117">
            <w:pPr>
              <w:pStyle w:val="MDPI42tablebody"/>
              <w:spacing w:line="240" w:lineRule="auto"/>
              <w:rPr>
                <w:b/>
                <w:bCs/>
                <w:sz w:val="18"/>
                <w:szCs w:val="18"/>
              </w:rPr>
            </w:pPr>
          </w:p>
        </w:tc>
        <w:tc>
          <w:tcPr>
            <w:tcW w:w="400" w:type="dxa"/>
            <w:tcBorders>
              <w:top w:val="nil"/>
              <w:left w:val="nil"/>
              <w:right w:val="nil"/>
            </w:tcBorders>
          </w:tcPr>
          <w:p w14:paraId="354F2A43" w14:textId="77777777" w:rsidR="007A0117" w:rsidRPr="00646B71" w:rsidRDefault="007A0117">
            <w:pPr>
              <w:pStyle w:val="MDPI42tablebody"/>
              <w:spacing w:line="240" w:lineRule="auto"/>
              <w:rPr>
                <w:b/>
                <w:bCs/>
                <w:sz w:val="18"/>
                <w:szCs w:val="18"/>
              </w:rPr>
            </w:pPr>
          </w:p>
        </w:tc>
      </w:tr>
    </w:tbl>
    <w:p w14:paraId="79839A1B" w14:textId="77777777" w:rsidR="007A0117" w:rsidRDefault="007A0117" w:rsidP="007A0117">
      <w:pPr>
        <w:pStyle w:val="MDPI31text"/>
      </w:pPr>
    </w:p>
    <w:p w14:paraId="48BBFF5C" w14:textId="77777777" w:rsidR="007A0117" w:rsidRDefault="007A0117" w:rsidP="007A0117">
      <w:pPr>
        <w:pStyle w:val="MDPI31text"/>
      </w:pPr>
    </w:p>
    <w:p w14:paraId="50DF4F0B" w14:textId="77777777" w:rsidR="0035077A" w:rsidRDefault="0035077A" w:rsidP="007A0117">
      <w:pPr>
        <w:pStyle w:val="MDPI31text"/>
      </w:pPr>
    </w:p>
    <w:sectPr w:rsidR="0035077A" w:rsidSect="00610D4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214B" w14:textId="77777777" w:rsidR="001B1DDB" w:rsidRDefault="001B1DDB">
      <w:pPr>
        <w:spacing w:line="240" w:lineRule="auto"/>
      </w:pPr>
      <w:r>
        <w:separator/>
      </w:r>
    </w:p>
  </w:endnote>
  <w:endnote w:type="continuationSeparator" w:id="0">
    <w:p w14:paraId="663D5FA6" w14:textId="77777777" w:rsidR="001B1DDB" w:rsidRDefault="001B1DDB">
      <w:pPr>
        <w:spacing w:line="240" w:lineRule="auto"/>
      </w:pPr>
      <w:r>
        <w:continuationSeparator/>
      </w:r>
    </w:p>
  </w:endnote>
  <w:endnote w:type="continuationNotice" w:id="1">
    <w:p w14:paraId="0BF1355C" w14:textId="77777777" w:rsidR="001B1DDB" w:rsidRDefault="001B1D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9046" w14:textId="77777777" w:rsidR="00A15F7B" w:rsidRDefault="00A15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6D91" w14:textId="77777777" w:rsidR="00E90986" w:rsidRPr="00590BF9" w:rsidRDefault="00E90986" w:rsidP="00E90986">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323" w14:textId="77777777" w:rsidR="00BB7298" w:rsidRDefault="00BB7298" w:rsidP="00C61015">
    <w:pPr>
      <w:pStyle w:val="MDPIfooterfirstpage"/>
      <w:pBdr>
        <w:top w:val="single" w:sz="4" w:space="0" w:color="000000"/>
      </w:pBdr>
      <w:adjustRightInd w:val="0"/>
      <w:snapToGrid w:val="0"/>
      <w:spacing w:before="480" w:line="100" w:lineRule="exact"/>
      <w:rPr>
        <w:i/>
      </w:rPr>
    </w:pPr>
  </w:p>
  <w:p w14:paraId="50362A27" w14:textId="3C7F7FA9" w:rsidR="00E90986" w:rsidRPr="00E8314F" w:rsidRDefault="00B770F5" w:rsidP="002E1EF1">
    <w:pPr>
      <w:pStyle w:val="MDPIfooterfirstpage"/>
      <w:tabs>
        <w:tab w:val="clear" w:pos="8845"/>
        <w:tab w:val="right" w:pos="10466"/>
      </w:tabs>
      <w:spacing w:line="240" w:lineRule="auto"/>
      <w:jc w:val="both"/>
    </w:pPr>
    <w:r w:rsidRPr="000613A0">
      <w:rPr>
        <w:i/>
        <w:szCs w:val="16"/>
      </w:rPr>
      <w:t>Educ. Sci.</w:t>
    </w:r>
    <w:r w:rsidRPr="000613A0">
      <w:rPr>
        <w:iCs/>
        <w:szCs w:val="16"/>
      </w:rPr>
      <w:t xml:space="preserve"> </w:t>
    </w:r>
    <w:r>
      <w:rPr>
        <w:b/>
        <w:bCs/>
        <w:iCs/>
        <w:szCs w:val="16"/>
      </w:rPr>
      <w:t>202</w:t>
    </w:r>
    <w:r w:rsidR="006B550A">
      <w:rPr>
        <w:b/>
        <w:bCs/>
        <w:iCs/>
        <w:szCs w:val="16"/>
      </w:rPr>
      <w:t>5</w:t>
    </w:r>
    <w:r w:rsidRPr="00C80CE7">
      <w:rPr>
        <w:bCs/>
        <w:iCs/>
        <w:szCs w:val="16"/>
      </w:rPr>
      <w:t>,</w:t>
    </w:r>
    <w:r>
      <w:rPr>
        <w:bCs/>
        <w:i/>
        <w:iCs/>
        <w:szCs w:val="16"/>
      </w:rPr>
      <w:t xml:space="preserve"> </w:t>
    </w:r>
    <w:r w:rsidR="006B550A">
      <w:rPr>
        <w:bCs/>
        <w:i/>
        <w:iCs/>
        <w:szCs w:val="16"/>
      </w:rPr>
      <w:t>15</w:t>
    </w:r>
    <w:r w:rsidRPr="00C80CE7">
      <w:rPr>
        <w:bCs/>
        <w:iCs/>
        <w:szCs w:val="16"/>
      </w:rPr>
      <w:t xml:space="preserve">, </w:t>
    </w:r>
    <w:r w:rsidR="006B550A">
      <w:rPr>
        <w:bCs/>
        <w:iCs/>
        <w:szCs w:val="16"/>
      </w:rPr>
      <w:t>67</w:t>
    </w:r>
    <w:r w:rsidRPr="003B6B17">
      <w:rPr>
        <w:szCs w:val="16"/>
      </w:rPr>
      <w:tab/>
    </w:r>
    <w:r w:rsidR="00C9351A">
      <w:rPr>
        <w:bCs/>
        <w:iCs/>
        <w:szCs w:val="16"/>
      </w:rPr>
      <w:t>https://doi.org/10.3390/</w:t>
    </w:r>
    <w:r w:rsidR="00411186">
      <w:rPr>
        <w:bCs/>
        <w:iCs/>
        <w:szCs w:val="16"/>
      </w:rPr>
      <w:t>educsci15010067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2A5B" w14:textId="77777777" w:rsidR="001B1DDB" w:rsidRDefault="001B1DDB">
      <w:pPr>
        <w:spacing w:line="240" w:lineRule="auto"/>
      </w:pPr>
      <w:r>
        <w:separator/>
      </w:r>
    </w:p>
  </w:footnote>
  <w:footnote w:type="continuationSeparator" w:id="0">
    <w:p w14:paraId="43884E23" w14:textId="77777777" w:rsidR="001B1DDB" w:rsidRDefault="001B1DDB">
      <w:pPr>
        <w:spacing w:line="240" w:lineRule="auto"/>
      </w:pPr>
      <w:r>
        <w:continuationSeparator/>
      </w:r>
    </w:p>
  </w:footnote>
  <w:footnote w:type="continuationNotice" w:id="1">
    <w:p w14:paraId="77EEC5A1" w14:textId="77777777" w:rsidR="001B1DDB" w:rsidRDefault="001B1D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E500"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8EDA" w14:textId="0F3B7D0E" w:rsidR="00773CD4" w:rsidRDefault="00773CD4" w:rsidP="00773CD4">
    <w:pPr>
      <w:tabs>
        <w:tab w:val="right" w:pos="10466"/>
      </w:tabs>
      <w:adjustRightInd w:val="0"/>
      <w:snapToGrid w:val="0"/>
      <w:spacing w:line="240" w:lineRule="auto"/>
      <w:rPr>
        <w:sz w:val="16"/>
      </w:rPr>
    </w:pPr>
    <w:r>
      <w:rPr>
        <w:i/>
        <w:sz w:val="16"/>
      </w:rPr>
      <w:t xml:space="preserve">Educ. Sci. </w:t>
    </w:r>
    <w:r>
      <w:rPr>
        <w:b/>
        <w:sz w:val="16"/>
      </w:rPr>
      <w:t>202</w:t>
    </w:r>
    <w:r w:rsidR="00411186">
      <w:rPr>
        <w:b/>
        <w:sz w:val="16"/>
      </w:rPr>
      <w:t>5</w:t>
    </w:r>
    <w:r w:rsidRPr="00C80CE7">
      <w:rPr>
        <w:sz w:val="16"/>
      </w:rPr>
      <w:t>,</w:t>
    </w:r>
    <w:r>
      <w:rPr>
        <w:i/>
        <w:sz w:val="16"/>
      </w:rPr>
      <w:t xml:space="preserve"> 1</w:t>
    </w:r>
    <w:r w:rsidR="00411186">
      <w:rPr>
        <w:i/>
        <w:sz w:val="16"/>
      </w:rPr>
      <w:t>5</w:t>
    </w:r>
    <w:r>
      <w:rPr>
        <w:sz w:val="16"/>
      </w:rPr>
      <w:t xml:space="preserve">, </w:t>
    </w:r>
    <w:r w:rsidR="00411186">
      <w:rPr>
        <w:sz w:val="16"/>
      </w:rPr>
      <w:t>67</w:t>
    </w:r>
    <w:r>
      <w:rPr>
        <w:sz w:val="16"/>
      </w:rPr>
      <w:tab/>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7</w:t>
    </w:r>
    <w:r>
      <w:rPr>
        <w:sz w:val="16"/>
      </w:rPr>
      <w:fldChar w:fldCharType="end"/>
    </w:r>
  </w:p>
  <w:p w14:paraId="09C3ACBC" w14:textId="77777777" w:rsidR="00E90986" w:rsidRPr="00823735" w:rsidRDefault="00E90986" w:rsidP="00C61015">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BB7298" w:rsidRPr="002E1EF1" w14:paraId="0D2A4CED" w14:textId="77777777" w:rsidTr="00D054EC">
      <w:trPr>
        <w:trHeight w:val="686"/>
      </w:trPr>
      <w:tc>
        <w:tcPr>
          <w:tcW w:w="3679" w:type="dxa"/>
          <w:vAlign w:val="center"/>
        </w:tcPr>
        <w:p w14:paraId="4F7CE722" w14:textId="3B9A1C82" w:rsidR="00BB7298" w:rsidRPr="00F46953" w:rsidRDefault="00B76DB0" w:rsidP="002E1EF1">
          <w:pPr>
            <w:pStyle w:val="Header"/>
            <w:pBdr>
              <w:bottom w:val="none" w:sz="0" w:space="0" w:color="auto"/>
            </w:pBdr>
            <w:jc w:val="left"/>
            <w:rPr>
              <w:rFonts w:eastAsia="DengXian"/>
              <w:b/>
              <w:bCs/>
            </w:rPr>
          </w:pPr>
          <w:r>
            <w:rPr>
              <w:rFonts w:eastAsia="DengXian"/>
              <w:b/>
              <w:bCs/>
              <w:noProof/>
            </w:rPr>
            <w:drawing>
              <wp:inline distT="0" distB="0" distL="0" distR="0" wp14:anchorId="22447B13" wp14:editId="38324532">
                <wp:extent cx="1901408" cy="432000"/>
                <wp:effectExtent l="0" t="0" r="3810" b="6350"/>
                <wp:docPr id="116213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3699" name=""/>
                        <pic:cNvPicPr/>
                      </pic:nvPicPr>
                      <pic:blipFill>
                        <a:blip r:embed="rId1"/>
                        <a:stretch>
                          <a:fillRect/>
                        </a:stretch>
                      </pic:blipFill>
                      <pic:spPr>
                        <a:xfrm>
                          <a:off x="0" y="0"/>
                          <a:ext cx="1901408" cy="432000"/>
                        </a:xfrm>
                        <a:prstGeom prst="rect">
                          <a:avLst/>
                        </a:prstGeom>
                      </pic:spPr>
                    </pic:pic>
                  </a:graphicData>
                </a:graphic>
              </wp:inline>
            </w:drawing>
          </w:r>
        </w:p>
      </w:tc>
      <w:tc>
        <w:tcPr>
          <w:tcW w:w="4535" w:type="dxa"/>
          <w:vAlign w:val="center"/>
        </w:tcPr>
        <w:p w14:paraId="05BBD960" w14:textId="77777777" w:rsidR="00BB7298" w:rsidRPr="00F46953" w:rsidRDefault="00BB7298" w:rsidP="002E1EF1">
          <w:pPr>
            <w:pStyle w:val="Header"/>
            <w:pBdr>
              <w:bottom w:val="none" w:sz="0" w:space="0" w:color="auto"/>
            </w:pBdr>
            <w:rPr>
              <w:rFonts w:eastAsia="DengXian"/>
              <w:b/>
              <w:bCs/>
            </w:rPr>
          </w:pPr>
        </w:p>
      </w:tc>
      <w:tc>
        <w:tcPr>
          <w:tcW w:w="2273" w:type="dxa"/>
          <w:vAlign w:val="center"/>
        </w:tcPr>
        <w:p w14:paraId="128ED912" w14:textId="77777777" w:rsidR="00BB7298" w:rsidRPr="00F46953" w:rsidRDefault="00D054EC" w:rsidP="00D054EC">
          <w:pPr>
            <w:pStyle w:val="Header"/>
            <w:pBdr>
              <w:bottom w:val="none" w:sz="0" w:space="0" w:color="auto"/>
            </w:pBdr>
            <w:jc w:val="right"/>
            <w:rPr>
              <w:rFonts w:eastAsia="DengXian"/>
              <w:b/>
              <w:bCs/>
            </w:rPr>
          </w:pPr>
          <w:r>
            <w:rPr>
              <w:rFonts w:eastAsia="DengXian"/>
              <w:b/>
              <w:bCs/>
              <w:noProof/>
            </w:rPr>
            <w:drawing>
              <wp:inline distT="0" distB="0" distL="0" distR="0" wp14:anchorId="666919FD" wp14:editId="6916E9C1">
                <wp:extent cx="540000" cy="360000"/>
                <wp:effectExtent l="0" t="0" r="0" b="2540"/>
                <wp:docPr id="273064854" name="Picture 1"/>
                <wp:cNvGraphicFramePr/>
                <a:graphic xmlns:a="http://schemas.openxmlformats.org/drawingml/2006/main">
                  <a:graphicData uri="http://schemas.openxmlformats.org/drawingml/2006/picture">
                    <pic:pic xmlns:pic="http://schemas.openxmlformats.org/drawingml/2006/picture">
                      <pic:nvPicPr>
                        <pic:cNvPr id="273064854" name=""/>
                        <pic:cNvPicPr/>
                      </pic:nvPicPr>
                      <pic:blipFill>
                        <a:blip r:embed="rId2"/>
                        <a:stretch>
                          <a:fillRect/>
                        </a:stretch>
                      </pic:blipFill>
                      <pic:spPr>
                        <a:xfrm>
                          <a:off x="0" y="0"/>
                          <a:ext cx="540000" cy="360000"/>
                        </a:xfrm>
                        <a:prstGeom prst="rect">
                          <a:avLst/>
                        </a:prstGeom>
                      </pic:spPr>
                    </pic:pic>
                  </a:graphicData>
                </a:graphic>
              </wp:inline>
            </w:drawing>
          </w:r>
        </w:p>
      </w:tc>
    </w:tr>
  </w:tbl>
  <w:p w14:paraId="2AD5DB38" w14:textId="77777777" w:rsidR="00E90986" w:rsidRPr="00BB7298" w:rsidRDefault="00E90986" w:rsidP="00C6101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6BFB"/>
    <w:multiLevelType w:val="multilevel"/>
    <w:tmpl w:val="A8D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C1728"/>
    <w:multiLevelType w:val="hybridMultilevel"/>
    <w:tmpl w:val="6924091E"/>
    <w:lvl w:ilvl="0" w:tplc="577CA520">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ECCAB772"/>
    <w:lvl w:ilvl="0" w:tplc="16DE8D7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7334A"/>
    <w:multiLevelType w:val="multilevel"/>
    <w:tmpl w:val="A1B8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042CC"/>
    <w:multiLevelType w:val="multilevel"/>
    <w:tmpl w:val="9F98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3FEC0E26"/>
    <w:multiLevelType w:val="hybridMultilevel"/>
    <w:tmpl w:val="A424A122"/>
    <w:lvl w:ilvl="0" w:tplc="04D2497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60C0034C"/>
    <w:multiLevelType w:val="hybridMultilevel"/>
    <w:tmpl w:val="7A407E58"/>
    <w:lvl w:ilvl="0" w:tplc="F644114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D07FF"/>
    <w:multiLevelType w:val="multilevel"/>
    <w:tmpl w:val="04D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4464C"/>
    <w:multiLevelType w:val="multilevel"/>
    <w:tmpl w:val="050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339068">
    <w:abstractNumId w:val="6"/>
  </w:num>
  <w:num w:numId="2" w16cid:durableId="1029799925">
    <w:abstractNumId w:val="9"/>
  </w:num>
  <w:num w:numId="3" w16cid:durableId="1975720485">
    <w:abstractNumId w:val="5"/>
  </w:num>
  <w:num w:numId="4" w16cid:durableId="1321077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5298193">
    <w:abstractNumId w:val="7"/>
  </w:num>
  <w:num w:numId="6" w16cid:durableId="1525829918">
    <w:abstractNumId w:val="12"/>
  </w:num>
  <w:num w:numId="7" w16cid:durableId="937369615">
    <w:abstractNumId w:val="4"/>
  </w:num>
  <w:num w:numId="8" w16cid:durableId="550773706">
    <w:abstractNumId w:val="12"/>
  </w:num>
  <w:num w:numId="9" w16cid:durableId="1259174783">
    <w:abstractNumId w:val="4"/>
  </w:num>
  <w:num w:numId="10" w16cid:durableId="344747525">
    <w:abstractNumId w:val="12"/>
  </w:num>
  <w:num w:numId="11" w16cid:durableId="367489514">
    <w:abstractNumId w:val="4"/>
  </w:num>
  <w:num w:numId="12" w16cid:durableId="621377505">
    <w:abstractNumId w:val="16"/>
  </w:num>
  <w:num w:numId="13" w16cid:durableId="122890150">
    <w:abstractNumId w:val="12"/>
  </w:num>
  <w:num w:numId="14" w16cid:durableId="2109041100">
    <w:abstractNumId w:val="4"/>
  </w:num>
  <w:num w:numId="15" w16cid:durableId="1163280690">
    <w:abstractNumId w:val="2"/>
  </w:num>
  <w:num w:numId="16" w16cid:durableId="866606592">
    <w:abstractNumId w:val="11"/>
  </w:num>
  <w:num w:numId="17" w16cid:durableId="1108282335">
    <w:abstractNumId w:val="1"/>
  </w:num>
  <w:num w:numId="18" w16cid:durableId="884027319">
    <w:abstractNumId w:val="12"/>
  </w:num>
  <w:num w:numId="19" w16cid:durableId="2114396422">
    <w:abstractNumId w:val="4"/>
  </w:num>
  <w:num w:numId="20" w16cid:durableId="1981109380">
    <w:abstractNumId w:val="2"/>
  </w:num>
  <w:num w:numId="21" w16cid:durableId="1080058646">
    <w:abstractNumId w:val="1"/>
  </w:num>
  <w:num w:numId="22" w16cid:durableId="2077511443">
    <w:abstractNumId w:val="10"/>
  </w:num>
  <w:num w:numId="23" w16cid:durableId="1317104159">
    <w:abstractNumId w:val="13"/>
  </w:num>
  <w:num w:numId="24" w16cid:durableId="54088431">
    <w:abstractNumId w:val="14"/>
  </w:num>
  <w:num w:numId="25" w16cid:durableId="1174150828">
    <w:abstractNumId w:val="0"/>
  </w:num>
  <w:num w:numId="26" w16cid:durableId="1703902309">
    <w:abstractNumId w:val="15"/>
  </w:num>
  <w:num w:numId="27" w16cid:durableId="809860969">
    <w:abstractNumId w:val="8"/>
  </w:num>
  <w:num w:numId="28" w16cid:durableId="1942911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4F"/>
    <w:rsid w:val="0000045A"/>
    <w:rsid w:val="00004561"/>
    <w:rsid w:val="00005099"/>
    <w:rsid w:val="0000741E"/>
    <w:rsid w:val="00010774"/>
    <w:rsid w:val="00011668"/>
    <w:rsid w:val="00012D33"/>
    <w:rsid w:val="00013252"/>
    <w:rsid w:val="00013353"/>
    <w:rsid w:val="000207DE"/>
    <w:rsid w:val="000251DE"/>
    <w:rsid w:val="0002554A"/>
    <w:rsid w:val="00025DE0"/>
    <w:rsid w:val="0003013F"/>
    <w:rsid w:val="00030D3C"/>
    <w:rsid w:val="0003183D"/>
    <w:rsid w:val="000349AB"/>
    <w:rsid w:val="00034EC5"/>
    <w:rsid w:val="00036BC1"/>
    <w:rsid w:val="00036EB3"/>
    <w:rsid w:val="00037083"/>
    <w:rsid w:val="00040FCD"/>
    <w:rsid w:val="00041937"/>
    <w:rsid w:val="00042449"/>
    <w:rsid w:val="000428D0"/>
    <w:rsid w:val="00051472"/>
    <w:rsid w:val="00051DAB"/>
    <w:rsid w:val="00052410"/>
    <w:rsid w:val="0005390D"/>
    <w:rsid w:val="00054BE8"/>
    <w:rsid w:val="00060E52"/>
    <w:rsid w:val="00063634"/>
    <w:rsid w:val="000655AE"/>
    <w:rsid w:val="00070128"/>
    <w:rsid w:val="00071FEC"/>
    <w:rsid w:val="0007224A"/>
    <w:rsid w:val="00073A67"/>
    <w:rsid w:val="00080F39"/>
    <w:rsid w:val="00082111"/>
    <w:rsid w:val="000838B3"/>
    <w:rsid w:val="000839BE"/>
    <w:rsid w:val="00084E6C"/>
    <w:rsid w:val="00085F1A"/>
    <w:rsid w:val="000872F4"/>
    <w:rsid w:val="00091B57"/>
    <w:rsid w:val="000922CF"/>
    <w:rsid w:val="00096F3C"/>
    <w:rsid w:val="000A3A69"/>
    <w:rsid w:val="000A4D3C"/>
    <w:rsid w:val="000A74F5"/>
    <w:rsid w:val="000B530C"/>
    <w:rsid w:val="000B709B"/>
    <w:rsid w:val="000B7C5E"/>
    <w:rsid w:val="000C00F3"/>
    <w:rsid w:val="000C6126"/>
    <w:rsid w:val="000C625E"/>
    <w:rsid w:val="000C679A"/>
    <w:rsid w:val="000D10B2"/>
    <w:rsid w:val="000D1EE3"/>
    <w:rsid w:val="000D4CAC"/>
    <w:rsid w:val="000D6CA2"/>
    <w:rsid w:val="000D7019"/>
    <w:rsid w:val="000E2017"/>
    <w:rsid w:val="000E2096"/>
    <w:rsid w:val="000E4503"/>
    <w:rsid w:val="000E55CE"/>
    <w:rsid w:val="000E76F4"/>
    <w:rsid w:val="000F06C5"/>
    <w:rsid w:val="000F3934"/>
    <w:rsid w:val="000F3B8F"/>
    <w:rsid w:val="000F49FD"/>
    <w:rsid w:val="000F4BA5"/>
    <w:rsid w:val="00100729"/>
    <w:rsid w:val="0010113F"/>
    <w:rsid w:val="0010753F"/>
    <w:rsid w:val="001108A8"/>
    <w:rsid w:val="00111072"/>
    <w:rsid w:val="00113A18"/>
    <w:rsid w:val="00114DF2"/>
    <w:rsid w:val="0011629C"/>
    <w:rsid w:val="001165A0"/>
    <w:rsid w:val="00116F55"/>
    <w:rsid w:val="0011716E"/>
    <w:rsid w:val="00117BB0"/>
    <w:rsid w:val="00120B96"/>
    <w:rsid w:val="001228BC"/>
    <w:rsid w:val="00122D93"/>
    <w:rsid w:val="00124615"/>
    <w:rsid w:val="00131AFB"/>
    <w:rsid w:val="00133F59"/>
    <w:rsid w:val="00134F64"/>
    <w:rsid w:val="00137B00"/>
    <w:rsid w:val="00141245"/>
    <w:rsid w:val="001431EC"/>
    <w:rsid w:val="00143E74"/>
    <w:rsid w:val="00144180"/>
    <w:rsid w:val="00144AD7"/>
    <w:rsid w:val="00145573"/>
    <w:rsid w:val="00145F41"/>
    <w:rsid w:val="00147654"/>
    <w:rsid w:val="00150C99"/>
    <w:rsid w:val="0015130B"/>
    <w:rsid w:val="001548F7"/>
    <w:rsid w:val="001556F2"/>
    <w:rsid w:val="0016205E"/>
    <w:rsid w:val="0016751B"/>
    <w:rsid w:val="001675F8"/>
    <w:rsid w:val="00167819"/>
    <w:rsid w:val="00172EDD"/>
    <w:rsid w:val="00173C9D"/>
    <w:rsid w:val="00174CF5"/>
    <w:rsid w:val="001750CE"/>
    <w:rsid w:val="00175E74"/>
    <w:rsid w:val="00177995"/>
    <w:rsid w:val="00180BF2"/>
    <w:rsid w:val="0018166F"/>
    <w:rsid w:val="00181A73"/>
    <w:rsid w:val="0018235C"/>
    <w:rsid w:val="00185836"/>
    <w:rsid w:val="00185C7D"/>
    <w:rsid w:val="00190E14"/>
    <w:rsid w:val="00191BB7"/>
    <w:rsid w:val="00192754"/>
    <w:rsid w:val="0019289D"/>
    <w:rsid w:val="001957FA"/>
    <w:rsid w:val="001A1B3B"/>
    <w:rsid w:val="001A1F0C"/>
    <w:rsid w:val="001A4608"/>
    <w:rsid w:val="001A55F2"/>
    <w:rsid w:val="001A58DD"/>
    <w:rsid w:val="001A619E"/>
    <w:rsid w:val="001A689F"/>
    <w:rsid w:val="001A698F"/>
    <w:rsid w:val="001A6D81"/>
    <w:rsid w:val="001A74B0"/>
    <w:rsid w:val="001B14D9"/>
    <w:rsid w:val="001B1DDB"/>
    <w:rsid w:val="001B4DA9"/>
    <w:rsid w:val="001B59D7"/>
    <w:rsid w:val="001C0DFA"/>
    <w:rsid w:val="001C2F2E"/>
    <w:rsid w:val="001C2F2F"/>
    <w:rsid w:val="001C3D12"/>
    <w:rsid w:val="001C3F28"/>
    <w:rsid w:val="001C480E"/>
    <w:rsid w:val="001C5388"/>
    <w:rsid w:val="001C7EDF"/>
    <w:rsid w:val="001D3D74"/>
    <w:rsid w:val="001D41F9"/>
    <w:rsid w:val="001D4622"/>
    <w:rsid w:val="001D7B9C"/>
    <w:rsid w:val="001E2818"/>
    <w:rsid w:val="001E2AEB"/>
    <w:rsid w:val="001E44E2"/>
    <w:rsid w:val="001E5473"/>
    <w:rsid w:val="001E5894"/>
    <w:rsid w:val="001E7242"/>
    <w:rsid w:val="001E7CEF"/>
    <w:rsid w:val="001E7E49"/>
    <w:rsid w:val="001F0C32"/>
    <w:rsid w:val="001F37A4"/>
    <w:rsid w:val="001F53CA"/>
    <w:rsid w:val="001F674B"/>
    <w:rsid w:val="001F679E"/>
    <w:rsid w:val="001F6D18"/>
    <w:rsid w:val="00205527"/>
    <w:rsid w:val="00205AC7"/>
    <w:rsid w:val="00206625"/>
    <w:rsid w:val="00210165"/>
    <w:rsid w:val="002122FF"/>
    <w:rsid w:val="00212405"/>
    <w:rsid w:val="00212463"/>
    <w:rsid w:val="00214D26"/>
    <w:rsid w:val="00220C6B"/>
    <w:rsid w:val="00226F58"/>
    <w:rsid w:val="0022767B"/>
    <w:rsid w:val="00230CD0"/>
    <w:rsid w:val="00232AFE"/>
    <w:rsid w:val="002367A4"/>
    <w:rsid w:val="00242221"/>
    <w:rsid w:val="00242ACB"/>
    <w:rsid w:val="002461C2"/>
    <w:rsid w:val="00252418"/>
    <w:rsid w:val="00252F38"/>
    <w:rsid w:val="00261BE5"/>
    <w:rsid w:val="00262645"/>
    <w:rsid w:val="00262F78"/>
    <w:rsid w:val="002729B2"/>
    <w:rsid w:val="00273A9B"/>
    <w:rsid w:val="00281267"/>
    <w:rsid w:val="00282C51"/>
    <w:rsid w:val="002839BC"/>
    <w:rsid w:val="00284559"/>
    <w:rsid w:val="0028702F"/>
    <w:rsid w:val="00287437"/>
    <w:rsid w:val="00291C34"/>
    <w:rsid w:val="00292A72"/>
    <w:rsid w:val="00293462"/>
    <w:rsid w:val="00295368"/>
    <w:rsid w:val="0029627F"/>
    <w:rsid w:val="002A0808"/>
    <w:rsid w:val="002A0BA0"/>
    <w:rsid w:val="002A0BB4"/>
    <w:rsid w:val="002A1514"/>
    <w:rsid w:val="002A151F"/>
    <w:rsid w:val="002A3596"/>
    <w:rsid w:val="002A72D9"/>
    <w:rsid w:val="002B145C"/>
    <w:rsid w:val="002B1962"/>
    <w:rsid w:val="002B2BE1"/>
    <w:rsid w:val="002B304F"/>
    <w:rsid w:val="002B4786"/>
    <w:rsid w:val="002B4A34"/>
    <w:rsid w:val="002B5306"/>
    <w:rsid w:val="002C0753"/>
    <w:rsid w:val="002C4693"/>
    <w:rsid w:val="002D1FF6"/>
    <w:rsid w:val="002D57A5"/>
    <w:rsid w:val="002D707E"/>
    <w:rsid w:val="002D7B76"/>
    <w:rsid w:val="002E1EF1"/>
    <w:rsid w:val="002E21E7"/>
    <w:rsid w:val="002E2D35"/>
    <w:rsid w:val="002E4AEB"/>
    <w:rsid w:val="002E4BF2"/>
    <w:rsid w:val="002E639E"/>
    <w:rsid w:val="002E68B2"/>
    <w:rsid w:val="00300ECC"/>
    <w:rsid w:val="00302EE7"/>
    <w:rsid w:val="0030396B"/>
    <w:rsid w:val="0030498F"/>
    <w:rsid w:val="00304C55"/>
    <w:rsid w:val="003050F6"/>
    <w:rsid w:val="003063A9"/>
    <w:rsid w:val="00310F9A"/>
    <w:rsid w:val="003114F6"/>
    <w:rsid w:val="00311887"/>
    <w:rsid w:val="00311DE9"/>
    <w:rsid w:val="00312D93"/>
    <w:rsid w:val="0031430A"/>
    <w:rsid w:val="00315545"/>
    <w:rsid w:val="003158A2"/>
    <w:rsid w:val="00317D4B"/>
    <w:rsid w:val="00321ABB"/>
    <w:rsid w:val="003245B7"/>
    <w:rsid w:val="00325F8F"/>
    <w:rsid w:val="00326141"/>
    <w:rsid w:val="003276A8"/>
    <w:rsid w:val="003308BD"/>
    <w:rsid w:val="00333299"/>
    <w:rsid w:val="003340BC"/>
    <w:rsid w:val="003350E0"/>
    <w:rsid w:val="0034040E"/>
    <w:rsid w:val="00342660"/>
    <w:rsid w:val="003449AB"/>
    <w:rsid w:val="0035077A"/>
    <w:rsid w:val="0035124B"/>
    <w:rsid w:val="00352583"/>
    <w:rsid w:val="00354FFD"/>
    <w:rsid w:val="00355503"/>
    <w:rsid w:val="0035738D"/>
    <w:rsid w:val="0035777A"/>
    <w:rsid w:val="00362641"/>
    <w:rsid w:val="003650FD"/>
    <w:rsid w:val="0036610A"/>
    <w:rsid w:val="003663D4"/>
    <w:rsid w:val="00367CF2"/>
    <w:rsid w:val="00377965"/>
    <w:rsid w:val="00381C17"/>
    <w:rsid w:val="00383709"/>
    <w:rsid w:val="00387A80"/>
    <w:rsid w:val="003918B8"/>
    <w:rsid w:val="00393519"/>
    <w:rsid w:val="003938DA"/>
    <w:rsid w:val="003A11B8"/>
    <w:rsid w:val="003A2B02"/>
    <w:rsid w:val="003A3383"/>
    <w:rsid w:val="003A495D"/>
    <w:rsid w:val="003A4BBD"/>
    <w:rsid w:val="003A6133"/>
    <w:rsid w:val="003A630E"/>
    <w:rsid w:val="003A67C8"/>
    <w:rsid w:val="003A70C1"/>
    <w:rsid w:val="003A78EF"/>
    <w:rsid w:val="003B40FC"/>
    <w:rsid w:val="003C0CA6"/>
    <w:rsid w:val="003C1258"/>
    <w:rsid w:val="003C1C45"/>
    <w:rsid w:val="003C200C"/>
    <w:rsid w:val="003C37AD"/>
    <w:rsid w:val="003C466C"/>
    <w:rsid w:val="003C62E0"/>
    <w:rsid w:val="003D04A0"/>
    <w:rsid w:val="003D0BE9"/>
    <w:rsid w:val="003D0E71"/>
    <w:rsid w:val="003D2087"/>
    <w:rsid w:val="003D2D3F"/>
    <w:rsid w:val="003D3835"/>
    <w:rsid w:val="003E31F3"/>
    <w:rsid w:val="003E5E75"/>
    <w:rsid w:val="003E722A"/>
    <w:rsid w:val="003E7CB1"/>
    <w:rsid w:val="003F04CB"/>
    <w:rsid w:val="003F19B5"/>
    <w:rsid w:val="003F3C55"/>
    <w:rsid w:val="00400584"/>
    <w:rsid w:val="00401D30"/>
    <w:rsid w:val="00401E30"/>
    <w:rsid w:val="00405017"/>
    <w:rsid w:val="0040593A"/>
    <w:rsid w:val="00405F18"/>
    <w:rsid w:val="00406F85"/>
    <w:rsid w:val="00407587"/>
    <w:rsid w:val="00407A65"/>
    <w:rsid w:val="00410EAB"/>
    <w:rsid w:val="00411186"/>
    <w:rsid w:val="004123B6"/>
    <w:rsid w:val="00413D2A"/>
    <w:rsid w:val="00417958"/>
    <w:rsid w:val="004202EC"/>
    <w:rsid w:val="00420676"/>
    <w:rsid w:val="00420D93"/>
    <w:rsid w:val="00421C84"/>
    <w:rsid w:val="00422820"/>
    <w:rsid w:val="00424941"/>
    <w:rsid w:val="00426116"/>
    <w:rsid w:val="00427554"/>
    <w:rsid w:val="00427B3E"/>
    <w:rsid w:val="00430FBA"/>
    <w:rsid w:val="00431D5E"/>
    <w:rsid w:val="004322A6"/>
    <w:rsid w:val="00433F7E"/>
    <w:rsid w:val="00434145"/>
    <w:rsid w:val="00436490"/>
    <w:rsid w:val="00436769"/>
    <w:rsid w:val="00436FE9"/>
    <w:rsid w:val="0044685D"/>
    <w:rsid w:val="00447100"/>
    <w:rsid w:val="00450A55"/>
    <w:rsid w:val="00450DD9"/>
    <w:rsid w:val="00451D26"/>
    <w:rsid w:val="004558C3"/>
    <w:rsid w:val="00462365"/>
    <w:rsid w:val="00463836"/>
    <w:rsid w:val="004658E9"/>
    <w:rsid w:val="00466878"/>
    <w:rsid w:val="0046726B"/>
    <w:rsid w:val="00476DCB"/>
    <w:rsid w:val="00481D81"/>
    <w:rsid w:val="004843B6"/>
    <w:rsid w:val="0048514A"/>
    <w:rsid w:val="004851C6"/>
    <w:rsid w:val="004858E1"/>
    <w:rsid w:val="00486640"/>
    <w:rsid w:val="0048673B"/>
    <w:rsid w:val="00486F1D"/>
    <w:rsid w:val="00496336"/>
    <w:rsid w:val="004968F2"/>
    <w:rsid w:val="004A4850"/>
    <w:rsid w:val="004A751A"/>
    <w:rsid w:val="004B3F58"/>
    <w:rsid w:val="004B4644"/>
    <w:rsid w:val="004B5280"/>
    <w:rsid w:val="004B6777"/>
    <w:rsid w:val="004C0096"/>
    <w:rsid w:val="004C0228"/>
    <w:rsid w:val="004C232E"/>
    <w:rsid w:val="004C560B"/>
    <w:rsid w:val="004D1E43"/>
    <w:rsid w:val="004D429F"/>
    <w:rsid w:val="004D5921"/>
    <w:rsid w:val="004D5A80"/>
    <w:rsid w:val="004D6AFD"/>
    <w:rsid w:val="004D6B8D"/>
    <w:rsid w:val="004D7587"/>
    <w:rsid w:val="004E01F0"/>
    <w:rsid w:val="004E1EEC"/>
    <w:rsid w:val="004E2200"/>
    <w:rsid w:val="004E2368"/>
    <w:rsid w:val="004E2EFE"/>
    <w:rsid w:val="004E6FE0"/>
    <w:rsid w:val="004E73B5"/>
    <w:rsid w:val="004E7CC2"/>
    <w:rsid w:val="004F1B28"/>
    <w:rsid w:val="004F1B94"/>
    <w:rsid w:val="004F48E2"/>
    <w:rsid w:val="004F4DEB"/>
    <w:rsid w:val="005026E7"/>
    <w:rsid w:val="005073EF"/>
    <w:rsid w:val="00512474"/>
    <w:rsid w:val="00513BD8"/>
    <w:rsid w:val="00514646"/>
    <w:rsid w:val="00514982"/>
    <w:rsid w:val="00516368"/>
    <w:rsid w:val="00521732"/>
    <w:rsid w:val="00525AAC"/>
    <w:rsid w:val="00535BE8"/>
    <w:rsid w:val="00537848"/>
    <w:rsid w:val="00537C79"/>
    <w:rsid w:val="0054074B"/>
    <w:rsid w:val="005411C8"/>
    <w:rsid w:val="00541319"/>
    <w:rsid w:val="005426EA"/>
    <w:rsid w:val="00543421"/>
    <w:rsid w:val="00551438"/>
    <w:rsid w:val="00551819"/>
    <w:rsid w:val="00554790"/>
    <w:rsid w:val="0056004A"/>
    <w:rsid w:val="0056479B"/>
    <w:rsid w:val="00573E20"/>
    <w:rsid w:val="00576DD5"/>
    <w:rsid w:val="00577218"/>
    <w:rsid w:val="0057792D"/>
    <w:rsid w:val="00582AA0"/>
    <w:rsid w:val="0058367D"/>
    <w:rsid w:val="00583A11"/>
    <w:rsid w:val="005855FD"/>
    <w:rsid w:val="005873B7"/>
    <w:rsid w:val="0059300E"/>
    <w:rsid w:val="005940DE"/>
    <w:rsid w:val="00595AB4"/>
    <w:rsid w:val="00595F68"/>
    <w:rsid w:val="005979B9"/>
    <w:rsid w:val="005A067A"/>
    <w:rsid w:val="005A412C"/>
    <w:rsid w:val="005A6DC2"/>
    <w:rsid w:val="005A7308"/>
    <w:rsid w:val="005A75B5"/>
    <w:rsid w:val="005B013C"/>
    <w:rsid w:val="005B0E8A"/>
    <w:rsid w:val="005C32D5"/>
    <w:rsid w:val="005C3427"/>
    <w:rsid w:val="005C4080"/>
    <w:rsid w:val="005C4287"/>
    <w:rsid w:val="005C6078"/>
    <w:rsid w:val="005D1E23"/>
    <w:rsid w:val="005D3B77"/>
    <w:rsid w:val="005D52E6"/>
    <w:rsid w:val="005D6563"/>
    <w:rsid w:val="005E018F"/>
    <w:rsid w:val="005E13DA"/>
    <w:rsid w:val="005E16BF"/>
    <w:rsid w:val="005E5081"/>
    <w:rsid w:val="005E637B"/>
    <w:rsid w:val="005E77D9"/>
    <w:rsid w:val="005F1198"/>
    <w:rsid w:val="005F224C"/>
    <w:rsid w:val="005F233B"/>
    <w:rsid w:val="005F5D19"/>
    <w:rsid w:val="00600CAD"/>
    <w:rsid w:val="006019EE"/>
    <w:rsid w:val="00603E61"/>
    <w:rsid w:val="00604D13"/>
    <w:rsid w:val="00610D47"/>
    <w:rsid w:val="0061155B"/>
    <w:rsid w:val="00613005"/>
    <w:rsid w:val="00613674"/>
    <w:rsid w:val="006145FD"/>
    <w:rsid w:val="00614EC6"/>
    <w:rsid w:val="0061746C"/>
    <w:rsid w:val="006203FB"/>
    <w:rsid w:val="00620BA0"/>
    <w:rsid w:val="006211DD"/>
    <w:rsid w:val="00623478"/>
    <w:rsid w:val="006241D9"/>
    <w:rsid w:val="00624412"/>
    <w:rsid w:val="00626AC5"/>
    <w:rsid w:val="00630131"/>
    <w:rsid w:val="006302DF"/>
    <w:rsid w:val="00632423"/>
    <w:rsid w:val="006333E6"/>
    <w:rsid w:val="00634560"/>
    <w:rsid w:val="00636055"/>
    <w:rsid w:val="00643DCD"/>
    <w:rsid w:val="0064508A"/>
    <w:rsid w:val="006466C3"/>
    <w:rsid w:val="00646B71"/>
    <w:rsid w:val="0065294D"/>
    <w:rsid w:val="00652CF5"/>
    <w:rsid w:val="00653637"/>
    <w:rsid w:val="00655946"/>
    <w:rsid w:val="006574CA"/>
    <w:rsid w:val="00662E41"/>
    <w:rsid w:val="00663D6D"/>
    <w:rsid w:val="00663DDB"/>
    <w:rsid w:val="00664776"/>
    <w:rsid w:val="00664968"/>
    <w:rsid w:val="006671B4"/>
    <w:rsid w:val="00667ACE"/>
    <w:rsid w:val="006701E4"/>
    <w:rsid w:val="006734CF"/>
    <w:rsid w:val="0067420C"/>
    <w:rsid w:val="006826D0"/>
    <w:rsid w:val="00682A00"/>
    <w:rsid w:val="00683726"/>
    <w:rsid w:val="0068523A"/>
    <w:rsid w:val="006901F0"/>
    <w:rsid w:val="00690B30"/>
    <w:rsid w:val="00690FAB"/>
    <w:rsid w:val="00691D86"/>
    <w:rsid w:val="00692393"/>
    <w:rsid w:val="0069282E"/>
    <w:rsid w:val="006945E8"/>
    <w:rsid w:val="00695E83"/>
    <w:rsid w:val="006973D4"/>
    <w:rsid w:val="006979FC"/>
    <w:rsid w:val="006A08A3"/>
    <w:rsid w:val="006A2991"/>
    <w:rsid w:val="006A55D6"/>
    <w:rsid w:val="006A5AD5"/>
    <w:rsid w:val="006A5B15"/>
    <w:rsid w:val="006A6123"/>
    <w:rsid w:val="006B02CF"/>
    <w:rsid w:val="006B0A44"/>
    <w:rsid w:val="006B2DB4"/>
    <w:rsid w:val="006B550A"/>
    <w:rsid w:val="006B78ED"/>
    <w:rsid w:val="006C01F8"/>
    <w:rsid w:val="006C201F"/>
    <w:rsid w:val="006C20A4"/>
    <w:rsid w:val="006C3857"/>
    <w:rsid w:val="006D37F5"/>
    <w:rsid w:val="006D3E91"/>
    <w:rsid w:val="006D5CF4"/>
    <w:rsid w:val="006D7611"/>
    <w:rsid w:val="006E3469"/>
    <w:rsid w:val="006E5542"/>
    <w:rsid w:val="006E571B"/>
    <w:rsid w:val="006E7FD9"/>
    <w:rsid w:val="006F09F6"/>
    <w:rsid w:val="006F0E83"/>
    <w:rsid w:val="006F28E8"/>
    <w:rsid w:val="006F313D"/>
    <w:rsid w:val="006F4BDC"/>
    <w:rsid w:val="006F4C41"/>
    <w:rsid w:val="00700149"/>
    <w:rsid w:val="00700798"/>
    <w:rsid w:val="00703FF2"/>
    <w:rsid w:val="007040BB"/>
    <w:rsid w:val="007106B1"/>
    <w:rsid w:val="00711634"/>
    <w:rsid w:val="00713A92"/>
    <w:rsid w:val="00715888"/>
    <w:rsid w:val="007160E9"/>
    <w:rsid w:val="00716F3B"/>
    <w:rsid w:val="00717AEE"/>
    <w:rsid w:val="007213FE"/>
    <w:rsid w:val="00721EB3"/>
    <w:rsid w:val="007238EC"/>
    <w:rsid w:val="00725487"/>
    <w:rsid w:val="00727D65"/>
    <w:rsid w:val="007337D9"/>
    <w:rsid w:val="0073647A"/>
    <w:rsid w:val="007422E9"/>
    <w:rsid w:val="00743F89"/>
    <w:rsid w:val="00744BC8"/>
    <w:rsid w:val="007456A0"/>
    <w:rsid w:val="007459EC"/>
    <w:rsid w:val="00753161"/>
    <w:rsid w:val="00755C2A"/>
    <w:rsid w:val="00767646"/>
    <w:rsid w:val="00767DB3"/>
    <w:rsid w:val="0077240B"/>
    <w:rsid w:val="00772C7F"/>
    <w:rsid w:val="007732B3"/>
    <w:rsid w:val="00773CD4"/>
    <w:rsid w:val="007744FD"/>
    <w:rsid w:val="00777F79"/>
    <w:rsid w:val="007815C6"/>
    <w:rsid w:val="00781BDF"/>
    <w:rsid w:val="0078230F"/>
    <w:rsid w:val="007900CF"/>
    <w:rsid w:val="0079028A"/>
    <w:rsid w:val="00791ECC"/>
    <w:rsid w:val="00792298"/>
    <w:rsid w:val="007950E3"/>
    <w:rsid w:val="007974FF"/>
    <w:rsid w:val="007A0117"/>
    <w:rsid w:val="007A0755"/>
    <w:rsid w:val="007A108A"/>
    <w:rsid w:val="007A51A1"/>
    <w:rsid w:val="007A524F"/>
    <w:rsid w:val="007A61C7"/>
    <w:rsid w:val="007A7315"/>
    <w:rsid w:val="007B2396"/>
    <w:rsid w:val="007B3E14"/>
    <w:rsid w:val="007B4052"/>
    <w:rsid w:val="007B5370"/>
    <w:rsid w:val="007C437A"/>
    <w:rsid w:val="007C5422"/>
    <w:rsid w:val="007C7B5C"/>
    <w:rsid w:val="007D0979"/>
    <w:rsid w:val="007D1435"/>
    <w:rsid w:val="007D2054"/>
    <w:rsid w:val="007D28F9"/>
    <w:rsid w:val="007D3477"/>
    <w:rsid w:val="007D4408"/>
    <w:rsid w:val="007D4C1A"/>
    <w:rsid w:val="007D51AA"/>
    <w:rsid w:val="007D6134"/>
    <w:rsid w:val="007E0C91"/>
    <w:rsid w:val="007E2A48"/>
    <w:rsid w:val="007E5A5B"/>
    <w:rsid w:val="007E6432"/>
    <w:rsid w:val="007E73D5"/>
    <w:rsid w:val="007F1442"/>
    <w:rsid w:val="007F2F61"/>
    <w:rsid w:val="007F7375"/>
    <w:rsid w:val="00800427"/>
    <w:rsid w:val="008041DF"/>
    <w:rsid w:val="008060FB"/>
    <w:rsid w:val="008065DC"/>
    <w:rsid w:val="00807656"/>
    <w:rsid w:val="008104B4"/>
    <w:rsid w:val="00810EF9"/>
    <w:rsid w:val="00820478"/>
    <w:rsid w:val="00820DF4"/>
    <w:rsid w:val="00823735"/>
    <w:rsid w:val="0082569B"/>
    <w:rsid w:val="00825BF7"/>
    <w:rsid w:val="00830639"/>
    <w:rsid w:val="00830898"/>
    <w:rsid w:val="00831750"/>
    <w:rsid w:val="008350E6"/>
    <w:rsid w:val="00837396"/>
    <w:rsid w:val="008402C4"/>
    <w:rsid w:val="00844E77"/>
    <w:rsid w:val="00850714"/>
    <w:rsid w:val="0085341B"/>
    <w:rsid w:val="00857A84"/>
    <w:rsid w:val="008602FB"/>
    <w:rsid w:val="00860C1A"/>
    <w:rsid w:val="00861507"/>
    <w:rsid w:val="00861CE3"/>
    <w:rsid w:val="00862397"/>
    <w:rsid w:val="00865AD8"/>
    <w:rsid w:val="008669F1"/>
    <w:rsid w:val="00867905"/>
    <w:rsid w:val="00870ABF"/>
    <w:rsid w:val="00870C8E"/>
    <w:rsid w:val="00873AE5"/>
    <w:rsid w:val="0087435B"/>
    <w:rsid w:val="008760D0"/>
    <w:rsid w:val="00876F48"/>
    <w:rsid w:val="0087706E"/>
    <w:rsid w:val="00882924"/>
    <w:rsid w:val="0088472C"/>
    <w:rsid w:val="00885A5B"/>
    <w:rsid w:val="00886685"/>
    <w:rsid w:val="008866AF"/>
    <w:rsid w:val="00887BD4"/>
    <w:rsid w:val="00890452"/>
    <w:rsid w:val="008904BA"/>
    <w:rsid w:val="00890928"/>
    <w:rsid w:val="00892EF7"/>
    <w:rsid w:val="008A00B1"/>
    <w:rsid w:val="008A0796"/>
    <w:rsid w:val="008A0DB8"/>
    <w:rsid w:val="008A52A5"/>
    <w:rsid w:val="008A698A"/>
    <w:rsid w:val="008B0019"/>
    <w:rsid w:val="008B1F72"/>
    <w:rsid w:val="008B3C6F"/>
    <w:rsid w:val="008B7247"/>
    <w:rsid w:val="008C0DA2"/>
    <w:rsid w:val="008C36AA"/>
    <w:rsid w:val="008C5CBF"/>
    <w:rsid w:val="008D13C3"/>
    <w:rsid w:val="008D166A"/>
    <w:rsid w:val="008E1712"/>
    <w:rsid w:val="008E1E03"/>
    <w:rsid w:val="008E3817"/>
    <w:rsid w:val="008E3B5E"/>
    <w:rsid w:val="008E6871"/>
    <w:rsid w:val="008F4719"/>
    <w:rsid w:val="008F4A2D"/>
    <w:rsid w:val="008F625E"/>
    <w:rsid w:val="008F7379"/>
    <w:rsid w:val="00901C5B"/>
    <w:rsid w:val="009052CC"/>
    <w:rsid w:val="009058CB"/>
    <w:rsid w:val="009066CC"/>
    <w:rsid w:val="00912B04"/>
    <w:rsid w:val="009132B0"/>
    <w:rsid w:val="00914CCF"/>
    <w:rsid w:val="009165EA"/>
    <w:rsid w:val="0091675F"/>
    <w:rsid w:val="0091718F"/>
    <w:rsid w:val="00917942"/>
    <w:rsid w:val="0092220A"/>
    <w:rsid w:val="00922B6D"/>
    <w:rsid w:val="009305EB"/>
    <w:rsid w:val="0093110F"/>
    <w:rsid w:val="009316C4"/>
    <w:rsid w:val="00931E98"/>
    <w:rsid w:val="00934C9B"/>
    <w:rsid w:val="0093634F"/>
    <w:rsid w:val="00937CE8"/>
    <w:rsid w:val="00941052"/>
    <w:rsid w:val="0094246B"/>
    <w:rsid w:val="00942E39"/>
    <w:rsid w:val="00943743"/>
    <w:rsid w:val="009443BC"/>
    <w:rsid w:val="0094677A"/>
    <w:rsid w:val="00946BCA"/>
    <w:rsid w:val="00946DFD"/>
    <w:rsid w:val="00946ED6"/>
    <w:rsid w:val="009504DE"/>
    <w:rsid w:val="00953FF1"/>
    <w:rsid w:val="0095723D"/>
    <w:rsid w:val="00961E13"/>
    <w:rsid w:val="00967D4E"/>
    <w:rsid w:val="00970B31"/>
    <w:rsid w:val="00974943"/>
    <w:rsid w:val="0097757A"/>
    <w:rsid w:val="00977C68"/>
    <w:rsid w:val="00977F78"/>
    <w:rsid w:val="0098051B"/>
    <w:rsid w:val="00980B1C"/>
    <w:rsid w:val="00983F13"/>
    <w:rsid w:val="00986634"/>
    <w:rsid w:val="00996C4B"/>
    <w:rsid w:val="009A1863"/>
    <w:rsid w:val="009A52C8"/>
    <w:rsid w:val="009A74EA"/>
    <w:rsid w:val="009B0BA0"/>
    <w:rsid w:val="009B1932"/>
    <w:rsid w:val="009B2251"/>
    <w:rsid w:val="009B53C4"/>
    <w:rsid w:val="009C0846"/>
    <w:rsid w:val="009C520D"/>
    <w:rsid w:val="009C6B95"/>
    <w:rsid w:val="009D508F"/>
    <w:rsid w:val="009D7A5D"/>
    <w:rsid w:val="009E07C8"/>
    <w:rsid w:val="009E1136"/>
    <w:rsid w:val="009E1B95"/>
    <w:rsid w:val="009E2DAF"/>
    <w:rsid w:val="009E61DB"/>
    <w:rsid w:val="009F0E84"/>
    <w:rsid w:val="009F274E"/>
    <w:rsid w:val="009F289F"/>
    <w:rsid w:val="009F2C60"/>
    <w:rsid w:val="009F468E"/>
    <w:rsid w:val="009F70E6"/>
    <w:rsid w:val="00A0136F"/>
    <w:rsid w:val="00A014C6"/>
    <w:rsid w:val="00A02301"/>
    <w:rsid w:val="00A03D46"/>
    <w:rsid w:val="00A045A9"/>
    <w:rsid w:val="00A067FA"/>
    <w:rsid w:val="00A07214"/>
    <w:rsid w:val="00A13BF1"/>
    <w:rsid w:val="00A146C0"/>
    <w:rsid w:val="00A146F4"/>
    <w:rsid w:val="00A15F7B"/>
    <w:rsid w:val="00A15FD6"/>
    <w:rsid w:val="00A176B6"/>
    <w:rsid w:val="00A21E13"/>
    <w:rsid w:val="00A24163"/>
    <w:rsid w:val="00A26115"/>
    <w:rsid w:val="00A26D40"/>
    <w:rsid w:val="00A27A95"/>
    <w:rsid w:val="00A302FD"/>
    <w:rsid w:val="00A341A8"/>
    <w:rsid w:val="00A40C5D"/>
    <w:rsid w:val="00A40E8B"/>
    <w:rsid w:val="00A41EC8"/>
    <w:rsid w:val="00A43376"/>
    <w:rsid w:val="00A43E1D"/>
    <w:rsid w:val="00A4446A"/>
    <w:rsid w:val="00A44EBA"/>
    <w:rsid w:val="00A455F6"/>
    <w:rsid w:val="00A47AD9"/>
    <w:rsid w:val="00A51216"/>
    <w:rsid w:val="00A535F9"/>
    <w:rsid w:val="00A5413E"/>
    <w:rsid w:val="00A55B06"/>
    <w:rsid w:val="00A62BD9"/>
    <w:rsid w:val="00A64950"/>
    <w:rsid w:val="00A66130"/>
    <w:rsid w:val="00A6636E"/>
    <w:rsid w:val="00A70D17"/>
    <w:rsid w:val="00A7331A"/>
    <w:rsid w:val="00A74F2A"/>
    <w:rsid w:val="00A75F59"/>
    <w:rsid w:val="00A76A33"/>
    <w:rsid w:val="00A90272"/>
    <w:rsid w:val="00A90853"/>
    <w:rsid w:val="00A9099B"/>
    <w:rsid w:val="00A926CE"/>
    <w:rsid w:val="00AA1C6C"/>
    <w:rsid w:val="00AA22C7"/>
    <w:rsid w:val="00AA31BB"/>
    <w:rsid w:val="00AA653A"/>
    <w:rsid w:val="00AA7E5C"/>
    <w:rsid w:val="00AB0C69"/>
    <w:rsid w:val="00AB39FF"/>
    <w:rsid w:val="00AB6240"/>
    <w:rsid w:val="00AB6635"/>
    <w:rsid w:val="00AC22AA"/>
    <w:rsid w:val="00AC3B53"/>
    <w:rsid w:val="00AC477E"/>
    <w:rsid w:val="00AC546A"/>
    <w:rsid w:val="00AC6B82"/>
    <w:rsid w:val="00AD099A"/>
    <w:rsid w:val="00AD1556"/>
    <w:rsid w:val="00AD1D09"/>
    <w:rsid w:val="00AD65B9"/>
    <w:rsid w:val="00AD7AEE"/>
    <w:rsid w:val="00AE348C"/>
    <w:rsid w:val="00AE631A"/>
    <w:rsid w:val="00AF0D6A"/>
    <w:rsid w:val="00AF2C88"/>
    <w:rsid w:val="00AF2DA7"/>
    <w:rsid w:val="00AF3BD5"/>
    <w:rsid w:val="00AF44C1"/>
    <w:rsid w:val="00AF4C78"/>
    <w:rsid w:val="00AF59ED"/>
    <w:rsid w:val="00AF726D"/>
    <w:rsid w:val="00AF79E1"/>
    <w:rsid w:val="00AF7A72"/>
    <w:rsid w:val="00AF7AD3"/>
    <w:rsid w:val="00B00CEB"/>
    <w:rsid w:val="00B00E09"/>
    <w:rsid w:val="00B03048"/>
    <w:rsid w:val="00B05505"/>
    <w:rsid w:val="00B056F0"/>
    <w:rsid w:val="00B06823"/>
    <w:rsid w:val="00B10531"/>
    <w:rsid w:val="00B10ED5"/>
    <w:rsid w:val="00B17133"/>
    <w:rsid w:val="00B17981"/>
    <w:rsid w:val="00B2498C"/>
    <w:rsid w:val="00B300E1"/>
    <w:rsid w:val="00B31D88"/>
    <w:rsid w:val="00B34CF9"/>
    <w:rsid w:val="00B36798"/>
    <w:rsid w:val="00B36AE1"/>
    <w:rsid w:val="00B409DF"/>
    <w:rsid w:val="00B44658"/>
    <w:rsid w:val="00B46A51"/>
    <w:rsid w:val="00B5058A"/>
    <w:rsid w:val="00B564F2"/>
    <w:rsid w:val="00B627DF"/>
    <w:rsid w:val="00B6282E"/>
    <w:rsid w:val="00B629DF"/>
    <w:rsid w:val="00B6347C"/>
    <w:rsid w:val="00B63A10"/>
    <w:rsid w:val="00B63E52"/>
    <w:rsid w:val="00B64A49"/>
    <w:rsid w:val="00B6608E"/>
    <w:rsid w:val="00B6689B"/>
    <w:rsid w:val="00B67275"/>
    <w:rsid w:val="00B75D3E"/>
    <w:rsid w:val="00B76CFC"/>
    <w:rsid w:val="00B76DB0"/>
    <w:rsid w:val="00B770F5"/>
    <w:rsid w:val="00B7795D"/>
    <w:rsid w:val="00B841CF"/>
    <w:rsid w:val="00B852E4"/>
    <w:rsid w:val="00B85C05"/>
    <w:rsid w:val="00B85F09"/>
    <w:rsid w:val="00B86418"/>
    <w:rsid w:val="00B87DC9"/>
    <w:rsid w:val="00B91AB3"/>
    <w:rsid w:val="00B92021"/>
    <w:rsid w:val="00B929DC"/>
    <w:rsid w:val="00B92F6C"/>
    <w:rsid w:val="00B97111"/>
    <w:rsid w:val="00BA25EF"/>
    <w:rsid w:val="00BA3F18"/>
    <w:rsid w:val="00BA4092"/>
    <w:rsid w:val="00BA70E2"/>
    <w:rsid w:val="00BA7543"/>
    <w:rsid w:val="00BA75DE"/>
    <w:rsid w:val="00BB3302"/>
    <w:rsid w:val="00BB3807"/>
    <w:rsid w:val="00BB49B9"/>
    <w:rsid w:val="00BB6013"/>
    <w:rsid w:val="00BB725D"/>
    <w:rsid w:val="00BB7298"/>
    <w:rsid w:val="00BB7951"/>
    <w:rsid w:val="00BC0F36"/>
    <w:rsid w:val="00BC5595"/>
    <w:rsid w:val="00BC5D96"/>
    <w:rsid w:val="00BC701C"/>
    <w:rsid w:val="00BD03EC"/>
    <w:rsid w:val="00BD0AF7"/>
    <w:rsid w:val="00BD2F1E"/>
    <w:rsid w:val="00BD468B"/>
    <w:rsid w:val="00BD5828"/>
    <w:rsid w:val="00BD786D"/>
    <w:rsid w:val="00BE0694"/>
    <w:rsid w:val="00BE4E46"/>
    <w:rsid w:val="00BE4EC9"/>
    <w:rsid w:val="00BE7949"/>
    <w:rsid w:val="00BF0B4F"/>
    <w:rsid w:val="00BF437C"/>
    <w:rsid w:val="00BF4419"/>
    <w:rsid w:val="00BF6049"/>
    <w:rsid w:val="00C01769"/>
    <w:rsid w:val="00C01D4D"/>
    <w:rsid w:val="00C069AB"/>
    <w:rsid w:val="00C06FD3"/>
    <w:rsid w:val="00C11F81"/>
    <w:rsid w:val="00C130E6"/>
    <w:rsid w:val="00C13369"/>
    <w:rsid w:val="00C13470"/>
    <w:rsid w:val="00C15C81"/>
    <w:rsid w:val="00C16AA2"/>
    <w:rsid w:val="00C17C6F"/>
    <w:rsid w:val="00C17CF3"/>
    <w:rsid w:val="00C22763"/>
    <w:rsid w:val="00C22B2F"/>
    <w:rsid w:val="00C243C9"/>
    <w:rsid w:val="00C25517"/>
    <w:rsid w:val="00C334E3"/>
    <w:rsid w:val="00C338F2"/>
    <w:rsid w:val="00C33B78"/>
    <w:rsid w:val="00C459AB"/>
    <w:rsid w:val="00C5282D"/>
    <w:rsid w:val="00C52D61"/>
    <w:rsid w:val="00C54810"/>
    <w:rsid w:val="00C6094C"/>
    <w:rsid w:val="00C60D70"/>
    <w:rsid w:val="00C61015"/>
    <w:rsid w:val="00C639EA"/>
    <w:rsid w:val="00C64481"/>
    <w:rsid w:val="00C716A3"/>
    <w:rsid w:val="00C73096"/>
    <w:rsid w:val="00C74425"/>
    <w:rsid w:val="00C75265"/>
    <w:rsid w:val="00C821D6"/>
    <w:rsid w:val="00C82596"/>
    <w:rsid w:val="00C82DFA"/>
    <w:rsid w:val="00C83FFE"/>
    <w:rsid w:val="00C84A02"/>
    <w:rsid w:val="00C84F32"/>
    <w:rsid w:val="00C850AA"/>
    <w:rsid w:val="00C86F36"/>
    <w:rsid w:val="00C87D07"/>
    <w:rsid w:val="00C901AE"/>
    <w:rsid w:val="00C92BC7"/>
    <w:rsid w:val="00C933CD"/>
    <w:rsid w:val="00C9351A"/>
    <w:rsid w:val="00C946DF"/>
    <w:rsid w:val="00C956FC"/>
    <w:rsid w:val="00C97F9F"/>
    <w:rsid w:val="00CA18F0"/>
    <w:rsid w:val="00CA4FD2"/>
    <w:rsid w:val="00CB0430"/>
    <w:rsid w:val="00CB33D0"/>
    <w:rsid w:val="00CB4285"/>
    <w:rsid w:val="00CB5B32"/>
    <w:rsid w:val="00CB6CD2"/>
    <w:rsid w:val="00CC0601"/>
    <w:rsid w:val="00CC0B0C"/>
    <w:rsid w:val="00CC0DF8"/>
    <w:rsid w:val="00CC10C9"/>
    <w:rsid w:val="00CC20D2"/>
    <w:rsid w:val="00CC26DD"/>
    <w:rsid w:val="00CC4913"/>
    <w:rsid w:val="00CC4AA8"/>
    <w:rsid w:val="00CC4C8A"/>
    <w:rsid w:val="00CC57CC"/>
    <w:rsid w:val="00CD12A5"/>
    <w:rsid w:val="00CD6972"/>
    <w:rsid w:val="00CE0454"/>
    <w:rsid w:val="00CE0639"/>
    <w:rsid w:val="00CE0ACD"/>
    <w:rsid w:val="00CF0CCF"/>
    <w:rsid w:val="00CF6272"/>
    <w:rsid w:val="00CF6F76"/>
    <w:rsid w:val="00D00DD4"/>
    <w:rsid w:val="00D00DEB"/>
    <w:rsid w:val="00D02062"/>
    <w:rsid w:val="00D054EC"/>
    <w:rsid w:val="00D06313"/>
    <w:rsid w:val="00D07B3C"/>
    <w:rsid w:val="00D1074E"/>
    <w:rsid w:val="00D140AD"/>
    <w:rsid w:val="00D1537A"/>
    <w:rsid w:val="00D1589E"/>
    <w:rsid w:val="00D1684F"/>
    <w:rsid w:val="00D21A8C"/>
    <w:rsid w:val="00D24BB5"/>
    <w:rsid w:val="00D31023"/>
    <w:rsid w:val="00D360D2"/>
    <w:rsid w:val="00D37129"/>
    <w:rsid w:val="00D40895"/>
    <w:rsid w:val="00D40F81"/>
    <w:rsid w:val="00D412C1"/>
    <w:rsid w:val="00D47882"/>
    <w:rsid w:val="00D5042B"/>
    <w:rsid w:val="00D53E22"/>
    <w:rsid w:val="00D56D84"/>
    <w:rsid w:val="00D57D4C"/>
    <w:rsid w:val="00D615C5"/>
    <w:rsid w:val="00D62BF9"/>
    <w:rsid w:val="00D64A44"/>
    <w:rsid w:val="00D64E77"/>
    <w:rsid w:val="00D65EA4"/>
    <w:rsid w:val="00D65FF1"/>
    <w:rsid w:val="00D6602F"/>
    <w:rsid w:val="00D668B7"/>
    <w:rsid w:val="00D674D0"/>
    <w:rsid w:val="00D71211"/>
    <w:rsid w:val="00D75394"/>
    <w:rsid w:val="00D766AC"/>
    <w:rsid w:val="00D83017"/>
    <w:rsid w:val="00D84D60"/>
    <w:rsid w:val="00D90B12"/>
    <w:rsid w:val="00D92AC1"/>
    <w:rsid w:val="00D9335A"/>
    <w:rsid w:val="00D947C0"/>
    <w:rsid w:val="00DA3CAA"/>
    <w:rsid w:val="00DA40C4"/>
    <w:rsid w:val="00DA7525"/>
    <w:rsid w:val="00DA7842"/>
    <w:rsid w:val="00DB0C60"/>
    <w:rsid w:val="00DB28A9"/>
    <w:rsid w:val="00DB334C"/>
    <w:rsid w:val="00DB6062"/>
    <w:rsid w:val="00DC0923"/>
    <w:rsid w:val="00DC1D0D"/>
    <w:rsid w:val="00DC2A2C"/>
    <w:rsid w:val="00DC32DF"/>
    <w:rsid w:val="00DC3DA4"/>
    <w:rsid w:val="00DC4DA0"/>
    <w:rsid w:val="00DC6376"/>
    <w:rsid w:val="00DD1E43"/>
    <w:rsid w:val="00DD5900"/>
    <w:rsid w:val="00DD6838"/>
    <w:rsid w:val="00DD7DB8"/>
    <w:rsid w:val="00DE4F1C"/>
    <w:rsid w:val="00DE596F"/>
    <w:rsid w:val="00DE5F82"/>
    <w:rsid w:val="00DF3199"/>
    <w:rsid w:val="00DF4352"/>
    <w:rsid w:val="00DF575F"/>
    <w:rsid w:val="00DF5841"/>
    <w:rsid w:val="00DF5939"/>
    <w:rsid w:val="00E00872"/>
    <w:rsid w:val="00E01480"/>
    <w:rsid w:val="00E038BF"/>
    <w:rsid w:val="00E04E7D"/>
    <w:rsid w:val="00E05A4A"/>
    <w:rsid w:val="00E123BD"/>
    <w:rsid w:val="00E1295B"/>
    <w:rsid w:val="00E12B1B"/>
    <w:rsid w:val="00E150F1"/>
    <w:rsid w:val="00E15A8F"/>
    <w:rsid w:val="00E15B16"/>
    <w:rsid w:val="00E160CA"/>
    <w:rsid w:val="00E2368E"/>
    <w:rsid w:val="00E240F3"/>
    <w:rsid w:val="00E25561"/>
    <w:rsid w:val="00E25B59"/>
    <w:rsid w:val="00E27772"/>
    <w:rsid w:val="00E33CDA"/>
    <w:rsid w:val="00E344D9"/>
    <w:rsid w:val="00E345A6"/>
    <w:rsid w:val="00E37F56"/>
    <w:rsid w:val="00E4101A"/>
    <w:rsid w:val="00E41066"/>
    <w:rsid w:val="00E42E5A"/>
    <w:rsid w:val="00E442C8"/>
    <w:rsid w:val="00E4588A"/>
    <w:rsid w:val="00E46300"/>
    <w:rsid w:val="00E46839"/>
    <w:rsid w:val="00E51C6A"/>
    <w:rsid w:val="00E52040"/>
    <w:rsid w:val="00E5233A"/>
    <w:rsid w:val="00E54140"/>
    <w:rsid w:val="00E56B4B"/>
    <w:rsid w:val="00E60813"/>
    <w:rsid w:val="00E63E61"/>
    <w:rsid w:val="00E63FC8"/>
    <w:rsid w:val="00E66088"/>
    <w:rsid w:val="00E66F8F"/>
    <w:rsid w:val="00E70A5E"/>
    <w:rsid w:val="00E70B00"/>
    <w:rsid w:val="00E755FF"/>
    <w:rsid w:val="00E757F9"/>
    <w:rsid w:val="00E81BC7"/>
    <w:rsid w:val="00E8314F"/>
    <w:rsid w:val="00E8506D"/>
    <w:rsid w:val="00E856DF"/>
    <w:rsid w:val="00E86536"/>
    <w:rsid w:val="00E90986"/>
    <w:rsid w:val="00E945E8"/>
    <w:rsid w:val="00E96630"/>
    <w:rsid w:val="00EA6557"/>
    <w:rsid w:val="00EB10E1"/>
    <w:rsid w:val="00EB1E47"/>
    <w:rsid w:val="00EC1498"/>
    <w:rsid w:val="00EC4AF2"/>
    <w:rsid w:val="00ED243B"/>
    <w:rsid w:val="00ED67AF"/>
    <w:rsid w:val="00ED6987"/>
    <w:rsid w:val="00EE164A"/>
    <w:rsid w:val="00EE27B9"/>
    <w:rsid w:val="00EE4CB0"/>
    <w:rsid w:val="00EE5179"/>
    <w:rsid w:val="00EF57DE"/>
    <w:rsid w:val="00F005AA"/>
    <w:rsid w:val="00F017CE"/>
    <w:rsid w:val="00F018AF"/>
    <w:rsid w:val="00F01BC8"/>
    <w:rsid w:val="00F054FC"/>
    <w:rsid w:val="00F06F85"/>
    <w:rsid w:val="00F06FAF"/>
    <w:rsid w:val="00F1097D"/>
    <w:rsid w:val="00F117FA"/>
    <w:rsid w:val="00F143B3"/>
    <w:rsid w:val="00F14BE4"/>
    <w:rsid w:val="00F1596C"/>
    <w:rsid w:val="00F16C8F"/>
    <w:rsid w:val="00F2034B"/>
    <w:rsid w:val="00F21A21"/>
    <w:rsid w:val="00F21F12"/>
    <w:rsid w:val="00F24DA9"/>
    <w:rsid w:val="00F25265"/>
    <w:rsid w:val="00F261C3"/>
    <w:rsid w:val="00F27A38"/>
    <w:rsid w:val="00F303B3"/>
    <w:rsid w:val="00F311CA"/>
    <w:rsid w:val="00F35539"/>
    <w:rsid w:val="00F35C92"/>
    <w:rsid w:val="00F37106"/>
    <w:rsid w:val="00F378D8"/>
    <w:rsid w:val="00F41B38"/>
    <w:rsid w:val="00F433F8"/>
    <w:rsid w:val="00F43B7D"/>
    <w:rsid w:val="00F453B3"/>
    <w:rsid w:val="00F45AF4"/>
    <w:rsid w:val="00F4609F"/>
    <w:rsid w:val="00F46953"/>
    <w:rsid w:val="00F5064C"/>
    <w:rsid w:val="00F51599"/>
    <w:rsid w:val="00F522F5"/>
    <w:rsid w:val="00F53723"/>
    <w:rsid w:val="00F55AA6"/>
    <w:rsid w:val="00F64C05"/>
    <w:rsid w:val="00F6598B"/>
    <w:rsid w:val="00F678E1"/>
    <w:rsid w:val="00F70683"/>
    <w:rsid w:val="00F70C6F"/>
    <w:rsid w:val="00F72F6D"/>
    <w:rsid w:val="00F73CE6"/>
    <w:rsid w:val="00F743BA"/>
    <w:rsid w:val="00F747CE"/>
    <w:rsid w:val="00F74C6F"/>
    <w:rsid w:val="00F7529F"/>
    <w:rsid w:val="00F7680F"/>
    <w:rsid w:val="00F8066A"/>
    <w:rsid w:val="00F80BEE"/>
    <w:rsid w:val="00F810FC"/>
    <w:rsid w:val="00F8137B"/>
    <w:rsid w:val="00F8151A"/>
    <w:rsid w:val="00F81F61"/>
    <w:rsid w:val="00F83759"/>
    <w:rsid w:val="00F83BBA"/>
    <w:rsid w:val="00F8479A"/>
    <w:rsid w:val="00F86E0A"/>
    <w:rsid w:val="00F96009"/>
    <w:rsid w:val="00F97EC2"/>
    <w:rsid w:val="00FA1739"/>
    <w:rsid w:val="00FA32DD"/>
    <w:rsid w:val="00FA6084"/>
    <w:rsid w:val="00FB0D48"/>
    <w:rsid w:val="00FB5AB8"/>
    <w:rsid w:val="00FC035E"/>
    <w:rsid w:val="00FC13B8"/>
    <w:rsid w:val="00FC1E5B"/>
    <w:rsid w:val="00FC7E1E"/>
    <w:rsid w:val="00FD00AB"/>
    <w:rsid w:val="00FD513B"/>
    <w:rsid w:val="00FF1726"/>
    <w:rsid w:val="00FF2D85"/>
    <w:rsid w:val="00FF3396"/>
    <w:rsid w:val="00FF3699"/>
    <w:rsid w:val="00FF397E"/>
    <w:rsid w:val="00FF4D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7A60CD"/>
  <w15:chartTrackingRefBased/>
  <w15:docId w15:val="{62A42A9B-BA4F-4EBE-BB66-0973BA0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03"/>
    <w:pPr>
      <w:spacing w:line="26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35550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35550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35550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355503"/>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35550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355503"/>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35550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35550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35550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550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355503"/>
    <w:rPr>
      <w:rFonts w:ascii="Palatino Linotype" w:hAnsi="Palatino Linotype"/>
      <w:noProof/>
      <w:color w:val="000000"/>
      <w:szCs w:val="18"/>
    </w:rPr>
  </w:style>
  <w:style w:type="paragraph" w:styleId="Header">
    <w:name w:val="header"/>
    <w:basedOn w:val="Normal"/>
    <w:link w:val="HeaderChar"/>
    <w:uiPriority w:val="99"/>
    <w:rsid w:val="0035550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355503"/>
    <w:rPr>
      <w:rFonts w:ascii="Palatino Linotype" w:hAnsi="Palatino Linotype"/>
      <w:noProof/>
      <w:color w:val="000000"/>
      <w:szCs w:val="18"/>
    </w:rPr>
  </w:style>
  <w:style w:type="paragraph" w:customStyle="1" w:styleId="MDPIheaderjournallogo">
    <w:name w:val="MDPI_header_journal_logo"/>
    <w:qFormat/>
    <w:rsid w:val="0035550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355503"/>
    <w:pPr>
      <w:ind w:firstLine="0"/>
    </w:pPr>
  </w:style>
  <w:style w:type="paragraph" w:customStyle="1" w:styleId="MDPI31text">
    <w:name w:val="MDPI_3.1_text"/>
    <w:qFormat/>
    <w:rsid w:val="004F1B2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35550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35550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35550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35550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9C6B95"/>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9C6B95"/>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35550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355503"/>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35550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35550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35550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35550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35550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35550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35550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35550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35550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35550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6945E8"/>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355503"/>
    <w:rPr>
      <w:rFonts w:cs="Tahoma"/>
      <w:szCs w:val="18"/>
    </w:rPr>
  </w:style>
  <w:style w:type="character" w:customStyle="1" w:styleId="BalloonTextChar">
    <w:name w:val="Balloon Text Char"/>
    <w:link w:val="BalloonText"/>
    <w:uiPriority w:val="99"/>
    <w:rsid w:val="00355503"/>
    <w:rPr>
      <w:rFonts w:ascii="Palatino Linotype" w:hAnsi="Palatino Linotype" w:cs="Tahoma"/>
      <w:noProof/>
      <w:color w:val="000000"/>
      <w:szCs w:val="18"/>
    </w:rPr>
  </w:style>
  <w:style w:type="character" w:styleId="LineNumber">
    <w:name w:val="line number"/>
    <w:uiPriority w:val="99"/>
    <w:rsid w:val="00610D47"/>
    <w:rPr>
      <w:rFonts w:ascii="Palatino Linotype" w:hAnsi="Palatino Linotype"/>
      <w:sz w:val="16"/>
    </w:rPr>
  </w:style>
  <w:style w:type="table" w:customStyle="1" w:styleId="MDPI41threelinetable">
    <w:name w:val="MDPI_4.1_three_line_table"/>
    <w:basedOn w:val="TableNormal"/>
    <w:uiPriority w:val="99"/>
    <w:rsid w:val="0035550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355503"/>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35550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35550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35550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713A92"/>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35550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35550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35550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96009"/>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35550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35550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35550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35550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35550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35550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355503"/>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35550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35550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355503"/>
  </w:style>
  <w:style w:type="paragraph" w:styleId="Bibliography">
    <w:name w:val="Bibliography"/>
    <w:basedOn w:val="Normal"/>
    <w:next w:val="Normal"/>
    <w:uiPriority w:val="37"/>
    <w:semiHidden/>
    <w:unhideWhenUsed/>
    <w:rsid w:val="00355503"/>
  </w:style>
  <w:style w:type="paragraph" w:styleId="BodyText">
    <w:name w:val="Body Text"/>
    <w:link w:val="BodyTextChar"/>
    <w:rsid w:val="0035550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355503"/>
    <w:rPr>
      <w:rFonts w:ascii="Palatino Linotype" w:hAnsi="Palatino Linotype"/>
      <w:color w:val="000000"/>
      <w:sz w:val="24"/>
      <w:lang w:eastAsia="de-DE"/>
    </w:rPr>
  </w:style>
  <w:style w:type="character" w:styleId="CommentReference">
    <w:name w:val="annotation reference"/>
    <w:rsid w:val="00355503"/>
    <w:rPr>
      <w:sz w:val="21"/>
      <w:szCs w:val="21"/>
    </w:rPr>
  </w:style>
  <w:style w:type="paragraph" w:styleId="CommentText">
    <w:name w:val="annotation text"/>
    <w:basedOn w:val="Normal"/>
    <w:link w:val="CommentTextChar"/>
    <w:rsid w:val="00355503"/>
  </w:style>
  <w:style w:type="character" w:customStyle="1" w:styleId="CommentTextChar">
    <w:name w:val="Comment Text Char"/>
    <w:link w:val="CommentText"/>
    <w:rsid w:val="00355503"/>
    <w:rPr>
      <w:rFonts w:ascii="Palatino Linotype" w:hAnsi="Palatino Linotype"/>
      <w:noProof/>
      <w:color w:val="000000"/>
    </w:rPr>
  </w:style>
  <w:style w:type="paragraph" w:styleId="CommentSubject">
    <w:name w:val="annotation subject"/>
    <w:basedOn w:val="CommentText"/>
    <w:next w:val="CommentText"/>
    <w:link w:val="CommentSubjectChar"/>
    <w:rsid w:val="00355503"/>
    <w:rPr>
      <w:b/>
      <w:bCs/>
    </w:rPr>
  </w:style>
  <w:style w:type="character" w:customStyle="1" w:styleId="CommentSubjectChar">
    <w:name w:val="Comment Subject Char"/>
    <w:link w:val="CommentSubject"/>
    <w:rsid w:val="00355503"/>
    <w:rPr>
      <w:rFonts w:ascii="Palatino Linotype" w:hAnsi="Palatino Linotype"/>
      <w:b/>
      <w:bCs/>
      <w:noProof/>
      <w:color w:val="000000"/>
    </w:rPr>
  </w:style>
  <w:style w:type="character" w:styleId="EndnoteReference">
    <w:name w:val="endnote reference"/>
    <w:rsid w:val="00355503"/>
    <w:rPr>
      <w:vertAlign w:val="superscript"/>
    </w:rPr>
  </w:style>
  <w:style w:type="paragraph" w:styleId="EndnoteText">
    <w:name w:val="endnote text"/>
    <w:basedOn w:val="Normal"/>
    <w:link w:val="EndnoteTextChar"/>
    <w:semiHidden/>
    <w:unhideWhenUsed/>
    <w:rsid w:val="00355503"/>
    <w:pPr>
      <w:spacing w:line="240" w:lineRule="auto"/>
    </w:pPr>
  </w:style>
  <w:style w:type="character" w:customStyle="1" w:styleId="EndnoteTextChar">
    <w:name w:val="Endnote Text Char"/>
    <w:link w:val="EndnoteText"/>
    <w:semiHidden/>
    <w:rsid w:val="00355503"/>
    <w:rPr>
      <w:rFonts w:ascii="Palatino Linotype" w:hAnsi="Palatino Linotype"/>
      <w:noProof/>
      <w:color w:val="000000"/>
    </w:rPr>
  </w:style>
  <w:style w:type="character" w:styleId="FollowedHyperlink">
    <w:name w:val="FollowedHyperlink"/>
    <w:rsid w:val="00355503"/>
    <w:rPr>
      <w:color w:val="954F72"/>
      <w:u w:val="single"/>
    </w:rPr>
  </w:style>
  <w:style w:type="paragraph" w:styleId="FootnoteText">
    <w:name w:val="footnote text"/>
    <w:basedOn w:val="Normal"/>
    <w:link w:val="FootnoteTextChar"/>
    <w:semiHidden/>
    <w:unhideWhenUsed/>
    <w:rsid w:val="00355503"/>
    <w:pPr>
      <w:spacing w:line="240" w:lineRule="auto"/>
    </w:pPr>
  </w:style>
  <w:style w:type="character" w:customStyle="1" w:styleId="FootnoteTextChar">
    <w:name w:val="Footnote Text Char"/>
    <w:link w:val="FootnoteText"/>
    <w:semiHidden/>
    <w:rsid w:val="00355503"/>
    <w:rPr>
      <w:rFonts w:ascii="Palatino Linotype" w:hAnsi="Palatino Linotype"/>
      <w:noProof/>
      <w:color w:val="000000"/>
    </w:rPr>
  </w:style>
  <w:style w:type="paragraph" w:styleId="NormalWeb">
    <w:name w:val="Normal (Web)"/>
    <w:basedOn w:val="Normal"/>
    <w:uiPriority w:val="99"/>
    <w:rsid w:val="00355503"/>
    <w:rPr>
      <w:szCs w:val="24"/>
    </w:rPr>
  </w:style>
  <w:style w:type="paragraph" w:customStyle="1" w:styleId="MsoFootnoteText0">
    <w:name w:val="MsoFootnoteText"/>
    <w:basedOn w:val="NormalWeb"/>
    <w:qFormat/>
    <w:rsid w:val="00355503"/>
    <w:rPr>
      <w:rFonts w:ascii="Times New Roman" w:hAnsi="Times New Roman"/>
    </w:rPr>
  </w:style>
  <w:style w:type="character" w:styleId="PageNumber">
    <w:name w:val="page number"/>
    <w:rsid w:val="00355503"/>
  </w:style>
  <w:style w:type="character" w:styleId="PlaceholderText">
    <w:name w:val="Placeholder Text"/>
    <w:uiPriority w:val="99"/>
    <w:semiHidden/>
    <w:rsid w:val="00355503"/>
    <w:rPr>
      <w:color w:val="808080"/>
    </w:rPr>
  </w:style>
  <w:style w:type="paragraph" w:customStyle="1" w:styleId="MDPI71FootNotes">
    <w:name w:val="MDPI_7.1_FootNotes"/>
    <w:qFormat/>
    <w:rsid w:val="00977F78"/>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ListParagraph">
    <w:name w:val="List Paragraph"/>
    <w:basedOn w:val="Normal"/>
    <w:uiPriority w:val="34"/>
    <w:qFormat/>
    <w:rsid w:val="00514982"/>
    <w:pPr>
      <w:ind w:left="720"/>
      <w:contextualSpacing/>
    </w:pPr>
  </w:style>
  <w:style w:type="paragraph" w:styleId="Revision">
    <w:name w:val="Revision"/>
    <w:hidden/>
    <w:uiPriority w:val="99"/>
    <w:semiHidden/>
    <w:rsid w:val="000C679A"/>
    <w:rPr>
      <w:rFonts w:ascii="Palatino Linotype"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008">
      <w:bodyDiv w:val="1"/>
      <w:marLeft w:val="0"/>
      <w:marRight w:val="0"/>
      <w:marTop w:val="0"/>
      <w:marBottom w:val="0"/>
      <w:divBdr>
        <w:top w:val="none" w:sz="0" w:space="0" w:color="auto"/>
        <w:left w:val="none" w:sz="0" w:space="0" w:color="auto"/>
        <w:bottom w:val="none" w:sz="0" w:space="0" w:color="auto"/>
        <w:right w:val="none" w:sz="0" w:space="0" w:color="auto"/>
      </w:divBdr>
    </w:div>
    <w:div w:id="24448152">
      <w:bodyDiv w:val="1"/>
      <w:marLeft w:val="0"/>
      <w:marRight w:val="0"/>
      <w:marTop w:val="0"/>
      <w:marBottom w:val="0"/>
      <w:divBdr>
        <w:top w:val="none" w:sz="0" w:space="0" w:color="auto"/>
        <w:left w:val="none" w:sz="0" w:space="0" w:color="auto"/>
        <w:bottom w:val="none" w:sz="0" w:space="0" w:color="auto"/>
        <w:right w:val="none" w:sz="0" w:space="0" w:color="auto"/>
      </w:divBdr>
    </w:div>
    <w:div w:id="99885671">
      <w:bodyDiv w:val="1"/>
      <w:marLeft w:val="0"/>
      <w:marRight w:val="0"/>
      <w:marTop w:val="0"/>
      <w:marBottom w:val="0"/>
      <w:divBdr>
        <w:top w:val="none" w:sz="0" w:space="0" w:color="auto"/>
        <w:left w:val="none" w:sz="0" w:space="0" w:color="auto"/>
        <w:bottom w:val="none" w:sz="0" w:space="0" w:color="auto"/>
        <w:right w:val="none" w:sz="0" w:space="0" w:color="auto"/>
      </w:divBdr>
    </w:div>
    <w:div w:id="151223206">
      <w:bodyDiv w:val="1"/>
      <w:marLeft w:val="0"/>
      <w:marRight w:val="0"/>
      <w:marTop w:val="0"/>
      <w:marBottom w:val="0"/>
      <w:divBdr>
        <w:top w:val="none" w:sz="0" w:space="0" w:color="auto"/>
        <w:left w:val="none" w:sz="0" w:space="0" w:color="auto"/>
        <w:bottom w:val="none" w:sz="0" w:space="0" w:color="auto"/>
        <w:right w:val="none" w:sz="0" w:space="0" w:color="auto"/>
      </w:divBdr>
    </w:div>
    <w:div w:id="175190346">
      <w:bodyDiv w:val="1"/>
      <w:marLeft w:val="0"/>
      <w:marRight w:val="0"/>
      <w:marTop w:val="0"/>
      <w:marBottom w:val="0"/>
      <w:divBdr>
        <w:top w:val="none" w:sz="0" w:space="0" w:color="auto"/>
        <w:left w:val="none" w:sz="0" w:space="0" w:color="auto"/>
        <w:bottom w:val="none" w:sz="0" w:space="0" w:color="auto"/>
        <w:right w:val="none" w:sz="0" w:space="0" w:color="auto"/>
      </w:divBdr>
    </w:div>
    <w:div w:id="180169284">
      <w:bodyDiv w:val="1"/>
      <w:marLeft w:val="0"/>
      <w:marRight w:val="0"/>
      <w:marTop w:val="0"/>
      <w:marBottom w:val="0"/>
      <w:divBdr>
        <w:top w:val="none" w:sz="0" w:space="0" w:color="auto"/>
        <w:left w:val="none" w:sz="0" w:space="0" w:color="auto"/>
        <w:bottom w:val="none" w:sz="0" w:space="0" w:color="auto"/>
        <w:right w:val="none" w:sz="0" w:space="0" w:color="auto"/>
      </w:divBdr>
    </w:div>
    <w:div w:id="184905326">
      <w:bodyDiv w:val="1"/>
      <w:marLeft w:val="0"/>
      <w:marRight w:val="0"/>
      <w:marTop w:val="0"/>
      <w:marBottom w:val="0"/>
      <w:divBdr>
        <w:top w:val="none" w:sz="0" w:space="0" w:color="auto"/>
        <w:left w:val="none" w:sz="0" w:space="0" w:color="auto"/>
        <w:bottom w:val="none" w:sz="0" w:space="0" w:color="auto"/>
        <w:right w:val="none" w:sz="0" w:space="0" w:color="auto"/>
      </w:divBdr>
    </w:div>
    <w:div w:id="203369343">
      <w:bodyDiv w:val="1"/>
      <w:marLeft w:val="0"/>
      <w:marRight w:val="0"/>
      <w:marTop w:val="0"/>
      <w:marBottom w:val="0"/>
      <w:divBdr>
        <w:top w:val="none" w:sz="0" w:space="0" w:color="auto"/>
        <w:left w:val="none" w:sz="0" w:space="0" w:color="auto"/>
        <w:bottom w:val="none" w:sz="0" w:space="0" w:color="auto"/>
        <w:right w:val="none" w:sz="0" w:space="0" w:color="auto"/>
      </w:divBdr>
    </w:div>
    <w:div w:id="219487930">
      <w:bodyDiv w:val="1"/>
      <w:marLeft w:val="0"/>
      <w:marRight w:val="0"/>
      <w:marTop w:val="0"/>
      <w:marBottom w:val="0"/>
      <w:divBdr>
        <w:top w:val="none" w:sz="0" w:space="0" w:color="auto"/>
        <w:left w:val="none" w:sz="0" w:space="0" w:color="auto"/>
        <w:bottom w:val="none" w:sz="0" w:space="0" w:color="auto"/>
        <w:right w:val="none" w:sz="0" w:space="0" w:color="auto"/>
      </w:divBdr>
    </w:div>
    <w:div w:id="242303336">
      <w:bodyDiv w:val="1"/>
      <w:marLeft w:val="0"/>
      <w:marRight w:val="0"/>
      <w:marTop w:val="0"/>
      <w:marBottom w:val="0"/>
      <w:divBdr>
        <w:top w:val="none" w:sz="0" w:space="0" w:color="auto"/>
        <w:left w:val="none" w:sz="0" w:space="0" w:color="auto"/>
        <w:bottom w:val="none" w:sz="0" w:space="0" w:color="auto"/>
        <w:right w:val="none" w:sz="0" w:space="0" w:color="auto"/>
      </w:divBdr>
    </w:div>
    <w:div w:id="258871491">
      <w:bodyDiv w:val="1"/>
      <w:marLeft w:val="0"/>
      <w:marRight w:val="0"/>
      <w:marTop w:val="0"/>
      <w:marBottom w:val="0"/>
      <w:divBdr>
        <w:top w:val="none" w:sz="0" w:space="0" w:color="auto"/>
        <w:left w:val="none" w:sz="0" w:space="0" w:color="auto"/>
        <w:bottom w:val="none" w:sz="0" w:space="0" w:color="auto"/>
        <w:right w:val="none" w:sz="0" w:space="0" w:color="auto"/>
      </w:divBdr>
    </w:div>
    <w:div w:id="333609208">
      <w:bodyDiv w:val="1"/>
      <w:marLeft w:val="0"/>
      <w:marRight w:val="0"/>
      <w:marTop w:val="0"/>
      <w:marBottom w:val="0"/>
      <w:divBdr>
        <w:top w:val="none" w:sz="0" w:space="0" w:color="auto"/>
        <w:left w:val="none" w:sz="0" w:space="0" w:color="auto"/>
        <w:bottom w:val="none" w:sz="0" w:space="0" w:color="auto"/>
        <w:right w:val="none" w:sz="0" w:space="0" w:color="auto"/>
      </w:divBdr>
    </w:div>
    <w:div w:id="334111736">
      <w:bodyDiv w:val="1"/>
      <w:marLeft w:val="0"/>
      <w:marRight w:val="0"/>
      <w:marTop w:val="0"/>
      <w:marBottom w:val="0"/>
      <w:divBdr>
        <w:top w:val="none" w:sz="0" w:space="0" w:color="auto"/>
        <w:left w:val="none" w:sz="0" w:space="0" w:color="auto"/>
        <w:bottom w:val="none" w:sz="0" w:space="0" w:color="auto"/>
        <w:right w:val="none" w:sz="0" w:space="0" w:color="auto"/>
      </w:divBdr>
    </w:div>
    <w:div w:id="335619855">
      <w:bodyDiv w:val="1"/>
      <w:marLeft w:val="0"/>
      <w:marRight w:val="0"/>
      <w:marTop w:val="0"/>
      <w:marBottom w:val="0"/>
      <w:divBdr>
        <w:top w:val="none" w:sz="0" w:space="0" w:color="auto"/>
        <w:left w:val="none" w:sz="0" w:space="0" w:color="auto"/>
        <w:bottom w:val="none" w:sz="0" w:space="0" w:color="auto"/>
        <w:right w:val="none" w:sz="0" w:space="0" w:color="auto"/>
      </w:divBdr>
    </w:div>
    <w:div w:id="339744189">
      <w:bodyDiv w:val="1"/>
      <w:marLeft w:val="0"/>
      <w:marRight w:val="0"/>
      <w:marTop w:val="0"/>
      <w:marBottom w:val="0"/>
      <w:divBdr>
        <w:top w:val="none" w:sz="0" w:space="0" w:color="auto"/>
        <w:left w:val="none" w:sz="0" w:space="0" w:color="auto"/>
        <w:bottom w:val="none" w:sz="0" w:space="0" w:color="auto"/>
        <w:right w:val="none" w:sz="0" w:space="0" w:color="auto"/>
      </w:divBdr>
    </w:div>
    <w:div w:id="352078794">
      <w:bodyDiv w:val="1"/>
      <w:marLeft w:val="0"/>
      <w:marRight w:val="0"/>
      <w:marTop w:val="0"/>
      <w:marBottom w:val="0"/>
      <w:divBdr>
        <w:top w:val="none" w:sz="0" w:space="0" w:color="auto"/>
        <w:left w:val="none" w:sz="0" w:space="0" w:color="auto"/>
        <w:bottom w:val="none" w:sz="0" w:space="0" w:color="auto"/>
        <w:right w:val="none" w:sz="0" w:space="0" w:color="auto"/>
      </w:divBdr>
    </w:div>
    <w:div w:id="407923274">
      <w:bodyDiv w:val="1"/>
      <w:marLeft w:val="0"/>
      <w:marRight w:val="0"/>
      <w:marTop w:val="0"/>
      <w:marBottom w:val="0"/>
      <w:divBdr>
        <w:top w:val="none" w:sz="0" w:space="0" w:color="auto"/>
        <w:left w:val="none" w:sz="0" w:space="0" w:color="auto"/>
        <w:bottom w:val="none" w:sz="0" w:space="0" w:color="auto"/>
        <w:right w:val="none" w:sz="0" w:space="0" w:color="auto"/>
      </w:divBdr>
    </w:div>
    <w:div w:id="422649853">
      <w:bodyDiv w:val="1"/>
      <w:marLeft w:val="0"/>
      <w:marRight w:val="0"/>
      <w:marTop w:val="0"/>
      <w:marBottom w:val="0"/>
      <w:divBdr>
        <w:top w:val="none" w:sz="0" w:space="0" w:color="auto"/>
        <w:left w:val="none" w:sz="0" w:space="0" w:color="auto"/>
        <w:bottom w:val="none" w:sz="0" w:space="0" w:color="auto"/>
        <w:right w:val="none" w:sz="0" w:space="0" w:color="auto"/>
      </w:divBdr>
    </w:div>
    <w:div w:id="445734439">
      <w:bodyDiv w:val="1"/>
      <w:marLeft w:val="0"/>
      <w:marRight w:val="0"/>
      <w:marTop w:val="0"/>
      <w:marBottom w:val="0"/>
      <w:divBdr>
        <w:top w:val="none" w:sz="0" w:space="0" w:color="auto"/>
        <w:left w:val="none" w:sz="0" w:space="0" w:color="auto"/>
        <w:bottom w:val="none" w:sz="0" w:space="0" w:color="auto"/>
        <w:right w:val="none" w:sz="0" w:space="0" w:color="auto"/>
      </w:divBdr>
    </w:div>
    <w:div w:id="489567863">
      <w:bodyDiv w:val="1"/>
      <w:marLeft w:val="0"/>
      <w:marRight w:val="0"/>
      <w:marTop w:val="0"/>
      <w:marBottom w:val="0"/>
      <w:divBdr>
        <w:top w:val="none" w:sz="0" w:space="0" w:color="auto"/>
        <w:left w:val="none" w:sz="0" w:space="0" w:color="auto"/>
        <w:bottom w:val="none" w:sz="0" w:space="0" w:color="auto"/>
        <w:right w:val="none" w:sz="0" w:space="0" w:color="auto"/>
      </w:divBdr>
    </w:div>
    <w:div w:id="499739850">
      <w:bodyDiv w:val="1"/>
      <w:marLeft w:val="0"/>
      <w:marRight w:val="0"/>
      <w:marTop w:val="0"/>
      <w:marBottom w:val="0"/>
      <w:divBdr>
        <w:top w:val="none" w:sz="0" w:space="0" w:color="auto"/>
        <w:left w:val="none" w:sz="0" w:space="0" w:color="auto"/>
        <w:bottom w:val="none" w:sz="0" w:space="0" w:color="auto"/>
        <w:right w:val="none" w:sz="0" w:space="0" w:color="auto"/>
      </w:divBdr>
    </w:div>
    <w:div w:id="503974584">
      <w:bodyDiv w:val="1"/>
      <w:marLeft w:val="0"/>
      <w:marRight w:val="0"/>
      <w:marTop w:val="0"/>
      <w:marBottom w:val="0"/>
      <w:divBdr>
        <w:top w:val="none" w:sz="0" w:space="0" w:color="auto"/>
        <w:left w:val="none" w:sz="0" w:space="0" w:color="auto"/>
        <w:bottom w:val="none" w:sz="0" w:space="0" w:color="auto"/>
        <w:right w:val="none" w:sz="0" w:space="0" w:color="auto"/>
      </w:divBdr>
    </w:div>
    <w:div w:id="522864928">
      <w:bodyDiv w:val="1"/>
      <w:marLeft w:val="0"/>
      <w:marRight w:val="0"/>
      <w:marTop w:val="0"/>
      <w:marBottom w:val="0"/>
      <w:divBdr>
        <w:top w:val="none" w:sz="0" w:space="0" w:color="auto"/>
        <w:left w:val="none" w:sz="0" w:space="0" w:color="auto"/>
        <w:bottom w:val="none" w:sz="0" w:space="0" w:color="auto"/>
        <w:right w:val="none" w:sz="0" w:space="0" w:color="auto"/>
      </w:divBdr>
    </w:div>
    <w:div w:id="566451501">
      <w:bodyDiv w:val="1"/>
      <w:marLeft w:val="0"/>
      <w:marRight w:val="0"/>
      <w:marTop w:val="0"/>
      <w:marBottom w:val="0"/>
      <w:divBdr>
        <w:top w:val="none" w:sz="0" w:space="0" w:color="auto"/>
        <w:left w:val="none" w:sz="0" w:space="0" w:color="auto"/>
        <w:bottom w:val="none" w:sz="0" w:space="0" w:color="auto"/>
        <w:right w:val="none" w:sz="0" w:space="0" w:color="auto"/>
      </w:divBdr>
    </w:div>
    <w:div w:id="634529652">
      <w:bodyDiv w:val="1"/>
      <w:marLeft w:val="0"/>
      <w:marRight w:val="0"/>
      <w:marTop w:val="0"/>
      <w:marBottom w:val="0"/>
      <w:divBdr>
        <w:top w:val="none" w:sz="0" w:space="0" w:color="auto"/>
        <w:left w:val="none" w:sz="0" w:space="0" w:color="auto"/>
        <w:bottom w:val="none" w:sz="0" w:space="0" w:color="auto"/>
        <w:right w:val="none" w:sz="0" w:space="0" w:color="auto"/>
      </w:divBdr>
    </w:div>
    <w:div w:id="681856762">
      <w:bodyDiv w:val="1"/>
      <w:marLeft w:val="0"/>
      <w:marRight w:val="0"/>
      <w:marTop w:val="0"/>
      <w:marBottom w:val="0"/>
      <w:divBdr>
        <w:top w:val="none" w:sz="0" w:space="0" w:color="auto"/>
        <w:left w:val="none" w:sz="0" w:space="0" w:color="auto"/>
        <w:bottom w:val="none" w:sz="0" w:space="0" w:color="auto"/>
        <w:right w:val="none" w:sz="0" w:space="0" w:color="auto"/>
      </w:divBdr>
    </w:div>
    <w:div w:id="736631251">
      <w:bodyDiv w:val="1"/>
      <w:marLeft w:val="0"/>
      <w:marRight w:val="0"/>
      <w:marTop w:val="0"/>
      <w:marBottom w:val="0"/>
      <w:divBdr>
        <w:top w:val="none" w:sz="0" w:space="0" w:color="auto"/>
        <w:left w:val="none" w:sz="0" w:space="0" w:color="auto"/>
        <w:bottom w:val="none" w:sz="0" w:space="0" w:color="auto"/>
        <w:right w:val="none" w:sz="0" w:space="0" w:color="auto"/>
      </w:divBdr>
    </w:div>
    <w:div w:id="756363272">
      <w:bodyDiv w:val="1"/>
      <w:marLeft w:val="0"/>
      <w:marRight w:val="0"/>
      <w:marTop w:val="0"/>
      <w:marBottom w:val="0"/>
      <w:divBdr>
        <w:top w:val="none" w:sz="0" w:space="0" w:color="auto"/>
        <w:left w:val="none" w:sz="0" w:space="0" w:color="auto"/>
        <w:bottom w:val="none" w:sz="0" w:space="0" w:color="auto"/>
        <w:right w:val="none" w:sz="0" w:space="0" w:color="auto"/>
      </w:divBdr>
    </w:div>
    <w:div w:id="769395148">
      <w:bodyDiv w:val="1"/>
      <w:marLeft w:val="0"/>
      <w:marRight w:val="0"/>
      <w:marTop w:val="0"/>
      <w:marBottom w:val="0"/>
      <w:divBdr>
        <w:top w:val="none" w:sz="0" w:space="0" w:color="auto"/>
        <w:left w:val="none" w:sz="0" w:space="0" w:color="auto"/>
        <w:bottom w:val="none" w:sz="0" w:space="0" w:color="auto"/>
        <w:right w:val="none" w:sz="0" w:space="0" w:color="auto"/>
      </w:divBdr>
    </w:div>
    <w:div w:id="773400060">
      <w:bodyDiv w:val="1"/>
      <w:marLeft w:val="0"/>
      <w:marRight w:val="0"/>
      <w:marTop w:val="0"/>
      <w:marBottom w:val="0"/>
      <w:divBdr>
        <w:top w:val="none" w:sz="0" w:space="0" w:color="auto"/>
        <w:left w:val="none" w:sz="0" w:space="0" w:color="auto"/>
        <w:bottom w:val="none" w:sz="0" w:space="0" w:color="auto"/>
        <w:right w:val="none" w:sz="0" w:space="0" w:color="auto"/>
      </w:divBdr>
    </w:div>
    <w:div w:id="785193874">
      <w:bodyDiv w:val="1"/>
      <w:marLeft w:val="0"/>
      <w:marRight w:val="0"/>
      <w:marTop w:val="0"/>
      <w:marBottom w:val="0"/>
      <w:divBdr>
        <w:top w:val="none" w:sz="0" w:space="0" w:color="auto"/>
        <w:left w:val="none" w:sz="0" w:space="0" w:color="auto"/>
        <w:bottom w:val="none" w:sz="0" w:space="0" w:color="auto"/>
        <w:right w:val="none" w:sz="0" w:space="0" w:color="auto"/>
      </w:divBdr>
    </w:div>
    <w:div w:id="792138650">
      <w:bodyDiv w:val="1"/>
      <w:marLeft w:val="0"/>
      <w:marRight w:val="0"/>
      <w:marTop w:val="0"/>
      <w:marBottom w:val="0"/>
      <w:divBdr>
        <w:top w:val="none" w:sz="0" w:space="0" w:color="auto"/>
        <w:left w:val="none" w:sz="0" w:space="0" w:color="auto"/>
        <w:bottom w:val="none" w:sz="0" w:space="0" w:color="auto"/>
        <w:right w:val="none" w:sz="0" w:space="0" w:color="auto"/>
      </w:divBdr>
    </w:div>
    <w:div w:id="795834185">
      <w:bodyDiv w:val="1"/>
      <w:marLeft w:val="0"/>
      <w:marRight w:val="0"/>
      <w:marTop w:val="0"/>
      <w:marBottom w:val="0"/>
      <w:divBdr>
        <w:top w:val="none" w:sz="0" w:space="0" w:color="auto"/>
        <w:left w:val="none" w:sz="0" w:space="0" w:color="auto"/>
        <w:bottom w:val="none" w:sz="0" w:space="0" w:color="auto"/>
        <w:right w:val="none" w:sz="0" w:space="0" w:color="auto"/>
      </w:divBdr>
    </w:div>
    <w:div w:id="805775638">
      <w:bodyDiv w:val="1"/>
      <w:marLeft w:val="0"/>
      <w:marRight w:val="0"/>
      <w:marTop w:val="0"/>
      <w:marBottom w:val="0"/>
      <w:divBdr>
        <w:top w:val="none" w:sz="0" w:space="0" w:color="auto"/>
        <w:left w:val="none" w:sz="0" w:space="0" w:color="auto"/>
        <w:bottom w:val="none" w:sz="0" w:space="0" w:color="auto"/>
        <w:right w:val="none" w:sz="0" w:space="0" w:color="auto"/>
      </w:divBdr>
    </w:div>
    <w:div w:id="818768655">
      <w:bodyDiv w:val="1"/>
      <w:marLeft w:val="0"/>
      <w:marRight w:val="0"/>
      <w:marTop w:val="0"/>
      <w:marBottom w:val="0"/>
      <w:divBdr>
        <w:top w:val="none" w:sz="0" w:space="0" w:color="auto"/>
        <w:left w:val="none" w:sz="0" w:space="0" w:color="auto"/>
        <w:bottom w:val="none" w:sz="0" w:space="0" w:color="auto"/>
        <w:right w:val="none" w:sz="0" w:space="0" w:color="auto"/>
      </w:divBdr>
    </w:div>
    <w:div w:id="889608597">
      <w:bodyDiv w:val="1"/>
      <w:marLeft w:val="0"/>
      <w:marRight w:val="0"/>
      <w:marTop w:val="0"/>
      <w:marBottom w:val="0"/>
      <w:divBdr>
        <w:top w:val="none" w:sz="0" w:space="0" w:color="auto"/>
        <w:left w:val="none" w:sz="0" w:space="0" w:color="auto"/>
        <w:bottom w:val="none" w:sz="0" w:space="0" w:color="auto"/>
        <w:right w:val="none" w:sz="0" w:space="0" w:color="auto"/>
      </w:divBdr>
    </w:div>
    <w:div w:id="904141896">
      <w:bodyDiv w:val="1"/>
      <w:marLeft w:val="0"/>
      <w:marRight w:val="0"/>
      <w:marTop w:val="0"/>
      <w:marBottom w:val="0"/>
      <w:divBdr>
        <w:top w:val="none" w:sz="0" w:space="0" w:color="auto"/>
        <w:left w:val="none" w:sz="0" w:space="0" w:color="auto"/>
        <w:bottom w:val="none" w:sz="0" w:space="0" w:color="auto"/>
        <w:right w:val="none" w:sz="0" w:space="0" w:color="auto"/>
      </w:divBdr>
    </w:div>
    <w:div w:id="905721743">
      <w:bodyDiv w:val="1"/>
      <w:marLeft w:val="0"/>
      <w:marRight w:val="0"/>
      <w:marTop w:val="0"/>
      <w:marBottom w:val="0"/>
      <w:divBdr>
        <w:top w:val="none" w:sz="0" w:space="0" w:color="auto"/>
        <w:left w:val="none" w:sz="0" w:space="0" w:color="auto"/>
        <w:bottom w:val="none" w:sz="0" w:space="0" w:color="auto"/>
        <w:right w:val="none" w:sz="0" w:space="0" w:color="auto"/>
      </w:divBdr>
    </w:div>
    <w:div w:id="919558393">
      <w:bodyDiv w:val="1"/>
      <w:marLeft w:val="0"/>
      <w:marRight w:val="0"/>
      <w:marTop w:val="0"/>
      <w:marBottom w:val="0"/>
      <w:divBdr>
        <w:top w:val="none" w:sz="0" w:space="0" w:color="auto"/>
        <w:left w:val="none" w:sz="0" w:space="0" w:color="auto"/>
        <w:bottom w:val="none" w:sz="0" w:space="0" w:color="auto"/>
        <w:right w:val="none" w:sz="0" w:space="0" w:color="auto"/>
      </w:divBdr>
    </w:div>
    <w:div w:id="928999878">
      <w:bodyDiv w:val="1"/>
      <w:marLeft w:val="0"/>
      <w:marRight w:val="0"/>
      <w:marTop w:val="0"/>
      <w:marBottom w:val="0"/>
      <w:divBdr>
        <w:top w:val="none" w:sz="0" w:space="0" w:color="auto"/>
        <w:left w:val="none" w:sz="0" w:space="0" w:color="auto"/>
        <w:bottom w:val="none" w:sz="0" w:space="0" w:color="auto"/>
        <w:right w:val="none" w:sz="0" w:space="0" w:color="auto"/>
      </w:divBdr>
    </w:div>
    <w:div w:id="971441147">
      <w:bodyDiv w:val="1"/>
      <w:marLeft w:val="0"/>
      <w:marRight w:val="0"/>
      <w:marTop w:val="0"/>
      <w:marBottom w:val="0"/>
      <w:divBdr>
        <w:top w:val="none" w:sz="0" w:space="0" w:color="auto"/>
        <w:left w:val="none" w:sz="0" w:space="0" w:color="auto"/>
        <w:bottom w:val="none" w:sz="0" w:space="0" w:color="auto"/>
        <w:right w:val="none" w:sz="0" w:space="0" w:color="auto"/>
      </w:divBdr>
    </w:div>
    <w:div w:id="991102732">
      <w:bodyDiv w:val="1"/>
      <w:marLeft w:val="0"/>
      <w:marRight w:val="0"/>
      <w:marTop w:val="0"/>
      <w:marBottom w:val="0"/>
      <w:divBdr>
        <w:top w:val="none" w:sz="0" w:space="0" w:color="auto"/>
        <w:left w:val="none" w:sz="0" w:space="0" w:color="auto"/>
        <w:bottom w:val="none" w:sz="0" w:space="0" w:color="auto"/>
        <w:right w:val="none" w:sz="0" w:space="0" w:color="auto"/>
      </w:divBdr>
    </w:div>
    <w:div w:id="1000886155">
      <w:bodyDiv w:val="1"/>
      <w:marLeft w:val="0"/>
      <w:marRight w:val="0"/>
      <w:marTop w:val="0"/>
      <w:marBottom w:val="0"/>
      <w:divBdr>
        <w:top w:val="none" w:sz="0" w:space="0" w:color="auto"/>
        <w:left w:val="none" w:sz="0" w:space="0" w:color="auto"/>
        <w:bottom w:val="none" w:sz="0" w:space="0" w:color="auto"/>
        <w:right w:val="none" w:sz="0" w:space="0" w:color="auto"/>
      </w:divBdr>
    </w:div>
    <w:div w:id="1053236121">
      <w:bodyDiv w:val="1"/>
      <w:marLeft w:val="0"/>
      <w:marRight w:val="0"/>
      <w:marTop w:val="0"/>
      <w:marBottom w:val="0"/>
      <w:divBdr>
        <w:top w:val="none" w:sz="0" w:space="0" w:color="auto"/>
        <w:left w:val="none" w:sz="0" w:space="0" w:color="auto"/>
        <w:bottom w:val="none" w:sz="0" w:space="0" w:color="auto"/>
        <w:right w:val="none" w:sz="0" w:space="0" w:color="auto"/>
      </w:divBdr>
    </w:div>
    <w:div w:id="1077023175">
      <w:bodyDiv w:val="1"/>
      <w:marLeft w:val="0"/>
      <w:marRight w:val="0"/>
      <w:marTop w:val="0"/>
      <w:marBottom w:val="0"/>
      <w:divBdr>
        <w:top w:val="none" w:sz="0" w:space="0" w:color="auto"/>
        <w:left w:val="none" w:sz="0" w:space="0" w:color="auto"/>
        <w:bottom w:val="none" w:sz="0" w:space="0" w:color="auto"/>
        <w:right w:val="none" w:sz="0" w:space="0" w:color="auto"/>
      </w:divBdr>
    </w:div>
    <w:div w:id="1132793708">
      <w:bodyDiv w:val="1"/>
      <w:marLeft w:val="0"/>
      <w:marRight w:val="0"/>
      <w:marTop w:val="0"/>
      <w:marBottom w:val="0"/>
      <w:divBdr>
        <w:top w:val="none" w:sz="0" w:space="0" w:color="auto"/>
        <w:left w:val="none" w:sz="0" w:space="0" w:color="auto"/>
        <w:bottom w:val="none" w:sz="0" w:space="0" w:color="auto"/>
        <w:right w:val="none" w:sz="0" w:space="0" w:color="auto"/>
      </w:divBdr>
    </w:div>
    <w:div w:id="1132987284">
      <w:bodyDiv w:val="1"/>
      <w:marLeft w:val="0"/>
      <w:marRight w:val="0"/>
      <w:marTop w:val="0"/>
      <w:marBottom w:val="0"/>
      <w:divBdr>
        <w:top w:val="none" w:sz="0" w:space="0" w:color="auto"/>
        <w:left w:val="none" w:sz="0" w:space="0" w:color="auto"/>
        <w:bottom w:val="none" w:sz="0" w:space="0" w:color="auto"/>
        <w:right w:val="none" w:sz="0" w:space="0" w:color="auto"/>
      </w:divBdr>
    </w:div>
    <w:div w:id="1159728892">
      <w:bodyDiv w:val="1"/>
      <w:marLeft w:val="0"/>
      <w:marRight w:val="0"/>
      <w:marTop w:val="0"/>
      <w:marBottom w:val="0"/>
      <w:divBdr>
        <w:top w:val="none" w:sz="0" w:space="0" w:color="auto"/>
        <w:left w:val="none" w:sz="0" w:space="0" w:color="auto"/>
        <w:bottom w:val="none" w:sz="0" w:space="0" w:color="auto"/>
        <w:right w:val="none" w:sz="0" w:space="0" w:color="auto"/>
      </w:divBdr>
    </w:div>
    <w:div w:id="1243250367">
      <w:bodyDiv w:val="1"/>
      <w:marLeft w:val="0"/>
      <w:marRight w:val="0"/>
      <w:marTop w:val="0"/>
      <w:marBottom w:val="0"/>
      <w:divBdr>
        <w:top w:val="none" w:sz="0" w:space="0" w:color="auto"/>
        <w:left w:val="none" w:sz="0" w:space="0" w:color="auto"/>
        <w:bottom w:val="none" w:sz="0" w:space="0" w:color="auto"/>
        <w:right w:val="none" w:sz="0" w:space="0" w:color="auto"/>
      </w:divBdr>
    </w:div>
    <w:div w:id="1286735943">
      <w:bodyDiv w:val="1"/>
      <w:marLeft w:val="0"/>
      <w:marRight w:val="0"/>
      <w:marTop w:val="0"/>
      <w:marBottom w:val="0"/>
      <w:divBdr>
        <w:top w:val="none" w:sz="0" w:space="0" w:color="auto"/>
        <w:left w:val="none" w:sz="0" w:space="0" w:color="auto"/>
        <w:bottom w:val="none" w:sz="0" w:space="0" w:color="auto"/>
        <w:right w:val="none" w:sz="0" w:space="0" w:color="auto"/>
      </w:divBdr>
    </w:div>
    <w:div w:id="1314220724">
      <w:bodyDiv w:val="1"/>
      <w:marLeft w:val="0"/>
      <w:marRight w:val="0"/>
      <w:marTop w:val="0"/>
      <w:marBottom w:val="0"/>
      <w:divBdr>
        <w:top w:val="none" w:sz="0" w:space="0" w:color="auto"/>
        <w:left w:val="none" w:sz="0" w:space="0" w:color="auto"/>
        <w:bottom w:val="none" w:sz="0" w:space="0" w:color="auto"/>
        <w:right w:val="none" w:sz="0" w:space="0" w:color="auto"/>
      </w:divBdr>
    </w:div>
    <w:div w:id="1353536737">
      <w:bodyDiv w:val="1"/>
      <w:marLeft w:val="0"/>
      <w:marRight w:val="0"/>
      <w:marTop w:val="0"/>
      <w:marBottom w:val="0"/>
      <w:divBdr>
        <w:top w:val="none" w:sz="0" w:space="0" w:color="auto"/>
        <w:left w:val="none" w:sz="0" w:space="0" w:color="auto"/>
        <w:bottom w:val="none" w:sz="0" w:space="0" w:color="auto"/>
        <w:right w:val="none" w:sz="0" w:space="0" w:color="auto"/>
      </w:divBdr>
    </w:div>
    <w:div w:id="1356075612">
      <w:bodyDiv w:val="1"/>
      <w:marLeft w:val="0"/>
      <w:marRight w:val="0"/>
      <w:marTop w:val="0"/>
      <w:marBottom w:val="0"/>
      <w:divBdr>
        <w:top w:val="none" w:sz="0" w:space="0" w:color="auto"/>
        <w:left w:val="none" w:sz="0" w:space="0" w:color="auto"/>
        <w:bottom w:val="none" w:sz="0" w:space="0" w:color="auto"/>
        <w:right w:val="none" w:sz="0" w:space="0" w:color="auto"/>
      </w:divBdr>
    </w:div>
    <w:div w:id="1372921377">
      <w:bodyDiv w:val="1"/>
      <w:marLeft w:val="0"/>
      <w:marRight w:val="0"/>
      <w:marTop w:val="0"/>
      <w:marBottom w:val="0"/>
      <w:divBdr>
        <w:top w:val="none" w:sz="0" w:space="0" w:color="auto"/>
        <w:left w:val="none" w:sz="0" w:space="0" w:color="auto"/>
        <w:bottom w:val="none" w:sz="0" w:space="0" w:color="auto"/>
        <w:right w:val="none" w:sz="0" w:space="0" w:color="auto"/>
      </w:divBdr>
    </w:div>
    <w:div w:id="1397437128">
      <w:bodyDiv w:val="1"/>
      <w:marLeft w:val="0"/>
      <w:marRight w:val="0"/>
      <w:marTop w:val="0"/>
      <w:marBottom w:val="0"/>
      <w:divBdr>
        <w:top w:val="none" w:sz="0" w:space="0" w:color="auto"/>
        <w:left w:val="none" w:sz="0" w:space="0" w:color="auto"/>
        <w:bottom w:val="none" w:sz="0" w:space="0" w:color="auto"/>
        <w:right w:val="none" w:sz="0" w:space="0" w:color="auto"/>
      </w:divBdr>
    </w:div>
    <w:div w:id="1398357127">
      <w:bodyDiv w:val="1"/>
      <w:marLeft w:val="0"/>
      <w:marRight w:val="0"/>
      <w:marTop w:val="0"/>
      <w:marBottom w:val="0"/>
      <w:divBdr>
        <w:top w:val="none" w:sz="0" w:space="0" w:color="auto"/>
        <w:left w:val="none" w:sz="0" w:space="0" w:color="auto"/>
        <w:bottom w:val="none" w:sz="0" w:space="0" w:color="auto"/>
        <w:right w:val="none" w:sz="0" w:space="0" w:color="auto"/>
      </w:divBdr>
    </w:div>
    <w:div w:id="1431775584">
      <w:bodyDiv w:val="1"/>
      <w:marLeft w:val="0"/>
      <w:marRight w:val="0"/>
      <w:marTop w:val="0"/>
      <w:marBottom w:val="0"/>
      <w:divBdr>
        <w:top w:val="none" w:sz="0" w:space="0" w:color="auto"/>
        <w:left w:val="none" w:sz="0" w:space="0" w:color="auto"/>
        <w:bottom w:val="none" w:sz="0" w:space="0" w:color="auto"/>
        <w:right w:val="none" w:sz="0" w:space="0" w:color="auto"/>
      </w:divBdr>
    </w:div>
    <w:div w:id="1466390323">
      <w:bodyDiv w:val="1"/>
      <w:marLeft w:val="0"/>
      <w:marRight w:val="0"/>
      <w:marTop w:val="0"/>
      <w:marBottom w:val="0"/>
      <w:divBdr>
        <w:top w:val="none" w:sz="0" w:space="0" w:color="auto"/>
        <w:left w:val="none" w:sz="0" w:space="0" w:color="auto"/>
        <w:bottom w:val="none" w:sz="0" w:space="0" w:color="auto"/>
        <w:right w:val="none" w:sz="0" w:space="0" w:color="auto"/>
      </w:divBdr>
    </w:div>
    <w:div w:id="1470126425">
      <w:bodyDiv w:val="1"/>
      <w:marLeft w:val="0"/>
      <w:marRight w:val="0"/>
      <w:marTop w:val="0"/>
      <w:marBottom w:val="0"/>
      <w:divBdr>
        <w:top w:val="none" w:sz="0" w:space="0" w:color="auto"/>
        <w:left w:val="none" w:sz="0" w:space="0" w:color="auto"/>
        <w:bottom w:val="none" w:sz="0" w:space="0" w:color="auto"/>
        <w:right w:val="none" w:sz="0" w:space="0" w:color="auto"/>
      </w:divBdr>
    </w:div>
    <w:div w:id="1487162004">
      <w:bodyDiv w:val="1"/>
      <w:marLeft w:val="0"/>
      <w:marRight w:val="0"/>
      <w:marTop w:val="0"/>
      <w:marBottom w:val="0"/>
      <w:divBdr>
        <w:top w:val="none" w:sz="0" w:space="0" w:color="auto"/>
        <w:left w:val="none" w:sz="0" w:space="0" w:color="auto"/>
        <w:bottom w:val="none" w:sz="0" w:space="0" w:color="auto"/>
        <w:right w:val="none" w:sz="0" w:space="0" w:color="auto"/>
      </w:divBdr>
    </w:div>
    <w:div w:id="1488547381">
      <w:bodyDiv w:val="1"/>
      <w:marLeft w:val="0"/>
      <w:marRight w:val="0"/>
      <w:marTop w:val="0"/>
      <w:marBottom w:val="0"/>
      <w:divBdr>
        <w:top w:val="none" w:sz="0" w:space="0" w:color="auto"/>
        <w:left w:val="none" w:sz="0" w:space="0" w:color="auto"/>
        <w:bottom w:val="none" w:sz="0" w:space="0" w:color="auto"/>
        <w:right w:val="none" w:sz="0" w:space="0" w:color="auto"/>
      </w:divBdr>
    </w:div>
    <w:div w:id="1494377255">
      <w:bodyDiv w:val="1"/>
      <w:marLeft w:val="0"/>
      <w:marRight w:val="0"/>
      <w:marTop w:val="0"/>
      <w:marBottom w:val="0"/>
      <w:divBdr>
        <w:top w:val="none" w:sz="0" w:space="0" w:color="auto"/>
        <w:left w:val="none" w:sz="0" w:space="0" w:color="auto"/>
        <w:bottom w:val="none" w:sz="0" w:space="0" w:color="auto"/>
        <w:right w:val="none" w:sz="0" w:space="0" w:color="auto"/>
      </w:divBdr>
    </w:div>
    <w:div w:id="1561399786">
      <w:bodyDiv w:val="1"/>
      <w:marLeft w:val="0"/>
      <w:marRight w:val="0"/>
      <w:marTop w:val="0"/>
      <w:marBottom w:val="0"/>
      <w:divBdr>
        <w:top w:val="none" w:sz="0" w:space="0" w:color="auto"/>
        <w:left w:val="none" w:sz="0" w:space="0" w:color="auto"/>
        <w:bottom w:val="none" w:sz="0" w:space="0" w:color="auto"/>
        <w:right w:val="none" w:sz="0" w:space="0" w:color="auto"/>
      </w:divBdr>
    </w:div>
    <w:div w:id="1596283379">
      <w:bodyDiv w:val="1"/>
      <w:marLeft w:val="0"/>
      <w:marRight w:val="0"/>
      <w:marTop w:val="0"/>
      <w:marBottom w:val="0"/>
      <w:divBdr>
        <w:top w:val="none" w:sz="0" w:space="0" w:color="auto"/>
        <w:left w:val="none" w:sz="0" w:space="0" w:color="auto"/>
        <w:bottom w:val="none" w:sz="0" w:space="0" w:color="auto"/>
        <w:right w:val="none" w:sz="0" w:space="0" w:color="auto"/>
      </w:divBdr>
    </w:div>
    <w:div w:id="1626698406">
      <w:bodyDiv w:val="1"/>
      <w:marLeft w:val="0"/>
      <w:marRight w:val="0"/>
      <w:marTop w:val="0"/>
      <w:marBottom w:val="0"/>
      <w:divBdr>
        <w:top w:val="none" w:sz="0" w:space="0" w:color="auto"/>
        <w:left w:val="none" w:sz="0" w:space="0" w:color="auto"/>
        <w:bottom w:val="none" w:sz="0" w:space="0" w:color="auto"/>
        <w:right w:val="none" w:sz="0" w:space="0" w:color="auto"/>
      </w:divBdr>
    </w:div>
    <w:div w:id="1650786987">
      <w:bodyDiv w:val="1"/>
      <w:marLeft w:val="0"/>
      <w:marRight w:val="0"/>
      <w:marTop w:val="0"/>
      <w:marBottom w:val="0"/>
      <w:divBdr>
        <w:top w:val="none" w:sz="0" w:space="0" w:color="auto"/>
        <w:left w:val="none" w:sz="0" w:space="0" w:color="auto"/>
        <w:bottom w:val="none" w:sz="0" w:space="0" w:color="auto"/>
        <w:right w:val="none" w:sz="0" w:space="0" w:color="auto"/>
      </w:divBdr>
    </w:div>
    <w:div w:id="1668093059">
      <w:bodyDiv w:val="1"/>
      <w:marLeft w:val="0"/>
      <w:marRight w:val="0"/>
      <w:marTop w:val="0"/>
      <w:marBottom w:val="0"/>
      <w:divBdr>
        <w:top w:val="none" w:sz="0" w:space="0" w:color="auto"/>
        <w:left w:val="none" w:sz="0" w:space="0" w:color="auto"/>
        <w:bottom w:val="none" w:sz="0" w:space="0" w:color="auto"/>
        <w:right w:val="none" w:sz="0" w:space="0" w:color="auto"/>
      </w:divBdr>
    </w:div>
    <w:div w:id="1714186713">
      <w:bodyDiv w:val="1"/>
      <w:marLeft w:val="0"/>
      <w:marRight w:val="0"/>
      <w:marTop w:val="0"/>
      <w:marBottom w:val="0"/>
      <w:divBdr>
        <w:top w:val="none" w:sz="0" w:space="0" w:color="auto"/>
        <w:left w:val="none" w:sz="0" w:space="0" w:color="auto"/>
        <w:bottom w:val="none" w:sz="0" w:space="0" w:color="auto"/>
        <w:right w:val="none" w:sz="0" w:space="0" w:color="auto"/>
      </w:divBdr>
    </w:div>
    <w:div w:id="1741444614">
      <w:bodyDiv w:val="1"/>
      <w:marLeft w:val="0"/>
      <w:marRight w:val="0"/>
      <w:marTop w:val="0"/>
      <w:marBottom w:val="0"/>
      <w:divBdr>
        <w:top w:val="none" w:sz="0" w:space="0" w:color="auto"/>
        <w:left w:val="none" w:sz="0" w:space="0" w:color="auto"/>
        <w:bottom w:val="none" w:sz="0" w:space="0" w:color="auto"/>
        <w:right w:val="none" w:sz="0" w:space="0" w:color="auto"/>
      </w:divBdr>
    </w:div>
    <w:div w:id="1743023268">
      <w:bodyDiv w:val="1"/>
      <w:marLeft w:val="0"/>
      <w:marRight w:val="0"/>
      <w:marTop w:val="0"/>
      <w:marBottom w:val="0"/>
      <w:divBdr>
        <w:top w:val="none" w:sz="0" w:space="0" w:color="auto"/>
        <w:left w:val="none" w:sz="0" w:space="0" w:color="auto"/>
        <w:bottom w:val="none" w:sz="0" w:space="0" w:color="auto"/>
        <w:right w:val="none" w:sz="0" w:space="0" w:color="auto"/>
      </w:divBdr>
    </w:div>
    <w:div w:id="1760131316">
      <w:bodyDiv w:val="1"/>
      <w:marLeft w:val="0"/>
      <w:marRight w:val="0"/>
      <w:marTop w:val="0"/>
      <w:marBottom w:val="0"/>
      <w:divBdr>
        <w:top w:val="none" w:sz="0" w:space="0" w:color="auto"/>
        <w:left w:val="none" w:sz="0" w:space="0" w:color="auto"/>
        <w:bottom w:val="none" w:sz="0" w:space="0" w:color="auto"/>
        <w:right w:val="none" w:sz="0" w:space="0" w:color="auto"/>
      </w:divBdr>
    </w:div>
    <w:div w:id="1766150386">
      <w:bodyDiv w:val="1"/>
      <w:marLeft w:val="0"/>
      <w:marRight w:val="0"/>
      <w:marTop w:val="0"/>
      <w:marBottom w:val="0"/>
      <w:divBdr>
        <w:top w:val="none" w:sz="0" w:space="0" w:color="auto"/>
        <w:left w:val="none" w:sz="0" w:space="0" w:color="auto"/>
        <w:bottom w:val="none" w:sz="0" w:space="0" w:color="auto"/>
        <w:right w:val="none" w:sz="0" w:space="0" w:color="auto"/>
      </w:divBdr>
    </w:div>
    <w:div w:id="1810632076">
      <w:bodyDiv w:val="1"/>
      <w:marLeft w:val="0"/>
      <w:marRight w:val="0"/>
      <w:marTop w:val="0"/>
      <w:marBottom w:val="0"/>
      <w:divBdr>
        <w:top w:val="none" w:sz="0" w:space="0" w:color="auto"/>
        <w:left w:val="none" w:sz="0" w:space="0" w:color="auto"/>
        <w:bottom w:val="none" w:sz="0" w:space="0" w:color="auto"/>
        <w:right w:val="none" w:sz="0" w:space="0" w:color="auto"/>
      </w:divBdr>
    </w:div>
    <w:div w:id="1826235727">
      <w:bodyDiv w:val="1"/>
      <w:marLeft w:val="0"/>
      <w:marRight w:val="0"/>
      <w:marTop w:val="0"/>
      <w:marBottom w:val="0"/>
      <w:divBdr>
        <w:top w:val="none" w:sz="0" w:space="0" w:color="auto"/>
        <w:left w:val="none" w:sz="0" w:space="0" w:color="auto"/>
        <w:bottom w:val="none" w:sz="0" w:space="0" w:color="auto"/>
        <w:right w:val="none" w:sz="0" w:space="0" w:color="auto"/>
      </w:divBdr>
    </w:div>
    <w:div w:id="1854490750">
      <w:bodyDiv w:val="1"/>
      <w:marLeft w:val="0"/>
      <w:marRight w:val="0"/>
      <w:marTop w:val="0"/>
      <w:marBottom w:val="0"/>
      <w:divBdr>
        <w:top w:val="none" w:sz="0" w:space="0" w:color="auto"/>
        <w:left w:val="none" w:sz="0" w:space="0" w:color="auto"/>
        <w:bottom w:val="none" w:sz="0" w:space="0" w:color="auto"/>
        <w:right w:val="none" w:sz="0" w:space="0" w:color="auto"/>
      </w:divBdr>
    </w:div>
    <w:div w:id="1874927925">
      <w:bodyDiv w:val="1"/>
      <w:marLeft w:val="0"/>
      <w:marRight w:val="0"/>
      <w:marTop w:val="0"/>
      <w:marBottom w:val="0"/>
      <w:divBdr>
        <w:top w:val="none" w:sz="0" w:space="0" w:color="auto"/>
        <w:left w:val="none" w:sz="0" w:space="0" w:color="auto"/>
        <w:bottom w:val="none" w:sz="0" w:space="0" w:color="auto"/>
        <w:right w:val="none" w:sz="0" w:space="0" w:color="auto"/>
      </w:divBdr>
    </w:div>
    <w:div w:id="1878814556">
      <w:bodyDiv w:val="1"/>
      <w:marLeft w:val="0"/>
      <w:marRight w:val="0"/>
      <w:marTop w:val="0"/>
      <w:marBottom w:val="0"/>
      <w:divBdr>
        <w:top w:val="none" w:sz="0" w:space="0" w:color="auto"/>
        <w:left w:val="none" w:sz="0" w:space="0" w:color="auto"/>
        <w:bottom w:val="none" w:sz="0" w:space="0" w:color="auto"/>
        <w:right w:val="none" w:sz="0" w:space="0" w:color="auto"/>
      </w:divBdr>
    </w:div>
    <w:div w:id="1897273083">
      <w:bodyDiv w:val="1"/>
      <w:marLeft w:val="0"/>
      <w:marRight w:val="0"/>
      <w:marTop w:val="0"/>
      <w:marBottom w:val="0"/>
      <w:divBdr>
        <w:top w:val="none" w:sz="0" w:space="0" w:color="auto"/>
        <w:left w:val="none" w:sz="0" w:space="0" w:color="auto"/>
        <w:bottom w:val="none" w:sz="0" w:space="0" w:color="auto"/>
        <w:right w:val="none" w:sz="0" w:space="0" w:color="auto"/>
      </w:divBdr>
    </w:div>
    <w:div w:id="1917133852">
      <w:bodyDiv w:val="1"/>
      <w:marLeft w:val="0"/>
      <w:marRight w:val="0"/>
      <w:marTop w:val="0"/>
      <w:marBottom w:val="0"/>
      <w:divBdr>
        <w:top w:val="none" w:sz="0" w:space="0" w:color="auto"/>
        <w:left w:val="none" w:sz="0" w:space="0" w:color="auto"/>
        <w:bottom w:val="none" w:sz="0" w:space="0" w:color="auto"/>
        <w:right w:val="none" w:sz="0" w:space="0" w:color="auto"/>
      </w:divBdr>
    </w:div>
    <w:div w:id="1932422074">
      <w:bodyDiv w:val="1"/>
      <w:marLeft w:val="0"/>
      <w:marRight w:val="0"/>
      <w:marTop w:val="0"/>
      <w:marBottom w:val="0"/>
      <w:divBdr>
        <w:top w:val="none" w:sz="0" w:space="0" w:color="auto"/>
        <w:left w:val="none" w:sz="0" w:space="0" w:color="auto"/>
        <w:bottom w:val="none" w:sz="0" w:space="0" w:color="auto"/>
        <w:right w:val="none" w:sz="0" w:space="0" w:color="auto"/>
      </w:divBdr>
    </w:div>
    <w:div w:id="1953973033">
      <w:bodyDiv w:val="1"/>
      <w:marLeft w:val="0"/>
      <w:marRight w:val="0"/>
      <w:marTop w:val="0"/>
      <w:marBottom w:val="0"/>
      <w:divBdr>
        <w:top w:val="none" w:sz="0" w:space="0" w:color="auto"/>
        <w:left w:val="none" w:sz="0" w:space="0" w:color="auto"/>
        <w:bottom w:val="none" w:sz="0" w:space="0" w:color="auto"/>
        <w:right w:val="none" w:sz="0" w:space="0" w:color="auto"/>
      </w:divBdr>
    </w:div>
    <w:div w:id="1960330778">
      <w:bodyDiv w:val="1"/>
      <w:marLeft w:val="0"/>
      <w:marRight w:val="0"/>
      <w:marTop w:val="0"/>
      <w:marBottom w:val="0"/>
      <w:divBdr>
        <w:top w:val="none" w:sz="0" w:space="0" w:color="auto"/>
        <w:left w:val="none" w:sz="0" w:space="0" w:color="auto"/>
        <w:bottom w:val="none" w:sz="0" w:space="0" w:color="auto"/>
        <w:right w:val="none" w:sz="0" w:space="0" w:color="auto"/>
      </w:divBdr>
    </w:div>
    <w:div w:id="1981108355">
      <w:bodyDiv w:val="1"/>
      <w:marLeft w:val="0"/>
      <w:marRight w:val="0"/>
      <w:marTop w:val="0"/>
      <w:marBottom w:val="0"/>
      <w:divBdr>
        <w:top w:val="none" w:sz="0" w:space="0" w:color="auto"/>
        <w:left w:val="none" w:sz="0" w:space="0" w:color="auto"/>
        <w:bottom w:val="none" w:sz="0" w:space="0" w:color="auto"/>
        <w:right w:val="none" w:sz="0" w:space="0" w:color="auto"/>
      </w:divBdr>
    </w:div>
    <w:div w:id="210353043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4480-353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atf\Downloads\ejihp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0C49DFF-394E-4B16-8686-625EF4AC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ejihpe-template</Template>
  <TotalTime>0</TotalTime>
  <Pages>2</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7111</CharactersWithSpaces>
  <SharedDoc>false</SharedDoc>
  <HLinks>
    <vt:vector size="342" baseType="variant">
      <vt:variant>
        <vt:i4>196679</vt:i4>
      </vt:variant>
      <vt:variant>
        <vt:i4>168</vt:i4>
      </vt:variant>
      <vt:variant>
        <vt:i4>0</vt:i4>
      </vt:variant>
      <vt:variant>
        <vt:i4>5</vt:i4>
      </vt:variant>
      <vt:variant>
        <vt:lpwstr>https://doi.org/10.1080/15313220.2022.2056561</vt:lpwstr>
      </vt:variant>
      <vt:variant>
        <vt:lpwstr/>
      </vt:variant>
      <vt:variant>
        <vt:i4>393287</vt:i4>
      </vt:variant>
      <vt:variant>
        <vt:i4>165</vt:i4>
      </vt:variant>
      <vt:variant>
        <vt:i4>0</vt:i4>
      </vt:variant>
      <vt:variant>
        <vt:i4>5</vt:i4>
      </vt:variant>
      <vt:variant>
        <vt:lpwstr>https://doi.org/10.1080/03075079.2023.2196997</vt:lpwstr>
      </vt:variant>
      <vt:variant>
        <vt:lpwstr/>
      </vt:variant>
      <vt:variant>
        <vt:i4>7995434</vt:i4>
      </vt:variant>
      <vt:variant>
        <vt:i4>162</vt:i4>
      </vt:variant>
      <vt:variant>
        <vt:i4>0</vt:i4>
      </vt:variant>
      <vt:variant>
        <vt:i4>5</vt:i4>
      </vt:variant>
      <vt:variant>
        <vt:lpwstr>https://doi.org/10.1146/annurev-psych-013123-102139</vt:lpwstr>
      </vt:variant>
      <vt:variant>
        <vt:lpwstr/>
      </vt:variant>
      <vt:variant>
        <vt:i4>3080238</vt:i4>
      </vt:variant>
      <vt:variant>
        <vt:i4>159</vt:i4>
      </vt:variant>
      <vt:variant>
        <vt:i4>0</vt:i4>
      </vt:variant>
      <vt:variant>
        <vt:i4>5</vt:i4>
      </vt:variant>
      <vt:variant>
        <vt:lpwstr>https://doi.org/10.1539/joh.14-0069-OA</vt:lpwstr>
      </vt:variant>
      <vt:variant>
        <vt:lpwstr/>
      </vt:variant>
      <vt:variant>
        <vt:i4>3145844</vt:i4>
      </vt:variant>
      <vt:variant>
        <vt:i4>156</vt:i4>
      </vt:variant>
      <vt:variant>
        <vt:i4>0</vt:i4>
      </vt:variant>
      <vt:variant>
        <vt:i4>5</vt:i4>
      </vt:variant>
      <vt:variant>
        <vt:lpwstr>https://doi.org/10.1006/obhd.2000.2930</vt:lpwstr>
      </vt:variant>
      <vt:variant>
        <vt:lpwstr/>
      </vt:variant>
      <vt:variant>
        <vt:i4>1310800</vt:i4>
      </vt:variant>
      <vt:variant>
        <vt:i4>153</vt:i4>
      </vt:variant>
      <vt:variant>
        <vt:i4>0</vt:i4>
      </vt:variant>
      <vt:variant>
        <vt:i4>5</vt:i4>
      </vt:variant>
      <vt:variant>
        <vt:lpwstr>https://doi.org/10.1080/10705510903008220</vt:lpwstr>
      </vt:variant>
      <vt:variant>
        <vt:lpwstr/>
      </vt:variant>
      <vt:variant>
        <vt:i4>458829</vt:i4>
      </vt:variant>
      <vt:variant>
        <vt:i4>150</vt:i4>
      </vt:variant>
      <vt:variant>
        <vt:i4>0</vt:i4>
      </vt:variant>
      <vt:variant>
        <vt:i4>5</vt:i4>
      </vt:variant>
      <vt:variant>
        <vt:lpwstr>https://doi.org/10.1080/07294360.2023.2197194</vt:lpwstr>
      </vt:variant>
      <vt:variant>
        <vt:lpwstr/>
      </vt:variant>
      <vt:variant>
        <vt:i4>1507420</vt:i4>
      </vt:variant>
      <vt:variant>
        <vt:i4>147</vt:i4>
      </vt:variant>
      <vt:variant>
        <vt:i4>0</vt:i4>
      </vt:variant>
      <vt:variant>
        <vt:i4>5</vt:i4>
      </vt:variant>
      <vt:variant>
        <vt:lpwstr>https://doi.org/10.2307/20159587</vt:lpwstr>
      </vt:variant>
      <vt:variant>
        <vt:lpwstr/>
      </vt:variant>
      <vt:variant>
        <vt:i4>983061</vt:i4>
      </vt:variant>
      <vt:variant>
        <vt:i4>144</vt:i4>
      </vt:variant>
      <vt:variant>
        <vt:i4>0</vt:i4>
      </vt:variant>
      <vt:variant>
        <vt:i4>5</vt:i4>
      </vt:variant>
      <vt:variant>
        <vt:lpwstr>https://doi.org/10.1027/1866-5888/a000328</vt:lpwstr>
      </vt:variant>
      <vt:variant>
        <vt:lpwstr/>
      </vt:variant>
      <vt:variant>
        <vt:i4>458824</vt:i4>
      </vt:variant>
      <vt:variant>
        <vt:i4>141</vt:i4>
      </vt:variant>
      <vt:variant>
        <vt:i4>0</vt:i4>
      </vt:variant>
      <vt:variant>
        <vt:i4>5</vt:i4>
      </vt:variant>
      <vt:variant>
        <vt:lpwstr>https://doi.org/10.1080/02673843.2019.1679202</vt:lpwstr>
      </vt:variant>
      <vt:variant>
        <vt:lpwstr/>
      </vt:variant>
      <vt:variant>
        <vt:i4>589850</vt:i4>
      </vt:variant>
      <vt:variant>
        <vt:i4>138</vt:i4>
      </vt:variant>
      <vt:variant>
        <vt:i4>0</vt:i4>
      </vt:variant>
      <vt:variant>
        <vt:i4>5</vt:i4>
      </vt:variant>
      <vt:variant>
        <vt:lpwstr>https://doi.org/10.1027/1015-5759/a000522</vt:lpwstr>
      </vt:variant>
      <vt:variant>
        <vt:lpwstr/>
      </vt:variant>
      <vt:variant>
        <vt:i4>720925</vt:i4>
      </vt:variant>
      <vt:variant>
        <vt:i4>135</vt:i4>
      </vt:variant>
      <vt:variant>
        <vt:i4>0</vt:i4>
      </vt:variant>
      <vt:variant>
        <vt:i4>5</vt:i4>
      </vt:variant>
      <vt:variant>
        <vt:lpwstr>https://doi.org/10.1027/1015-5759/a000207</vt:lpwstr>
      </vt:variant>
      <vt:variant>
        <vt:lpwstr/>
      </vt:variant>
      <vt:variant>
        <vt:i4>1704017</vt:i4>
      </vt:variant>
      <vt:variant>
        <vt:i4>132</vt:i4>
      </vt:variant>
      <vt:variant>
        <vt:i4>0</vt:i4>
      </vt:variant>
      <vt:variant>
        <vt:i4>5</vt:i4>
      </vt:variant>
      <vt:variant>
        <vt:lpwstr>https://doi.org/10.1177/0013164406292090</vt:lpwstr>
      </vt:variant>
      <vt:variant>
        <vt:lpwstr/>
      </vt:variant>
      <vt:variant>
        <vt:i4>917583</vt:i4>
      </vt:variant>
      <vt:variant>
        <vt:i4>129</vt:i4>
      </vt:variant>
      <vt:variant>
        <vt:i4>0</vt:i4>
      </vt:variant>
      <vt:variant>
        <vt:i4>5</vt:i4>
      </vt:variant>
      <vt:variant>
        <vt:lpwstr>https://doi.org/10.1080/00223980.2024.2325664</vt:lpwstr>
      </vt:variant>
      <vt:variant>
        <vt:lpwstr/>
      </vt:variant>
      <vt:variant>
        <vt:i4>1310811</vt:i4>
      </vt:variant>
      <vt:variant>
        <vt:i4>126</vt:i4>
      </vt:variant>
      <vt:variant>
        <vt:i4>0</vt:i4>
      </vt:variant>
      <vt:variant>
        <vt:i4>5</vt:i4>
      </vt:variant>
      <vt:variant>
        <vt:lpwstr>https://doi.org/10.1177/08948453221138301</vt:lpwstr>
      </vt:variant>
      <vt:variant>
        <vt:lpwstr/>
      </vt:variant>
      <vt:variant>
        <vt:i4>262158</vt:i4>
      </vt:variant>
      <vt:variant>
        <vt:i4>123</vt:i4>
      </vt:variant>
      <vt:variant>
        <vt:i4>0</vt:i4>
      </vt:variant>
      <vt:variant>
        <vt:i4>5</vt:i4>
      </vt:variant>
      <vt:variant>
        <vt:lpwstr>https://doi.org/10.3389/fpsyg.2021.608256</vt:lpwstr>
      </vt:variant>
      <vt:variant>
        <vt:lpwstr/>
      </vt:variant>
      <vt:variant>
        <vt:i4>7929974</vt:i4>
      </vt:variant>
      <vt:variant>
        <vt:i4>120</vt:i4>
      </vt:variant>
      <vt:variant>
        <vt:i4>0</vt:i4>
      </vt:variant>
      <vt:variant>
        <vt:i4>5</vt:i4>
      </vt:variant>
      <vt:variant>
        <vt:lpwstr>https://doi.org/10.1037/mot0000127</vt:lpwstr>
      </vt:variant>
      <vt:variant>
        <vt:lpwstr/>
      </vt:variant>
      <vt:variant>
        <vt:i4>5505106</vt:i4>
      </vt:variant>
      <vt:variant>
        <vt:i4>117</vt:i4>
      </vt:variant>
      <vt:variant>
        <vt:i4>0</vt:i4>
      </vt:variant>
      <vt:variant>
        <vt:i4>5</vt:i4>
      </vt:variant>
      <vt:variant>
        <vt:lpwstr>https://doi.org/10.1002/job.2503</vt:lpwstr>
      </vt:variant>
      <vt:variant>
        <vt:lpwstr/>
      </vt:variant>
      <vt:variant>
        <vt:i4>65611</vt:i4>
      </vt:variant>
      <vt:variant>
        <vt:i4>114</vt:i4>
      </vt:variant>
      <vt:variant>
        <vt:i4>0</vt:i4>
      </vt:variant>
      <vt:variant>
        <vt:i4>5</vt:i4>
      </vt:variant>
      <vt:variant>
        <vt:lpwstr>https://doi.org/10.1080/09585192.2017.1335338</vt:lpwstr>
      </vt:variant>
      <vt:variant>
        <vt:lpwstr/>
      </vt:variant>
      <vt:variant>
        <vt:i4>3670139</vt:i4>
      </vt:variant>
      <vt:variant>
        <vt:i4>111</vt:i4>
      </vt:variant>
      <vt:variant>
        <vt:i4>0</vt:i4>
      </vt:variant>
      <vt:variant>
        <vt:i4>5</vt:i4>
      </vt:variant>
      <vt:variant>
        <vt:lpwstr>https://doi.org/10.1037/0021-9010.90.6.1084</vt:lpwstr>
      </vt:variant>
      <vt:variant>
        <vt:lpwstr/>
      </vt:variant>
      <vt:variant>
        <vt:i4>262164</vt:i4>
      </vt:variant>
      <vt:variant>
        <vt:i4>108</vt:i4>
      </vt:variant>
      <vt:variant>
        <vt:i4>0</vt:i4>
      </vt:variant>
      <vt:variant>
        <vt:i4>5</vt:i4>
      </vt:variant>
      <vt:variant>
        <vt:lpwstr>https://doi.org/10.1027/1866-5888/a000297</vt:lpwstr>
      </vt:variant>
      <vt:variant>
        <vt:lpwstr/>
      </vt:variant>
      <vt:variant>
        <vt:i4>131077</vt:i4>
      </vt:variant>
      <vt:variant>
        <vt:i4>105</vt:i4>
      </vt:variant>
      <vt:variant>
        <vt:i4>0</vt:i4>
      </vt:variant>
      <vt:variant>
        <vt:i4>5</vt:i4>
      </vt:variant>
      <vt:variant>
        <vt:lpwstr>https://doi.org/10.3389/fpsyg.2022.890062</vt:lpwstr>
      </vt:variant>
      <vt:variant>
        <vt:lpwstr/>
      </vt:variant>
      <vt:variant>
        <vt:i4>3080247</vt:i4>
      </vt:variant>
      <vt:variant>
        <vt:i4>102</vt:i4>
      </vt:variant>
      <vt:variant>
        <vt:i4>0</vt:i4>
      </vt:variant>
      <vt:variant>
        <vt:i4>5</vt:i4>
      </vt:variant>
      <vt:variant>
        <vt:lpwstr>https://doi.org/10.1016/j.paid.2021.110960</vt:lpwstr>
      </vt:variant>
      <vt:variant>
        <vt:lpwstr/>
      </vt:variant>
      <vt:variant>
        <vt:i4>4194374</vt:i4>
      </vt:variant>
      <vt:variant>
        <vt:i4>99</vt:i4>
      </vt:variant>
      <vt:variant>
        <vt:i4>0</vt:i4>
      </vt:variant>
      <vt:variant>
        <vt:i4>5</vt:i4>
      </vt:variant>
      <vt:variant>
        <vt:lpwstr>https://doi.org/10.1080/1359432X.2024.2423433</vt:lpwstr>
      </vt:variant>
      <vt:variant>
        <vt:lpwstr/>
      </vt:variant>
      <vt:variant>
        <vt:i4>8257636</vt:i4>
      </vt:variant>
      <vt:variant>
        <vt:i4>96</vt:i4>
      </vt:variant>
      <vt:variant>
        <vt:i4>0</vt:i4>
      </vt:variant>
      <vt:variant>
        <vt:i4>5</vt:i4>
      </vt:variant>
      <vt:variant>
        <vt:lpwstr>https://doi.org/10.1146/annurev-orgpsych-041015-062547</vt:lpwstr>
      </vt:variant>
      <vt:variant>
        <vt:lpwstr/>
      </vt:variant>
      <vt:variant>
        <vt:i4>3407992</vt:i4>
      </vt:variant>
      <vt:variant>
        <vt:i4>93</vt:i4>
      </vt:variant>
      <vt:variant>
        <vt:i4>0</vt:i4>
      </vt:variant>
      <vt:variant>
        <vt:i4>5</vt:i4>
      </vt:variant>
      <vt:variant>
        <vt:lpwstr>https://doi.org/10.1037/0021-9010.85.5.724</vt:lpwstr>
      </vt:variant>
      <vt:variant>
        <vt:lpwstr/>
      </vt:variant>
      <vt:variant>
        <vt:i4>4456527</vt:i4>
      </vt:variant>
      <vt:variant>
        <vt:i4>90</vt:i4>
      </vt:variant>
      <vt:variant>
        <vt:i4>0</vt:i4>
      </vt:variant>
      <vt:variant>
        <vt:i4>5</vt:i4>
      </vt:variant>
      <vt:variant>
        <vt:lpwstr>https://doi.org/10.1371/journal.pone.0093594</vt:lpwstr>
      </vt:variant>
      <vt:variant>
        <vt:lpwstr/>
      </vt:variant>
      <vt:variant>
        <vt:i4>8257636</vt:i4>
      </vt:variant>
      <vt:variant>
        <vt:i4>87</vt:i4>
      </vt:variant>
      <vt:variant>
        <vt:i4>0</vt:i4>
      </vt:variant>
      <vt:variant>
        <vt:i4>5</vt:i4>
      </vt:variant>
      <vt:variant>
        <vt:lpwstr>https://doi.org/10.1146/annurev-orgpsych-041015-062547</vt:lpwstr>
      </vt:variant>
      <vt:variant>
        <vt:lpwstr/>
      </vt:variant>
      <vt:variant>
        <vt:i4>2490480</vt:i4>
      </vt:variant>
      <vt:variant>
        <vt:i4>84</vt:i4>
      </vt:variant>
      <vt:variant>
        <vt:i4>0</vt:i4>
      </vt:variant>
      <vt:variant>
        <vt:i4>5</vt:i4>
      </vt:variant>
      <vt:variant>
        <vt:lpwstr>https://doi.org/10.1111/j.1744-6570.1995.tb01761.x</vt:lpwstr>
      </vt:variant>
      <vt:variant>
        <vt:lpwstr/>
      </vt:variant>
      <vt:variant>
        <vt:i4>720990</vt:i4>
      </vt:variant>
      <vt:variant>
        <vt:i4>81</vt:i4>
      </vt:variant>
      <vt:variant>
        <vt:i4>0</vt:i4>
      </vt:variant>
      <vt:variant>
        <vt:i4>5</vt:i4>
      </vt:variant>
      <vt:variant>
        <vt:lpwstr>https://doi.org/10.1037/10260-004</vt:lpwstr>
      </vt:variant>
      <vt:variant>
        <vt:lpwstr/>
      </vt:variant>
      <vt:variant>
        <vt:i4>3932283</vt:i4>
      </vt:variant>
      <vt:variant>
        <vt:i4>78</vt:i4>
      </vt:variant>
      <vt:variant>
        <vt:i4>0</vt:i4>
      </vt:variant>
      <vt:variant>
        <vt:i4>5</vt:i4>
      </vt:variant>
      <vt:variant>
        <vt:lpwstr>https://doi.org/10.1037/0021-9010.83.2.218</vt:lpwstr>
      </vt:variant>
      <vt:variant>
        <vt:lpwstr/>
      </vt:variant>
      <vt:variant>
        <vt:i4>2293887</vt:i4>
      </vt:variant>
      <vt:variant>
        <vt:i4>75</vt:i4>
      </vt:variant>
      <vt:variant>
        <vt:i4>0</vt:i4>
      </vt:variant>
      <vt:variant>
        <vt:i4>5</vt:i4>
      </vt:variant>
      <vt:variant>
        <vt:lpwstr>https://doi.org/10.1111/j.1937-8327.2002.tb00249.x</vt:lpwstr>
      </vt:variant>
      <vt:variant>
        <vt:lpwstr/>
      </vt:variant>
      <vt:variant>
        <vt:i4>4063353</vt:i4>
      </vt:variant>
      <vt:variant>
        <vt:i4>72</vt:i4>
      </vt:variant>
      <vt:variant>
        <vt:i4>0</vt:i4>
      </vt:variant>
      <vt:variant>
        <vt:i4>5</vt:i4>
      </vt:variant>
      <vt:variant>
        <vt:lpwstr>https://doi.org/10.1037/0022-0663.84.3.261</vt:lpwstr>
      </vt:variant>
      <vt:variant>
        <vt:lpwstr/>
      </vt:variant>
      <vt:variant>
        <vt:i4>4128894</vt:i4>
      </vt:variant>
      <vt:variant>
        <vt:i4>69</vt:i4>
      </vt:variant>
      <vt:variant>
        <vt:i4>0</vt:i4>
      </vt:variant>
      <vt:variant>
        <vt:i4>5</vt:i4>
      </vt:variant>
      <vt:variant>
        <vt:lpwstr>https://doi.org/10.1037/0022-0663.80.4.514</vt:lpwstr>
      </vt:variant>
      <vt:variant>
        <vt:lpwstr/>
      </vt:variant>
      <vt:variant>
        <vt:i4>393282</vt:i4>
      </vt:variant>
      <vt:variant>
        <vt:i4>66</vt:i4>
      </vt:variant>
      <vt:variant>
        <vt:i4>0</vt:i4>
      </vt:variant>
      <vt:variant>
        <vt:i4>5</vt:i4>
      </vt:variant>
      <vt:variant>
        <vt:lpwstr>https://doi.org/10.1521/jscp.1987.5.2.237</vt:lpwstr>
      </vt:variant>
      <vt:variant>
        <vt:lpwstr/>
      </vt:variant>
      <vt:variant>
        <vt:i4>917578</vt:i4>
      </vt:variant>
      <vt:variant>
        <vt:i4>63</vt:i4>
      </vt:variant>
      <vt:variant>
        <vt:i4>0</vt:i4>
      </vt:variant>
      <vt:variant>
        <vt:i4>5</vt:i4>
      </vt:variant>
      <vt:variant>
        <vt:lpwstr>https://doi.org/10.1016/0001-8791(86)90013-8</vt:lpwstr>
      </vt:variant>
      <vt:variant>
        <vt:lpwstr/>
      </vt:variant>
      <vt:variant>
        <vt:i4>3539056</vt:i4>
      </vt:variant>
      <vt:variant>
        <vt:i4>60</vt:i4>
      </vt:variant>
      <vt:variant>
        <vt:i4>0</vt:i4>
      </vt:variant>
      <vt:variant>
        <vt:i4>5</vt:i4>
      </vt:variant>
      <vt:variant>
        <vt:lpwstr>https://doi.org/10.1037/0021-9010.74.4.657</vt:lpwstr>
      </vt:variant>
      <vt:variant>
        <vt:lpwstr/>
      </vt:variant>
      <vt:variant>
        <vt:i4>3801208</vt:i4>
      </vt:variant>
      <vt:variant>
        <vt:i4>57</vt:i4>
      </vt:variant>
      <vt:variant>
        <vt:i4>0</vt:i4>
      </vt:variant>
      <vt:variant>
        <vt:i4>5</vt:i4>
      </vt:variant>
      <vt:variant>
        <vt:lpwstr>https://doi.org/10.1037/0021-9010.86.4.629</vt:lpwstr>
      </vt:variant>
      <vt:variant>
        <vt:lpwstr/>
      </vt:variant>
      <vt:variant>
        <vt:i4>3080298</vt:i4>
      </vt:variant>
      <vt:variant>
        <vt:i4>54</vt:i4>
      </vt:variant>
      <vt:variant>
        <vt:i4>0</vt:i4>
      </vt:variant>
      <vt:variant>
        <vt:i4>5</vt:i4>
      </vt:variant>
      <vt:variant>
        <vt:lpwstr>https://doi.org/10.2307/1126783</vt:lpwstr>
      </vt:variant>
      <vt:variant>
        <vt:lpwstr/>
      </vt:variant>
      <vt:variant>
        <vt:i4>3866740</vt:i4>
      </vt:variant>
      <vt:variant>
        <vt:i4>51</vt:i4>
      </vt:variant>
      <vt:variant>
        <vt:i4>0</vt:i4>
      </vt:variant>
      <vt:variant>
        <vt:i4>5</vt:i4>
      </vt:variant>
      <vt:variant>
        <vt:lpwstr>https://doi.org/10.1037/0022-3514.39.5.940</vt:lpwstr>
      </vt:variant>
      <vt:variant>
        <vt:lpwstr/>
      </vt:variant>
      <vt:variant>
        <vt:i4>2031624</vt:i4>
      </vt:variant>
      <vt:variant>
        <vt:i4>48</vt:i4>
      </vt:variant>
      <vt:variant>
        <vt:i4>0</vt:i4>
      </vt:variant>
      <vt:variant>
        <vt:i4>5</vt:i4>
      </vt:variant>
      <vt:variant>
        <vt:lpwstr>https://escholarship.org/uc/item/9mt6w2b8</vt:lpwstr>
      </vt:variant>
      <vt:variant>
        <vt:lpwstr/>
      </vt:variant>
      <vt:variant>
        <vt:i4>3342393</vt:i4>
      </vt:variant>
      <vt:variant>
        <vt:i4>45</vt:i4>
      </vt:variant>
      <vt:variant>
        <vt:i4>0</vt:i4>
      </vt:variant>
      <vt:variant>
        <vt:i4>5</vt:i4>
      </vt:variant>
      <vt:variant>
        <vt:lpwstr>https://doi.org/10.1037/0033-295X.91.3.328</vt:lpwstr>
      </vt:variant>
      <vt:variant>
        <vt:lpwstr/>
      </vt:variant>
      <vt:variant>
        <vt:i4>3670131</vt:i4>
      </vt:variant>
      <vt:variant>
        <vt:i4>42</vt:i4>
      </vt:variant>
      <vt:variant>
        <vt:i4>0</vt:i4>
      </vt:variant>
      <vt:variant>
        <vt:i4>5</vt:i4>
      </vt:variant>
      <vt:variant>
        <vt:lpwstr>https://doi.org/10.1037/0022-0663.76.4.535</vt:lpwstr>
      </vt:variant>
      <vt:variant>
        <vt:lpwstr/>
      </vt:variant>
      <vt:variant>
        <vt:i4>4063356</vt:i4>
      </vt:variant>
      <vt:variant>
        <vt:i4>39</vt:i4>
      </vt:variant>
      <vt:variant>
        <vt:i4>0</vt:i4>
      </vt:variant>
      <vt:variant>
        <vt:i4>5</vt:i4>
      </vt:variant>
      <vt:variant>
        <vt:lpwstr>https://doi.org/10.1037/0021-9010.84.6.863</vt:lpwstr>
      </vt:variant>
      <vt:variant>
        <vt:lpwstr/>
      </vt:variant>
      <vt:variant>
        <vt:i4>2162790</vt:i4>
      </vt:variant>
      <vt:variant>
        <vt:i4>36</vt:i4>
      </vt:variant>
      <vt:variant>
        <vt:i4>0</vt:i4>
      </vt:variant>
      <vt:variant>
        <vt:i4>5</vt:i4>
      </vt:variant>
      <vt:variant>
        <vt:lpwstr>https://doi.org/10.1177/0013164497057006009</vt:lpwstr>
      </vt:variant>
      <vt:variant>
        <vt:lpwstr/>
      </vt:variant>
      <vt:variant>
        <vt:i4>1376273</vt:i4>
      </vt:variant>
      <vt:variant>
        <vt:i4>33</vt:i4>
      </vt:variant>
      <vt:variant>
        <vt:i4>0</vt:i4>
      </vt:variant>
      <vt:variant>
        <vt:i4>5</vt:i4>
      </vt:variant>
      <vt:variant>
        <vt:lpwstr>https://doi.org/10.1037/0003-066X.41.10.1040</vt:lpwstr>
      </vt:variant>
      <vt:variant>
        <vt:lpwstr/>
      </vt:variant>
      <vt:variant>
        <vt:i4>8323125</vt:i4>
      </vt:variant>
      <vt:variant>
        <vt:i4>30</vt:i4>
      </vt:variant>
      <vt:variant>
        <vt:i4>0</vt:i4>
      </vt:variant>
      <vt:variant>
        <vt:i4>5</vt:i4>
      </vt:variant>
      <vt:variant>
        <vt:lpwstr>https://doi.org/10.1146/annurev.psych.52.1.471</vt:lpwstr>
      </vt:variant>
      <vt:variant>
        <vt:lpwstr/>
      </vt:variant>
      <vt:variant>
        <vt:i4>6815864</vt:i4>
      </vt:variant>
      <vt:variant>
        <vt:i4>27</vt:i4>
      </vt:variant>
      <vt:variant>
        <vt:i4>0</vt:i4>
      </vt:variant>
      <vt:variant>
        <vt:i4>5</vt:i4>
      </vt:variant>
      <vt:variant>
        <vt:lpwstr>https://www.qualityresearchinternational.com/Harvey papers/Harvey 1999 New Realities EAIR Lund.pdf</vt:lpwstr>
      </vt:variant>
      <vt:variant>
        <vt:lpwstr/>
      </vt:variant>
      <vt:variant>
        <vt:i4>5832713</vt:i4>
      </vt:variant>
      <vt:variant>
        <vt:i4>24</vt:i4>
      </vt:variant>
      <vt:variant>
        <vt:i4>0</vt:i4>
      </vt:variant>
      <vt:variant>
        <vt:i4>5</vt:i4>
      </vt:variant>
      <vt:variant>
        <vt:lpwstr>https://doi.org/10.1257/aer.p20151060</vt:lpwstr>
      </vt:variant>
      <vt:variant>
        <vt:lpwstr/>
      </vt:variant>
      <vt:variant>
        <vt:i4>4653145</vt:i4>
      </vt:variant>
      <vt:variant>
        <vt:i4>21</vt:i4>
      </vt:variant>
      <vt:variant>
        <vt:i4>0</vt:i4>
      </vt:variant>
      <vt:variant>
        <vt:i4>5</vt:i4>
      </vt:variant>
      <vt:variant>
        <vt:lpwstr>https://docs.iza.org/dp10138.pdf</vt:lpwstr>
      </vt:variant>
      <vt:variant>
        <vt:lpwstr/>
      </vt:variant>
      <vt:variant>
        <vt:i4>1376344</vt:i4>
      </vt:variant>
      <vt:variant>
        <vt:i4>18</vt:i4>
      </vt:variant>
      <vt:variant>
        <vt:i4>0</vt:i4>
      </vt:variant>
      <vt:variant>
        <vt:i4>5</vt:i4>
      </vt:variant>
      <vt:variant>
        <vt:lpwstr>https://doi.org/10.1080/13636820000200142</vt:lpwstr>
      </vt:variant>
      <vt:variant>
        <vt:lpwstr/>
      </vt:variant>
      <vt:variant>
        <vt:i4>196631</vt:i4>
      </vt:variant>
      <vt:variant>
        <vt:i4>15</vt:i4>
      </vt:variant>
      <vt:variant>
        <vt:i4>0</vt:i4>
      </vt:variant>
      <vt:variant>
        <vt:i4>5</vt:i4>
      </vt:variant>
      <vt:variant>
        <vt:lpwstr>https://files.ascd.org/staticfiles/ascd/pdf/journals/jcs/jcs_1991summer_foshay.pdf</vt:lpwstr>
      </vt:variant>
      <vt:variant>
        <vt:lpwstr/>
      </vt:variant>
      <vt:variant>
        <vt:i4>5439609</vt:i4>
      </vt:variant>
      <vt:variant>
        <vt:i4>12</vt:i4>
      </vt:variant>
      <vt:variant>
        <vt:i4>0</vt:i4>
      </vt:variant>
      <vt:variant>
        <vt:i4>5</vt:i4>
      </vt:variant>
      <vt:variant>
        <vt:lpwstr>https://files.ascd.org/staticfiles/ascd/pdf/journals/ed_lead/el_196410_ammons.pdf</vt:lpwstr>
      </vt:variant>
      <vt:variant>
        <vt:lpwstr/>
      </vt:variant>
      <vt:variant>
        <vt:i4>3276892</vt:i4>
      </vt:variant>
      <vt:variant>
        <vt:i4>9</vt:i4>
      </vt:variant>
      <vt:variant>
        <vt:i4>0</vt:i4>
      </vt:variant>
      <vt:variant>
        <vt:i4>5</vt:i4>
      </vt:variant>
      <vt:variant>
        <vt:lpwstr>https://files.ascd.org/staticfiles/ascd/pdf/journals/ed_lead/el_195701_front-matter.pdf</vt:lpwstr>
      </vt:variant>
      <vt:variant>
        <vt:lpwstr/>
      </vt:variant>
      <vt:variant>
        <vt:i4>8126581</vt:i4>
      </vt:variant>
      <vt:variant>
        <vt:i4>6</vt:i4>
      </vt:variant>
      <vt:variant>
        <vt:i4>0</vt:i4>
      </vt:variant>
      <vt:variant>
        <vt:i4>5</vt:i4>
      </vt:variant>
      <vt:variant>
        <vt:lpwstr>https://kinginstitute.stanford.edu/king-papers/documents/purpose-education</vt:lpwstr>
      </vt:variant>
      <vt:variant>
        <vt:lpwstr/>
      </vt:variant>
      <vt:variant>
        <vt:i4>7733311</vt:i4>
      </vt:variant>
      <vt:variant>
        <vt:i4>3</vt:i4>
      </vt:variant>
      <vt:variant>
        <vt:i4>0</vt:i4>
      </vt:variant>
      <vt:variant>
        <vt:i4>5</vt:i4>
      </vt:variant>
      <vt:variant>
        <vt:lpwstr>http://www.the-philosopher.co.uk/2016/08/individual-psychology-and-education-1934.html</vt:lpwstr>
      </vt:variant>
      <vt:variant>
        <vt:lpwstr/>
      </vt:variant>
      <vt:variant>
        <vt:i4>5242907</vt:i4>
      </vt:variant>
      <vt:variant>
        <vt:i4>0</vt:i4>
      </vt:variant>
      <vt:variant>
        <vt:i4>0</vt:i4>
      </vt:variant>
      <vt:variant>
        <vt:i4>5</vt:i4>
      </vt:variant>
      <vt:variant>
        <vt:lpwstr>https://orcid.org/0000-0002-4480-353X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Fuat Fındıkoğlu</cp:lastModifiedBy>
  <cp:revision>3</cp:revision>
  <cp:lastPrinted>2024-11-09T22:49:00Z</cp:lastPrinted>
  <dcterms:created xsi:type="dcterms:W3CDTF">2025-10-05T15:39:00Z</dcterms:created>
  <dcterms:modified xsi:type="dcterms:W3CDTF">2025-10-05T15:40:00Z</dcterms:modified>
</cp:coreProperties>
</file>