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B4F5" w14:textId="77777777" w:rsidR="007421D8" w:rsidRDefault="007421D8" w:rsidP="007421D8">
      <w:pPr>
        <w:jc w:val="center"/>
        <w:rPr>
          <w:b/>
          <w:bCs/>
        </w:rPr>
      </w:pPr>
      <w:bookmarkStart w:id="0" w:name="_GoBack"/>
      <w:bookmarkEnd w:id="0"/>
    </w:p>
    <w:p w14:paraId="7E027B8A" w14:textId="77777777" w:rsidR="00801920" w:rsidRPr="00801920" w:rsidRDefault="00801920" w:rsidP="00801920">
      <w:pPr>
        <w:rPr>
          <w:b/>
          <w:bCs/>
        </w:rPr>
      </w:pPr>
      <w:r w:rsidRPr="00801920">
        <w:rPr>
          <w:rFonts w:ascii="Segoe UI Emoji" w:hAnsi="Segoe UI Emoji" w:cs="Segoe UI Emoji"/>
          <w:b/>
          <w:bCs/>
        </w:rPr>
        <w:t>📄</w:t>
      </w:r>
      <w:r w:rsidRPr="00801920">
        <w:rPr>
          <w:b/>
          <w:bCs/>
        </w:rPr>
        <w:t xml:space="preserve"> Vardiyalı Çalışan Hemşirelerin Yaşam Kalitesi Ölçeği (VÇHYKÖ)</w:t>
      </w:r>
    </w:p>
    <w:p w14:paraId="048068CA" w14:textId="77777777" w:rsidR="00C75B12" w:rsidRDefault="00C75B12" w:rsidP="00801920">
      <w:pPr>
        <w:rPr>
          <w:b/>
          <w:bCs/>
        </w:rPr>
      </w:pPr>
    </w:p>
    <w:p w14:paraId="404A65E1" w14:textId="09D9D300" w:rsidR="00801920" w:rsidRPr="00801920" w:rsidRDefault="00801920" w:rsidP="00801920">
      <w:r w:rsidRPr="00801920">
        <w:rPr>
          <w:b/>
          <w:bCs/>
        </w:rPr>
        <w:t>Bilgilendirme ve Kullanım Rehberi</w:t>
      </w:r>
    </w:p>
    <w:p w14:paraId="01332F40" w14:textId="77777777" w:rsidR="00801920" w:rsidRPr="00801920" w:rsidRDefault="00801920" w:rsidP="00C75B12">
      <w:pPr>
        <w:jc w:val="both"/>
      </w:pPr>
      <w:r w:rsidRPr="00801920">
        <w:t>Sayın Araştırmacı,</w:t>
      </w:r>
    </w:p>
    <w:p w14:paraId="23A85ACE" w14:textId="7ABFA7FE" w:rsidR="00801920" w:rsidRPr="00801920" w:rsidRDefault="00801920" w:rsidP="00C75B12">
      <w:pPr>
        <w:jc w:val="both"/>
      </w:pPr>
      <w:r w:rsidRPr="00801920">
        <w:t>Bu belge, vardiyalı çalışan hemşirelerin yaşam kalitesini değerlendirmek amacıyla tarafım</w:t>
      </w:r>
      <w:r w:rsidR="00911B8D">
        <w:t>ız</w:t>
      </w:r>
      <w:r w:rsidRPr="00801920">
        <w:t xml:space="preserve">dan geliştirilmiş olan </w:t>
      </w:r>
      <w:r w:rsidRPr="00801920">
        <w:rPr>
          <w:b/>
          <w:bCs/>
        </w:rPr>
        <w:t>Vardiyalı Çalışan Hemşirelerin Yaşam Kalitesi Ölçeği (VÇHYKÖ)</w:t>
      </w:r>
      <w:r w:rsidRPr="00801920">
        <w:t xml:space="preserve"> hakkında bilgi sunmakta ve kullanım koşullarını açıklamaktadır. Ölçek, uluslararası literatürde </w:t>
      </w:r>
      <w:r w:rsidRPr="00801920">
        <w:rPr>
          <w:b/>
          <w:bCs/>
        </w:rPr>
        <w:t>“</w:t>
      </w:r>
      <w:proofErr w:type="spellStart"/>
      <w:r w:rsidRPr="00801920">
        <w:rPr>
          <w:b/>
          <w:bCs/>
        </w:rPr>
        <w:t>Quality</w:t>
      </w:r>
      <w:proofErr w:type="spellEnd"/>
      <w:r w:rsidRPr="00801920">
        <w:rPr>
          <w:b/>
          <w:bCs/>
        </w:rPr>
        <w:t xml:space="preserve"> of Life </w:t>
      </w:r>
      <w:proofErr w:type="spellStart"/>
      <w:r w:rsidRPr="00801920">
        <w:rPr>
          <w:b/>
          <w:bCs/>
        </w:rPr>
        <w:t>Scale</w:t>
      </w:r>
      <w:proofErr w:type="spellEnd"/>
      <w:r w:rsidRPr="00801920">
        <w:rPr>
          <w:b/>
          <w:bCs/>
        </w:rPr>
        <w:t xml:space="preserve"> </w:t>
      </w:r>
      <w:proofErr w:type="spellStart"/>
      <w:r w:rsidRPr="00801920">
        <w:rPr>
          <w:b/>
          <w:bCs/>
        </w:rPr>
        <w:t>for</w:t>
      </w:r>
      <w:proofErr w:type="spellEnd"/>
      <w:r w:rsidRPr="00801920">
        <w:rPr>
          <w:b/>
          <w:bCs/>
        </w:rPr>
        <w:t xml:space="preserve"> </w:t>
      </w:r>
      <w:proofErr w:type="spellStart"/>
      <w:r w:rsidRPr="00801920">
        <w:rPr>
          <w:b/>
          <w:bCs/>
        </w:rPr>
        <w:t>Shift-Working</w:t>
      </w:r>
      <w:proofErr w:type="spellEnd"/>
      <w:r w:rsidRPr="00801920">
        <w:rPr>
          <w:b/>
          <w:bCs/>
        </w:rPr>
        <w:t xml:space="preserve"> </w:t>
      </w:r>
      <w:proofErr w:type="spellStart"/>
      <w:r w:rsidRPr="00801920">
        <w:rPr>
          <w:b/>
          <w:bCs/>
        </w:rPr>
        <w:t>Nurses</w:t>
      </w:r>
      <w:proofErr w:type="spellEnd"/>
      <w:r w:rsidRPr="00801920">
        <w:rPr>
          <w:b/>
          <w:bCs/>
        </w:rPr>
        <w:t xml:space="preserve"> (</w:t>
      </w:r>
      <w:proofErr w:type="spellStart"/>
      <w:r w:rsidRPr="00801920">
        <w:rPr>
          <w:b/>
          <w:bCs/>
        </w:rPr>
        <w:t>QoLS</w:t>
      </w:r>
      <w:proofErr w:type="spellEnd"/>
      <w:r w:rsidRPr="00801920">
        <w:rPr>
          <w:b/>
          <w:bCs/>
        </w:rPr>
        <w:t>-SWN)”</w:t>
      </w:r>
      <w:r w:rsidRPr="00801920">
        <w:t xml:space="preserve"> adıyla yayımlanmıştır.</w:t>
      </w:r>
    </w:p>
    <w:p w14:paraId="0CB05F4A" w14:textId="77777777" w:rsidR="00801920" w:rsidRPr="00801920" w:rsidRDefault="00700000" w:rsidP="00C75B12">
      <w:pPr>
        <w:jc w:val="both"/>
      </w:pPr>
      <w:r>
        <w:pict w14:anchorId="20B51811">
          <v:rect id="_x0000_i1025" style="width:0;height:1.5pt" o:hralign="center" o:hrstd="t" o:hr="t" fillcolor="#a0a0a0" stroked="f"/>
        </w:pict>
      </w:r>
    </w:p>
    <w:p w14:paraId="65445FAD" w14:textId="77777777" w:rsidR="00801920" w:rsidRPr="00801920" w:rsidRDefault="00801920" w:rsidP="00C75B12">
      <w:pPr>
        <w:jc w:val="both"/>
        <w:rPr>
          <w:b/>
          <w:bCs/>
        </w:rPr>
      </w:pPr>
      <w:r w:rsidRPr="00801920">
        <w:rPr>
          <w:rFonts w:ascii="Segoe UI Emoji" w:hAnsi="Segoe UI Emoji" w:cs="Segoe UI Emoji"/>
          <w:b/>
          <w:bCs/>
        </w:rPr>
        <w:t>🎯</w:t>
      </w:r>
      <w:r w:rsidRPr="00801920">
        <w:rPr>
          <w:b/>
          <w:bCs/>
        </w:rPr>
        <w:t xml:space="preserve"> Ölçeğin Amacı ve Kapsamı</w:t>
      </w:r>
    </w:p>
    <w:p w14:paraId="0B17647A" w14:textId="77777777" w:rsidR="00801920" w:rsidRPr="00801920" w:rsidRDefault="00801920" w:rsidP="00C75B12">
      <w:pPr>
        <w:jc w:val="both"/>
      </w:pPr>
      <w:r w:rsidRPr="00801920">
        <w:t xml:space="preserve">VÇHYKÖ, vardiyalı çalışan hemşirelerin fiziksel, ruhsal, sosyal ve mesleki yaşantılarına etki eden çeşitli boyutlardaki sorunları nicel olarak değerlendirmeyi amaçlayan, özgün ve </w:t>
      </w:r>
      <w:proofErr w:type="spellStart"/>
      <w:r w:rsidRPr="00801920">
        <w:t>psikometrik</w:t>
      </w:r>
      <w:proofErr w:type="spellEnd"/>
      <w:r w:rsidRPr="00801920">
        <w:t xml:space="preserve"> olarak geçerli bir ölçme aracıdır. Geliştirme süreci literatür taraması, uzman görüşleri, kapsam geçerliği analizleri, pilot uygulama, </w:t>
      </w:r>
      <w:proofErr w:type="spellStart"/>
      <w:r w:rsidRPr="00801920">
        <w:t>açımlayıcı</w:t>
      </w:r>
      <w:proofErr w:type="spellEnd"/>
      <w:r w:rsidRPr="00801920">
        <w:t xml:space="preserve"> ve doğrulayıcı faktör analizleri ile desteklenmiştir.</w:t>
      </w:r>
    </w:p>
    <w:p w14:paraId="1B76586A" w14:textId="77777777" w:rsidR="00801920" w:rsidRPr="00801920" w:rsidRDefault="00700000" w:rsidP="00C75B12">
      <w:pPr>
        <w:jc w:val="both"/>
      </w:pPr>
      <w:r>
        <w:pict w14:anchorId="5E690570">
          <v:rect id="_x0000_i1026" style="width:0;height:1.5pt" o:hralign="center" o:hrstd="t" o:hr="t" fillcolor="#a0a0a0" stroked="f"/>
        </w:pict>
      </w:r>
    </w:p>
    <w:p w14:paraId="262AA7E9" w14:textId="77777777" w:rsidR="00801920" w:rsidRPr="00801920" w:rsidRDefault="00801920" w:rsidP="00C75B12">
      <w:pPr>
        <w:jc w:val="both"/>
        <w:rPr>
          <w:b/>
          <w:bCs/>
        </w:rPr>
      </w:pPr>
      <w:r w:rsidRPr="00801920">
        <w:rPr>
          <w:rFonts w:ascii="Segoe UI Emoji" w:hAnsi="Segoe UI Emoji" w:cs="Segoe UI Emoji"/>
          <w:b/>
          <w:bCs/>
        </w:rPr>
        <w:t>📊</w:t>
      </w:r>
      <w:r w:rsidRPr="00801920">
        <w:rPr>
          <w:b/>
          <w:bCs/>
        </w:rPr>
        <w:t xml:space="preserve"> Teknik Özellikler</w:t>
      </w:r>
    </w:p>
    <w:p w14:paraId="1FC747AE" w14:textId="77777777" w:rsidR="00801920" w:rsidRPr="00801920" w:rsidRDefault="00801920" w:rsidP="00C75B12">
      <w:pPr>
        <w:numPr>
          <w:ilvl w:val="0"/>
          <w:numId w:val="1"/>
        </w:numPr>
        <w:jc w:val="both"/>
      </w:pPr>
      <w:r w:rsidRPr="00801920">
        <w:rPr>
          <w:b/>
          <w:bCs/>
        </w:rPr>
        <w:t>Hedef Grup:</w:t>
      </w:r>
      <w:r w:rsidRPr="00801920">
        <w:t xml:space="preserve"> Vardiyalı çalışan hemşireler</w:t>
      </w:r>
    </w:p>
    <w:p w14:paraId="3B15B31B" w14:textId="76C89DBB" w:rsidR="00801920" w:rsidRPr="00801920" w:rsidRDefault="00801920" w:rsidP="00C75B12">
      <w:pPr>
        <w:numPr>
          <w:ilvl w:val="0"/>
          <w:numId w:val="1"/>
        </w:numPr>
        <w:jc w:val="both"/>
      </w:pPr>
      <w:r w:rsidRPr="00801920">
        <w:rPr>
          <w:b/>
          <w:bCs/>
        </w:rPr>
        <w:t>Uygulama Süresi:</w:t>
      </w:r>
      <w:r w:rsidRPr="00801920">
        <w:t xml:space="preserve"> Yaklaşık </w:t>
      </w:r>
      <w:r w:rsidRPr="00C75B12">
        <w:t>2</w:t>
      </w:r>
      <w:r w:rsidRPr="00801920">
        <w:t>-</w:t>
      </w:r>
      <w:r w:rsidRPr="00C75B12">
        <w:t>4</w:t>
      </w:r>
      <w:r w:rsidRPr="00801920">
        <w:t xml:space="preserve"> dakika</w:t>
      </w:r>
    </w:p>
    <w:p w14:paraId="5B42DC6E" w14:textId="163F7444" w:rsidR="00801920" w:rsidRPr="00C75B12" w:rsidRDefault="00801920" w:rsidP="00C75B12">
      <w:pPr>
        <w:numPr>
          <w:ilvl w:val="0"/>
          <w:numId w:val="1"/>
        </w:numPr>
        <w:jc w:val="both"/>
      </w:pPr>
      <w:r w:rsidRPr="00801920">
        <w:rPr>
          <w:b/>
          <w:bCs/>
        </w:rPr>
        <w:t>Uygulama Türü:</w:t>
      </w:r>
      <w:r w:rsidRPr="00801920">
        <w:t xml:space="preserve"> Bireysel ya da grup uygulaması (</w:t>
      </w:r>
      <w:proofErr w:type="gramStart"/>
      <w:r w:rsidRPr="00801920">
        <w:t>kağıt</w:t>
      </w:r>
      <w:proofErr w:type="gramEnd"/>
      <w:r w:rsidRPr="00801920">
        <w:t>-kalem / dijital ortam)</w:t>
      </w:r>
    </w:p>
    <w:p w14:paraId="7761E6E2" w14:textId="77777777" w:rsidR="00801920" w:rsidRPr="00C75B12" w:rsidRDefault="00801920" w:rsidP="00C75B12">
      <w:pPr>
        <w:ind w:left="720"/>
        <w:jc w:val="both"/>
      </w:pPr>
    </w:p>
    <w:p w14:paraId="10161CD0" w14:textId="2F0F41F4" w:rsidR="00801920" w:rsidRPr="00C75B12" w:rsidRDefault="00801920" w:rsidP="00C75B12">
      <w:pPr>
        <w:rPr>
          <w:b/>
          <w:bCs/>
        </w:rPr>
      </w:pPr>
      <w:r w:rsidRPr="00C75B12">
        <w:rPr>
          <w:rFonts w:ascii="Segoe UI Emoji" w:hAnsi="Segoe UI Emoji" w:cs="Segoe UI Emoji"/>
        </w:rPr>
        <w:t>🧩</w:t>
      </w:r>
      <w:r w:rsidRPr="00C75B12">
        <w:t xml:space="preserve"> </w:t>
      </w:r>
      <w:r w:rsidRPr="00C75B12">
        <w:rPr>
          <w:b/>
          <w:bCs/>
        </w:rPr>
        <w:t>Alt Boyutlar ve İlgili Maddeler</w:t>
      </w:r>
    </w:p>
    <w:p w14:paraId="6A60EC6A" w14:textId="34D1CEF5" w:rsidR="00801920" w:rsidRPr="00C75B12" w:rsidRDefault="00801920" w:rsidP="00C75B12">
      <w:pPr>
        <w:pStyle w:val="ListeParagraf"/>
        <w:numPr>
          <w:ilvl w:val="1"/>
          <w:numId w:val="1"/>
        </w:numPr>
        <w:ind w:left="426"/>
      </w:pPr>
      <w:r w:rsidRPr="00C75B12">
        <w:rPr>
          <w:b/>
          <w:bCs/>
        </w:rPr>
        <w:t>Sağlık Riskleri ve İş Güvenliği</w:t>
      </w:r>
    </w:p>
    <w:p w14:paraId="1370ECFD" w14:textId="167EEFE1" w:rsidR="00801920" w:rsidRPr="00C75B12" w:rsidRDefault="00801920" w:rsidP="00801920">
      <w:pPr>
        <w:ind w:left="720"/>
      </w:pPr>
      <w:r w:rsidRPr="00C75B12">
        <w:t>Maddeler: 1, 2, 3, 4, 5, 6</w:t>
      </w:r>
    </w:p>
    <w:p w14:paraId="0B714D17" w14:textId="55FAB94B" w:rsidR="00801920" w:rsidRPr="00C75B12" w:rsidRDefault="00801920" w:rsidP="00801920">
      <w:pPr>
        <w:ind w:left="720"/>
      </w:pPr>
      <w:proofErr w:type="spellStart"/>
      <w:r w:rsidRPr="00C75B12">
        <w:t>Cronbach’s</w:t>
      </w:r>
      <w:proofErr w:type="spellEnd"/>
      <w:r w:rsidRPr="00C75B12">
        <w:t xml:space="preserve"> Alpha: 0.91</w:t>
      </w:r>
    </w:p>
    <w:p w14:paraId="5D7FD87C" w14:textId="77777777" w:rsidR="00801920" w:rsidRPr="00C75B12" w:rsidRDefault="00801920" w:rsidP="00801920">
      <w:pPr>
        <w:ind w:left="720"/>
      </w:pPr>
    </w:p>
    <w:p w14:paraId="550F1172" w14:textId="2D246444" w:rsidR="00801920" w:rsidRPr="00C75B12" w:rsidRDefault="00801920" w:rsidP="00C75B12">
      <w:pPr>
        <w:pStyle w:val="ListeParagraf"/>
        <w:numPr>
          <w:ilvl w:val="1"/>
          <w:numId w:val="1"/>
        </w:numPr>
        <w:ind w:left="426"/>
        <w:rPr>
          <w:b/>
          <w:bCs/>
        </w:rPr>
      </w:pPr>
      <w:r w:rsidRPr="00C75B12">
        <w:rPr>
          <w:b/>
          <w:bCs/>
        </w:rPr>
        <w:t>Fiziksel ve Zihinsel Yorgunluk</w:t>
      </w:r>
    </w:p>
    <w:p w14:paraId="30891280" w14:textId="0EA34352" w:rsidR="00801920" w:rsidRPr="00C75B12" w:rsidRDefault="00801920" w:rsidP="00801920">
      <w:pPr>
        <w:ind w:left="720"/>
      </w:pPr>
      <w:r w:rsidRPr="00C75B12">
        <w:t>Maddeler: 7.8, 9, 10, 11, 12, 13, 14, 15, 16, 17, 18</w:t>
      </w:r>
    </w:p>
    <w:p w14:paraId="33F61B36" w14:textId="11A2A221" w:rsidR="00801920" w:rsidRPr="00C75B12" w:rsidRDefault="00801920" w:rsidP="00801920">
      <w:pPr>
        <w:ind w:left="720"/>
      </w:pPr>
      <w:proofErr w:type="spellStart"/>
      <w:r w:rsidRPr="00C75B12">
        <w:t>Cronbach’s</w:t>
      </w:r>
      <w:proofErr w:type="spellEnd"/>
      <w:r w:rsidRPr="00C75B12">
        <w:t xml:space="preserve"> Alpha: 0.96</w:t>
      </w:r>
    </w:p>
    <w:p w14:paraId="2F7322F1" w14:textId="77777777" w:rsidR="00801920" w:rsidRPr="00C75B12" w:rsidRDefault="00801920" w:rsidP="00801920">
      <w:pPr>
        <w:ind w:left="720"/>
      </w:pPr>
    </w:p>
    <w:p w14:paraId="638FD242" w14:textId="3E9628FE" w:rsidR="00801920" w:rsidRPr="00C75B12" w:rsidRDefault="00801920" w:rsidP="00C75B12">
      <w:pPr>
        <w:pStyle w:val="ListeParagraf"/>
        <w:numPr>
          <w:ilvl w:val="1"/>
          <w:numId w:val="1"/>
        </w:numPr>
        <w:ind w:left="284" w:hanging="284"/>
        <w:rPr>
          <w:b/>
          <w:bCs/>
        </w:rPr>
      </w:pPr>
      <w:r w:rsidRPr="00C75B12">
        <w:rPr>
          <w:b/>
          <w:bCs/>
        </w:rPr>
        <w:t>Sosyal ve Psikolojik Etkileşim</w:t>
      </w:r>
    </w:p>
    <w:p w14:paraId="6CB9C851" w14:textId="5D0EF695" w:rsidR="00801920" w:rsidRPr="00C75B12" w:rsidRDefault="00801920" w:rsidP="00801920">
      <w:pPr>
        <w:ind w:left="720"/>
      </w:pPr>
      <w:r w:rsidRPr="00C75B12">
        <w:t>Maddeler 19. 20</w:t>
      </w:r>
    </w:p>
    <w:p w14:paraId="26F1DE7E" w14:textId="113300FE" w:rsidR="00801920" w:rsidRPr="00C75B12" w:rsidRDefault="00801920" w:rsidP="00801920">
      <w:pPr>
        <w:ind w:firstLine="708"/>
      </w:pPr>
      <w:proofErr w:type="spellStart"/>
      <w:r w:rsidRPr="00C75B12">
        <w:t>Cronbach’s</w:t>
      </w:r>
      <w:proofErr w:type="spellEnd"/>
      <w:r w:rsidRPr="00C75B12">
        <w:t xml:space="preserve"> Alpha: 0.77</w:t>
      </w:r>
    </w:p>
    <w:p w14:paraId="24D335A5" w14:textId="77777777" w:rsidR="000B6E87" w:rsidRPr="00C75B12" w:rsidRDefault="000B6E87">
      <w:pPr>
        <w:rPr>
          <w:b/>
          <w:bCs/>
        </w:rPr>
      </w:pPr>
    </w:p>
    <w:p w14:paraId="4287E35A" w14:textId="48A4F39B" w:rsidR="00C75B12" w:rsidRPr="00C75B12" w:rsidRDefault="00C75B12" w:rsidP="00C75B12">
      <w:r w:rsidRPr="00C75B12">
        <w:rPr>
          <w:b/>
          <w:bCs/>
        </w:rPr>
        <w:t xml:space="preserve">Toplam </w:t>
      </w:r>
      <w:proofErr w:type="spellStart"/>
      <w:r w:rsidRPr="00C75B12">
        <w:rPr>
          <w:b/>
          <w:bCs/>
        </w:rPr>
        <w:t>Cronbach’s</w:t>
      </w:r>
      <w:proofErr w:type="spellEnd"/>
      <w:r w:rsidRPr="00C75B12">
        <w:rPr>
          <w:b/>
          <w:bCs/>
        </w:rPr>
        <w:t xml:space="preserve"> Alpha:</w:t>
      </w:r>
      <w:r w:rsidRPr="00C75B12">
        <w:t xml:space="preserve"> 0.95</w:t>
      </w:r>
    </w:p>
    <w:p w14:paraId="45501F5E" w14:textId="22D0F25D" w:rsidR="00C75B12" w:rsidRDefault="00C75B12">
      <w:r w:rsidRPr="00C75B12">
        <w:rPr>
          <w:b/>
          <w:bCs/>
        </w:rPr>
        <w:t xml:space="preserve">Açıklanan </w:t>
      </w:r>
      <w:proofErr w:type="spellStart"/>
      <w:r w:rsidRPr="00C75B12">
        <w:rPr>
          <w:b/>
          <w:bCs/>
        </w:rPr>
        <w:t>Varyans</w:t>
      </w:r>
      <w:proofErr w:type="spellEnd"/>
      <w:r w:rsidRPr="00C75B12">
        <w:rPr>
          <w:b/>
          <w:bCs/>
        </w:rPr>
        <w:t>:</w:t>
      </w:r>
      <w:r w:rsidRPr="00C75B12">
        <w:t xml:space="preserve"> %71.89</w:t>
      </w:r>
    </w:p>
    <w:p w14:paraId="7D6CAF03" w14:textId="77777777" w:rsidR="00C75B12" w:rsidRDefault="00C75B12"/>
    <w:p w14:paraId="38D07668" w14:textId="77777777" w:rsidR="00C75B12" w:rsidRPr="00C75B12" w:rsidRDefault="00C75B12" w:rsidP="00C75B12">
      <w:pPr>
        <w:rPr>
          <w:b/>
          <w:bCs/>
        </w:rPr>
      </w:pPr>
      <w:r w:rsidRPr="00C75B12">
        <w:rPr>
          <w:rFonts w:ascii="Segoe UI Emoji" w:hAnsi="Segoe UI Emoji" w:cs="Segoe UI Emoji"/>
          <w:b/>
          <w:bCs/>
        </w:rPr>
        <w:t>📏</w:t>
      </w:r>
      <w:r w:rsidRPr="00C75B12">
        <w:rPr>
          <w:b/>
          <w:bCs/>
        </w:rPr>
        <w:t xml:space="preserve"> Puanlama Sistemi ve Toplam Puan Aralığı</w:t>
      </w:r>
    </w:p>
    <w:p w14:paraId="305B4E85" w14:textId="77777777" w:rsidR="00C75B12" w:rsidRPr="00C75B12" w:rsidRDefault="00C75B12" w:rsidP="00C75B12">
      <w:r w:rsidRPr="00C75B12">
        <w:rPr>
          <w:b/>
          <w:bCs/>
        </w:rPr>
        <w:t>Vardiyalı Çalışan Hemşirelerin Yaşam Kalitesi Ölçeği (VÇHYKÖ)</w:t>
      </w:r>
      <w:r w:rsidRPr="00C75B12">
        <w:t xml:space="preserve">, toplam </w:t>
      </w:r>
      <w:r w:rsidRPr="00C75B12">
        <w:rPr>
          <w:b/>
          <w:bCs/>
        </w:rPr>
        <w:t>20 madde</w:t>
      </w:r>
      <w:r w:rsidRPr="00C75B12">
        <w:t xml:space="preserve"> içermekte ve her madde </w:t>
      </w:r>
      <w:r w:rsidRPr="00C75B12">
        <w:rPr>
          <w:b/>
          <w:bCs/>
        </w:rPr>
        <w:t xml:space="preserve">5’li </w:t>
      </w:r>
      <w:proofErr w:type="spellStart"/>
      <w:r w:rsidRPr="00C75B12">
        <w:rPr>
          <w:b/>
          <w:bCs/>
        </w:rPr>
        <w:t>Likert</w:t>
      </w:r>
      <w:proofErr w:type="spellEnd"/>
      <w:r w:rsidRPr="00C75B12">
        <w:rPr>
          <w:b/>
          <w:bCs/>
        </w:rPr>
        <w:t xml:space="preserve"> tipi</w:t>
      </w:r>
      <w:r w:rsidRPr="00C75B12">
        <w:t xml:space="preserve"> yanıtlamaya sahiptir:</w:t>
      </w:r>
    </w:p>
    <w:p w14:paraId="39E01CE2" w14:textId="77777777" w:rsidR="00C75B12" w:rsidRPr="00C75B12" w:rsidRDefault="00C75B12" w:rsidP="00C75B12">
      <w:pPr>
        <w:numPr>
          <w:ilvl w:val="0"/>
          <w:numId w:val="3"/>
        </w:numPr>
      </w:pPr>
      <w:r w:rsidRPr="00C75B12">
        <w:t>1 = Kesinlikle Katılmıyorum</w:t>
      </w:r>
    </w:p>
    <w:p w14:paraId="65C0D866" w14:textId="77777777" w:rsidR="00C75B12" w:rsidRPr="00C75B12" w:rsidRDefault="00C75B12" w:rsidP="00C75B12">
      <w:pPr>
        <w:numPr>
          <w:ilvl w:val="0"/>
          <w:numId w:val="3"/>
        </w:numPr>
      </w:pPr>
      <w:r w:rsidRPr="00C75B12">
        <w:t>2 = Katılmıyorum</w:t>
      </w:r>
    </w:p>
    <w:p w14:paraId="323ABA24" w14:textId="77777777" w:rsidR="00C75B12" w:rsidRPr="00C75B12" w:rsidRDefault="00C75B12" w:rsidP="00C75B12">
      <w:pPr>
        <w:numPr>
          <w:ilvl w:val="0"/>
          <w:numId w:val="3"/>
        </w:numPr>
      </w:pPr>
      <w:r w:rsidRPr="00C75B12">
        <w:t>3 = Kararsızım</w:t>
      </w:r>
    </w:p>
    <w:p w14:paraId="1203BEF0" w14:textId="77777777" w:rsidR="00C75B12" w:rsidRPr="00C75B12" w:rsidRDefault="00C75B12" w:rsidP="00C75B12">
      <w:pPr>
        <w:numPr>
          <w:ilvl w:val="0"/>
          <w:numId w:val="3"/>
        </w:numPr>
      </w:pPr>
      <w:r w:rsidRPr="00C75B12">
        <w:t>4 = Katılıyorum</w:t>
      </w:r>
    </w:p>
    <w:p w14:paraId="34C0B815" w14:textId="77777777" w:rsidR="00C75B12" w:rsidRPr="00C75B12" w:rsidRDefault="00C75B12" w:rsidP="00C75B12">
      <w:pPr>
        <w:numPr>
          <w:ilvl w:val="0"/>
          <w:numId w:val="3"/>
        </w:numPr>
      </w:pPr>
      <w:r w:rsidRPr="00C75B12">
        <w:t>5 = Kesinlikle Katılıyorum</w:t>
      </w:r>
    </w:p>
    <w:p w14:paraId="6062CEA0" w14:textId="77777777" w:rsidR="00C75B12" w:rsidRPr="00C75B12" w:rsidRDefault="00C75B12" w:rsidP="00C75B12">
      <w:r w:rsidRPr="00C75B12">
        <w:rPr>
          <w:rFonts w:ascii="Segoe UI Emoji" w:hAnsi="Segoe UI Emoji" w:cs="Segoe UI Emoji"/>
        </w:rPr>
        <w:t>🔸</w:t>
      </w:r>
      <w:r w:rsidRPr="00C75B12">
        <w:t xml:space="preserve"> </w:t>
      </w:r>
      <w:r w:rsidRPr="00C75B12">
        <w:rPr>
          <w:b/>
          <w:bCs/>
        </w:rPr>
        <w:t>Minimum Puan:</w:t>
      </w:r>
      <w:r w:rsidRPr="00C75B12">
        <w:t xml:space="preserve"> 20 (tüm maddelere 1 verilirse)</w:t>
      </w:r>
      <w:r w:rsidRPr="00C75B12">
        <w:br/>
      </w:r>
      <w:r w:rsidRPr="00C75B12">
        <w:rPr>
          <w:rFonts w:ascii="Segoe UI Emoji" w:hAnsi="Segoe UI Emoji" w:cs="Segoe UI Emoji"/>
        </w:rPr>
        <w:t>🔸</w:t>
      </w:r>
      <w:r w:rsidRPr="00C75B12">
        <w:t xml:space="preserve"> </w:t>
      </w:r>
      <w:r w:rsidRPr="00C75B12">
        <w:rPr>
          <w:b/>
          <w:bCs/>
        </w:rPr>
        <w:t>Maksimum Puan:</w:t>
      </w:r>
      <w:r w:rsidRPr="00C75B12">
        <w:t xml:space="preserve"> 100 (tüm maddelere 5 verilirse)</w:t>
      </w:r>
    </w:p>
    <w:p w14:paraId="499DB787" w14:textId="77777777" w:rsidR="00C75B12" w:rsidRPr="00C75B12" w:rsidRDefault="00700000" w:rsidP="00C75B12">
      <w:r>
        <w:pict w14:anchorId="17A1E4BA">
          <v:rect id="_x0000_i1027" style="width:0;height:1.5pt" o:hralign="center" o:hrstd="t" o:hr="t" fillcolor="#a0a0a0" stroked="f"/>
        </w:pict>
      </w:r>
    </w:p>
    <w:p w14:paraId="429682FF" w14:textId="77777777" w:rsidR="00C75B12" w:rsidRPr="00C75B12" w:rsidRDefault="00C75B12" w:rsidP="00C75B12">
      <w:pPr>
        <w:rPr>
          <w:b/>
          <w:bCs/>
        </w:rPr>
      </w:pPr>
      <w:r w:rsidRPr="00C75B12">
        <w:rPr>
          <w:rFonts w:ascii="Segoe UI Emoji" w:hAnsi="Segoe UI Emoji" w:cs="Segoe UI Emoji"/>
          <w:b/>
          <w:bCs/>
        </w:rPr>
        <w:lastRenderedPageBreak/>
        <w:t>📈</w:t>
      </w:r>
      <w:r w:rsidRPr="00C75B12">
        <w:rPr>
          <w:b/>
          <w:bCs/>
        </w:rPr>
        <w:t xml:space="preserve"> Puan Artışı Ne Anlama Geliyor?</w:t>
      </w:r>
    </w:p>
    <w:p w14:paraId="232C3905" w14:textId="77777777" w:rsidR="00C75B12" w:rsidRPr="00C75B12" w:rsidRDefault="00C75B12" w:rsidP="00C75B12">
      <w:r w:rsidRPr="00C75B12">
        <w:t xml:space="preserve">Ölçekteki tüm ifadeler </w:t>
      </w:r>
      <w:r w:rsidRPr="00C75B12">
        <w:rPr>
          <w:b/>
          <w:bCs/>
        </w:rPr>
        <w:t>vardiyalı çalışmanın olumsuz etkilerini yansıtan</w:t>
      </w:r>
      <w:r w:rsidRPr="00C75B12">
        <w:t xml:space="preserve"> cümlelerden oluşmaktadır. Bu nedenle:</w:t>
      </w:r>
    </w:p>
    <w:p w14:paraId="72943A1F" w14:textId="77777777" w:rsidR="00C75B12" w:rsidRPr="00C75B12" w:rsidRDefault="00C75B12" w:rsidP="00C75B12">
      <w:pPr>
        <w:numPr>
          <w:ilvl w:val="0"/>
          <w:numId w:val="4"/>
        </w:numPr>
      </w:pPr>
      <w:r w:rsidRPr="00C75B12">
        <w:rPr>
          <w:b/>
          <w:bCs/>
        </w:rPr>
        <w:t>Toplam puan arttıkça</w:t>
      </w:r>
      <w:r w:rsidRPr="00C75B12">
        <w:t xml:space="preserve">, bireyin vardiyalı çalışmadan </w:t>
      </w:r>
      <w:r w:rsidRPr="00C75B12">
        <w:rPr>
          <w:b/>
          <w:bCs/>
        </w:rPr>
        <w:t>daha fazla olumsuz etkilendiği</w:t>
      </w:r>
      <w:r w:rsidRPr="00C75B12">
        <w:t>,</w:t>
      </w:r>
    </w:p>
    <w:p w14:paraId="3B86B824" w14:textId="77777777" w:rsidR="00C75B12" w:rsidRPr="00C75B12" w:rsidRDefault="00C75B12" w:rsidP="00C75B12">
      <w:pPr>
        <w:numPr>
          <w:ilvl w:val="0"/>
          <w:numId w:val="4"/>
        </w:numPr>
      </w:pPr>
      <w:r w:rsidRPr="00C75B12">
        <w:t xml:space="preserve">Dolayısıyla </w:t>
      </w:r>
      <w:r w:rsidRPr="00C75B12">
        <w:rPr>
          <w:b/>
          <w:bCs/>
        </w:rPr>
        <w:t>yaşam kalitesinin düştüğü</w:t>
      </w:r>
      <w:r w:rsidRPr="00C75B12">
        <w:t>,</w:t>
      </w:r>
    </w:p>
    <w:p w14:paraId="2788C25A" w14:textId="6C09FCD9" w:rsidR="00C75B12" w:rsidRPr="00C75B12" w:rsidRDefault="00C75B12" w:rsidP="00C75B12">
      <w:pPr>
        <w:numPr>
          <w:ilvl w:val="0"/>
          <w:numId w:val="4"/>
        </w:numPr>
      </w:pPr>
      <w:r w:rsidRPr="00C75B12">
        <w:t xml:space="preserve">Fiziksel, ruhsal, sosyal ve mesleki sorunların </w:t>
      </w:r>
      <w:r w:rsidRPr="00C75B12">
        <w:rPr>
          <w:b/>
          <w:bCs/>
        </w:rPr>
        <w:t>daha yoğun yaşandığı</w:t>
      </w:r>
      <w:r w:rsidRPr="00C75B12">
        <w:t xml:space="preserve"> sonucuna varılır.</w:t>
      </w:r>
    </w:p>
    <w:p w14:paraId="17B2025C" w14:textId="77777777" w:rsidR="00C75B12" w:rsidRPr="00C75B12" w:rsidRDefault="00C75B12" w:rsidP="00C75B12">
      <w:r w:rsidRPr="00C75B12">
        <w:rPr>
          <w:rFonts w:ascii="Segoe UI Emoji" w:hAnsi="Segoe UI Emoji" w:cs="Segoe UI Emoji"/>
        </w:rPr>
        <w:t>📘</w:t>
      </w:r>
      <w:r w:rsidRPr="00C75B12">
        <w:t xml:space="preserve"> </w:t>
      </w:r>
      <w:r w:rsidRPr="00C75B12">
        <w:rPr>
          <w:b/>
          <w:bCs/>
        </w:rPr>
        <w:t>Ölçeğin Geliştirildiği Makale</w:t>
      </w:r>
    </w:p>
    <w:p w14:paraId="23114583" w14:textId="77777777" w:rsidR="00C75B12" w:rsidRPr="00C75B12" w:rsidRDefault="00C75B12" w:rsidP="00C75B12">
      <w:r w:rsidRPr="00C75B12">
        <w:t>Lütfen ölçeği kullanırken aşağıdaki kaynakça bilgisine yer veriniz:</w:t>
      </w:r>
    </w:p>
    <w:p w14:paraId="68A46E01" w14:textId="77777777" w:rsidR="00C75B12" w:rsidRPr="00C75B12" w:rsidRDefault="00C75B12" w:rsidP="00C75B12"/>
    <w:p w14:paraId="071D1E25" w14:textId="77777777" w:rsidR="00C75B12" w:rsidRPr="00C75B12" w:rsidRDefault="00C75B12" w:rsidP="00C75B12">
      <w:proofErr w:type="spellStart"/>
      <w:r w:rsidRPr="00C75B12">
        <w:t>Berşe</w:t>
      </w:r>
      <w:proofErr w:type="spellEnd"/>
      <w:r w:rsidRPr="00C75B12">
        <w:t xml:space="preserve">, S., </w:t>
      </w:r>
      <w:proofErr w:type="spellStart"/>
      <w:r w:rsidRPr="00C75B12">
        <w:t>Çapuk</w:t>
      </w:r>
      <w:proofErr w:type="spellEnd"/>
      <w:r w:rsidRPr="00C75B12">
        <w:t xml:space="preserve">, H., &amp; Ağar, A. (2025). Development of </w:t>
      </w:r>
      <w:proofErr w:type="spellStart"/>
      <w:r w:rsidRPr="00C75B12">
        <w:t>the</w:t>
      </w:r>
      <w:proofErr w:type="spellEnd"/>
      <w:r w:rsidRPr="00C75B12">
        <w:t xml:space="preserve"> </w:t>
      </w:r>
      <w:proofErr w:type="spellStart"/>
      <w:r w:rsidRPr="00C75B12">
        <w:t>Quality</w:t>
      </w:r>
      <w:proofErr w:type="spellEnd"/>
      <w:r w:rsidRPr="00C75B12">
        <w:t xml:space="preserve"> of Life </w:t>
      </w:r>
      <w:proofErr w:type="spellStart"/>
      <w:r w:rsidRPr="00C75B12">
        <w:t>Scale</w:t>
      </w:r>
      <w:proofErr w:type="spellEnd"/>
      <w:r w:rsidRPr="00C75B12">
        <w:t xml:space="preserve"> </w:t>
      </w:r>
      <w:proofErr w:type="spellStart"/>
      <w:r w:rsidRPr="00C75B12">
        <w:t>for</w:t>
      </w:r>
      <w:proofErr w:type="spellEnd"/>
      <w:r w:rsidRPr="00C75B12">
        <w:t xml:space="preserve"> </w:t>
      </w:r>
      <w:proofErr w:type="spellStart"/>
      <w:r w:rsidRPr="00C75B12">
        <w:t>Shift-working</w:t>
      </w:r>
      <w:proofErr w:type="spellEnd"/>
      <w:r w:rsidRPr="00C75B12">
        <w:t xml:space="preserve"> </w:t>
      </w:r>
      <w:proofErr w:type="spellStart"/>
      <w:r w:rsidRPr="00C75B12">
        <w:t>Nurses</w:t>
      </w:r>
      <w:proofErr w:type="spellEnd"/>
      <w:r w:rsidRPr="00C75B12">
        <w:t xml:space="preserve">. </w:t>
      </w:r>
      <w:proofErr w:type="spellStart"/>
      <w:r w:rsidRPr="00C75B12">
        <w:t>Safety</w:t>
      </w:r>
      <w:proofErr w:type="spellEnd"/>
      <w:r w:rsidRPr="00C75B12">
        <w:t xml:space="preserve"> </w:t>
      </w:r>
      <w:proofErr w:type="spellStart"/>
      <w:r w:rsidRPr="00C75B12">
        <w:t>and</w:t>
      </w:r>
      <w:proofErr w:type="spellEnd"/>
      <w:r w:rsidRPr="00C75B12">
        <w:t xml:space="preserve"> </w:t>
      </w:r>
      <w:proofErr w:type="spellStart"/>
      <w:r w:rsidRPr="00C75B12">
        <w:t>Health</w:t>
      </w:r>
      <w:proofErr w:type="spellEnd"/>
      <w:r w:rsidRPr="00C75B12">
        <w:t xml:space="preserve"> at </w:t>
      </w:r>
      <w:proofErr w:type="spellStart"/>
      <w:r w:rsidRPr="00C75B12">
        <w:t>Work</w:t>
      </w:r>
      <w:proofErr w:type="spellEnd"/>
      <w:r w:rsidRPr="00C75B12">
        <w:t>, 16(1), 46–52. https://doi.org/10.1016/j.shaw.2024.11.004</w:t>
      </w:r>
    </w:p>
    <w:p w14:paraId="54D5A6B1" w14:textId="77777777" w:rsidR="00C75B12" w:rsidRPr="00C75B12" w:rsidRDefault="00C75B12" w:rsidP="00C75B12"/>
    <w:p w14:paraId="180EB79D" w14:textId="2368B9D5" w:rsidR="00C75B12" w:rsidRPr="00C75B12" w:rsidRDefault="00C75B12" w:rsidP="00C75B12">
      <w:r w:rsidRPr="00C75B12">
        <w:t>Yayın CC-BY lisansı altındadır; bu da atıf yapıldığı sürece özgürce kullanım hakkı tanımaktadır.</w:t>
      </w:r>
    </w:p>
    <w:tbl>
      <w:tblPr>
        <w:tblW w:w="9705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5937"/>
        <w:gridCol w:w="542"/>
        <w:gridCol w:w="403"/>
        <w:gridCol w:w="490"/>
        <w:gridCol w:w="484"/>
        <w:gridCol w:w="645"/>
      </w:tblGrid>
      <w:tr w:rsidR="000B6E87" w:rsidRPr="00C75B12" w14:paraId="0582856B" w14:textId="77777777" w:rsidTr="00911B8D">
        <w:trPr>
          <w:cantSplit/>
          <w:trHeight w:val="2116"/>
          <w:jc w:val="center"/>
        </w:trPr>
        <w:tc>
          <w:tcPr>
            <w:tcW w:w="7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DC7E4" w14:textId="77777777" w:rsidR="000B6E87" w:rsidRPr="00C75B12" w:rsidRDefault="000B6E87" w:rsidP="004E65D6">
            <w:pPr>
              <w:rPr>
                <w:b/>
                <w:bCs/>
                <w:sz w:val="20"/>
                <w:szCs w:val="22"/>
                <w:lang w:eastAsia="zh-CN"/>
              </w:rPr>
            </w:pPr>
            <w:r w:rsidRPr="00C75B12">
              <w:rPr>
                <w:b/>
                <w:bCs/>
                <w:sz w:val="20"/>
                <w:szCs w:val="22"/>
                <w:lang w:eastAsia="zh-CN"/>
              </w:rPr>
              <w:t>Ölçek Maddeleri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6CAA6492" w14:textId="77777777" w:rsidR="000B6E87" w:rsidRPr="00C75B12" w:rsidRDefault="000B6E87" w:rsidP="004E65D6">
            <w:pPr>
              <w:rPr>
                <w:b/>
                <w:bCs/>
                <w:sz w:val="20"/>
                <w:szCs w:val="22"/>
                <w:lang w:eastAsia="zh-CN"/>
              </w:rPr>
            </w:pPr>
            <w:r w:rsidRPr="00C75B12">
              <w:rPr>
                <w:b/>
                <w:bCs/>
                <w:sz w:val="20"/>
                <w:szCs w:val="22"/>
                <w:lang w:eastAsia="zh-CN"/>
              </w:rPr>
              <w:t>Kesinlikle Katılmıyorum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5FE120B6" w14:textId="77777777" w:rsidR="000B6E87" w:rsidRPr="00C75B12" w:rsidRDefault="000B6E87" w:rsidP="004E65D6">
            <w:pPr>
              <w:ind w:left="113" w:right="113"/>
              <w:rPr>
                <w:b/>
                <w:bCs/>
                <w:sz w:val="20"/>
                <w:szCs w:val="22"/>
                <w:lang w:eastAsia="zh-CN"/>
              </w:rPr>
            </w:pPr>
            <w:r w:rsidRPr="00C75B12">
              <w:rPr>
                <w:b/>
                <w:bCs/>
                <w:sz w:val="20"/>
                <w:szCs w:val="22"/>
                <w:lang w:eastAsia="zh-CN"/>
              </w:rPr>
              <w:t>Katılmıyorum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5AB0C0B4" w14:textId="77777777" w:rsidR="000B6E87" w:rsidRPr="00C75B12" w:rsidRDefault="000B6E87" w:rsidP="004E65D6">
            <w:pPr>
              <w:ind w:left="113" w:right="113"/>
              <w:rPr>
                <w:b/>
                <w:bCs/>
                <w:sz w:val="20"/>
                <w:szCs w:val="22"/>
                <w:lang w:eastAsia="zh-CN"/>
              </w:rPr>
            </w:pPr>
            <w:r w:rsidRPr="00C75B12">
              <w:rPr>
                <w:b/>
                <w:bCs/>
                <w:sz w:val="20"/>
                <w:szCs w:val="22"/>
                <w:lang w:eastAsia="zh-CN"/>
              </w:rPr>
              <w:t>Kararsızım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49DDAA62" w14:textId="77777777" w:rsidR="000B6E87" w:rsidRPr="00C75B12" w:rsidRDefault="000B6E87" w:rsidP="004E65D6">
            <w:pPr>
              <w:ind w:left="113" w:right="113"/>
              <w:rPr>
                <w:b/>
                <w:bCs/>
                <w:sz w:val="20"/>
                <w:szCs w:val="22"/>
                <w:lang w:eastAsia="zh-CN"/>
              </w:rPr>
            </w:pPr>
            <w:r w:rsidRPr="00C75B12">
              <w:rPr>
                <w:b/>
                <w:bCs/>
                <w:sz w:val="20"/>
                <w:szCs w:val="22"/>
                <w:lang w:eastAsia="zh-CN"/>
              </w:rPr>
              <w:t>Katılıyorum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DE4825" w14:textId="77777777" w:rsidR="000B6E87" w:rsidRPr="00C75B12" w:rsidRDefault="000B6E87" w:rsidP="004E65D6">
            <w:pPr>
              <w:ind w:left="113" w:right="113"/>
              <w:rPr>
                <w:b/>
                <w:bCs/>
                <w:sz w:val="20"/>
                <w:szCs w:val="22"/>
                <w:lang w:eastAsia="zh-CN"/>
              </w:rPr>
            </w:pPr>
            <w:r w:rsidRPr="00C75B12">
              <w:rPr>
                <w:b/>
                <w:bCs/>
                <w:sz w:val="20"/>
                <w:szCs w:val="22"/>
                <w:lang w:eastAsia="zh-CN"/>
              </w:rPr>
              <w:t>Kesinlikle Katılıyorum</w:t>
            </w:r>
          </w:p>
        </w:tc>
      </w:tr>
      <w:tr w:rsidR="000B6E87" w:rsidRPr="00C75B12" w14:paraId="529167B2" w14:textId="77777777" w:rsidTr="00911B8D">
        <w:trPr>
          <w:trHeight w:val="460"/>
          <w:jc w:val="center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50267" w14:textId="77777777" w:rsidR="000B6E87" w:rsidRPr="00C75B12" w:rsidRDefault="000B6E87" w:rsidP="000B6E87">
            <w:pPr>
              <w:rPr>
                <w:b/>
                <w:sz w:val="20"/>
                <w:szCs w:val="22"/>
                <w:lang w:eastAsia="zh-CN"/>
              </w:rPr>
            </w:pPr>
            <w:r w:rsidRPr="00C75B12">
              <w:rPr>
                <w:b/>
                <w:sz w:val="20"/>
                <w:szCs w:val="22"/>
                <w:lang w:eastAsia="zh-CN"/>
              </w:rPr>
              <w:t>Sağlık Riskleri ve İş Güvenliği</w:t>
            </w: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217A33E3" w14:textId="77777777" w:rsidR="000B6E87" w:rsidRPr="00C75B12" w:rsidRDefault="000B6E87" w:rsidP="000B6E87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1-Kendimi her zaman yorgun hissediyorum.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558B7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948BB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82F7B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28423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D3EF54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B6E87" w:rsidRPr="00C75B12" w14:paraId="03DD44AE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3ED02" w14:textId="77777777" w:rsidR="000B6E87" w:rsidRPr="00C75B12" w:rsidRDefault="000B6E87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5BE83B4B" w14:textId="77777777" w:rsidR="000B6E87" w:rsidRPr="00C75B12" w:rsidRDefault="000B6E87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 xml:space="preserve">2-Kendimi </w:t>
            </w:r>
            <w:r w:rsidR="00055648" w:rsidRPr="00C75B12">
              <w:rPr>
                <w:sz w:val="20"/>
                <w:szCs w:val="22"/>
              </w:rPr>
              <w:t>sürekli</w:t>
            </w:r>
            <w:r w:rsidRPr="00C75B12">
              <w:rPr>
                <w:sz w:val="20"/>
                <w:szCs w:val="22"/>
              </w:rPr>
              <w:t xml:space="preserve"> uykusuz hissediyorum.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796B7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DEEF5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4E5E1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3970B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D66493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B6E87" w:rsidRPr="00C75B12" w14:paraId="20647AC5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0828E" w14:textId="77777777" w:rsidR="000B6E87" w:rsidRPr="00C75B12" w:rsidRDefault="000B6E87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5ABD5607" w14:textId="77777777" w:rsidR="000B6E87" w:rsidRPr="00C75B12" w:rsidRDefault="000B6E87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 xml:space="preserve">3-Kendimi sürekli </w:t>
            </w:r>
            <w:r w:rsidR="00055648" w:rsidRPr="00C75B12">
              <w:rPr>
                <w:sz w:val="20"/>
                <w:szCs w:val="22"/>
              </w:rPr>
              <w:t>bitkin</w:t>
            </w:r>
            <w:r w:rsidRPr="00C75B12">
              <w:rPr>
                <w:sz w:val="20"/>
                <w:szCs w:val="22"/>
              </w:rPr>
              <w:t xml:space="preserve"> hissediyorum.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A3F95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60654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D9E22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83B1E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20D3A6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B6E87" w:rsidRPr="00C75B12" w14:paraId="4C1B138D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6ADE2" w14:textId="77777777" w:rsidR="000B6E87" w:rsidRPr="00C75B12" w:rsidRDefault="000B6E87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66099A88" w14:textId="77777777" w:rsidR="000B6E87" w:rsidRPr="00C75B12" w:rsidRDefault="000B6E87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 xml:space="preserve">4-İş performansımın </w:t>
            </w:r>
            <w:r w:rsidR="00055648" w:rsidRPr="00C75B12">
              <w:rPr>
                <w:sz w:val="20"/>
                <w:szCs w:val="22"/>
              </w:rPr>
              <w:t>düştüğünü</w:t>
            </w:r>
            <w:r w:rsidRPr="00C75B12">
              <w:rPr>
                <w:sz w:val="20"/>
                <w:szCs w:val="22"/>
              </w:rPr>
              <w:t xml:space="preserve"> hissediyorum.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A2EAC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D3919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7243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049AF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979424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B6E87" w:rsidRPr="00C75B12" w14:paraId="3C01D813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9E655" w14:textId="77777777" w:rsidR="000B6E87" w:rsidRPr="00C75B12" w:rsidRDefault="000B6E87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6D962A1C" w14:textId="77777777" w:rsidR="000B6E87" w:rsidRPr="00C75B12" w:rsidRDefault="000B6E87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5-Fiziksel aktivitelerim azaldı.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A6F35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9019F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0018A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7B743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BE8505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B6E87" w:rsidRPr="00C75B12" w14:paraId="1BA67A39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CB20C7" w14:textId="77777777" w:rsidR="000B6E87" w:rsidRPr="00C75B12" w:rsidRDefault="000B6E87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64B53DE5" w14:textId="77777777" w:rsidR="000B6E87" w:rsidRPr="00C75B12" w:rsidRDefault="000B6E87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6-Sosyal aktivitelerim azaldı.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145E99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7DD657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94C1BD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D94C59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2C041" w14:textId="77777777" w:rsidR="000B6E87" w:rsidRPr="00C75B12" w:rsidRDefault="000B6E87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47262692" w14:textId="77777777" w:rsidTr="00911B8D">
        <w:trPr>
          <w:trHeight w:val="461"/>
          <w:jc w:val="center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CAB92CE" w14:textId="77777777" w:rsidR="00055648" w:rsidRPr="00C75B12" w:rsidRDefault="00055648" w:rsidP="000B6E87">
            <w:pPr>
              <w:rPr>
                <w:b/>
                <w:sz w:val="20"/>
                <w:szCs w:val="22"/>
                <w:lang w:eastAsia="zh-CN"/>
              </w:rPr>
            </w:pPr>
            <w:r w:rsidRPr="00C75B12">
              <w:rPr>
                <w:b/>
                <w:sz w:val="20"/>
                <w:szCs w:val="22"/>
                <w:lang w:eastAsia="zh-CN"/>
              </w:rPr>
              <w:t xml:space="preserve">Fiziksel ve Zihinsel </w:t>
            </w:r>
            <w:proofErr w:type="spellStart"/>
            <w:r w:rsidRPr="00C75B12">
              <w:rPr>
                <w:b/>
                <w:sz w:val="20"/>
                <w:szCs w:val="22"/>
                <w:lang w:eastAsia="zh-CN"/>
              </w:rPr>
              <w:t>Yorugunluk</w:t>
            </w:r>
            <w:proofErr w:type="spellEnd"/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3D2BC838" w14:textId="77777777" w:rsidR="00055648" w:rsidRPr="00C75B12" w:rsidRDefault="00055648" w:rsidP="000B6E87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7-Vardiyalı çalışma kronik hastalıklara yakalanma riskini artırır.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ACEEF3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57BB9E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C55FFC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001A3D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DFB923E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5FC6E9CF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DA284E9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7ED19843" w14:textId="77777777" w:rsidR="00055648" w:rsidRPr="00C75B12" w:rsidRDefault="00055648" w:rsidP="000B6E87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 xml:space="preserve">8-Vardiyalı çalışma </w:t>
            </w:r>
            <w:proofErr w:type="spellStart"/>
            <w:r w:rsidRPr="00C75B12">
              <w:rPr>
                <w:sz w:val="20"/>
                <w:szCs w:val="22"/>
              </w:rPr>
              <w:t>obezite</w:t>
            </w:r>
            <w:proofErr w:type="spellEnd"/>
            <w:r w:rsidRPr="00C75B12">
              <w:rPr>
                <w:sz w:val="20"/>
                <w:szCs w:val="22"/>
              </w:rPr>
              <w:t xml:space="preserve"> riskini artırır.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B3654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01540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BFED4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C0F43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26E1C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7787256C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D048888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61F6BD8B" w14:textId="77777777" w:rsidR="00055648" w:rsidRPr="00C75B12" w:rsidRDefault="00055648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9-Vardiyalı çalışma iştahımı ve sindirim sistemimi olumsuz etkiliyor.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26C50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22BB5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36EC8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DD90D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DCC53A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205F329C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6B39B0B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034FC3C0" w14:textId="77777777" w:rsidR="00055648" w:rsidRPr="00C75B12" w:rsidRDefault="00055648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10-Vardiyalı çalışma beslenme alışkanlıklarımı olumsuz etkiliyor.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54C8E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6B916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72EC6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A3B17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E9E767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775ED549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255C7D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575A3519" w14:textId="77777777" w:rsidR="00055648" w:rsidRPr="00C75B12" w:rsidRDefault="00055648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11-Vardiyalı çalışma iş yerinde kaza riskini artırabilir.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3EC81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4E456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8780E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28F7E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27CFE2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6DF63292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C29369A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242066C6" w14:textId="77777777" w:rsidR="00055648" w:rsidRPr="00C75B12" w:rsidRDefault="00055648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12-Vardiyalı çalışma meslek hastalıkları riskini artırır.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36F95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C5CB4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D3A5C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B484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6DDE4F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02F04292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8FEFBE2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0911D5DC" w14:textId="77777777" w:rsidR="00055648" w:rsidRPr="00C75B12" w:rsidRDefault="00055648" w:rsidP="000B6E87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13-Vardiyalı çalışma hata yapma olasılığımı artırır.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61AB6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B7E06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E9814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D0052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422774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572C790F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6367BB5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0334B018" w14:textId="77777777" w:rsidR="00055648" w:rsidRPr="00C75B12" w:rsidRDefault="00055648" w:rsidP="00055648">
            <w:pPr>
              <w:rPr>
                <w:sz w:val="20"/>
                <w:szCs w:val="22"/>
              </w:rPr>
            </w:pPr>
            <w:r w:rsidRPr="00C75B12">
              <w:rPr>
                <w:sz w:val="20"/>
                <w:szCs w:val="22"/>
              </w:rPr>
              <w:t>14-Vardiyalı çalışma iş stresin daha da artırır.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42AF7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0F996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3AE49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1E23D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810F16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753B0019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02D2BE2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3FF96B79" w14:textId="77777777" w:rsidR="00055648" w:rsidRPr="00C75B12" w:rsidRDefault="00055648" w:rsidP="000B6E87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15-Vardiyalı çalışma dikkat düzeyinin azalmasına neden olur.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CC9C9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61323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90DDD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5C38F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4C0A7B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179C93EC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7FC32E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076F9E8C" w14:textId="77777777" w:rsidR="00055648" w:rsidRPr="00C75B12" w:rsidRDefault="00055648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16-Vardiyalı çalışma işimin kalitesini düşürüyor.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20473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19456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45195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A664B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E328AF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168D98C9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CE3901C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711C7808" w14:textId="77777777" w:rsidR="00055648" w:rsidRPr="00C75B12" w:rsidRDefault="00055648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17-Vardiyalı çalışma tükenmişliğe yol açıyor.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35C077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259548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DCD554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F0E01D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2A840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3EBA89DD" w14:textId="77777777" w:rsidTr="00911B8D">
        <w:trPr>
          <w:trHeight w:val="460"/>
          <w:jc w:val="center"/>
        </w:trPr>
        <w:tc>
          <w:tcPr>
            <w:tcW w:w="1204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2B2279" w14:textId="77777777" w:rsidR="00055648" w:rsidRPr="00C75B12" w:rsidRDefault="00055648" w:rsidP="000B6E87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right w:val="nil"/>
            </w:tcBorders>
            <w:shd w:val="clear" w:color="auto" w:fill="auto"/>
            <w:noWrap/>
          </w:tcPr>
          <w:p w14:paraId="7ED6526C" w14:textId="77777777" w:rsidR="00055648" w:rsidRPr="00C75B12" w:rsidRDefault="00055648" w:rsidP="000B6E87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18-Vardiyalı çalışmam nedeniyle ailem ve arkadaşlarımla sürekli tartışıyorum.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4EA99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8E90A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10F67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8DC66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0C2A2C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2F571536" w14:textId="77777777" w:rsidTr="00911B8D">
        <w:trPr>
          <w:trHeight w:val="460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547BFC0" w14:textId="77777777" w:rsidR="00055648" w:rsidRPr="00C75B12" w:rsidRDefault="00055648" w:rsidP="000B6E87">
            <w:pPr>
              <w:rPr>
                <w:b/>
                <w:sz w:val="20"/>
                <w:szCs w:val="22"/>
                <w:lang w:eastAsia="zh-CN"/>
              </w:rPr>
            </w:pPr>
            <w:r w:rsidRPr="00C75B12">
              <w:rPr>
                <w:b/>
                <w:sz w:val="20"/>
                <w:szCs w:val="22"/>
                <w:lang w:eastAsia="zh-CN"/>
              </w:rPr>
              <w:t>Sosyal ve Psikolojik Etkileşim</w:t>
            </w:r>
          </w:p>
        </w:tc>
        <w:tc>
          <w:tcPr>
            <w:tcW w:w="593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93E1C4" w14:textId="77777777" w:rsidR="00055648" w:rsidRPr="00C75B12" w:rsidRDefault="00055648" w:rsidP="000B6E87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19-Reçetesiz veya reçeteli uyku ilaçları gibi uyku yardımcıları kullanıyorum.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9252C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3E453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B07BC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4B15B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F4C5DB" w14:textId="77777777" w:rsidR="00055648" w:rsidRPr="00C75B12" w:rsidRDefault="00055648" w:rsidP="000B6E87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  <w:tr w:rsidR="00055648" w:rsidRPr="00C75B12" w14:paraId="628A584E" w14:textId="77777777" w:rsidTr="00911B8D">
        <w:trPr>
          <w:trHeight w:val="423"/>
          <w:jc w:val="center"/>
        </w:trPr>
        <w:tc>
          <w:tcPr>
            <w:tcW w:w="12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AD58A5D" w14:textId="77777777" w:rsidR="00055648" w:rsidRPr="00C75B12" w:rsidRDefault="00055648" w:rsidP="00055648">
            <w:pPr>
              <w:rPr>
                <w:sz w:val="20"/>
                <w:szCs w:val="22"/>
                <w:lang w:eastAsia="zh-CN"/>
              </w:rPr>
            </w:pPr>
          </w:p>
        </w:tc>
        <w:tc>
          <w:tcPr>
            <w:tcW w:w="593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D29F225" w14:textId="77777777" w:rsidR="00055648" w:rsidRPr="00C75B12" w:rsidRDefault="00055648" w:rsidP="00055648">
            <w:pPr>
              <w:rPr>
                <w:b/>
                <w:bCs/>
                <w:sz w:val="20"/>
                <w:szCs w:val="18"/>
              </w:rPr>
            </w:pPr>
            <w:r w:rsidRPr="00C75B12">
              <w:rPr>
                <w:sz w:val="20"/>
                <w:szCs w:val="22"/>
              </w:rPr>
              <w:t>20-vardiyalı çalıştığımdan dolayı işi bırakmayı düşünüyorum.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3B3F8C" w14:textId="77777777" w:rsidR="00055648" w:rsidRPr="00C75B12" w:rsidRDefault="00055648" w:rsidP="00055648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01A9FD" w14:textId="77777777" w:rsidR="00055648" w:rsidRPr="00C75B12" w:rsidRDefault="00055648" w:rsidP="00055648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E3175E" w14:textId="77777777" w:rsidR="00055648" w:rsidRPr="00C75B12" w:rsidRDefault="00055648" w:rsidP="00055648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043D6C" w14:textId="77777777" w:rsidR="00055648" w:rsidRPr="00C75B12" w:rsidRDefault="00055648" w:rsidP="00055648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7B554FD" w14:textId="77777777" w:rsidR="00055648" w:rsidRPr="00C75B12" w:rsidRDefault="00055648" w:rsidP="00055648">
            <w:pPr>
              <w:jc w:val="center"/>
              <w:rPr>
                <w:sz w:val="20"/>
                <w:szCs w:val="22"/>
                <w:lang w:eastAsia="zh-CN"/>
              </w:rPr>
            </w:pPr>
            <w:r w:rsidRPr="00C75B12">
              <w:rPr>
                <w:sz w:val="20"/>
                <w:szCs w:val="22"/>
                <w:lang w:eastAsia="zh-CN"/>
              </w:rPr>
              <w:t>5</w:t>
            </w:r>
          </w:p>
        </w:tc>
      </w:tr>
    </w:tbl>
    <w:p w14:paraId="706AA5D7" w14:textId="77777777" w:rsidR="000B6E87" w:rsidRPr="00C75B12" w:rsidRDefault="000B6E87" w:rsidP="007421D8"/>
    <w:sectPr w:rsidR="000B6E87" w:rsidRPr="00C7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7B"/>
    <w:multiLevelType w:val="multilevel"/>
    <w:tmpl w:val="88E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2690E"/>
    <w:multiLevelType w:val="multilevel"/>
    <w:tmpl w:val="3386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D12F6"/>
    <w:multiLevelType w:val="multilevel"/>
    <w:tmpl w:val="2A7E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07150"/>
    <w:multiLevelType w:val="multilevel"/>
    <w:tmpl w:val="B18E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50"/>
    <w:rsid w:val="00055648"/>
    <w:rsid w:val="000B6E87"/>
    <w:rsid w:val="00485FA8"/>
    <w:rsid w:val="00700000"/>
    <w:rsid w:val="007421D8"/>
    <w:rsid w:val="007B2350"/>
    <w:rsid w:val="00801920"/>
    <w:rsid w:val="00911B8D"/>
    <w:rsid w:val="00AD48CE"/>
    <w:rsid w:val="00C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F7DD"/>
  <w15:chartTrackingRefBased/>
  <w15:docId w15:val="{539BFF0F-CBF0-4EC2-A294-7B315A06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0B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5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4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</dc:creator>
  <cp:keywords/>
  <dc:description/>
  <cp:lastModifiedBy>ALİ</cp:lastModifiedBy>
  <cp:revision>2</cp:revision>
  <dcterms:created xsi:type="dcterms:W3CDTF">2025-04-06T12:18:00Z</dcterms:created>
  <dcterms:modified xsi:type="dcterms:W3CDTF">2025-04-06T12:18:00Z</dcterms:modified>
</cp:coreProperties>
</file>