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7E8EDB">
      <w:pPr>
        <w:spacing w:before="100" w:beforeAutospacing="1" w:after="100" w:afterAutospacing="1" w:line="256" w:lineRule="auto"/>
        <w:jc w:val="center"/>
        <w:rPr>
          <w:rFonts w:ascii="Calibri" w:hAnsi="Calibri" w:eastAsia="Times New Roman" w:cs="Times New Roman"/>
          <w:b/>
          <w:bCs/>
          <w:kern w:val="0"/>
          <w:sz w:val="24"/>
          <w:szCs w:val="24"/>
          <w:lang w:eastAsia="tr-TR"/>
          <w14:ligatures w14:val="none"/>
        </w:rPr>
      </w:pPr>
      <w:r>
        <w:rPr>
          <w:rFonts w:ascii="Calibri" w:hAnsi="Calibri" w:eastAsia="Times New Roman" w:cs="Calibri"/>
          <w:b/>
          <w:bCs/>
          <w:kern w:val="0"/>
          <w:sz w:val="24"/>
          <w:szCs w:val="24"/>
          <w:lang w:eastAsia="tr-TR"/>
          <w14:ligatures w14:val="none"/>
        </w:rPr>
        <w:t>TIBBİ CİHAZ İLİŞKİLİ BASINÇ YARALANMASI BİLGİ ÖLÇEĞİ</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673"/>
        <w:gridCol w:w="5229"/>
        <w:gridCol w:w="961"/>
        <w:gridCol w:w="844"/>
        <w:gridCol w:w="1395"/>
      </w:tblGrid>
      <w:tr w14:paraId="10E95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9102" w:type="dxa"/>
            <w:gridSpan w:val="5"/>
            <w:vAlign w:val="center"/>
          </w:tcPr>
          <w:p w14:paraId="3A3B52EE">
            <w:pPr>
              <w:autoSpaceDE w:val="0"/>
              <w:spacing w:before="100" w:beforeAutospacing="1" w:after="100" w:afterAutospacing="1" w:line="256" w:lineRule="auto"/>
              <w:jc w:val="center"/>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Tıbbi Cihaz İlişkili Basınç Yaralanması Bilgi Ölçeği</w:t>
            </w:r>
          </w:p>
        </w:tc>
      </w:tr>
      <w:tr w14:paraId="7D958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6319FE60">
            <w:pPr>
              <w:autoSpaceDE w:val="0"/>
              <w:spacing w:before="100" w:beforeAutospacing="1" w:after="100" w:afterAutospacing="1" w:line="256" w:lineRule="auto"/>
              <w:rPr>
                <w:rFonts w:ascii="Calibri" w:hAnsi="Calibri" w:eastAsia="Times New Roman" w:cs="Calibri"/>
                <w:b/>
                <w:bCs/>
                <w:kern w:val="0"/>
                <w:sz w:val="24"/>
                <w:szCs w:val="24"/>
                <w:lang w:eastAsia="tr-TR"/>
                <w14:ligatures w14:val="none"/>
              </w:rPr>
            </w:pPr>
          </w:p>
        </w:tc>
        <w:tc>
          <w:tcPr>
            <w:tcW w:w="5229" w:type="dxa"/>
          </w:tcPr>
          <w:p w14:paraId="77408209">
            <w:pPr>
              <w:autoSpaceDE w:val="0"/>
              <w:spacing w:before="100" w:beforeAutospacing="1" w:after="100" w:afterAutospacing="1" w:line="256" w:lineRule="auto"/>
              <w:rPr>
                <w:rFonts w:ascii="Calibri" w:hAnsi="Calibri" w:eastAsia="Times New Roman" w:cs="Calibri"/>
                <w:kern w:val="0"/>
                <w:sz w:val="24"/>
                <w:szCs w:val="24"/>
                <w:lang w:eastAsia="tr-TR"/>
                <w14:ligatures w14:val="none"/>
              </w:rPr>
            </w:pPr>
          </w:p>
        </w:tc>
        <w:tc>
          <w:tcPr>
            <w:tcW w:w="961" w:type="dxa"/>
          </w:tcPr>
          <w:p w14:paraId="00C99952">
            <w:pPr>
              <w:autoSpaceDE w:val="0"/>
              <w:spacing w:before="100" w:beforeAutospacing="1" w:after="100" w:afterAutospacing="1" w:line="256" w:lineRule="auto"/>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Doğru</w:t>
            </w:r>
          </w:p>
        </w:tc>
        <w:tc>
          <w:tcPr>
            <w:tcW w:w="844" w:type="dxa"/>
          </w:tcPr>
          <w:p w14:paraId="510B909E">
            <w:pPr>
              <w:autoSpaceDE w:val="0"/>
              <w:spacing w:before="100" w:beforeAutospacing="1" w:after="100" w:afterAutospacing="1" w:line="256" w:lineRule="auto"/>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Yanlış</w:t>
            </w:r>
          </w:p>
        </w:tc>
        <w:tc>
          <w:tcPr>
            <w:tcW w:w="1395" w:type="dxa"/>
          </w:tcPr>
          <w:p w14:paraId="43B7CF39">
            <w:pPr>
              <w:autoSpaceDE w:val="0"/>
              <w:spacing w:before="100" w:beforeAutospacing="1" w:after="100" w:afterAutospacing="1" w:line="256" w:lineRule="auto"/>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Bilmiyorum</w:t>
            </w:r>
          </w:p>
        </w:tc>
      </w:tr>
      <w:tr w14:paraId="40B76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6CE11EAE">
            <w:pPr>
              <w:autoSpaceDE w:val="0"/>
              <w:spacing w:before="100" w:beforeAutospacing="1" w:after="100" w:afterAutospacing="1" w:line="256" w:lineRule="auto"/>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No</w:t>
            </w:r>
          </w:p>
        </w:tc>
        <w:tc>
          <w:tcPr>
            <w:tcW w:w="5229" w:type="dxa"/>
          </w:tcPr>
          <w:p w14:paraId="1362DB72">
            <w:pPr>
              <w:autoSpaceDE w:val="0"/>
              <w:spacing w:before="100" w:beforeAutospacing="1" w:after="100" w:afterAutospacing="1" w:line="256" w:lineRule="auto"/>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Sorular</w:t>
            </w:r>
          </w:p>
        </w:tc>
        <w:tc>
          <w:tcPr>
            <w:tcW w:w="961" w:type="dxa"/>
          </w:tcPr>
          <w:p w14:paraId="52895CFC">
            <w:pPr>
              <w:autoSpaceDE w:val="0"/>
              <w:spacing w:before="100" w:beforeAutospacing="1" w:after="100" w:afterAutospacing="1" w:line="256" w:lineRule="auto"/>
              <w:jc w:val="both"/>
              <w:rPr>
                <w:rFonts w:ascii="Calibri" w:hAnsi="Calibri" w:eastAsia="Times New Roman" w:cs="Calibri"/>
                <w:b/>
                <w:bCs/>
                <w:kern w:val="0"/>
                <w:sz w:val="24"/>
                <w:szCs w:val="24"/>
                <w:lang w:eastAsia="tr-TR"/>
                <w14:ligatures w14:val="none"/>
              </w:rPr>
            </w:pPr>
          </w:p>
        </w:tc>
        <w:tc>
          <w:tcPr>
            <w:tcW w:w="844" w:type="dxa"/>
          </w:tcPr>
          <w:p w14:paraId="7AC10EB4">
            <w:pPr>
              <w:autoSpaceDE w:val="0"/>
              <w:spacing w:before="100" w:beforeAutospacing="1" w:after="100" w:afterAutospacing="1" w:line="256" w:lineRule="auto"/>
              <w:jc w:val="both"/>
              <w:rPr>
                <w:rFonts w:ascii="Calibri" w:hAnsi="Calibri" w:eastAsia="Times New Roman" w:cs="Calibri"/>
                <w:b/>
                <w:bCs/>
                <w:kern w:val="0"/>
                <w:sz w:val="24"/>
                <w:szCs w:val="24"/>
                <w:lang w:eastAsia="tr-TR"/>
                <w14:ligatures w14:val="none"/>
              </w:rPr>
            </w:pPr>
          </w:p>
        </w:tc>
        <w:tc>
          <w:tcPr>
            <w:tcW w:w="1395" w:type="dxa"/>
          </w:tcPr>
          <w:p w14:paraId="5B5E0374">
            <w:pPr>
              <w:autoSpaceDE w:val="0"/>
              <w:spacing w:before="100" w:beforeAutospacing="1" w:after="100" w:afterAutospacing="1" w:line="256" w:lineRule="auto"/>
              <w:jc w:val="both"/>
              <w:rPr>
                <w:rFonts w:ascii="Calibri" w:hAnsi="Calibri" w:eastAsia="Times New Roman" w:cs="Calibri"/>
                <w:b/>
                <w:bCs/>
                <w:kern w:val="0"/>
                <w:sz w:val="24"/>
                <w:szCs w:val="24"/>
                <w:lang w:eastAsia="tr-TR"/>
                <w14:ligatures w14:val="none"/>
              </w:rPr>
            </w:pPr>
          </w:p>
        </w:tc>
      </w:tr>
      <w:tr w14:paraId="5B2D8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560DE0CD">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w:t>
            </w:r>
          </w:p>
        </w:tc>
        <w:tc>
          <w:tcPr>
            <w:tcW w:w="5229" w:type="dxa"/>
          </w:tcPr>
          <w:p w14:paraId="6D75F29C">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Tıbbi cihaz ilişkili basınç yaralanmaları (TCİBY), tıbbi cihazlar yerine tıbbi olmayan cihazların (örn. Cep telefonu, kalem vb.) neden olduğu basınç yaralanmalarıdır.</w:t>
            </w:r>
          </w:p>
        </w:tc>
        <w:tc>
          <w:tcPr>
            <w:tcW w:w="961" w:type="dxa"/>
          </w:tcPr>
          <w:p w14:paraId="60E9383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6E1E8565">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3F077B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0D829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7C1774D6">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w:t>
            </w:r>
          </w:p>
        </w:tc>
        <w:tc>
          <w:tcPr>
            <w:tcW w:w="5229" w:type="dxa"/>
          </w:tcPr>
          <w:p w14:paraId="2AEA3532">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Mukoz membranlarda gelişen TCİBY’larını sınıflandırmak için uluslararası basınç yaralanması evrelendirme sistemi (örn. Evre I, Evre II) kullanılır.</w:t>
            </w:r>
          </w:p>
        </w:tc>
        <w:tc>
          <w:tcPr>
            <w:tcW w:w="961" w:type="dxa"/>
          </w:tcPr>
          <w:p w14:paraId="760797F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1C5D4ED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42A6A131">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6B2D1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66EBD859">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3</w:t>
            </w:r>
          </w:p>
        </w:tc>
        <w:tc>
          <w:tcPr>
            <w:tcW w:w="5229" w:type="dxa"/>
          </w:tcPr>
          <w:p w14:paraId="00D7AE3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Tıbbi cihaz kullanan tüm hastalar TCİBY gelişme riski taşır.</w:t>
            </w:r>
          </w:p>
        </w:tc>
        <w:tc>
          <w:tcPr>
            <w:tcW w:w="961" w:type="dxa"/>
          </w:tcPr>
          <w:p w14:paraId="6D44472E">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6F6B949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0D2F506D">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4EDCA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3D24B432">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4</w:t>
            </w:r>
          </w:p>
        </w:tc>
        <w:tc>
          <w:tcPr>
            <w:tcW w:w="5229" w:type="dxa"/>
          </w:tcPr>
          <w:p w14:paraId="4421AA52">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Yoğun bakım hastaları, yeni doğanlar ve yaşlılar TCİBY’ler için yüksek riskli gruplardır.</w:t>
            </w:r>
          </w:p>
        </w:tc>
        <w:tc>
          <w:tcPr>
            <w:tcW w:w="961" w:type="dxa"/>
          </w:tcPr>
          <w:p w14:paraId="5A8FE28E">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5CF34876">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7C2FBFC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0F078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02101017">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5</w:t>
            </w:r>
          </w:p>
        </w:tc>
        <w:tc>
          <w:tcPr>
            <w:tcW w:w="5229" w:type="dxa"/>
          </w:tcPr>
          <w:p w14:paraId="3D45EFC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TCİBY’nın risk değerlendirmesi her hasta için kabulden sonraki 12 saat içinde tamamlanmalıdır.</w:t>
            </w:r>
          </w:p>
        </w:tc>
        <w:tc>
          <w:tcPr>
            <w:tcW w:w="961" w:type="dxa"/>
          </w:tcPr>
          <w:p w14:paraId="3F0BE88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46E467F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437588A2">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4CDB8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2F97FA06">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6</w:t>
            </w:r>
          </w:p>
        </w:tc>
        <w:tc>
          <w:tcPr>
            <w:tcW w:w="5229" w:type="dxa"/>
          </w:tcPr>
          <w:p w14:paraId="745F93D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Tıbbi cihazların seçimi, üreticinin önerilerine uygun olmalıdır.</w:t>
            </w:r>
          </w:p>
        </w:tc>
        <w:tc>
          <w:tcPr>
            <w:tcW w:w="961" w:type="dxa"/>
          </w:tcPr>
          <w:p w14:paraId="11B6986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2500D15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B6B424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72F31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1DA6B5CC">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7</w:t>
            </w:r>
          </w:p>
        </w:tc>
        <w:tc>
          <w:tcPr>
            <w:tcW w:w="5229" w:type="dxa"/>
          </w:tcPr>
          <w:p w14:paraId="1F990D2E">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TCİBY’nı önlemek için hastaya uygun doğru ölçüde tıbbi cihaz seçilmelidir.</w:t>
            </w:r>
          </w:p>
        </w:tc>
        <w:tc>
          <w:tcPr>
            <w:tcW w:w="961" w:type="dxa"/>
          </w:tcPr>
          <w:p w14:paraId="4D9B6EC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5EF5DD06">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192D1E6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40EBF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71F835A3">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8</w:t>
            </w:r>
          </w:p>
        </w:tc>
        <w:tc>
          <w:tcPr>
            <w:tcW w:w="5229" w:type="dxa"/>
          </w:tcPr>
          <w:p w14:paraId="5A2E9AA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Tıbbi cihazın hareket etmesini önlemek için sıkıca sabitlenmelidir.</w:t>
            </w:r>
          </w:p>
        </w:tc>
        <w:tc>
          <w:tcPr>
            <w:tcW w:w="961" w:type="dxa"/>
          </w:tcPr>
          <w:p w14:paraId="48EF32C2">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1B7B2AA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5F1EF00C">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6CC86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378FDA22">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9</w:t>
            </w:r>
          </w:p>
        </w:tc>
        <w:tc>
          <w:tcPr>
            <w:tcW w:w="5229" w:type="dxa"/>
          </w:tcPr>
          <w:p w14:paraId="24B01AD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 xml:space="preserve">Mekanik ventilasyon ihtiyacı olan hastalar için yumuşak bir trakeal tüp kullanılması </w:t>
            </w:r>
            <w:r>
              <w:rPr>
                <w:rFonts w:ascii="Calibri" w:hAnsi="Calibri" w:eastAsia="Times New Roman" w:cs="Calibri"/>
                <w:color w:val="000000"/>
                <w:kern w:val="0"/>
                <w:sz w:val="24"/>
                <w:szCs w:val="24"/>
                <w:lang w:eastAsia="tr-TR"/>
                <w14:ligatures w14:val="none"/>
              </w:rPr>
              <w:t>TCİBY görülme sıklığını azaltabilir.</w:t>
            </w:r>
          </w:p>
        </w:tc>
        <w:tc>
          <w:tcPr>
            <w:tcW w:w="961" w:type="dxa"/>
          </w:tcPr>
          <w:p w14:paraId="1301EDA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4C06700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E040F36">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01E31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5F60C710">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10</w:t>
            </w:r>
          </w:p>
        </w:tc>
        <w:tc>
          <w:tcPr>
            <w:tcW w:w="5229" w:type="dxa"/>
          </w:tcPr>
          <w:p w14:paraId="1EC18DCD">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Servikal omurga yaralanması olan hastalarda iyileşme görülünceye kadar boyunluk takılı kalmalıdır.</w:t>
            </w:r>
          </w:p>
        </w:tc>
        <w:tc>
          <w:tcPr>
            <w:tcW w:w="961" w:type="dxa"/>
          </w:tcPr>
          <w:p w14:paraId="0269B4EA">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2C4E146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4A719161">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6AEEE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011767FB">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11</w:t>
            </w:r>
          </w:p>
        </w:tc>
        <w:tc>
          <w:tcPr>
            <w:tcW w:w="5229" w:type="dxa"/>
          </w:tcPr>
          <w:p w14:paraId="79FCC57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Köprüleme yöntemi veya yükseltilmiş platform köprüleme yöntemi, basınç yarası oluşumunu azaltarak tüp hattını sabitlemek için kullanılır.</w:t>
            </w:r>
          </w:p>
        </w:tc>
        <w:tc>
          <w:tcPr>
            <w:tcW w:w="961" w:type="dxa"/>
          </w:tcPr>
          <w:p w14:paraId="7130BA1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7561182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8E8180A">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7A1B9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6B2B9DED">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12</w:t>
            </w:r>
          </w:p>
        </w:tc>
        <w:tc>
          <w:tcPr>
            <w:tcW w:w="5229" w:type="dxa"/>
          </w:tcPr>
          <w:p w14:paraId="035689B5">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Kalıcı üriner kateter hastanın bacağının altına yerleştirilmelidir.</w:t>
            </w:r>
          </w:p>
        </w:tc>
        <w:tc>
          <w:tcPr>
            <w:tcW w:w="961" w:type="dxa"/>
          </w:tcPr>
          <w:p w14:paraId="29ED9AEE">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1B5D5C7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67B0864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24D74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0F0B9D27">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13</w:t>
            </w:r>
          </w:p>
        </w:tc>
        <w:tc>
          <w:tcPr>
            <w:tcW w:w="5229" w:type="dxa"/>
          </w:tcPr>
          <w:p w14:paraId="4B98A055">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Non-invaziv ventilasyon maskesi ile cilt arasına yerleştirilen köpük pansuman/örtü basıncı azaltabilir.</w:t>
            </w:r>
          </w:p>
        </w:tc>
        <w:tc>
          <w:tcPr>
            <w:tcW w:w="961" w:type="dxa"/>
          </w:tcPr>
          <w:p w14:paraId="394BBB7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29629A5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46C8EA7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4EDF6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723D8329">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14</w:t>
            </w:r>
          </w:p>
        </w:tc>
        <w:tc>
          <w:tcPr>
            <w:tcW w:w="5229" w:type="dxa"/>
          </w:tcPr>
          <w:p w14:paraId="3CDDB47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Cildin değerlendirilmesi için cihazın günlük olarak hareket ettirilmesi gerekir ve cilde zarar vermeden çıkarılabilen ve tekrar tekrar hareket ettirilebilen koruyucu pansumanlar seçilir.</w:t>
            </w:r>
          </w:p>
        </w:tc>
        <w:tc>
          <w:tcPr>
            <w:tcW w:w="961" w:type="dxa"/>
          </w:tcPr>
          <w:p w14:paraId="2060AA06">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3767608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13EEE54D">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605F8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6CA5A30F">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15</w:t>
            </w:r>
          </w:p>
        </w:tc>
        <w:tc>
          <w:tcPr>
            <w:tcW w:w="5229" w:type="dxa"/>
          </w:tcPr>
          <w:p w14:paraId="296D69D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Eğer koruyucu pansuman kirlenir, yerinden çıkar, gevşer veya çok ıslanırsa değiştirilmeli ve cilt yeniden değerlendirilmelidir.</w:t>
            </w:r>
          </w:p>
        </w:tc>
        <w:tc>
          <w:tcPr>
            <w:tcW w:w="961" w:type="dxa"/>
          </w:tcPr>
          <w:p w14:paraId="65822C74">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4DF045B1">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15AE7231">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67050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4B08C09C">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16</w:t>
            </w:r>
          </w:p>
        </w:tc>
        <w:tc>
          <w:tcPr>
            <w:tcW w:w="5229" w:type="dxa"/>
          </w:tcPr>
          <w:p w14:paraId="29D1F425">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Çok katmanlı koruyucu pansumanlar, basıncı azaltmada daha etkilidir ve TCİBY oluşumunu önlemek için tıbbi cihazın altına yerleştirilmelidir.</w:t>
            </w:r>
          </w:p>
        </w:tc>
        <w:tc>
          <w:tcPr>
            <w:tcW w:w="961" w:type="dxa"/>
          </w:tcPr>
          <w:p w14:paraId="768FF04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0B00CC0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389FD6ED">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3348D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46CEDD3C">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17</w:t>
            </w:r>
          </w:p>
        </w:tc>
        <w:tc>
          <w:tcPr>
            <w:tcW w:w="5229" w:type="dxa"/>
          </w:tcPr>
          <w:p w14:paraId="090A21EA">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Trakeotomi tüpü sabitleme bağının neden olduğu basınç bölgesindeki cilt üzerine hidrokolloid bir pansumanın koruyucu olarak yerleştirilmesi, TCİBY görülme oranını azaltır.</w:t>
            </w:r>
          </w:p>
        </w:tc>
        <w:tc>
          <w:tcPr>
            <w:tcW w:w="961" w:type="dxa"/>
          </w:tcPr>
          <w:p w14:paraId="64C3BCB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442A8BF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F498A3B">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2EF64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0C485152">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18</w:t>
            </w:r>
          </w:p>
        </w:tc>
        <w:tc>
          <w:tcPr>
            <w:tcW w:w="5229" w:type="dxa"/>
          </w:tcPr>
          <w:p w14:paraId="4D646ACA">
            <w:pPr>
              <w:autoSpaceDE w:val="0"/>
              <w:spacing w:before="100" w:beforeAutospacing="1" w:after="100" w:afterAutospacing="1" w:line="256" w:lineRule="auto"/>
              <w:jc w:val="both"/>
              <w:rPr>
                <w:rFonts w:hint="default" w:ascii="Calibri" w:hAnsi="Calibri" w:eastAsia="Times New Roman" w:cs="Calibri"/>
                <w:kern w:val="0"/>
                <w:sz w:val="24"/>
                <w:szCs w:val="24"/>
                <w:lang w:val="en-US" w:eastAsia="tr-TR"/>
                <w14:ligatures w14:val="none"/>
              </w:rPr>
            </w:pPr>
            <w:r>
              <w:rPr>
                <w:rFonts w:ascii="Calibri" w:hAnsi="Calibri" w:eastAsia="Times New Roman" w:cs="Calibri"/>
                <w:kern w:val="0"/>
                <w:sz w:val="24"/>
                <w:szCs w:val="24"/>
                <w:lang w:eastAsia="tr-TR"/>
                <w14:ligatures w14:val="none"/>
              </w:rPr>
              <w:t>TCİBY’nın önlenmesinde hidrosol pansumanlar köpük pansumanlardan daha üstündür.</w:t>
            </w:r>
            <w:r>
              <w:rPr>
                <w:rFonts w:hint="default" w:ascii="Calibri" w:hAnsi="Calibri" w:eastAsia="Times New Roman" w:cs="Calibri"/>
                <w:kern w:val="0"/>
                <w:sz w:val="24"/>
                <w:szCs w:val="24"/>
                <w:lang w:val="en-US" w:eastAsia="tr-TR"/>
                <w14:ligatures w14:val="none"/>
              </w:rPr>
              <w:t>*</w:t>
            </w:r>
          </w:p>
        </w:tc>
        <w:tc>
          <w:tcPr>
            <w:tcW w:w="961" w:type="dxa"/>
          </w:tcPr>
          <w:p w14:paraId="2061A37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5CC9157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94AA05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3278D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3A601A4E">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19</w:t>
            </w:r>
          </w:p>
        </w:tc>
        <w:tc>
          <w:tcPr>
            <w:tcW w:w="5229" w:type="dxa"/>
          </w:tcPr>
          <w:p w14:paraId="13DDE9F8">
            <w:pPr>
              <w:autoSpaceDE w:val="0"/>
              <w:spacing w:before="100" w:beforeAutospacing="1" w:after="100" w:afterAutospacing="1" w:line="256" w:lineRule="auto"/>
              <w:jc w:val="both"/>
              <w:rPr>
                <w:rFonts w:hint="default" w:ascii="Calibri" w:hAnsi="Calibri" w:eastAsia="Times New Roman" w:cs="Calibri"/>
                <w:kern w:val="0"/>
                <w:sz w:val="24"/>
                <w:szCs w:val="24"/>
                <w:lang w:val="en-US" w:eastAsia="tr-TR"/>
                <w14:ligatures w14:val="none"/>
              </w:rPr>
            </w:pPr>
            <w:r>
              <w:rPr>
                <w:rFonts w:ascii="Calibri" w:hAnsi="Calibri" w:eastAsia="Times New Roman" w:cs="Calibri"/>
                <w:color w:val="222222"/>
                <w:kern w:val="0"/>
                <w:sz w:val="24"/>
                <w:szCs w:val="24"/>
                <w:shd w:val="clear" w:color="auto" w:fill="FFFFFF"/>
                <w:lang w:eastAsia="tr-TR"/>
                <w14:ligatures w14:val="none"/>
              </w:rPr>
              <w:t>Her hastaya yatıştan sonraki 12 saat içinde kapsamlı bir cilt değerlendirilmesi yapılmalı ve kaydedilmelidir.</w:t>
            </w:r>
            <w:r>
              <w:rPr>
                <w:rFonts w:hint="default" w:ascii="Calibri" w:hAnsi="Calibri" w:eastAsia="Times New Roman" w:cs="Calibri"/>
                <w:color w:val="222222"/>
                <w:kern w:val="0"/>
                <w:sz w:val="24"/>
                <w:szCs w:val="24"/>
                <w:shd w:val="clear" w:color="auto" w:fill="FFFFFF"/>
                <w:lang w:val="en-US" w:eastAsia="tr-TR"/>
                <w14:ligatures w14:val="none"/>
              </w:rPr>
              <w:t>*</w:t>
            </w:r>
          </w:p>
        </w:tc>
        <w:tc>
          <w:tcPr>
            <w:tcW w:w="961" w:type="dxa"/>
          </w:tcPr>
          <w:p w14:paraId="43659B72">
            <w:pPr>
              <w:autoSpaceDE w:val="0"/>
              <w:spacing w:before="100" w:beforeAutospacing="1" w:after="100" w:afterAutospacing="1" w:line="256" w:lineRule="auto"/>
              <w:jc w:val="both"/>
              <w:rPr>
                <w:rFonts w:ascii="Calibri" w:hAnsi="Calibri" w:eastAsia="Times New Roman" w:cs="Calibri"/>
                <w:color w:val="222222"/>
                <w:kern w:val="0"/>
                <w:sz w:val="24"/>
                <w:szCs w:val="24"/>
                <w:shd w:val="clear" w:color="auto" w:fill="FFFFFF"/>
                <w:lang w:eastAsia="tr-TR"/>
                <w14:ligatures w14:val="none"/>
              </w:rPr>
            </w:pPr>
          </w:p>
        </w:tc>
        <w:tc>
          <w:tcPr>
            <w:tcW w:w="844" w:type="dxa"/>
          </w:tcPr>
          <w:p w14:paraId="2C0941C7">
            <w:pPr>
              <w:autoSpaceDE w:val="0"/>
              <w:spacing w:before="100" w:beforeAutospacing="1" w:after="100" w:afterAutospacing="1" w:line="256" w:lineRule="auto"/>
              <w:jc w:val="both"/>
              <w:rPr>
                <w:rFonts w:ascii="Calibri" w:hAnsi="Calibri" w:eastAsia="Times New Roman" w:cs="Calibri"/>
                <w:color w:val="222222"/>
                <w:kern w:val="0"/>
                <w:sz w:val="24"/>
                <w:szCs w:val="24"/>
                <w:shd w:val="clear" w:color="auto" w:fill="FFFFFF"/>
                <w:lang w:eastAsia="tr-TR"/>
                <w14:ligatures w14:val="none"/>
              </w:rPr>
            </w:pPr>
          </w:p>
        </w:tc>
        <w:tc>
          <w:tcPr>
            <w:tcW w:w="1395" w:type="dxa"/>
          </w:tcPr>
          <w:p w14:paraId="7A2D2F34">
            <w:pPr>
              <w:autoSpaceDE w:val="0"/>
              <w:spacing w:before="100" w:beforeAutospacing="1" w:after="100" w:afterAutospacing="1" w:line="256" w:lineRule="auto"/>
              <w:jc w:val="both"/>
              <w:rPr>
                <w:rFonts w:ascii="Calibri" w:hAnsi="Calibri" w:eastAsia="Times New Roman" w:cs="Calibri"/>
                <w:color w:val="222222"/>
                <w:kern w:val="0"/>
                <w:sz w:val="24"/>
                <w:szCs w:val="24"/>
                <w:shd w:val="clear" w:color="auto" w:fill="FFFFFF"/>
                <w:lang w:eastAsia="tr-TR"/>
                <w14:ligatures w14:val="none"/>
              </w:rPr>
            </w:pPr>
          </w:p>
        </w:tc>
      </w:tr>
      <w:tr w14:paraId="6908F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6193F466">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20</w:t>
            </w:r>
          </w:p>
        </w:tc>
        <w:tc>
          <w:tcPr>
            <w:tcW w:w="5229" w:type="dxa"/>
          </w:tcPr>
          <w:p w14:paraId="0413D31C">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Cilt yaralanması riski taşıyan hastalar günlük olarak değerlendirilmeli ve tıbbi cihazların çevresindeki ve temas halinde olan mukoza veya cilt özellikle kemik çıkıntılarının bulunduğu bölgeler,  tıbbi cihaz ile temas eden cilt ya da mukozal sıkışma açısından yakından izlenmelidir.</w:t>
            </w:r>
          </w:p>
        </w:tc>
        <w:tc>
          <w:tcPr>
            <w:tcW w:w="961" w:type="dxa"/>
          </w:tcPr>
          <w:p w14:paraId="07969BC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37E333DB">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2249172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0F34E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177DDCC3">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21</w:t>
            </w:r>
          </w:p>
        </w:tc>
        <w:tc>
          <w:tcPr>
            <w:tcW w:w="5229" w:type="dxa"/>
          </w:tcPr>
          <w:p w14:paraId="528ADDC9">
            <w:pPr>
              <w:autoSpaceDE w:val="0"/>
              <w:spacing w:before="100" w:beforeAutospacing="1" w:after="100" w:afterAutospacing="1" w:line="256" w:lineRule="auto"/>
              <w:jc w:val="both"/>
              <w:rPr>
                <w:rFonts w:hint="default" w:ascii="Calibri" w:hAnsi="Calibri" w:eastAsia="Times New Roman" w:cs="Calibri"/>
                <w:kern w:val="0"/>
                <w:sz w:val="24"/>
                <w:szCs w:val="24"/>
                <w:lang w:val="en-US" w:eastAsia="tr-TR"/>
                <w14:ligatures w14:val="none"/>
              </w:rPr>
            </w:pPr>
            <w:r>
              <w:rPr>
                <w:rFonts w:ascii="Calibri" w:hAnsi="Calibri" w:eastAsia="Times New Roman" w:cs="Calibri"/>
                <w:kern w:val="0"/>
                <w:sz w:val="24"/>
                <w:szCs w:val="24"/>
                <w:lang w:eastAsia="tr-TR"/>
                <w14:ligatures w14:val="none"/>
              </w:rPr>
              <w:t>TCİBY oluşumunu önlemek için tıbbi cihazın altındaki ve çevresindeki cilt günde en az bir kez kontrol edilmelidir.</w:t>
            </w:r>
            <w:r>
              <w:rPr>
                <w:rFonts w:hint="default" w:ascii="Calibri" w:hAnsi="Calibri" w:eastAsia="Times New Roman" w:cs="Calibri"/>
                <w:kern w:val="0"/>
                <w:sz w:val="24"/>
                <w:szCs w:val="24"/>
                <w:lang w:val="en-US" w:eastAsia="tr-TR"/>
                <w14:ligatures w14:val="none"/>
              </w:rPr>
              <w:t>*</w:t>
            </w:r>
          </w:p>
        </w:tc>
        <w:tc>
          <w:tcPr>
            <w:tcW w:w="961" w:type="dxa"/>
          </w:tcPr>
          <w:p w14:paraId="346B43A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120F637E">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73689BFB">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0E3FF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7BF8C829">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22</w:t>
            </w:r>
          </w:p>
        </w:tc>
        <w:tc>
          <w:tcPr>
            <w:tcW w:w="5229" w:type="dxa"/>
          </w:tcPr>
          <w:p w14:paraId="1223C36F">
            <w:pPr>
              <w:autoSpaceDE w:val="0"/>
              <w:spacing w:before="100" w:beforeAutospacing="1" w:after="100" w:afterAutospacing="1" w:line="256" w:lineRule="auto"/>
              <w:jc w:val="both"/>
              <w:rPr>
                <w:rFonts w:hint="default" w:ascii="Calibri" w:hAnsi="Calibri" w:eastAsia="Times New Roman" w:cs="Calibri"/>
                <w:kern w:val="0"/>
                <w:sz w:val="24"/>
                <w:szCs w:val="24"/>
                <w:lang w:val="en-US" w:eastAsia="tr-TR"/>
                <w14:ligatures w14:val="none"/>
              </w:rPr>
            </w:pPr>
            <w:r>
              <w:rPr>
                <w:rFonts w:ascii="Calibri" w:hAnsi="Calibri" w:eastAsia="Times New Roman" w:cs="Calibri"/>
                <w:kern w:val="0"/>
                <w:sz w:val="24"/>
                <w:szCs w:val="24"/>
                <w:lang w:eastAsia="tr-TR"/>
                <w14:ligatures w14:val="none"/>
              </w:rPr>
              <w:t>Yaygın ödemi olan hastalarda, TCİBY’leri önlemek için tıbbi cihazın altındaki ve etrafındaki cilt günde iki kez kontrol edilmelidir.</w:t>
            </w:r>
            <w:r>
              <w:rPr>
                <w:rFonts w:hint="default" w:ascii="Calibri" w:hAnsi="Calibri" w:eastAsia="Times New Roman" w:cs="Calibri"/>
                <w:kern w:val="0"/>
                <w:sz w:val="24"/>
                <w:szCs w:val="24"/>
                <w:lang w:val="en-US" w:eastAsia="tr-TR"/>
                <w14:ligatures w14:val="none"/>
              </w:rPr>
              <w:t>*</w:t>
            </w:r>
          </w:p>
        </w:tc>
        <w:tc>
          <w:tcPr>
            <w:tcW w:w="961" w:type="dxa"/>
          </w:tcPr>
          <w:p w14:paraId="010D3A9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738D6E59">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13CF2EB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7B413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4694B4E9">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23</w:t>
            </w:r>
          </w:p>
        </w:tc>
        <w:tc>
          <w:tcPr>
            <w:tcW w:w="5229" w:type="dxa"/>
          </w:tcPr>
          <w:p w14:paraId="51ED2EA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Tıbbi cihazın altındaki cilt temiz ve kuru tutulmalıdır.</w:t>
            </w:r>
          </w:p>
        </w:tc>
        <w:tc>
          <w:tcPr>
            <w:tcW w:w="961" w:type="dxa"/>
          </w:tcPr>
          <w:p w14:paraId="1322A41E">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32FECD45">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741596A5">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1F703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10AEEE35">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24</w:t>
            </w:r>
          </w:p>
        </w:tc>
        <w:tc>
          <w:tcPr>
            <w:tcW w:w="5229" w:type="dxa"/>
          </w:tcPr>
          <w:p w14:paraId="21F528F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Alkali cilt temizleyiciler cildi yıkamak için kullanılabilir.</w:t>
            </w:r>
          </w:p>
        </w:tc>
        <w:tc>
          <w:tcPr>
            <w:tcW w:w="961" w:type="dxa"/>
          </w:tcPr>
          <w:p w14:paraId="55317108">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64CA2FEC">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3B9D5FC7">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r w14:paraId="16AED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673" w:type="dxa"/>
            <w:vAlign w:val="center"/>
          </w:tcPr>
          <w:p w14:paraId="2EE6B05A">
            <w:pPr>
              <w:autoSpaceDE w:val="0"/>
              <w:spacing w:before="100" w:beforeAutospacing="1" w:after="100" w:afterAutospacing="1" w:line="271" w:lineRule="auto"/>
              <w:contextualSpacing/>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25</w:t>
            </w:r>
          </w:p>
        </w:tc>
        <w:tc>
          <w:tcPr>
            <w:tcW w:w="5229" w:type="dxa"/>
          </w:tcPr>
          <w:p w14:paraId="630831DA">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Basınç yarası riski taşıyan cilde masaj yapılmaması veya sert bir şekilde ovulmaması önemlidir.</w:t>
            </w:r>
          </w:p>
        </w:tc>
        <w:tc>
          <w:tcPr>
            <w:tcW w:w="961" w:type="dxa"/>
          </w:tcPr>
          <w:p w14:paraId="4C6D6B23">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844" w:type="dxa"/>
          </w:tcPr>
          <w:p w14:paraId="1CB3E99F">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c>
          <w:tcPr>
            <w:tcW w:w="1395" w:type="dxa"/>
          </w:tcPr>
          <w:p w14:paraId="3D162C50">
            <w:pPr>
              <w:autoSpaceDE w:val="0"/>
              <w:spacing w:before="100" w:beforeAutospacing="1" w:after="100" w:afterAutospacing="1" w:line="256" w:lineRule="auto"/>
              <w:jc w:val="both"/>
              <w:rPr>
                <w:rFonts w:ascii="Calibri" w:hAnsi="Calibri" w:eastAsia="Times New Roman" w:cs="Calibri"/>
                <w:kern w:val="0"/>
                <w:sz w:val="24"/>
                <w:szCs w:val="24"/>
                <w:lang w:eastAsia="tr-TR"/>
                <w14:ligatures w14:val="none"/>
              </w:rPr>
            </w:pPr>
          </w:p>
        </w:tc>
      </w:tr>
    </w:tbl>
    <w:p w14:paraId="4BAFBBA9">
      <w:pPr>
        <w:spacing w:before="100" w:beforeAutospacing="1" w:after="100" w:afterAutospacing="1" w:line="256" w:lineRule="auto"/>
        <w:jc w:val="both"/>
        <w:rPr>
          <w:rFonts w:ascii="Calibri" w:hAnsi="Calibri" w:eastAsia="Times New Roman" w:cs="Times New Roman"/>
          <w:kern w:val="0"/>
          <w:sz w:val="24"/>
          <w:szCs w:val="24"/>
          <w:lang w:eastAsia="tr-TR"/>
          <w14:ligatures w14:val="none"/>
        </w:rPr>
      </w:pPr>
      <w:r>
        <w:rPr>
          <w:rFonts w:ascii="Calibri" w:hAnsi="Calibri" w:eastAsia="Times New Roman" w:cs="Times New Roman"/>
          <w:kern w:val="0"/>
          <w:sz w:val="24"/>
          <w:szCs w:val="24"/>
          <w:lang w:eastAsia="tr-TR"/>
          <w14:ligatures w14:val="none"/>
        </w:rPr>
        <w:t xml:space="preserve"> </w:t>
      </w:r>
    </w:p>
    <w:p w14:paraId="2FBF10FF">
      <w:pPr>
        <w:spacing w:before="100" w:beforeAutospacing="1" w:after="100" w:afterAutospacing="1" w:line="256" w:lineRule="auto"/>
        <w:jc w:val="both"/>
        <w:rPr>
          <w:rFonts w:ascii="Calibri" w:hAnsi="Calibri" w:eastAsia="Times New Roman" w:cs="Times New Roman"/>
          <w:kern w:val="0"/>
          <w:sz w:val="24"/>
          <w:szCs w:val="24"/>
          <w:lang w:eastAsia="tr-TR"/>
          <w14:ligatures w14:val="none"/>
        </w:rPr>
      </w:pPr>
      <w:r>
        <w:rPr>
          <w:rFonts w:ascii="Calibri" w:hAnsi="Calibri" w:eastAsia="Times New Roman" w:cs="Times New Roman"/>
          <w:kern w:val="0"/>
          <w:sz w:val="24"/>
          <w:szCs w:val="24"/>
          <w:lang w:eastAsia="tr-TR"/>
          <w14:ligatures w14:val="none"/>
        </w:rPr>
        <w:t xml:space="preserve"> </w:t>
      </w:r>
    </w:p>
    <w:p w14:paraId="4FFBCEDE">
      <w:pPr>
        <w:spacing w:before="100" w:beforeAutospacing="1" w:after="100" w:afterAutospacing="1" w:line="256" w:lineRule="auto"/>
        <w:jc w:val="both"/>
        <w:rPr>
          <w:rFonts w:ascii="Calibri" w:hAnsi="Calibri" w:eastAsia="Times New Roman" w:cs="Times New Roman"/>
          <w:b/>
          <w:bCs/>
          <w:kern w:val="0"/>
          <w:sz w:val="24"/>
          <w:szCs w:val="24"/>
          <w:lang w:eastAsia="tr-TR"/>
          <w14:ligatures w14:val="none"/>
        </w:rPr>
      </w:pPr>
      <w:r>
        <w:rPr>
          <w:rFonts w:ascii="Calibri" w:hAnsi="Calibri" w:eastAsia="Times New Roman" w:cs="Times New Roman"/>
          <w:b/>
          <w:bCs/>
          <w:kern w:val="0"/>
          <w:sz w:val="24"/>
          <w:szCs w:val="24"/>
          <w:lang w:eastAsia="tr-TR"/>
          <w14:ligatures w14:val="none"/>
        </w:rPr>
        <w:t xml:space="preserve"> </w:t>
      </w:r>
    </w:p>
    <w:p w14:paraId="0A3BF863">
      <w:pPr>
        <w:spacing w:before="100" w:beforeAutospacing="1" w:after="100" w:afterAutospacing="1" w:line="256" w:lineRule="auto"/>
        <w:jc w:val="both"/>
        <w:rPr>
          <w:rFonts w:ascii="Calibri" w:hAnsi="Calibri" w:eastAsia="Times New Roman" w:cs="Times New Roman"/>
          <w:b/>
          <w:bCs/>
          <w:kern w:val="0"/>
          <w:sz w:val="24"/>
          <w:szCs w:val="24"/>
          <w:lang w:eastAsia="tr-TR"/>
          <w14:ligatures w14:val="none"/>
        </w:rPr>
      </w:pPr>
      <w:r>
        <w:rPr>
          <w:rFonts w:ascii="Calibri" w:hAnsi="Calibri" w:eastAsia="Times New Roman" w:cs="Times New Roman"/>
          <w:b/>
          <w:bCs/>
          <w:kern w:val="0"/>
          <w:sz w:val="24"/>
          <w:szCs w:val="24"/>
          <w:lang w:eastAsia="tr-TR"/>
          <w14:ligatures w14:val="none"/>
        </w:rPr>
        <w:t xml:space="preserve"> </w:t>
      </w:r>
    </w:p>
    <w:p w14:paraId="39B4AA5C">
      <w:pPr>
        <w:spacing w:before="100" w:beforeAutospacing="1" w:after="100" w:afterAutospacing="1" w:line="256" w:lineRule="auto"/>
        <w:jc w:val="both"/>
        <w:rPr>
          <w:rFonts w:ascii="Calibri" w:hAnsi="Calibri" w:eastAsia="Times New Roman" w:cs="Times New Roman"/>
          <w:b/>
          <w:bCs/>
          <w:kern w:val="0"/>
          <w:sz w:val="24"/>
          <w:szCs w:val="24"/>
          <w:lang w:eastAsia="tr-TR"/>
          <w14:ligatures w14:val="none"/>
        </w:rPr>
      </w:pPr>
      <w:r>
        <w:rPr>
          <w:rFonts w:ascii="Calibri" w:hAnsi="Calibri" w:eastAsia="Times New Roman" w:cs="Times New Roman"/>
          <w:b/>
          <w:bCs/>
          <w:kern w:val="0"/>
          <w:sz w:val="24"/>
          <w:szCs w:val="24"/>
          <w:lang w:eastAsia="tr-TR"/>
          <w14:ligatures w14:val="none"/>
        </w:rPr>
        <w:t xml:space="preserve"> </w:t>
      </w:r>
    </w:p>
    <w:p w14:paraId="73F2D75C">
      <w:pPr>
        <w:spacing w:before="100" w:beforeAutospacing="1" w:after="100" w:afterAutospacing="1" w:line="256" w:lineRule="auto"/>
        <w:jc w:val="center"/>
        <w:rPr>
          <w:rFonts w:ascii="Calibri" w:hAnsi="Calibri" w:eastAsia="Times New Roman" w:cs="Times New Roman"/>
          <w:b/>
          <w:bCs/>
          <w:kern w:val="0"/>
          <w:sz w:val="24"/>
          <w:szCs w:val="24"/>
          <w:lang w:eastAsia="tr-TR"/>
          <w14:ligatures w14:val="none"/>
        </w:rPr>
      </w:pPr>
      <w:r>
        <w:rPr>
          <w:rFonts w:ascii="Calibri" w:hAnsi="Calibri" w:eastAsia="Times New Roman" w:cs="Times New Roman"/>
          <w:b/>
          <w:bCs/>
          <w:kern w:val="0"/>
          <w:sz w:val="24"/>
          <w:szCs w:val="24"/>
          <w:lang w:eastAsia="tr-TR"/>
          <w14:ligatures w14:val="none"/>
        </w:rPr>
        <w:t xml:space="preserve"> </w:t>
      </w:r>
    </w:p>
    <w:p w14:paraId="7970F2EF">
      <w:pPr>
        <w:spacing w:before="100" w:beforeAutospacing="1" w:after="100" w:afterAutospacing="1" w:line="256" w:lineRule="auto"/>
        <w:jc w:val="both"/>
        <w:rPr>
          <w:rFonts w:ascii="Calibri" w:hAnsi="Calibri" w:eastAsia="Times New Roman" w:cs="Calibri"/>
          <w:b/>
          <w:bCs/>
          <w:kern w:val="0"/>
          <w:sz w:val="24"/>
          <w:szCs w:val="24"/>
          <w:lang w:eastAsia="tr-TR"/>
          <w14:ligatures w14:val="none"/>
        </w:rPr>
      </w:pPr>
      <w:r>
        <w:rPr>
          <w:rFonts w:ascii="Calibri" w:hAnsi="Calibri" w:eastAsia="Times New Roman" w:cs="Calibri"/>
          <w:b/>
          <w:bCs/>
          <w:kern w:val="0"/>
          <w:sz w:val="24"/>
          <w:szCs w:val="24"/>
          <w:lang w:eastAsia="tr-TR"/>
          <w14:ligatures w14:val="none"/>
        </w:rPr>
        <w:t>Tıbbi Cihaz İlişkili Basınç Yaralanması Bilgi Ölçeği Kullanımı ile İlgili Genel Bilgiler</w:t>
      </w:r>
    </w:p>
    <w:p w14:paraId="7D24AFEF">
      <w:p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 xml:space="preserve">Ölçek toplam beş alt boyut ve 25 maddeden oluşmaktadır. Alt boyutlar incelendiğinde; </w:t>
      </w:r>
    </w:p>
    <w:p w14:paraId="037E606F">
      <w:pPr>
        <w:pStyle w:val="28"/>
        <w:numPr>
          <w:ilvl w:val="0"/>
          <w:numId w:val="1"/>
        </w:num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Faktör 1: Kavram ve evrelendirme (Madde 1</w:t>
      </w:r>
      <w:r>
        <w:rPr>
          <w:rFonts w:hint="default" w:ascii="Calibri" w:hAnsi="Calibri" w:eastAsia="Times New Roman" w:cs="Calibri"/>
          <w:kern w:val="0"/>
          <w:sz w:val="24"/>
          <w:szCs w:val="24"/>
          <w:lang w:val="en-US" w:eastAsia="tr-TR"/>
          <w14:ligatures w14:val="none"/>
        </w:rPr>
        <w:t xml:space="preserve"> </w:t>
      </w:r>
      <w:bookmarkStart w:id="0" w:name="_GoBack"/>
      <w:bookmarkEnd w:id="0"/>
      <w:r>
        <w:rPr>
          <w:rFonts w:ascii="Calibri" w:hAnsi="Calibri" w:eastAsia="Times New Roman" w:cs="Calibri"/>
          <w:kern w:val="0"/>
          <w:sz w:val="24"/>
          <w:szCs w:val="24"/>
          <w:lang w:eastAsia="tr-TR"/>
          <w14:ligatures w14:val="none"/>
        </w:rPr>
        <w:t>ve 2)</w:t>
      </w:r>
    </w:p>
    <w:p w14:paraId="22463880">
      <w:pPr>
        <w:pStyle w:val="28"/>
        <w:numPr>
          <w:ilvl w:val="0"/>
          <w:numId w:val="1"/>
        </w:num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Faktör 2: Risk değerlendirme (Madde 3, 4 ve 5)</w:t>
      </w:r>
    </w:p>
    <w:p w14:paraId="7AF2467C">
      <w:pPr>
        <w:pStyle w:val="28"/>
        <w:numPr>
          <w:ilvl w:val="0"/>
          <w:numId w:val="1"/>
        </w:num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Faktör 3:  Tıbbi cihazın seçimi ve uygunluğu (Madde 6, 7,  8, 9, 10, 11, 12)</w:t>
      </w:r>
    </w:p>
    <w:p w14:paraId="3B8707E5">
      <w:pPr>
        <w:pStyle w:val="28"/>
        <w:numPr>
          <w:ilvl w:val="0"/>
          <w:numId w:val="1"/>
        </w:num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Faktör 4: Bakım ve pansuman (Madde  13, 14, 15, 16, 17, 18, 23, 24, 25)</w:t>
      </w:r>
    </w:p>
    <w:p w14:paraId="4646B7FA">
      <w:pPr>
        <w:pStyle w:val="28"/>
        <w:numPr>
          <w:ilvl w:val="0"/>
          <w:numId w:val="1"/>
        </w:num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Faktör 5: Cilt değerlendirme (Madde 19, 20, 21, 22)  şeklindedir.</w:t>
      </w:r>
    </w:p>
    <w:p w14:paraId="220CDF38">
      <w:pPr>
        <w:rPr>
          <w:rFonts w:ascii="Calibri" w:hAnsi="Calibri" w:eastAsia="Times New Roman" w:cs="Calibri"/>
          <w:kern w:val="0"/>
          <w:sz w:val="24"/>
          <w:szCs w:val="24"/>
          <w:lang w:eastAsia="tr-TR"/>
          <w14:ligatures w14:val="none"/>
        </w:rPr>
      </w:pPr>
    </w:p>
    <w:p w14:paraId="42112C4B">
      <w:pPr>
        <w:rPr>
          <w:rFonts w:ascii="Calibri" w:hAnsi="Calibri" w:eastAsia="Times New Roman" w:cs="Calibri"/>
          <w:kern w:val="0"/>
          <w:sz w:val="24"/>
          <w:szCs w:val="24"/>
          <w:lang w:eastAsia="tr-TR"/>
          <w14:ligatures w14:val="none"/>
        </w:rPr>
      </w:pPr>
      <w:r>
        <w:rPr>
          <w:rFonts w:ascii="Calibri" w:hAnsi="Calibri" w:eastAsia="Times New Roman" w:cs="Calibri"/>
          <w:kern w:val="0"/>
          <w:sz w:val="24"/>
          <w:szCs w:val="24"/>
          <w:lang w:eastAsia="tr-TR"/>
          <w14:ligatures w14:val="none"/>
        </w:rPr>
        <w:t xml:space="preserve">Ölçüm aracı üçlü likert tiptedir. Madde 1, 2, 5, 8, 10, 12, 16, 18, 19, 21, 22, 24 ters puanlanmakta olup bu maddeler doğru= 0, bilmiyorum= 0 ve yanlış=1 şeklinde puanlanmaktadır. Geri kalan 3, 4, 6, 7, 9, 11, 13, 14, 15, 17, 20, 23, 25 maddeler doğru= 1, bilmiyorum= 0 ve yanlış= 0 olarak puanlanmaktadır. </w:t>
      </w:r>
    </w:p>
    <w:p w14:paraId="68CEB39E">
      <w:pPr>
        <w:rPr>
          <w:rFonts w:ascii="Calibri" w:hAnsi="Calibri" w:eastAsia="Times New Roman" w:cs="Calibri"/>
          <w:kern w:val="0"/>
          <w:lang w:eastAsia="tr-TR"/>
          <w14:ligatures w14:val="none"/>
        </w:rPr>
      </w:pPr>
      <w:r>
        <w:rPr>
          <w:rFonts w:ascii="Calibri" w:hAnsi="Calibri" w:cs="Calibri"/>
          <w:color w:val="000000"/>
          <w:sz w:val="24"/>
          <w:szCs w:val="24"/>
        </w:rPr>
        <w:t>Ölçekten alınabilecek en düşük puan 0 ve en yüksek puan 25’dir. Puanın artması hemşirelerin TCİBY bilgi düzeyinin arttığını göstermektedir.</w:t>
      </w:r>
    </w:p>
    <w:p w14:paraId="1BCBCEA0">
      <w:pPr>
        <w:rPr>
          <w:rFonts w:ascii="Calibri" w:hAnsi="Calibri" w:eastAsia="Times New Roman" w:cs="Calibri"/>
          <w:kern w:val="0"/>
          <w:sz w:val="24"/>
          <w:szCs w:val="24"/>
          <w:lang w:eastAsia="tr-TR"/>
          <w14:ligatures w14:val="none"/>
        </w:rPr>
      </w:pPr>
    </w:p>
    <w:p w14:paraId="765325FA">
      <w:pPr>
        <w:rPr>
          <w:rFonts w:ascii="Calibri" w:hAnsi="Calibri" w:eastAsia="Times New Roman" w:cs="Calibri"/>
          <w:kern w:val="0"/>
          <w:sz w:val="24"/>
          <w:szCs w:val="24"/>
          <w:lang w:eastAsia="tr-TR"/>
          <w14:ligatures w14:val="none"/>
        </w:rPr>
      </w:pPr>
    </w:p>
    <w:p w14:paraId="6EE4D30A"/>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Aptos">
    <w:altName w:val="SimSun"/>
    <w:panose1 w:val="00000000000000000000"/>
    <w:charset w:val="86"/>
    <w:family w:val="swiss"/>
    <w:pitch w:val="default"/>
    <w:sig w:usb0="00000000" w:usb1="00000000" w:usb2="00000000" w:usb3="00000000" w:csb0="0000019F" w:csb1="00000000"/>
  </w:font>
  <w:font w:name="Aptos">
    <w:altName w:val="SimSun"/>
    <w:panose1 w:val="00000000000000000000"/>
    <w:charset w:val="86"/>
    <w:family w:val="auto"/>
    <w:pitch w:val="default"/>
    <w:sig w:usb0="00000000" w:usb1="00000000" w:usb2="00000000" w:usb3="00000000" w:csb0="00000000" w:csb1="00000000"/>
  </w:font>
  <w:font w:name="Aptos">
    <w:altName w:val="Segoe Print"/>
    <w:panose1 w:val="00000000000000000000"/>
    <w:charset w:val="00"/>
    <w:family w:val="auto"/>
    <w:pitch w:val="default"/>
    <w:sig w:usb0="00000000" w:usb1="00000000" w:usb2="00000000" w:usb3="00000000" w:csb0="00000000" w:csb1="00000000"/>
  </w:font>
  <w:font w:name="Aptos Display">
    <w:altName w:val="Segoe Print"/>
    <w:panose1 w:val="00000000000000000000"/>
    <w:charset w:val="00"/>
    <w:family w:val="swiss"/>
    <w:pitch w:val="default"/>
    <w:sig w:usb0="00000000" w:usb1="00000000" w:usb2="00000000" w:usb3="00000000" w:csb0="0000019F" w:csb1="00000000"/>
  </w:font>
  <w:font w:name="等线 Light">
    <w:altName w:val="Segoe Print"/>
    <w:panose1 w:val="00000000000000000000"/>
    <w:charset w:val="00"/>
    <w:family w:val="auto"/>
    <w:pitch w:val="default"/>
    <w:sig w:usb0="00000000" w:usb1="00000000" w:usb2="00000000" w:usb3="00000000" w:csb0="00000000" w:csb1="00000000"/>
  </w:font>
  <w:font w:name="Symbol">
    <w:panose1 w:val="05050102010706020507"/>
    <w:charset w:val="02"/>
    <w:family w:val="roman"/>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Arial Unicode MS">
    <w:panose1 w:val="020B0604020202020204"/>
    <w:charset w:val="86"/>
    <w:family w:val="auto"/>
    <w:pitch w:val="default"/>
    <w:sig w:usb0="FFFFFFFF" w:usb1="E9FFFFFF" w:usb2="0000003F" w:usb3="00000000" w:csb0="603F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E75985"/>
    <w:multiLevelType w:val="multilevel"/>
    <w:tmpl w:val="58E75985"/>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F15"/>
    <w:rsid w:val="00313CFC"/>
    <w:rsid w:val="00327C30"/>
    <w:rsid w:val="00541083"/>
    <w:rsid w:val="00542546"/>
    <w:rsid w:val="007E0F15"/>
    <w:rsid w:val="00880C69"/>
    <w:rsid w:val="00952268"/>
    <w:rsid w:val="00A320A9"/>
    <w:rsid w:val="00A9217B"/>
    <w:rsid w:val="00B2021C"/>
    <w:rsid w:val="00B47BC5"/>
    <w:rsid w:val="00CF2975"/>
    <w:rsid w:val="0415299E"/>
    <w:rsid w:val="2C875BF5"/>
    <w:rsid w:val="3DE21B0B"/>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kern w:val="2"/>
      <w:sz w:val="22"/>
      <w:szCs w:val="22"/>
      <w:lang w:val="tr-TR" w:eastAsia="en-US" w:bidi="ar-SA"/>
      <w14:ligatures w14:val="standardContextual"/>
    </w:rPr>
  </w:style>
  <w:style w:type="paragraph" w:styleId="2">
    <w:name w:val="heading 1"/>
    <w:basedOn w:val="1"/>
    <w:next w:val="1"/>
    <w:link w:val="15"/>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16"/>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17"/>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18"/>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19"/>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0"/>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1"/>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2"/>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3"/>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13">
    <w:name w:val="Subtitle"/>
    <w:basedOn w:val="1"/>
    <w:next w:val="1"/>
    <w:link w:val="25"/>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4">
    <w:name w:val="Title"/>
    <w:basedOn w:val="1"/>
    <w:next w:val="1"/>
    <w:link w:val="24"/>
    <w:qFormat/>
    <w:uiPriority w:val="10"/>
    <w:pPr>
      <w:spacing w:after="80" w:line="240" w:lineRule="auto"/>
      <w:contextualSpacing/>
    </w:pPr>
    <w:rPr>
      <w:rFonts w:asciiTheme="majorHAnsi" w:hAnsiTheme="majorHAnsi" w:eastAsiaTheme="majorEastAsia" w:cstheme="majorBidi"/>
      <w:spacing w:val="-10"/>
      <w:kern w:val="28"/>
      <w:sz w:val="56"/>
      <w:szCs w:val="56"/>
    </w:rPr>
  </w:style>
  <w:style w:type="character" w:customStyle="1" w:styleId="15">
    <w:name w:val="Heading 1 Char"/>
    <w:basedOn w:val="11"/>
    <w:link w:val="2"/>
    <w:qFormat/>
    <w:uiPriority w:val="9"/>
    <w:rPr>
      <w:rFonts w:asciiTheme="majorHAnsi" w:hAnsiTheme="majorHAnsi" w:eastAsiaTheme="majorEastAsia" w:cstheme="majorBidi"/>
      <w:color w:val="104862" w:themeColor="accent1" w:themeShade="BF"/>
      <w:sz w:val="40"/>
      <w:szCs w:val="40"/>
    </w:rPr>
  </w:style>
  <w:style w:type="character" w:customStyle="1" w:styleId="16">
    <w:name w:val="Heading 2 Char"/>
    <w:basedOn w:val="11"/>
    <w:link w:val="3"/>
    <w:semiHidden/>
    <w:qFormat/>
    <w:uiPriority w:val="9"/>
    <w:rPr>
      <w:rFonts w:asciiTheme="majorHAnsi" w:hAnsiTheme="majorHAnsi" w:eastAsiaTheme="majorEastAsia" w:cstheme="majorBidi"/>
      <w:color w:val="104862" w:themeColor="accent1" w:themeShade="BF"/>
      <w:sz w:val="32"/>
      <w:szCs w:val="32"/>
    </w:rPr>
  </w:style>
  <w:style w:type="character" w:customStyle="1" w:styleId="17">
    <w:name w:val="Heading 3 Char"/>
    <w:basedOn w:val="11"/>
    <w:link w:val="4"/>
    <w:semiHidden/>
    <w:qFormat/>
    <w:uiPriority w:val="9"/>
    <w:rPr>
      <w:rFonts w:eastAsiaTheme="majorEastAsia" w:cstheme="majorBidi"/>
      <w:color w:val="104862" w:themeColor="accent1" w:themeShade="BF"/>
      <w:sz w:val="28"/>
      <w:szCs w:val="28"/>
    </w:rPr>
  </w:style>
  <w:style w:type="character" w:customStyle="1" w:styleId="18">
    <w:name w:val="Heading 4 Char"/>
    <w:basedOn w:val="11"/>
    <w:link w:val="5"/>
    <w:semiHidden/>
    <w:qFormat/>
    <w:uiPriority w:val="9"/>
    <w:rPr>
      <w:rFonts w:eastAsiaTheme="majorEastAsia" w:cstheme="majorBidi"/>
      <w:i/>
      <w:iCs/>
      <w:color w:val="104862" w:themeColor="accent1" w:themeShade="BF"/>
    </w:rPr>
  </w:style>
  <w:style w:type="character" w:customStyle="1" w:styleId="19">
    <w:name w:val="Heading 5 Char"/>
    <w:basedOn w:val="11"/>
    <w:link w:val="6"/>
    <w:semiHidden/>
    <w:qFormat/>
    <w:uiPriority w:val="9"/>
    <w:rPr>
      <w:rFonts w:eastAsiaTheme="majorEastAsia" w:cstheme="majorBidi"/>
      <w:color w:val="104862" w:themeColor="accent1" w:themeShade="BF"/>
    </w:rPr>
  </w:style>
  <w:style w:type="character" w:customStyle="1" w:styleId="20">
    <w:name w:val="Heading 6 Char"/>
    <w:basedOn w:val="11"/>
    <w:link w:val="7"/>
    <w:semiHidden/>
    <w:qFormat/>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1">
    <w:name w:val="Heading 7 Char"/>
    <w:basedOn w:val="11"/>
    <w:link w:val="8"/>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2">
    <w:name w:val="Heading 8 Char"/>
    <w:basedOn w:val="11"/>
    <w:link w:val="9"/>
    <w:semiHidden/>
    <w:qFormat/>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3">
    <w:name w:val="Heading 9 Char"/>
    <w:basedOn w:val="11"/>
    <w:link w:val="10"/>
    <w:semiHidden/>
    <w:qFormat/>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4">
    <w:name w:val="Title Char"/>
    <w:basedOn w:val="11"/>
    <w:link w:val="14"/>
    <w:qFormat/>
    <w:uiPriority w:val="10"/>
    <w:rPr>
      <w:rFonts w:asciiTheme="majorHAnsi" w:hAnsiTheme="majorHAnsi" w:eastAsiaTheme="majorEastAsia" w:cstheme="majorBidi"/>
      <w:spacing w:val="-10"/>
      <w:kern w:val="28"/>
      <w:sz w:val="56"/>
      <w:szCs w:val="56"/>
    </w:rPr>
  </w:style>
  <w:style w:type="character" w:customStyle="1" w:styleId="25">
    <w:name w:val="Subtitle Char"/>
    <w:basedOn w:val="11"/>
    <w:link w:val="13"/>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6">
    <w:name w:val="Quote"/>
    <w:basedOn w:val="1"/>
    <w:next w:val="1"/>
    <w:link w:val="27"/>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27">
    <w:name w:val="Quote Char"/>
    <w:basedOn w:val="11"/>
    <w:link w:val="26"/>
    <w:qFormat/>
    <w:uiPriority w:val="29"/>
    <w:rPr>
      <w:i/>
      <w:iCs/>
      <w:color w:val="404040" w:themeColor="text1" w:themeTint="BF"/>
      <w14:textFill>
        <w14:solidFill>
          <w14:schemeClr w14:val="tx1">
            <w14:lumMod w14:val="75000"/>
            <w14:lumOff w14:val="25000"/>
          </w14:schemeClr>
        </w14:solidFill>
      </w14:textFill>
    </w:rPr>
  </w:style>
  <w:style w:type="paragraph" w:styleId="28">
    <w:name w:val="List Paragraph"/>
    <w:basedOn w:val="1"/>
    <w:qFormat/>
    <w:uiPriority w:val="34"/>
    <w:pPr>
      <w:ind w:left="720"/>
      <w:contextualSpacing/>
    </w:pPr>
  </w:style>
  <w:style w:type="character" w:customStyle="1" w:styleId="29">
    <w:name w:val="Intense Emphasis1"/>
    <w:basedOn w:val="11"/>
    <w:qFormat/>
    <w:uiPriority w:val="21"/>
    <w:rPr>
      <w:i/>
      <w:iCs/>
      <w:color w:val="104862" w:themeColor="accent1" w:themeShade="BF"/>
    </w:rPr>
  </w:style>
  <w:style w:type="paragraph" w:styleId="30">
    <w:name w:val="Intense Quote"/>
    <w:basedOn w:val="1"/>
    <w:next w:val="1"/>
    <w:link w:val="31"/>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1">
    <w:name w:val="Intense Quote Char"/>
    <w:basedOn w:val="11"/>
    <w:link w:val="30"/>
    <w:qFormat/>
    <w:uiPriority w:val="30"/>
    <w:rPr>
      <w:i/>
      <w:iCs/>
      <w:color w:val="104862" w:themeColor="accent1" w:themeShade="BF"/>
    </w:rPr>
  </w:style>
  <w:style w:type="character" w:customStyle="1" w:styleId="32">
    <w:name w:val="Intense Reference1"/>
    <w:basedOn w:val="11"/>
    <w:qFormat/>
    <w:uiPriority w:val="32"/>
    <w:rPr>
      <w:b/>
      <w:bCs/>
      <w:smallCaps/>
      <w:color w:val="104862" w:themeColor="accent1" w:themeShade="BF"/>
      <w:spacing w:val="5"/>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By NeC ® 2010 | Katilimsiz.Com</Company>
  <Pages>3</Pages>
  <Words>554</Words>
  <Characters>3452</Characters>
  <Lines>200</Lines>
  <Paragraphs>66</Paragraphs>
  <TotalTime>1268</TotalTime>
  <ScaleCrop>false</ScaleCrop>
  <LinksUpToDate>false</LinksUpToDate>
  <CharactersWithSpaces>3959</CharactersWithSpaces>
  <Application>WPS Office_12.2.0.19307_F1E327BC-269C-435d-A152-05C5408002CA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2024-03-04T21:55:00Z</dcterms:created>
  <dc:creator>Zilan Baran</dc:creator>
  <cp:lastModifiedBy>Zilan Baran</cp:lastModifiedBy>
  <dcterms:modified xsi:type="dcterms:W3CDTF">2025-01-03T14:00:42Z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a844f7f9-b36c-429c-ade4-f851fca1843a</vt:lpwstr>
  </property>
  <property fmtid="{D5CDD505-2E9C-101B-9397-08002B2CF9AE}" pid="3" name="KSOProductBuildVer">
    <vt:lpwstr>1033-12.2.0.19307</vt:lpwstr>
  </property>
  <property fmtid="{D5CDD505-2E9C-101B-9397-08002B2CF9AE}" pid="4" name="ICV">
    <vt:lpwstr>57DC1BD06A944D8F802ABC7E409CE4E3_12</vt:lpwstr>
  </property>
</Properties>
</file>