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B6318" w14:textId="64AC9E76" w:rsidR="00403BAD" w:rsidRPr="00AF5C79" w:rsidRDefault="00403BAD" w:rsidP="00403BAD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5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Endokrin Bozucular Tutum Ölçeği </w:t>
      </w:r>
    </w:p>
    <w:p w14:paraId="2B254897" w14:textId="77777777" w:rsidR="00403BAD" w:rsidRPr="004965F2" w:rsidRDefault="00403BAD" w:rsidP="00403BAD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proofErr w:type="spellStart"/>
      <w:r w:rsidRPr="000413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Endocrine</w:t>
      </w:r>
      <w:proofErr w:type="spellEnd"/>
      <w:r w:rsidRPr="000413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413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Disruptors</w:t>
      </w:r>
      <w:proofErr w:type="spellEnd"/>
      <w:r w:rsidRPr="000413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413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Attitude</w:t>
      </w:r>
      <w:proofErr w:type="spellEnd"/>
      <w:r w:rsidRPr="000413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413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Scale</w:t>
      </w:r>
      <w:proofErr w:type="spellEnd"/>
      <w:r w:rsidRPr="000413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(EDAS);</w:t>
      </w:r>
    </w:p>
    <w:tbl>
      <w:tblPr>
        <w:tblW w:w="98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6913"/>
        <w:gridCol w:w="426"/>
        <w:gridCol w:w="425"/>
        <w:gridCol w:w="425"/>
        <w:gridCol w:w="425"/>
        <w:gridCol w:w="709"/>
      </w:tblGrid>
      <w:tr w:rsidR="00403BAD" w:rsidRPr="000B6671" w14:paraId="04EE6010" w14:textId="77777777" w:rsidTr="00B219B4">
        <w:trPr>
          <w:cantSplit/>
          <w:trHeight w:val="1756"/>
        </w:trPr>
        <w:tc>
          <w:tcPr>
            <w:tcW w:w="7438" w:type="dxa"/>
            <w:gridSpan w:val="2"/>
          </w:tcPr>
          <w:p w14:paraId="505E9D86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CE0142" w14:textId="77777777" w:rsidR="00403BAD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sz w:val="18"/>
                <w:szCs w:val="18"/>
              </w:rPr>
              <w:t>Değerli Katılımcı;</w:t>
            </w:r>
          </w:p>
          <w:p w14:paraId="72132A2C" w14:textId="77777777" w:rsidR="00AF5C79" w:rsidRPr="000B6671" w:rsidRDefault="00AF5C79" w:rsidP="00AF5C79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F5C79">
              <w:rPr>
                <w:rFonts w:ascii="Arial" w:hAnsi="Arial" w:cs="Arial"/>
                <w:sz w:val="18"/>
                <w:szCs w:val="18"/>
              </w:rPr>
              <w:t>Endokrin bozucu maddeler vücudun endokrin sistemine müdahale ederek değiştiren, birey ve bireyin gelecek neslinde sağlık etkilerine neden olan vücuda dışarıdan alınan kimyasal madde veya karışımlardır.</w:t>
            </w:r>
          </w:p>
          <w:p w14:paraId="6445DB15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B6671">
              <w:rPr>
                <w:rFonts w:ascii="Arial" w:hAnsi="Arial" w:cs="Arial"/>
                <w:sz w:val="18"/>
                <w:szCs w:val="18"/>
              </w:rPr>
              <w:t>Endokrin bozucular ile ilgili, aşağıdaki ifadelere ne düzeyde katıldığınızı lütfen belirtiniz.  Verdiğiniz kararı en iyi tanımlayan kutuyu işaretleyiniz.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6671">
              <w:rPr>
                <w:rFonts w:ascii="Arial" w:hAnsi="Arial" w:cs="Arial"/>
                <w:sz w:val="18"/>
                <w:szCs w:val="18"/>
              </w:rPr>
              <w:t>(X işareti koyunuz)</w:t>
            </w:r>
          </w:p>
        </w:tc>
        <w:tc>
          <w:tcPr>
            <w:tcW w:w="426" w:type="dxa"/>
            <w:textDirection w:val="btLr"/>
          </w:tcPr>
          <w:p w14:paraId="66F2B3A1" w14:textId="77777777" w:rsidR="00403BAD" w:rsidRPr="000B6671" w:rsidRDefault="00403BAD" w:rsidP="00B219B4">
            <w:pPr>
              <w:spacing w:after="0" w:line="360" w:lineRule="auto"/>
              <w:ind w:left="115" w:right="115"/>
              <w:rPr>
                <w:rFonts w:ascii="Arial" w:hAnsi="Arial" w:cs="Arial"/>
                <w:b/>
                <w:sz w:val="18"/>
                <w:szCs w:val="18"/>
              </w:rPr>
            </w:pPr>
            <w:r w:rsidRPr="000B6671">
              <w:rPr>
                <w:rFonts w:ascii="Arial" w:hAnsi="Arial" w:cs="Arial"/>
                <w:b/>
                <w:sz w:val="18"/>
                <w:szCs w:val="18"/>
              </w:rPr>
              <w:t>Hiç katılmıyorum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07E22320" w14:textId="77777777" w:rsidR="00403BAD" w:rsidRPr="000B6671" w:rsidRDefault="00403BAD" w:rsidP="00B219B4">
            <w:pPr>
              <w:spacing w:after="0" w:line="36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B6671">
              <w:rPr>
                <w:rFonts w:ascii="Arial" w:hAnsi="Arial" w:cs="Arial"/>
                <w:b/>
                <w:sz w:val="18"/>
                <w:szCs w:val="18"/>
              </w:rPr>
              <w:t>Katılmıyorum</w:t>
            </w:r>
          </w:p>
          <w:p w14:paraId="096A2ADD" w14:textId="77777777" w:rsidR="00403BAD" w:rsidRPr="000B6671" w:rsidRDefault="00403BAD" w:rsidP="00B219B4">
            <w:pPr>
              <w:spacing w:after="0" w:line="36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FB2884" w14:textId="77777777" w:rsidR="00403BAD" w:rsidRPr="000B6671" w:rsidRDefault="00403BAD" w:rsidP="00B219B4">
            <w:pPr>
              <w:spacing w:after="0" w:line="36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664E2DB0" w14:textId="77777777" w:rsidR="00403BAD" w:rsidRPr="000B6671" w:rsidRDefault="00403BAD" w:rsidP="00B219B4">
            <w:pPr>
              <w:spacing w:after="0" w:line="36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B6671">
              <w:rPr>
                <w:rFonts w:ascii="Arial" w:hAnsi="Arial" w:cs="Arial"/>
                <w:b/>
                <w:sz w:val="18"/>
                <w:szCs w:val="18"/>
              </w:rPr>
              <w:t>Kararsızım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603B9BB1" w14:textId="77777777" w:rsidR="00403BAD" w:rsidRPr="000B6671" w:rsidRDefault="00403BAD" w:rsidP="00B219B4">
            <w:pPr>
              <w:spacing w:after="0" w:line="36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B6671">
              <w:rPr>
                <w:rFonts w:ascii="Arial" w:hAnsi="Arial" w:cs="Arial"/>
                <w:b/>
                <w:sz w:val="18"/>
                <w:szCs w:val="18"/>
              </w:rPr>
              <w:t>Katılıyorum</w:t>
            </w:r>
          </w:p>
          <w:p w14:paraId="69D0BE93" w14:textId="77777777" w:rsidR="00403BAD" w:rsidRPr="000B6671" w:rsidRDefault="00403BAD" w:rsidP="00B219B4">
            <w:pPr>
              <w:spacing w:after="0" w:line="36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14:paraId="082BEF1D" w14:textId="77777777" w:rsidR="00403BAD" w:rsidRPr="000B6671" w:rsidRDefault="00403BAD" w:rsidP="00B219B4">
            <w:pPr>
              <w:spacing w:after="0" w:line="36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B6671">
              <w:rPr>
                <w:rFonts w:ascii="Arial" w:hAnsi="Arial" w:cs="Arial"/>
                <w:b/>
                <w:sz w:val="18"/>
                <w:szCs w:val="18"/>
              </w:rPr>
              <w:t>Tamamen Katılıyorum</w:t>
            </w:r>
          </w:p>
          <w:p w14:paraId="1880D99E" w14:textId="77777777" w:rsidR="00403BAD" w:rsidRPr="000B6671" w:rsidRDefault="00403BAD" w:rsidP="00B219B4">
            <w:pPr>
              <w:spacing w:after="0" w:line="36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295113" w14:textId="77777777" w:rsidR="00403BAD" w:rsidRPr="000B6671" w:rsidRDefault="00403BAD" w:rsidP="00B219B4">
            <w:pPr>
              <w:spacing w:after="0" w:line="36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18151A" w14:textId="77777777" w:rsidR="00403BAD" w:rsidRPr="000B6671" w:rsidRDefault="00403BAD" w:rsidP="00B219B4">
            <w:pPr>
              <w:spacing w:after="0" w:line="36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3BAD" w:rsidRPr="000B6671" w14:paraId="32367517" w14:textId="77777777" w:rsidTr="00B219B4">
        <w:trPr>
          <w:trHeight w:val="263"/>
        </w:trPr>
        <w:tc>
          <w:tcPr>
            <w:tcW w:w="525" w:type="dxa"/>
          </w:tcPr>
          <w:p w14:paraId="47E80294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13" w:type="dxa"/>
          </w:tcPr>
          <w:p w14:paraId="2AB7CD85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  <w:t>Organik ve doğal kozmetik ürünler kullanırım.</w:t>
            </w:r>
          </w:p>
        </w:tc>
        <w:tc>
          <w:tcPr>
            <w:tcW w:w="426" w:type="dxa"/>
          </w:tcPr>
          <w:p w14:paraId="6854346A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16BC331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2BEBDF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6047EEA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5859F20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BAD" w:rsidRPr="000B6671" w14:paraId="10C98CA5" w14:textId="77777777" w:rsidTr="00B219B4">
        <w:trPr>
          <w:trHeight w:val="343"/>
        </w:trPr>
        <w:tc>
          <w:tcPr>
            <w:tcW w:w="525" w:type="dxa"/>
          </w:tcPr>
          <w:p w14:paraId="6E36C912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13" w:type="dxa"/>
          </w:tcPr>
          <w:p w14:paraId="46CCAFF3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color w:val="000000"/>
                <w:sz w:val="18"/>
                <w:szCs w:val="18"/>
                <w:lang w:eastAsia="ko-KR"/>
              </w:rPr>
              <w:t>Plastik vb. zararlı kimyasallar kullanılarak üretilen baskılı giysiler kullanmam.</w:t>
            </w:r>
          </w:p>
        </w:tc>
        <w:tc>
          <w:tcPr>
            <w:tcW w:w="426" w:type="dxa"/>
          </w:tcPr>
          <w:p w14:paraId="3586D339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061F24C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899171E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41894A4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E0B4100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BAD" w:rsidRPr="000B6671" w14:paraId="211C522D" w14:textId="77777777" w:rsidTr="00B219B4">
        <w:trPr>
          <w:trHeight w:val="343"/>
        </w:trPr>
        <w:tc>
          <w:tcPr>
            <w:tcW w:w="525" w:type="dxa"/>
          </w:tcPr>
          <w:p w14:paraId="1F25624C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13" w:type="dxa"/>
          </w:tcPr>
          <w:p w14:paraId="7838B49B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eastAsia="Batang" w:hAnsi="Arial" w:cs="Arial"/>
                <w:bCs/>
                <w:color w:val="000000"/>
                <w:sz w:val="18"/>
                <w:szCs w:val="18"/>
                <w:lang w:eastAsia="ko-KR"/>
              </w:rPr>
              <w:t>Gebelik döneminde kozmetik ürünlere (oje, saç boyası, saç spreyi vb.) maruz kalmaktan kaçınırım /kaçınılmalıdır.</w:t>
            </w:r>
          </w:p>
        </w:tc>
        <w:tc>
          <w:tcPr>
            <w:tcW w:w="426" w:type="dxa"/>
          </w:tcPr>
          <w:p w14:paraId="32758496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16C4615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1C97A6F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96AAFE4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CEAA72E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BAD" w:rsidRPr="000B6671" w14:paraId="4DC50D2D" w14:textId="77777777" w:rsidTr="00B219B4">
        <w:trPr>
          <w:trHeight w:val="343"/>
        </w:trPr>
        <w:tc>
          <w:tcPr>
            <w:tcW w:w="525" w:type="dxa"/>
          </w:tcPr>
          <w:p w14:paraId="5689403E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913" w:type="dxa"/>
          </w:tcPr>
          <w:p w14:paraId="6A7277B1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color w:val="000000"/>
                <w:sz w:val="18"/>
                <w:szCs w:val="18"/>
                <w:lang w:eastAsia="ko-KR"/>
              </w:rPr>
              <w:t>Gündelik hayatımda kimyasal maddelerden korunmak için ellerimi sık sık yıkarım.</w:t>
            </w:r>
          </w:p>
        </w:tc>
        <w:tc>
          <w:tcPr>
            <w:tcW w:w="426" w:type="dxa"/>
          </w:tcPr>
          <w:p w14:paraId="4466B417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317BAB0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61ADBB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E52B6D3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63C98F7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BAD" w:rsidRPr="000B6671" w14:paraId="64BEF852" w14:textId="77777777" w:rsidTr="00B219B4">
        <w:trPr>
          <w:trHeight w:val="343"/>
        </w:trPr>
        <w:tc>
          <w:tcPr>
            <w:tcW w:w="525" w:type="dxa"/>
          </w:tcPr>
          <w:p w14:paraId="1B976233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913" w:type="dxa"/>
          </w:tcPr>
          <w:p w14:paraId="199EF2C1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bCs/>
                <w:color w:val="000000"/>
                <w:sz w:val="18"/>
                <w:szCs w:val="18"/>
                <w:lang w:eastAsia="ko-KR"/>
              </w:rPr>
              <w:t>Evimi düzenli olarak temizlerim/temizletirim.</w:t>
            </w:r>
          </w:p>
        </w:tc>
        <w:tc>
          <w:tcPr>
            <w:tcW w:w="426" w:type="dxa"/>
          </w:tcPr>
          <w:p w14:paraId="01D3A0BF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ECA6F91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726DFA7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95EC936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459D14A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BAD" w:rsidRPr="000B6671" w14:paraId="1A4BF801" w14:textId="77777777" w:rsidTr="00B219B4">
        <w:trPr>
          <w:trHeight w:val="343"/>
        </w:trPr>
        <w:tc>
          <w:tcPr>
            <w:tcW w:w="525" w:type="dxa"/>
          </w:tcPr>
          <w:p w14:paraId="0D4945F9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913" w:type="dxa"/>
          </w:tcPr>
          <w:p w14:paraId="4F0E0F50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bCs/>
                <w:sz w:val="18"/>
                <w:szCs w:val="18"/>
              </w:rPr>
              <w:t>Bulunduğum ortamı gün içerisinde aralıklarla havalandırırım.</w:t>
            </w:r>
          </w:p>
        </w:tc>
        <w:tc>
          <w:tcPr>
            <w:tcW w:w="426" w:type="dxa"/>
          </w:tcPr>
          <w:p w14:paraId="696E5031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80769BA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F6FDD0F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1807624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414049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BAD" w:rsidRPr="000B6671" w14:paraId="028E0644" w14:textId="77777777" w:rsidTr="00B219B4">
        <w:trPr>
          <w:trHeight w:val="343"/>
        </w:trPr>
        <w:tc>
          <w:tcPr>
            <w:tcW w:w="525" w:type="dxa"/>
          </w:tcPr>
          <w:p w14:paraId="6F75FCC7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913" w:type="dxa"/>
          </w:tcPr>
          <w:p w14:paraId="1C6F43E6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eastAsia="Batang" w:hAnsi="Arial" w:cs="Arial"/>
                <w:bCs/>
                <w:color w:val="000000"/>
                <w:sz w:val="18"/>
                <w:szCs w:val="18"/>
                <w:lang w:eastAsia="ko-KR"/>
              </w:rPr>
              <w:t>Kimyasal içeriği açısından zararlı olan çamaşır suyu, tuz ruhu gibi ürünleri kullanırken eldiven, maske vb. koruyucu araçlar kullanırım.</w:t>
            </w:r>
          </w:p>
        </w:tc>
        <w:tc>
          <w:tcPr>
            <w:tcW w:w="426" w:type="dxa"/>
          </w:tcPr>
          <w:p w14:paraId="738C8DB7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225AA67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A071440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CA0A534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9EEA071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BAD" w:rsidRPr="000B6671" w14:paraId="00895940" w14:textId="77777777" w:rsidTr="00B219B4">
        <w:trPr>
          <w:trHeight w:val="343"/>
        </w:trPr>
        <w:tc>
          <w:tcPr>
            <w:tcW w:w="525" w:type="dxa"/>
          </w:tcPr>
          <w:p w14:paraId="1D9311CF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913" w:type="dxa"/>
          </w:tcPr>
          <w:p w14:paraId="2E1EE108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eastAsia="Batang" w:hAnsi="Arial" w:cs="Arial"/>
                <w:bCs/>
                <w:color w:val="000000"/>
                <w:sz w:val="18"/>
                <w:szCs w:val="18"/>
                <w:lang w:eastAsia="ko-KR"/>
              </w:rPr>
              <w:t>Sıkıştırılmış ve yapıştırılmış tahta ürünlerinden (Kontrplak, MDF, sunta vb.) yapılan mobilyaları kullanmam.</w:t>
            </w:r>
          </w:p>
        </w:tc>
        <w:tc>
          <w:tcPr>
            <w:tcW w:w="426" w:type="dxa"/>
          </w:tcPr>
          <w:p w14:paraId="71ABCE8A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71F6DC8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BC36FFE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3AC310C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FE28808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BAD" w:rsidRPr="000B6671" w14:paraId="7C7D29CD" w14:textId="77777777" w:rsidTr="00B219B4">
        <w:trPr>
          <w:trHeight w:val="343"/>
        </w:trPr>
        <w:tc>
          <w:tcPr>
            <w:tcW w:w="525" w:type="dxa"/>
          </w:tcPr>
          <w:p w14:paraId="3031A486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913" w:type="dxa"/>
          </w:tcPr>
          <w:p w14:paraId="7B816BF7" w14:textId="77777777" w:rsidR="00403BAD" w:rsidRPr="000B6671" w:rsidRDefault="00403BAD" w:rsidP="00B219B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bCs/>
                <w:color w:val="000000"/>
                <w:sz w:val="18"/>
                <w:szCs w:val="18"/>
                <w:lang w:eastAsia="ko-KR"/>
              </w:rPr>
              <w:t>Evimde pamuk, cam, ahşap gibi doğal malzemelerden üretilen eşyalar kullanırım.</w:t>
            </w:r>
          </w:p>
        </w:tc>
        <w:tc>
          <w:tcPr>
            <w:tcW w:w="426" w:type="dxa"/>
          </w:tcPr>
          <w:p w14:paraId="2F17CC6B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F09F379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CE312F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41DC2D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9A866D0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BAD" w:rsidRPr="000B6671" w14:paraId="687705E8" w14:textId="77777777" w:rsidTr="00B219B4">
        <w:trPr>
          <w:trHeight w:val="263"/>
        </w:trPr>
        <w:tc>
          <w:tcPr>
            <w:tcW w:w="525" w:type="dxa"/>
          </w:tcPr>
          <w:p w14:paraId="68B9A16B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913" w:type="dxa"/>
          </w:tcPr>
          <w:p w14:paraId="34728121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bCs/>
                <w:color w:val="000000"/>
                <w:sz w:val="18"/>
                <w:szCs w:val="18"/>
                <w:lang w:eastAsia="ko-KR"/>
              </w:rPr>
              <w:t>Bağ, bahçe veya saksı işleri ile uğraşırken eldiven giyerim.</w:t>
            </w:r>
          </w:p>
        </w:tc>
        <w:tc>
          <w:tcPr>
            <w:tcW w:w="426" w:type="dxa"/>
          </w:tcPr>
          <w:p w14:paraId="27D0A11D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C18C03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1250496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42DE2DB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F64C8C5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BAD" w:rsidRPr="000B6671" w14:paraId="530C38E0" w14:textId="77777777" w:rsidTr="00B219B4">
        <w:trPr>
          <w:trHeight w:val="343"/>
        </w:trPr>
        <w:tc>
          <w:tcPr>
            <w:tcW w:w="525" w:type="dxa"/>
          </w:tcPr>
          <w:p w14:paraId="392A750A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913" w:type="dxa"/>
          </w:tcPr>
          <w:p w14:paraId="2CD8DFB8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color w:val="000000"/>
                <w:sz w:val="18"/>
                <w:szCs w:val="18"/>
                <w:lang w:eastAsia="ko-KR"/>
              </w:rPr>
              <w:t>Alışverişlerimde TSE, CE gibi ulusal / uluslararası sertifikalı / etiketli ürünler alırım.</w:t>
            </w:r>
          </w:p>
        </w:tc>
        <w:tc>
          <w:tcPr>
            <w:tcW w:w="426" w:type="dxa"/>
          </w:tcPr>
          <w:p w14:paraId="170B5C94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9EB5F3A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B0F628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E03E50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5C35E7A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BAD" w:rsidRPr="000B6671" w14:paraId="28E09F74" w14:textId="77777777" w:rsidTr="00B219B4">
        <w:trPr>
          <w:trHeight w:val="343"/>
        </w:trPr>
        <w:tc>
          <w:tcPr>
            <w:tcW w:w="525" w:type="dxa"/>
          </w:tcPr>
          <w:p w14:paraId="16EEB8F4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913" w:type="dxa"/>
          </w:tcPr>
          <w:p w14:paraId="5F3A185E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color w:val="000000"/>
                <w:sz w:val="18"/>
                <w:szCs w:val="18"/>
                <w:lang w:eastAsia="ko-KR"/>
              </w:rPr>
              <w:t>Alışveriş yaparken alacağım ürünün içeriğini kontrol ederim.</w:t>
            </w:r>
          </w:p>
        </w:tc>
        <w:tc>
          <w:tcPr>
            <w:tcW w:w="426" w:type="dxa"/>
          </w:tcPr>
          <w:p w14:paraId="52C5C309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7D817E6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8198E0D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76B44BD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938F375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BAD" w:rsidRPr="000B6671" w14:paraId="29E90775" w14:textId="77777777" w:rsidTr="00B219B4">
        <w:trPr>
          <w:trHeight w:val="343"/>
        </w:trPr>
        <w:tc>
          <w:tcPr>
            <w:tcW w:w="525" w:type="dxa"/>
          </w:tcPr>
          <w:p w14:paraId="4C51F7B6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913" w:type="dxa"/>
          </w:tcPr>
          <w:p w14:paraId="7F98E166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color w:val="000000"/>
                <w:sz w:val="18"/>
                <w:szCs w:val="18"/>
                <w:lang w:eastAsia="ko-KR"/>
              </w:rPr>
              <w:t>Diz üstü bilgisayar kullanırken bilgisayar ile aramda masa, minder vb. bariyer olmasına dikkat ederim.</w:t>
            </w:r>
          </w:p>
        </w:tc>
        <w:tc>
          <w:tcPr>
            <w:tcW w:w="426" w:type="dxa"/>
          </w:tcPr>
          <w:p w14:paraId="270BEF8E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FF1EAD6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ECADBD3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75FFD73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8B0FC7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BAD" w:rsidRPr="000B6671" w14:paraId="09291235" w14:textId="77777777" w:rsidTr="00B219B4">
        <w:trPr>
          <w:trHeight w:val="343"/>
        </w:trPr>
        <w:tc>
          <w:tcPr>
            <w:tcW w:w="525" w:type="dxa"/>
          </w:tcPr>
          <w:p w14:paraId="6BCFD5E3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913" w:type="dxa"/>
          </w:tcPr>
          <w:p w14:paraId="1F4D631F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  <w:t>Katkı maddeleri eklenerek raf ömrü uzatılmış hazır gıdalar yerine mevsiminde taze gıdaları tüketmeyi tercih ederim.</w:t>
            </w:r>
          </w:p>
        </w:tc>
        <w:tc>
          <w:tcPr>
            <w:tcW w:w="426" w:type="dxa"/>
          </w:tcPr>
          <w:p w14:paraId="76E06743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9E66EBA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83292F0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73BD1F7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CF29CDE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278A39A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BAD" w:rsidRPr="000B6671" w14:paraId="32C7F6CF" w14:textId="77777777" w:rsidTr="00B219B4">
        <w:trPr>
          <w:trHeight w:val="570"/>
        </w:trPr>
        <w:tc>
          <w:tcPr>
            <w:tcW w:w="525" w:type="dxa"/>
          </w:tcPr>
          <w:p w14:paraId="07AC24C5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913" w:type="dxa"/>
          </w:tcPr>
          <w:p w14:paraId="720B3ECE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  <w:t>Su şişesi ve mutfak malzemelerinde plastik yerine cam, seramik, porselen ve çelikten yapılmış ürünleri kullanırım.</w:t>
            </w:r>
          </w:p>
        </w:tc>
        <w:tc>
          <w:tcPr>
            <w:tcW w:w="426" w:type="dxa"/>
          </w:tcPr>
          <w:p w14:paraId="3475493E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87924A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603CE49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B0DC993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AFAB40B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ED9C0D7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BAD" w:rsidRPr="000B6671" w14:paraId="5F9B0ED0" w14:textId="77777777" w:rsidTr="00B219B4">
        <w:trPr>
          <w:trHeight w:val="343"/>
        </w:trPr>
        <w:tc>
          <w:tcPr>
            <w:tcW w:w="525" w:type="dxa"/>
          </w:tcPr>
          <w:p w14:paraId="3C544308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13" w:type="dxa"/>
          </w:tcPr>
          <w:p w14:paraId="079C6FF6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  <w:t>Plastik şişelerdeki i</w:t>
            </w:r>
            <w:r w:rsidRPr="000B6671">
              <w:rPr>
                <w:rFonts w:ascii="Arial" w:hAnsi="Arial" w:cs="Arial"/>
                <w:color w:val="000000"/>
                <w:sz w:val="18"/>
                <w:szCs w:val="18"/>
                <w:lang w:eastAsia="ko-KR"/>
              </w:rPr>
              <w:t>çme sularını güneşten ve yüksek ısıdan uzakta depolar/saklarım.</w:t>
            </w:r>
          </w:p>
        </w:tc>
        <w:tc>
          <w:tcPr>
            <w:tcW w:w="426" w:type="dxa"/>
          </w:tcPr>
          <w:p w14:paraId="177FF2FB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2994D05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2C7761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AECB7C7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6532ABB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BAD" w:rsidRPr="000B6671" w14:paraId="1720F71A" w14:textId="77777777" w:rsidTr="00B219B4">
        <w:trPr>
          <w:trHeight w:val="343"/>
        </w:trPr>
        <w:tc>
          <w:tcPr>
            <w:tcW w:w="525" w:type="dxa"/>
          </w:tcPr>
          <w:p w14:paraId="5A943B52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913" w:type="dxa"/>
          </w:tcPr>
          <w:p w14:paraId="03B49900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sz w:val="18"/>
                <w:szCs w:val="18"/>
                <w:lang w:eastAsia="ko-KR"/>
              </w:rPr>
              <w:t>Sebze ve meyveleri iyice yıkadıktan sonra tüketirim.</w:t>
            </w:r>
          </w:p>
        </w:tc>
        <w:tc>
          <w:tcPr>
            <w:tcW w:w="426" w:type="dxa"/>
          </w:tcPr>
          <w:p w14:paraId="425E512B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75CB2FE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14:paraId="7A4B81FA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DC64D81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B982719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BAD" w:rsidRPr="000B6671" w14:paraId="543FF780" w14:textId="77777777" w:rsidTr="00B219B4">
        <w:trPr>
          <w:trHeight w:val="343"/>
        </w:trPr>
        <w:tc>
          <w:tcPr>
            <w:tcW w:w="525" w:type="dxa"/>
          </w:tcPr>
          <w:p w14:paraId="66B44E39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913" w:type="dxa"/>
          </w:tcPr>
          <w:p w14:paraId="2E29E03D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sz w:val="18"/>
                <w:szCs w:val="18"/>
                <w:lang w:eastAsia="ko-KR"/>
              </w:rPr>
              <w:t>Mutfakta yapışmaz tava ve tencereler yerine, dökme demir veya paslanmaz çelik olanlarını kullanırım.</w:t>
            </w:r>
          </w:p>
        </w:tc>
        <w:tc>
          <w:tcPr>
            <w:tcW w:w="426" w:type="dxa"/>
          </w:tcPr>
          <w:p w14:paraId="178C3D7C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A1F6FCC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310D654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7FB19AC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714CE6C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BAD" w:rsidRPr="000B6671" w14:paraId="2F55B978" w14:textId="77777777" w:rsidTr="00B219B4">
        <w:trPr>
          <w:trHeight w:val="343"/>
        </w:trPr>
        <w:tc>
          <w:tcPr>
            <w:tcW w:w="525" w:type="dxa"/>
          </w:tcPr>
          <w:p w14:paraId="3506C36A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913" w:type="dxa"/>
          </w:tcPr>
          <w:p w14:paraId="5F839225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sz w:val="18"/>
                <w:szCs w:val="18"/>
                <w:lang w:eastAsia="ko-KR"/>
              </w:rPr>
              <w:t>Mikrodalga fırında plastik kapta yemek ısıtmam.</w:t>
            </w:r>
          </w:p>
        </w:tc>
        <w:tc>
          <w:tcPr>
            <w:tcW w:w="426" w:type="dxa"/>
          </w:tcPr>
          <w:p w14:paraId="558A9112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FEC5481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872A118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09AF375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37A8BE6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BAD" w:rsidRPr="000B6671" w14:paraId="6A8D99E7" w14:textId="77777777" w:rsidTr="00B219B4">
        <w:trPr>
          <w:trHeight w:val="343"/>
        </w:trPr>
        <w:tc>
          <w:tcPr>
            <w:tcW w:w="525" w:type="dxa"/>
          </w:tcPr>
          <w:p w14:paraId="06B8EBF1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913" w:type="dxa"/>
          </w:tcPr>
          <w:p w14:paraId="7F402AA1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sz w:val="18"/>
                <w:szCs w:val="18"/>
                <w:lang w:eastAsia="ko-KR"/>
              </w:rPr>
              <w:t>Alüminyum paketleme materyallerini kullanmam ve bu materyallerde buzdolabında yiyecek saklamam.</w:t>
            </w:r>
          </w:p>
        </w:tc>
        <w:tc>
          <w:tcPr>
            <w:tcW w:w="426" w:type="dxa"/>
          </w:tcPr>
          <w:p w14:paraId="5BB05786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1AA565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447D4E0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2BE96A1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4A55EB3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72EEC6C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30AB3A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C258831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6E69B83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7E8D704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BAD" w:rsidRPr="000B6671" w14:paraId="0CDB9FEB" w14:textId="77777777" w:rsidTr="00B219B4">
        <w:trPr>
          <w:trHeight w:val="343"/>
        </w:trPr>
        <w:tc>
          <w:tcPr>
            <w:tcW w:w="525" w:type="dxa"/>
          </w:tcPr>
          <w:p w14:paraId="555630DF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913" w:type="dxa"/>
          </w:tcPr>
          <w:p w14:paraId="669DC1D0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B6671">
              <w:rPr>
                <w:rFonts w:ascii="Arial" w:eastAsia="Batang" w:hAnsi="Arial" w:cs="Arial"/>
                <w:sz w:val="18"/>
                <w:szCs w:val="18"/>
                <w:lang w:eastAsia="ko-KR"/>
              </w:rPr>
              <w:t>Geri dönüşüm kodu 3, 6 ve 7 ile işaretlenmiş plastiklerle temas eden gıdaları tüketmem.</w:t>
            </w:r>
          </w:p>
        </w:tc>
        <w:tc>
          <w:tcPr>
            <w:tcW w:w="426" w:type="dxa"/>
          </w:tcPr>
          <w:p w14:paraId="4D212A7E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C680D20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ECC46F1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DCA3583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173B1A3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72AC42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04724FD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62BC8D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AE8415F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209AB3" w14:textId="77777777" w:rsidR="00403BAD" w:rsidRPr="000B6671" w:rsidRDefault="00403BAD" w:rsidP="00B219B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92BA82" w14:textId="77777777" w:rsidR="00403BAD" w:rsidRPr="00A50EB6" w:rsidRDefault="00403BAD" w:rsidP="00403BAD">
      <w:pPr>
        <w:rPr>
          <w:rFonts w:ascii="Arial" w:hAnsi="Arial" w:cs="Arial"/>
          <w:b/>
          <w:sz w:val="18"/>
          <w:szCs w:val="18"/>
        </w:rPr>
      </w:pPr>
    </w:p>
    <w:p w14:paraId="7809F9A5" w14:textId="77777777" w:rsidR="00403BAD" w:rsidRPr="00831262" w:rsidRDefault="00403BAD" w:rsidP="00403BAD">
      <w:pPr>
        <w:pStyle w:val="ListeParagraf"/>
        <w:ind w:left="432"/>
        <w:rPr>
          <w:sz w:val="24"/>
          <w:szCs w:val="24"/>
        </w:rPr>
      </w:pPr>
    </w:p>
    <w:p w14:paraId="31BB28C7" w14:textId="5C38ED9D" w:rsidR="00403BAD" w:rsidRPr="0055783C" w:rsidRDefault="00403BAD" w:rsidP="00403B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83C">
        <w:rPr>
          <w:rFonts w:ascii="Times New Roman" w:hAnsi="Times New Roman" w:cs="Times New Roman"/>
          <w:sz w:val="24"/>
          <w:szCs w:val="24"/>
        </w:rPr>
        <w:lastRenderedPageBreak/>
        <w:t>Ölçek Miral ve ark (202</w:t>
      </w:r>
      <w:r w:rsidR="00643B46">
        <w:rPr>
          <w:rFonts w:ascii="Times New Roman" w:hAnsi="Times New Roman" w:cs="Times New Roman"/>
          <w:sz w:val="24"/>
          <w:szCs w:val="24"/>
        </w:rPr>
        <w:t>4</w:t>
      </w:r>
      <w:r w:rsidRPr="0055783C">
        <w:rPr>
          <w:rFonts w:ascii="Times New Roman" w:hAnsi="Times New Roman" w:cs="Times New Roman"/>
          <w:sz w:val="24"/>
          <w:szCs w:val="24"/>
        </w:rPr>
        <w:t xml:space="preserve">) tarafından yetişkinlerin endokrin bozuculara yönelik tutumunu belirlemek amacıyla geliştirilmiş olup, 21 maddeden oluşmaktadır. Endokrin bozucular tutum ölçeğinin tüketici davranışları ve beslenme ve hijyen olmak üzere iki alt boyutu bulunmaktadır. </w:t>
      </w:r>
      <w:r w:rsidR="0055783C" w:rsidRPr="0055783C">
        <w:rPr>
          <w:rFonts w:ascii="Times New Roman" w:hAnsi="Times New Roman" w:cs="Times New Roman"/>
          <w:sz w:val="24"/>
          <w:szCs w:val="24"/>
        </w:rPr>
        <w:t xml:space="preserve">Tüketici davranışları alt boyutu </w:t>
      </w:r>
      <w:r w:rsidR="0055783C" w:rsidRPr="0055783C">
        <w:rPr>
          <w:rFonts w:ascii="Times New Roman" w:eastAsia="Calibri" w:hAnsi="Times New Roman" w:cs="Times New Roman"/>
          <w:sz w:val="24"/>
          <w:szCs w:val="24"/>
        </w:rPr>
        <w:t xml:space="preserve">1,2,7,8,9,10,11,12,13,18,21 numaralı maddeler olmak üzere toplam 11 maddeden </w:t>
      </w:r>
      <w:r w:rsidR="0055783C" w:rsidRPr="005578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oluşmaktadır.</w:t>
      </w:r>
      <w:r w:rsidR="0055783C" w:rsidRPr="00557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Beslenme ve hijyen alt boyutu ise </w:t>
      </w:r>
      <w:r w:rsidR="0055783C" w:rsidRPr="005578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3,4,5,6,14,15,16,17,19,20 numaralı maddeler olmak üzere toplam </w:t>
      </w:r>
      <w:r w:rsidR="0055783C" w:rsidRPr="0055783C">
        <w:rPr>
          <w:rFonts w:ascii="Times New Roman" w:eastAsia="Calibri" w:hAnsi="Times New Roman" w:cs="Times New Roman"/>
          <w:sz w:val="24"/>
          <w:szCs w:val="24"/>
        </w:rPr>
        <w:t>10 maddeden oluşmaktadır</w:t>
      </w:r>
      <w:r w:rsidR="0055783C" w:rsidRPr="0055783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55783C" w:rsidRPr="0055783C">
        <w:rPr>
          <w:rFonts w:ascii="Times New Roman" w:hAnsi="Times New Roman" w:cs="Times New Roman"/>
          <w:sz w:val="24"/>
          <w:szCs w:val="24"/>
        </w:rPr>
        <w:t xml:space="preserve"> Ölçek</w:t>
      </w:r>
      <w:r w:rsidRPr="0055783C">
        <w:rPr>
          <w:rFonts w:ascii="Times New Roman" w:hAnsi="Times New Roman" w:cs="Times New Roman"/>
          <w:sz w:val="24"/>
          <w:szCs w:val="24"/>
        </w:rPr>
        <w:t xml:space="preserve"> "Tamamen katılıyorum", "Katılıyorum", "Kararsızım" "Katılmıyorum", "Hiç katılmıyorum" şeklinde beşli </w:t>
      </w:r>
      <w:proofErr w:type="spellStart"/>
      <w:r w:rsidRPr="0055783C">
        <w:rPr>
          <w:rFonts w:ascii="Times New Roman" w:hAnsi="Times New Roman" w:cs="Times New Roman"/>
          <w:sz w:val="24"/>
          <w:szCs w:val="24"/>
        </w:rPr>
        <w:t>likert</w:t>
      </w:r>
      <w:proofErr w:type="spellEnd"/>
      <w:r w:rsidRPr="0055783C">
        <w:rPr>
          <w:rFonts w:ascii="Times New Roman" w:hAnsi="Times New Roman" w:cs="Times New Roman"/>
          <w:sz w:val="24"/>
          <w:szCs w:val="24"/>
        </w:rPr>
        <w:t xml:space="preserve"> tipi hazırlanmıştır.</w:t>
      </w:r>
      <w:r w:rsidR="0055783C" w:rsidRPr="0055783C">
        <w:rPr>
          <w:rFonts w:ascii="Times New Roman" w:hAnsi="Times New Roman" w:cs="Times New Roman"/>
          <w:sz w:val="24"/>
          <w:szCs w:val="24"/>
        </w:rPr>
        <w:t xml:space="preserve"> Ölçekte ters madde bulunmamaktadır. </w:t>
      </w:r>
      <w:r w:rsidRPr="0055783C">
        <w:rPr>
          <w:rFonts w:ascii="Times New Roman" w:hAnsi="Times New Roman" w:cs="Times New Roman"/>
          <w:sz w:val="24"/>
          <w:szCs w:val="24"/>
        </w:rPr>
        <w:t xml:space="preserve"> </w:t>
      </w:r>
      <w:r w:rsidR="0055783C" w:rsidRPr="0055783C">
        <w:rPr>
          <w:rFonts w:ascii="Times New Roman" w:hAnsi="Times New Roman" w:cs="Times New Roman"/>
          <w:sz w:val="24"/>
          <w:szCs w:val="24"/>
        </w:rPr>
        <w:t xml:space="preserve">Kesme değeri bulunmayan ölçekten alınacak en yüksek puan 105 ve en düşük puan 21 olup yüksek puanlar yetişkinlerin endokrin bozuculardan korunmak amacıyla olumlu bir tutum içerisinde olduklarını işaret etmektedir. </w:t>
      </w:r>
      <w:r w:rsidRPr="0055783C">
        <w:rPr>
          <w:rFonts w:ascii="Times New Roman" w:hAnsi="Times New Roman" w:cs="Times New Roman"/>
          <w:sz w:val="24"/>
          <w:szCs w:val="24"/>
        </w:rPr>
        <w:t xml:space="preserve">Cronbach Alfa güvenirlik katsayısı </w:t>
      </w:r>
      <w:r w:rsidR="00D05C5F">
        <w:rPr>
          <w:rFonts w:ascii="Times New Roman" w:hAnsi="Times New Roman" w:cs="Times New Roman"/>
          <w:sz w:val="24"/>
          <w:szCs w:val="24"/>
        </w:rPr>
        <w:t>Endokrin Bozucular Tutum Ölçeği</w:t>
      </w:r>
      <w:r w:rsidR="00D05C5F" w:rsidRPr="0055783C">
        <w:rPr>
          <w:rFonts w:ascii="Times New Roman" w:hAnsi="Times New Roman" w:cs="Times New Roman"/>
          <w:sz w:val="24"/>
          <w:szCs w:val="24"/>
        </w:rPr>
        <w:t xml:space="preserve"> </w:t>
      </w:r>
      <w:r w:rsidRPr="0055783C">
        <w:rPr>
          <w:rFonts w:ascii="Times New Roman" w:hAnsi="Times New Roman" w:cs="Times New Roman"/>
          <w:sz w:val="24"/>
          <w:szCs w:val="24"/>
        </w:rPr>
        <w:t xml:space="preserve">için </w:t>
      </w:r>
      <w:r w:rsidRPr="0055783C">
        <w:rPr>
          <w:rFonts w:ascii="Cambria Math" w:hAnsi="Cambria Math" w:cs="Cambria Math"/>
          <w:sz w:val="24"/>
          <w:szCs w:val="24"/>
        </w:rPr>
        <w:t>∝</w:t>
      </w:r>
      <w:r w:rsidRPr="0055783C">
        <w:rPr>
          <w:rFonts w:ascii="Times New Roman" w:hAnsi="Times New Roman" w:cs="Times New Roman"/>
          <w:sz w:val="24"/>
          <w:szCs w:val="24"/>
        </w:rPr>
        <w:t xml:space="preserve">= 0.85, Tüketici davranışları alt boyutu için </w:t>
      </w:r>
      <w:r w:rsidRPr="0055783C">
        <w:rPr>
          <w:rFonts w:ascii="Cambria Math" w:hAnsi="Cambria Math" w:cs="Cambria Math"/>
          <w:sz w:val="24"/>
          <w:szCs w:val="24"/>
        </w:rPr>
        <w:t>∝</w:t>
      </w:r>
      <w:r w:rsidRPr="0055783C">
        <w:rPr>
          <w:rFonts w:ascii="Times New Roman" w:hAnsi="Times New Roman" w:cs="Times New Roman"/>
          <w:sz w:val="24"/>
          <w:szCs w:val="24"/>
        </w:rPr>
        <w:t xml:space="preserve">= 0.81; Beslenme ve hijyen alt boyutu için </w:t>
      </w:r>
      <w:r w:rsidRPr="0055783C">
        <w:rPr>
          <w:rFonts w:ascii="Cambria Math" w:hAnsi="Cambria Math" w:cs="Cambria Math"/>
          <w:sz w:val="24"/>
          <w:szCs w:val="24"/>
        </w:rPr>
        <w:t>∝</w:t>
      </w:r>
      <w:r w:rsidRPr="0055783C">
        <w:rPr>
          <w:rFonts w:ascii="Times New Roman" w:hAnsi="Times New Roman" w:cs="Times New Roman"/>
          <w:sz w:val="24"/>
          <w:szCs w:val="24"/>
        </w:rPr>
        <w:t xml:space="preserve">= 0.80 saptanmıştır. </w:t>
      </w:r>
    </w:p>
    <w:p w14:paraId="4C748CB0" w14:textId="32241C14" w:rsidR="00A065EA" w:rsidRPr="0055783C" w:rsidRDefault="00A065EA" w:rsidP="00A065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B385C0" w14:textId="6ED84916" w:rsidR="00DA4B7B" w:rsidRPr="00864A90" w:rsidRDefault="0072460F">
      <w:pPr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72460F">
        <w:rPr>
          <w:rFonts w:ascii="Times New Roman" w:hAnsi="Times New Roman" w:cs="Times New Roman"/>
          <w:sz w:val="24"/>
          <w:szCs w:val="24"/>
        </w:rPr>
        <w:t xml:space="preserve">Turan Miral M, Mamuk R, Dişsiz M, </w:t>
      </w:r>
      <w:proofErr w:type="spellStart"/>
      <w:r w:rsidRPr="0072460F">
        <w:rPr>
          <w:rFonts w:ascii="Times New Roman" w:hAnsi="Times New Roman" w:cs="Times New Roman"/>
          <w:sz w:val="24"/>
          <w:szCs w:val="24"/>
        </w:rPr>
        <w:t>İşgüven</w:t>
      </w:r>
      <w:proofErr w:type="spellEnd"/>
      <w:r w:rsidRPr="0072460F">
        <w:rPr>
          <w:rFonts w:ascii="Times New Roman" w:hAnsi="Times New Roman" w:cs="Times New Roman"/>
          <w:sz w:val="24"/>
          <w:szCs w:val="24"/>
        </w:rPr>
        <w:t xml:space="preserve"> SP. </w:t>
      </w:r>
      <w:proofErr w:type="spellStart"/>
      <w:r w:rsidRPr="0072460F">
        <w:rPr>
          <w:rFonts w:ascii="Times New Roman" w:hAnsi="Times New Roman" w:cs="Times New Roman"/>
          <w:sz w:val="24"/>
          <w:szCs w:val="24"/>
        </w:rPr>
        <w:t>Endocrine</w:t>
      </w:r>
      <w:proofErr w:type="spellEnd"/>
      <w:r w:rsidRPr="00724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60F">
        <w:rPr>
          <w:rFonts w:ascii="Times New Roman" w:hAnsi="Times New Roman" w:cs="Times New Roman"/>
          <w:sz w:val="24"/>
          <w:szCs w:val="24"/>
        </w:rPr>
        <w:t>disruptors</w:t>
      </w:r>
      <w:proofErr w:type="spellEnd"/>
      <w:r w:rsidRPr="00724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60F">
        <w:rPr>
          <w:rFonts w:ascii="Times New Roman" w:hAnsi="Times New Roman" w:cs="Times New Roman"/>
          <w:sz w:val="24"/>
          <w:szCs w:val="24"/>
        </w:rPr>
        <w:t>attitude</w:t>
      </w:r>
      <w:proofErr w:type="spellEnd"/>
      <w:r w:rsidRPr="00724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60F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72460F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72460F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724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60F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724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60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7246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460F">
        <w:rPr>
          <w:rFonts w:ascii="Times New Roman" w:hAnsi="Times New Roman" w:cs="Times New Roman"/>
          <w:sz w:val="24"/>
          <w:szCs w:val="24"/>
        </w:rPr>
        <w:t>Arch</w:t>
      </w:r>
      <w:proofErr w:type="spellEnd"/>
      <w:r w:rsidRPr="00724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60F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24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60F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724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60F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Pr="007246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460F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72460F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72460F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72460F">
        <w:rPr>
          <w:rFonts w:ascii="Times New Roman" w:hAnsi="Times New Roman" w:cs="Times New Roman"/>
          <w:sz w:val="24"/>
          <w:szCs w:val="24"/>
        </w:rPr>
        <w:t xml:space="preserve"> 8, 2024. </w:t>
      </w:r>
      <w:proofErr w:type="spellStart"/>
      <w:proofErr w:type="gramStart"/>
      <w:r w:rsidRPr="0072460F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72460F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tgtFrame="_blank" w:history="1">
        <w:r w:rsidRPr="00643B46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10.5152/ArcHealthSciRes.2024.24109</w:t>
        </w:r>
      </w:hyperlink>
    </w:p>
    <w:sectPr w:rsidR="00DA4B7B" w:rsidRPr="00864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277C6" w14:textId="77777777" w:rsidR="00B3491B" w:rsidRDefault="00B3491B" w:rsidP="00403BAD">
      <w:pPr>
        <w:spacing w:after="0" w:line="240" w:lineRule="auto"/>
      </w:pPr>
      <w:r>
        <w:separator/>
      </w:r>
    </w:p>
  </w:endnote>
  <w:endnote w:type="continuationSeparator" w:id="0">
    <w:p w14:paraId="0FFF7CEF" w14:textId="77777777" w:rsidR="00B3491B" w:rsidRDefault="00B3491B" w:rsidP="0040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F575C" w14:textId="77777777" w:rsidR="00B3491B" w:rsidRDefault="00B3491B" w:rsidP="00403BAD">
      <w:pPr>
        <w:spacing w:after="0" w:line="240" w:lineRule="auto"/>
      </w:pPr>
      <w:r>
        <w:separator/>
      </w:r>
    </w:p>
  </w:footnote>
  <w:footnote w:type="continuationSeparator" w:id="0">
    <w:p w14:paraId="3FC76F85" w14:textId="77777777" w:rsidR="00B3491B" w:rsidRDefault="00B3491B" w:rsidP="00403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04053"/>
    <w:multiLevelType w:val="hybridMultilevel"/>
    <w:tmpl w:val="F1FC01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A48A0"/>
    <w:multiLevelType w:val="multilevel"/>
    <w:tmpl w:val="E87C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E40D40"/>
    <w:multiLevelType w:val="hybridMultilevel"/>
    <w:tmpl w:val="F1F4CF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895060">
    <w:abstractNumId w:val="2"/>
  </w:num>
  <w:num w:numId="2" w16cid:durableId="1542597230">
    <w:abstractNumId w:val="0"/>
  </w:num>
  <w:num w:numId="3" w16cid:durableId="22365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88"/>
    <w:rsid w:val="00010084"/>
    <w:rsid w:val="00115875"/>
    <w:rsid w:val="00156BCC"/>
    <w:rsid w:val="003232D8"/>
    <w:rsid w:val="00403BAD"/>
    <w:rsid w:val="0055783C"/>
    <w:rsid w:val="00643B46"/>
    <w:rsid w:val="0072460F"/>
    <w:rsid w:val="00782730"/>
    <w:rsid w:val="007D183A"/>
    <w:rsid w:val="00816D45"/>
    <w:rsid w:val="00864A90"/>
    <w:rsid w:val="008A2A88"/>
    <w:rsid w:val="008B3FA7"/>
    <w:rsid w:val="008B5AA3"/>
    <w:rsid w:val="0092377C"/>
    <w:rsid w:val="00A065EA"/>
    <w:rsid w:val="00A92619"/>
    <w:rsid w:val="00AF5C79"/>
    <w:rsid w:val="00B3491B"/>
    <w:rsid w:val="00CE78B5"/>
    <w:rsid w:val="00D05C5F"/>
    <w:rsid w:val="00DA4B7B"/>
    <w:rsid w:val="00DF35B4"/>
    <w:rsid w:val="00DF6F1C"/>
    <w:rsid w:val="00E4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BF7A"/>
  <w15:chartTrackingRefBased/>
  <w15:docId w15:val="{86810735-EC3B-4ACD-9EB9-147FDC7B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BAD"/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3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3BAD"/>
    <w:rPr>
      <w:lang w:val="tr-TR"/>
    </w:rPr>
  </w:style>
  <w:style w:type="paragraph" w:styleId="ListeParagraf">
    <w:name w:val="List Paragraph"/>
    <w:basedOn w:val="Normal"/>
    <w:link w:val="ListeParagrafChar"/>
    <w:uiPriority w:val="34"/>
    <w:qFormat/>
    <w:rsid w:val="00403BAD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40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3BAD"/>
    <w:rPr>
      <w:lang w:val="tr-TR"/>
    </w:rPr>
  </w:style>
  <w:style w:type="character" w:styleId="Kpr">
    <w:name w:val="Hyperlink"/>
    <w:basedOn w:val="VarsaylanParagrafYazTipi"/>
    <w:uiPriority w:val="99"/>
    <w:unhideWhenUsed/>
    <w:rsid w:val="00403BAD"/>
    <w:rPr>
      <w:color w:val="0000FF"/>
      <w:u w:val="single"/>
    </w:rPr>
  </w:style>
  <w:style w:type="character" w:customStyle="1" w:styleId="ListeParagrafChar">
    <w:name w:val="Liste Paragraf Char"/>
    <w:link w:val="ListeParagraf"/>
    <w:uiPriority w:val="34"/>
    <w:rsid w:val="00403BAD"/>
    <w:rPr>
      <w:lang w:val="tr-TR"/>
    </w:rPr>
  </w:style>
  <w:style w:type="paragraph" w:customStyle="1" w:styleId="WW-NormalWeb1">
    <w:name w:val="WW-Normal (Web)1"/>
    <w:basedOn w:val="Normal"/>
    <w:qFormat/>
    <w:rsid w:val="00DF35B4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43B46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7246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x.doi.org/10.5152/ArcHealthSciRes.2024.241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Mukaddes Turan Miral</dc:creator>
  <cp:keywords/>
  <dc:description/>
  <cp:lastModifiedBy>Mukaddes Turan Miral</cp:lastModifiedBy>
  <cp:revision>7</cp:revision>
  <dcterms:created xsi:type="dcterms:W3CDTF">2024-10-20T12:26:00Z</dcterms:created>
  <dcterms:modified xsi:type="dcterms:W3CDTF">2025-01-06T21:15:00Z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05ec39ee-fd78-4d0c-902a-201f867ebc6a</vt:lpwstr>
  </property>
</Properties>
</file>