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"/>
        <w:gridCol w:w="10641"/>
        <w:gridCol w:w="708"/>
        <w:gridCol w:w="425"/>
        <w:gridCol w:w="425"/>
        <w:gridCol w:w="437"/>
        <w:gridCol w:w="663"/>
      </w:tblGrid>
      <w:tr w:rsidR="008A4050" w:rsidRPr="00E34DCD" w14:paraId="430C289F" w14:textId="77777777" w:rsidTr="008A4050">
        <w:trPr>
          <w:trHeight w:val="26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C40AF" w14:textId="77777777" w:rsidR="008A4050" w:rsidRPr="00E34DCD" w:rsidRDefault="008A4050" w:rsidP="00212EA5">
            <w:pPr>
              <w:pStyle w:val="GvdeMetni"/>
              <w:spacing w:before="92" w:line="48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</w:rPr>
              <w:t>Adölesan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Sağlık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Üreme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Sağlığı’nda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Yönetim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Karar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Verme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Yeterliliklerini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E34D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</w:rPr>
              <w:t>Aracı</w:t>
            </w:r>
            <w:proofErr w:type="spellEnd"/>
          </w:p>
          <w:p w14:paraId="70F6B1B4" w14:textId="6B070D14" w:rsidR="008A4050" w:rsidRPr="00E34DCD" w:rsidRDefault="008A4050" w:rsidP="00212EA5">
            <w:pPr>
              <w:pStyle w:val="TableParagraph"/>
              <w:spacing w:line="480" w:lineRule="auto"/>
              <w:ind w:right="4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2F021051" w14:textId="77777777" w:rsidTr="008A4050">
        <w:trPr>
          <w:trHeight w:val="26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8D077" w14:textId="637A0B03" w:rsidR="008A4050" w:rsidRPr="00E34DCD" w:rsidRDefault="008A4050" w:rsidP="00212EA5">
            <w:pPr>
              <w:pStyle w:val="TableParagraph"/>
              <w:spacing w:line="480" w:lineRule="auto"/>
              <w:ind w:right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anket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adölesanlarda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cinsel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sorunlarıyla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ilgili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yönetimi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sağlama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konusundaki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bilginize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düşüncelerinize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niyetinize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yöneliktir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Birinci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basamak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hizmeti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kliniklerinde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toplumda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Adölesan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Cinsel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(ACÜS)’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koordine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etmek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ihtiyaç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duyduğunuz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yeterlilik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düzeyini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önermenize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olur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Her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soruyu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size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olanı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(√)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işaretleyerek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yanıtlayınız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başına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yalnızca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kutu).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Nasıl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cevaplayacağınızdan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olamadığınız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sorularda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lütfen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verebileceğiniz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iyi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cevabı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veriniz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Ölçek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0-4 (0-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kesinlikle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değilim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4-kesinlikle </w:t>
            </w:r>
            <w:proofErr w:type="spellStart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eminim</w:t>
            </w:r>
            <w:proofErr w:type="spellEnd"/>
            <w:r w:rsidRPr="00E34D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8A4050" w:rsidRPr="00E34DCD" w14:paraId="1C40EBBC" w14:textId="55A08B96" w:rsidTr="007946AF">
        <w:trPr>
          <w:cantSplit/>
          <w:trHeight w:val="2055"/>
        </w:trPr>
        <w:tc>
          <w:tcPr>
            <w:tcW w:w="4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F24B" w14:textId="77777777" w:rsidR="008A4050" w:rsidRPr="00E34DCD" w:rsidRDefault="008A4050" w:rsidP="00212EA5">
            <w:pPr>
              <w:pStyle w:val="TableParagraph"/>
              <w:spacing w:line="480" w:lineRule="auto"/>
              <w:ind w:right="4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ACÜS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sağlamada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kendine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algılanan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yetenek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Adölesan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danışanlara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sağlık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verme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konusundaki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yeterlilik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algınızı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düşünün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3E004B" w14:textId="473ADD20" w:rsidR="008A4050" w:rsidRPr="00E34DCD" w:rsidRDefault="008A4050" w:rsidP="008150E5">
            <w:pPr>
              <w:pStyle w:val="TableParagraph"/>
              <w:ind w:left="113" w:righ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Kesinlikle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emin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değilim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9449EF" w14:textId="68F42521" w:rsidR="008A4050" w:rsidRPr="00E34DCD" w:rsidRDefault="008A4050" w:rsidP="008150E5">
            <w:pPr>
              <w:pStyle w:val="TableParagraph"/>
              <w:ind w:left="113" w:righ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Emin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değilim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4D0F26" w14:textId="79415480" w:rsidR="008A4050" w:rsidRPr="00E34DCD" w:rsidRDefault="008A4050" w:rsidP="008150E5">
            <w:pPr>
              <w:pStyle w:val="TableParagraph"/>
              <w:ind w:left="113" w:righ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Kararsızım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9FE9E8" w14:textId="5A53B9D2" w:rsidR="008A4050" w:rsidRPr="00E34DCD" w:rsidRDefault="008A4050" w:rsidP="008150E5">
            <w:pPr>
              <w:pStyle w:val="TableParagraph"/>
              <w:ind w:left="113" w:righ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Eminim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B17D249" w14:textId="590C88ED" w:rsidR="008A4050" w:rsidRPr="00E34DCD" w:rsidRDefault="008A4050" w:rsidP="008150E5">
            <w:pPr>
              <w:pStyle w:val="TableParagraph"/>
              <w:ind w:left="113" w:righ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Kesinlikle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eminim</w:t>
            </w:r>
            <w:proofErr w:type="spellEnd"/>
          </w:p>
        </w:tc>
      </w:tr>
      <w:tr w:rsidR="008A4050" w:rsidRPr="00E34DCD" w14:paraId="7BB1C24E" w14:textId="2BEAF75D" w:rsidTr="007946AF">
        <w:trPr>
          <w:trHeight w:val="92"/>
        </w:trPr>
        <w:tc>
          <w:tcPr>
            <w:tcW w:w="405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3F87" w14:textId="77777777" w:rsidR="008A4050" w:rsidRPr="00E34DCD" w:rsidRDefault="008A4050" w:rsidP="00212EA5">
            <w:pPr>
              <w:pStyle w:val="TableParagraph"/>
              <w:spacing w:line="48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Adölesan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danışanıma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aşağıdaki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kapsamda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sağlık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verebilirim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F50B" w14:textId="77777777" w:rsidR="008A4050" w:rsidRPr="00E34DCD" w:rsidRDefault="008A4050" w:rsidP="00212EA5">
            <w:pPr>
              <w:pStyle w:val="TableParagraph"/>
              <w:spacing w:line="48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02232" w14:textId="77777777" w:rsidR="008A4050" w:rsidRPr="00E34DCD" w:rsidRDefault="008A4050" w:rsidP="00212EA5">
            <w:pPr>
              <w:pStyle w:val="TableParagraph"/>
              <w:spacing w:line="48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D1B6D" w14:textId="77777777" w:rsidR="008A4050" w:rsidRPr="00E34DCD" w:rsidRDefault="008A4050" w:rsidP="00212EA5">
            <w:pPr>
              <w:pStyle w:val="TableParagraph"/>
              <w:spacing w:line="48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673A" w14:textId="77777777" w:rsidR="008A4050" w:rsidRPr="00E34DCD" w:rsidRDefault="008A4050" w:rsidP="00212EA5">
            <w:pPr>
              <w:pStyle w:val="TableParagraph"/>
              <w:spacing w:line="48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07124" w14:textId="77777777" w:rsidR="008A4050" w:rsidRPr="00E34DCD" w:rsidRDefault="008A4050" w:rsidP="00212EA5">
            <w:pPr>
              <w:pStyle w:val="TableParagraph"/>
              <w:spacing w:line="48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7D2F2E10" w14:textId="27A1616C" w:rsidTr="007946AF">
        <w:trPr>
          <w:trHeight w:val="87"/>
        </w:trPr>
        <w:tc>
          <w:tcPr>
            <w:tcW w:w="248" w:type="pct"/>
            <w:tcBorders>
              <w:bottom w:val="single" w:sz="4" w:space="0" w:color="auto"/>
            </w:tcBorders>
          </w:tcPr>
          <w:p w14:paraId="6D78273D" w14:textId="57096439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31C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Yolla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Bulaşan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Hastalıklar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(CYBH)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tarama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testlerinin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varlığı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4B6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7C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EDCE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961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313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7DBFE546" w14:textId="64D11DBF" w:rsidTr="007946AF">
        <w:trPr>
          <w:trHeight w:val="111"/>
        </w:trPr>
        <w:tc>
          <w:tcPr>
            <w:tcW w:w="248" w:type="pct"/>
            <w:tcBorders>
              <w:bottom w:val="single" w:sz="4" w:space="0" w:color="auto"/>
            </w:tcBorders>
          </w:tcPr>
          <w:p w14:paraId="1607144D" w14:textId="0187F24D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473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HIV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tarama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testi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hizmeti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DC0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4D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EC6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526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D51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6819C937" w14:textId="505EA99A" w:rsidTr="007946AF">
        <w:trPr>
          <w:trHeight w:val="136"/>
        </w:trPr>
        <w:tc>
          <w:tcPr>
            <w:tcW w:w="248" w:type="pct"/>
            <w:tcBorders>
              <w:bottom w:val="single" w:sz="4" w:space="0" w:color="auto"/>
            </w:tcBorders>
          </w:tcPr>
          <w:p w14:paraId="45CBA2CB" w14:textId="2A7862ED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308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Kürtaj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610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9C2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E4F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2F5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63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3ACB2522" w14:textId="6101F4BE" w:rsidTr="007946AF">
        <w:trPr>
          <w:trHeight w:val="136"/>
        </w:trPr>
        <w:tc>
          <w:tcPr>
            <w:tcW w:w="248" w:type="pct"/>
            <w:tcBorders>
              <w:bottom w:val="single" w:sz="4" w:space="0" w:color="auto"/>
            </w:tcBorders>
          </w:tcPr>
          <w:p w14:paraId="40491E9E" w14:textId="005E44A4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2D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önlemleri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yöntemleri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7B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E17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41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673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8AA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4488212C" w14:textId="434E4ADA" w:rsidTr="007946AF">
        <w:trPr>
          <w:trHeight w:val="103"/>
        </w:trPr>
        <w:tc>
          <w:tcPr>
            <w:tcW w:w="248" w:type="pct"/>
            <w:tcBorders>
              <w:bottom w:val="single" w:sz="4" w:space="0" w:color="auto"/>
            </w:tcBorders>
          </w:tcPr>
          <w:p w14:paraId="1E5C6092" w14:textId="1C3EB213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4FF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prezervatif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klavuzu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895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078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3D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A56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76C5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480E9FA4" w14:textId="19CB3AC9" w:rsidTr="007946AF">
        <w:trPr>
          <w:trHeight w:val="149"/>
        </w:trPr>
        <w:tc>
          <w:tcPr>
            <w:tcW w:w="248" w:type="pct"/>
            <w:tcBorders>
              <w:bottom w:val="single" w:sz="4" w:space="0" w:color="auto"/>
            </w:tcBorders>
          </w:tcPr>
          <w:p w14:paraId="356D7C76" w14:textId="066313ED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EC9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CYBE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önleme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tedbirleri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58F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318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515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6FF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4F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102C1365" w14:textId="67B5115B" w:rsidTr="007946AF">
        <w:trPr>
          <w:trHeight w:val="124"/>
        </w:trPr>
        <w:tc>
          <w:tcPr>
            <w:tcW w:w="248" w:type="pct"/>
            <w:tcBorders>
              <w:bottom w:val="single" w:sz="4" w:space="0" w:color="auto"/>
            </w:tcBorders>
          </w:tcPr>
          <w:p w14:paraId="740F429F" w14:textId="7B28AD7C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B1F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Riskli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davranışların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önlenmesi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sonuçları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BBC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8AB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021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65D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789" w14:textId="77777777" w:rsidR="008A4050" w:rsidRPr="00E34DCD" w:rsidRDefault="008A4050" w:rsidP="00212EA5">
            <w:pPr>
              <w:pStyle w:val="TableParagraph"/>
              <w:spacing w:line="48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0108BB9D" w14:textId="2DF8D6B1" w:rsidTr="007946AF">
        <w:trPr>
          <w:trHeight w:val="162"/>
        </w:trPr>
        <w:tc>
          <w:tcPr>
            <w:tcW w:w="4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6D6" w14:textId="68579AF9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</w:t>
            </w:r>
            <w:r w:rsidR="00B46907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yönetiminde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kendine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algılanan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yetenek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(ACÜS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yönetme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verme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becerilerinde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kendine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algılanan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yeterlilik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FD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3D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51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0E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89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1F8FEF9A" w14:textId="45C241FF" w:rsidTr="007946AF">
        <w:trPr>
          <w:trHeight w:val="162"/>
        </w:trPr>
        <w:tc>
          <w:tcPr>
            <w:tcW w:w="4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E8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Aşağıdakileri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yapabilirim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B5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01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57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D4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AA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6FF540AF" w14:textId="3F20B7E8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65120909" w14:textId="40A5644C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7D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hizmetlerinde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uygulanan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prosedürü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danışana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açıklayabilirim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E8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6F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5E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BA5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BD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5D3E2CEA" w14:textId="4E040747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2EBF63E6" w14:textId="6345B9D8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EC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büyüme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gelişme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gerektiğinde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muayene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yapabilirim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E8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6B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DAF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AA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D4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5CD930B4" w14:textId="63423881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354E0352" w14:textId="24F8238E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35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Gizlilik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mahremiyet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güvenilir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sağlayabilirim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F6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25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69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7E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34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644B5858" w14:textId="58E56356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132E52E5" w14:textId="59F48339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C513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yönlendirme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yapmadan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uzman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görüşü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alabilirim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B3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B8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1D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A1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1F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3DB2F9DB" w14:textId="4858DEEC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39891E48" w14:textId="0096855D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2B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Gerekirse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gebelik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bakımı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sağlayabilirim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47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BE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A9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0C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D9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0003F618" w14:textId="2F7D2213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162809B2" w14:textId="3A35B5ED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1E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Gerekirse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önlemleri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hizmetleri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sağlayabilirim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30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C00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6E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46F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C4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1297B89C" w14:textId="4D916779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3304A028" w14:textId="69E43B54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32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istismara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uğramış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bakımı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sağlayabilirim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88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96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A5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11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8B5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386A84F7" w14:textId="25C70A19" w:rsidTr="007946AF">
        <w:trPr>
          <w:trHeight w:val="162"/>
        </w:trPr>
        <w:tc>
          <w:tcPr>
            <w:tcW w:w="4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B82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vermede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kendine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algılanan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yeterli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ACUS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bilgisi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(ACUS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hizmetleri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yönetim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için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gerekli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olan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kendine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algılanan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bilgi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1D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A3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A32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12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B9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4DF2C1E9" w14:textId="73BEB776" w:rsidTr="007946AF">
        <w:trPr>
          <w:trHeight w:val="162"/>
        </w:trPr>
        <w:tc>
          <w:tcPr>
            <w:tcW w:w="4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04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Şunları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biliyorum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B2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25F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7B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AD2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5DF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4A4DD7B2" w14:textId="3966CD87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7505DA5D" w14:textId="3C0B9606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00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saldırı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vakaları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teşhis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testlerinin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belirleneceğini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91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CD7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A4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3C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513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574CAAC8" w14:textId="4A4EDC5C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27589FB5" w14:textId="372B0CDA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6A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Gebelik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testlerini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yorumlaması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adölesanlarda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hamileliği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teşhis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edeceğimi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E9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A6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0F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E3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2D2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1E1BEFAE" w14:textId="1A6FA47B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3340A641" w14:textId="556C8E22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F2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Adölesanlarda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CYBH’yi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teşhis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edeceğimi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0A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60F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95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62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5A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7130A367" w14:textId="22E15E40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30C69A23" w14:textId="4D69203B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5D5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prosedürleri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uygulamak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zamanlamayı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yapacağımı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56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21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4A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B9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225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3620CE33" w14:textId="2D986790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71F99D40" w14:textId="0F61D541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3C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danışanımı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muayene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hazırlayacağımı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E32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73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62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B8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C26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0D894DD8" w14:textId="3D0F79AB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23933F04" w14:textId="7FF78F0F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0A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ACÜS’de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bakımı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destekleyen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protokolleri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kullanacağımı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5D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B2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1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DAF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32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1AC19BB2" w14:textId="50D67979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677C07A5" w14:textId="211BCC81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D4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yöntemlerinin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kullanımını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tavsiye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edeceğimi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3F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CB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2F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39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F4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34244F29" w14:textId="252F165F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107EB969" w14:textId="7283AAEF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80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ACUS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bakımına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karar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verme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sürecini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etkileyen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faktörleri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alacağımı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örn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yaş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cinsiyet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politikalar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69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1C6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D2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67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33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18745785" w14:textId="53750B87" w:rsidTr="007946AF">
        <w:trPr>
          <w:trHeight w:val="162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6FFDB314" w14:textId="2D8FF26E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8A3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ACÜS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hizmetinin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yerel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politikaların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uygulanacağını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1D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C6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AA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D75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5DD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68FEAE42" w14:textId="06E177BD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424E37FF" w14:textId="6D88D08C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1B2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ACÜS risk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faktörlerini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değerlendireceğimi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50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AC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2F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04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915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1B53C5D1" w14:textId="35EF5FAE" w:rsidTr="007946AF">
        <w:trPr>
          <w:trHeight w:val="286"/>
        </w:trPr>
        <w:tc>
          <w:tcPr>
            <w:tcW w:w="4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69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ACÜS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yönetimine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yönelik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algılanan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uygun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tutum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(ACÜS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danışanlarına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yönelik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algılanan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tutumlar</w:t>
            </w:r>
            <w:proofErr w:type="spellEnd"/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F6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E55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62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D4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0C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4B22DE2F" w14:textId="302B0EC7" w:rsidTr="007946AF">
        <w:trPr>
          <w:trHeight w:val="162"/>
        </w:trPr>
        <w:tc>
          <w:tcPr>
            <w:tcW w:w="40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6E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Ben…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21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876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DE2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E86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E62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050" w:rsidRPr="00E34DCD" w14:paraId="61B6D742" w14:textId="5BAEAA7D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13B2940F" w14:textId="572D8CED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B4E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Evlilik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gebelik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, HIV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pozitiflik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CYBH’ye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yönelimlere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cinsiyet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disforisi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toplumsal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üreme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(CÜS)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sorunları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yargılamıyorum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98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0E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C73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49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509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0D724A3A" w14:textId="6D63EC20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3E6CFAE9" w14:textId="1A569069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0C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Geçmişleri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olursa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olsun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CÜS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sorunu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danışanlara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hizmetleri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sunmaya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hazırım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53B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806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A7C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B5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A02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34291513" w14:textId="4CFD953C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74964BF0" w14:textId="5E03F523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13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istismara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uğramış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yargılamadan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yapabilirim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CE0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E16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F44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29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5B7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50" w:rsidRPr="00E34DCD" w14:paraId="0ACD8649" w14:textId="04A93BEF" w:rsidTr="007946AF">
        <w:trPr>
          <w:trHeight w:val="162"/>
        </w:trPr>
        <w:tc>
          <w:tcPr>
            <w:tcW w:w="248" w:type="pct"/>
            <w:tcBorders>
              <w:bottom w:val="single" w:sz="4" w:space="0" w:color="auto"/>
            </w:tcBorders>
          </w:tcPr>
          <w:p w14:paraId="271A4AAD" w14:textId="531E2D72" w:rsidR="008A4050" w:rsidRPr="00E34DCD" w:rsidRDefault="008A4050" w:rsidP="00212EA5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C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158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Adölesanların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CÜS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sorunlarını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algılamıyorum</w:t>
            </w:r>
            <w:proofErr w:type="spellEnd"/>
            <w:r w:rsidRPr="00E3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C5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251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78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E8A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A1E" w14:textId="77777777" w:rsidR="008A4050" w:rsidRPr="00E34DCD" w:rsidRDefault="008A4050" w:rsidP="00212EA5">
            <w:pPr>
              <w:pStyle w:val="Table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38872" w14:textId="371EDAB9" w:rsidR="00B3739B" w:rsidRDefault="00B3739B" w:rsidP="00212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B9C7A2" w14:textId="332C5A88" w:rsidR="00B46907" w:rsidRDefault="00B46907" w:rsidP="00212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99F497" w14:textId="026620C5" w:rsidR="00B46907" w:rsidRPr="00B46907" w:rsidRDefault="00B46907" w:rsidP="00B469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07">
        <w:rPr>
          <w:rFonts w:ascii="Times New Roman" w:hAnsi="Times New Roman" w:cs="Times New Roman"/>
          <w:sz w:val="24"/>
          <w:szCs w:val="24"/>
        </w:rPr>
        <w:t xml:space="preserve">Faktör 1) </w:t>
      </w:r>
      <w:proofErr w:type="spellStart"/>
      <w:r w:rsidRPr="00B46907">
        <w:rPr>
          <w:rFonts w:ascii="Times New Roman" w:hAnsi="Times New Roman" w:cs="Times New Roman"/>
          <w:sz w:val="24"/>
          <w:szCs w:val="24"/>
        </w:rPr>
        <w:t>Adölesan</w:t>
      </w:r>
      <w:proofErr w:type="spellEnd"/>
      <w:r w:rsidRPr="00B46907">
        <w:rPr>
          <w:rFonts w:ascii="Times New Roman" w:hAnsi="Times New Roman" w:cs="Times New Roman"/>
          <w:sz w:val="24"/>
          <w:szCs w:val="24"/>
        </w:rPr>
        <w:t xml:space="preserve"> Cinsel Sağlık ve Üreme Sağlığı</w:t>
      </w:r>
      <w:r w:rsidRPr="00B46907">
        <w:rPr>
          <w:rFonts w:ascii="Times New Roman" w:hAnsi="Times New Roman" w:cs="Times New Roman"/>
          <w:sz w:val="24"/>
          <w:szCs w:val="24"/>
        </w:rPr>
        <w:t xml:space="preserve"> </w:t>
      </w:r>
      <w:r w:rsidRPr="00B46907">
        <w:rPr>
          <w:rFonts w:ascii="Times New Roman" w:hAnsi="Times New Roman" w:cs="Times New Roman"/>
          <w:sz w:val="24"/>
          <w:szCs w:val="24"/>
        </w:rPr>
        <w:t xml:space="preserve"> eğitimi sağlamada kendi kendine algılanan yetenek</w:t>
      </w:r>
      <w:r w:rsidRPr="00B46907">
        <w:rPr>
          <w:rFonts w:ascii="Times New Roman" w:hAnsi="Times New Roman" w:cs="Times New Roman"/>
          <w:sz w:val="24"/>
          <w:szCs w:val="24"/>
        </w:rPr>
        <w:t xml:space="preserve"> (</w:t>
      </w:r>
      <w:r w:rsidRPr="00B46907">
        <w:rPr>
          <w:rFonts w:ascii="Times New Roman" w:hAnsi="Times New Roman" w:cs="Times New Roman"/>
          <w:sz w:val="24"/>
          <w:szCs w:val="24"/>
        </w:rPr>
        <w:t>M1, M2, M3, M4, M5</w:t>
      </w:r>
      <w:r w:rsidRPr="00B46907">
        <w:rPr>
          <w:rFonts w:ascii="Times New Roman" w:hAnsi="Times New Roman" w:cs="Times New Roman"/>
          <w:sz w:val="24"/>
          <w:szCs w:val="24"/>
        </w:rPr>
        <w:t xml:space="preserve">, M6, M7), </w:t>
      </w:r>
      <w:r w:rsidRPr="00B46907">
        <w:rPr>
          <w:rFonts w:ascii="Times New Roman" w:hAnsi="Times New Roman" w:cs="Times New Roman"/>
          <w:sz w:val="24"/>
          <w:szCs w:val="24"/>
        </w:rPr>
        <w:t>Faktör 2)</w:t>
      </w:r>
      <w:r w:rsidRPr="00B4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07">
        <w:rPr>
          <w:rFonts w:ascii="Times New Roman" w:hAnsi="Times New Roman" w:cs="Times New Roman"/>
          <w:sz w:val="24"/>
          <w:szCs w:val="24"/>
        </w:rPr>
        <w:t>Adölesan</w:t>
      </w:r>
      <w:proofErr w:type="spellEnd"/>
      <w:r w:rsidRPr="00B46907">
        <w:rPr>
          <w:rFonts w:ascii="Times New Roman" w:hAnsi="Times New Roman" w:cs="Times New Roman"/>
          <w:sz w:val="24"/>
          <w:szCs w:val="24"/>
        </w:rPr>
        <w:t xml:space="preserve"> Cinsel Sağlık ve Üreme Sağlığı  yönetiminde kendi kendine algılanan yetenek </w:t>
      </w:r>
      <w:r w:rsidRPr="00B46907">
        <w:rPr>
          <w:rFonts w:ascii="Times New Roman" w:hAnsi="Times New Roman" w:cs="Times New Roman"/>
          <w:sz w:val="24"/>
          <w:szCs w:val="24"/>
        </w:rPr>
        <w:t>(</w:t>
      </w:r>
      <w:r w:rsidRPr="00B46907">
        <w:rPr>
          <w:rFonts w:ascii="Times New Roman" w:hAnsi="Times New Roman" w:cs="Times New Roman"/>
          <w:sz w:val="24"/>
          <w:szCs w:val="24"/>
        </w:rPr>
        <w:t>M8, M9, M10, M11, M12, M13, M14</w:t>
      </w:r>
      <w:r w:rsidRPr="00B46907">
        <w:rPr>
          <w:rFonts w:ascii="Times New Roman" w:hAnsi="Times New Roman" w:cs="Times New Roman"/>
          <w:sz w:val="24"/>
          <w:szCs w:val="24"/>
        </w:rPr>
        <w:t xml:space="preserve">), </w:t>
      </w:r>
      <w:r w:rsidRPr="00B46907">
        <w:rPr>
          <w:rFonts w:ascii="Times New Roman" w:hAnsi="Times New Roman" w:cs="Times New Roman"/>
          <w:sz w:val="24"/>
          <w:szCs w:val="24"/>
        </w:rPr>
        <w:t>Faktör 3)</w:t>
      </w:r>
      <w:r w:rsidRPr="00B46907">
        <w:rPr>
          <w:rFonts w:ascii="Times New Roman" w:hAnsi="Times New Roman" w:cs="Times New Roman"/>
          <w:sz w:val="24"/>
          <w:szCs w:val="24"/>
        </w:rPr>
        <w:t xml:space="preserve"> </w:t>
      </w:r>
      <w:r w:rsidRPr="00B46907">
        <w:rPr>
          <w:rFonts w:ascii="Times New Roman" w:hAnsi="Times New Roman" w:cs="Times New Roman"/>
          <w:sz w:val="24"/>
          <w:szCs w:val="24"/>
        </w:rPr>
        <w:t xml:space="preserve">Karar vermede kendi kendine algılanan yeterli </w:t>
      </w:r>
      <w:proofErr w:type="spellStart"/>
      <w:r w:rsidRPr="00B46907">
        <w:rPr>
          <w:rFonts w:ascii="Times New Roman" w:hAnsi="Times New Roman" w:cs="Times New Roman"/>
          <w:sz w:val="24"/>
          <w:szCs w:val="24"/>
        </w:rPr>
        <w:t>Adölesan</w:t>
      </w:r>
      <w:proofErr w:type="spellEnd"/>
      <w:r w:rsidRPr="00B46907">
        <w:rPr>
          <w:rFonts w:ascii="Times New Roman" w:hAnsi="Times New Roman" w:cs="Times New Roman"/>
          <w:sz w:val="24"/>
          <w:szCs w:val="24"/>
        </w:rPr>
        <w:t xml:space="preserve"> Cinsel Sağlık ve Üreme Sağlığı  bilgisi</w:t>
      </w:r>
      <w:r w:rsidRPr="00B46907">
        <w:rPr>
          <w:rFonts w:ascii="Times New Roman" w:hAnsi="Times New Roman" w:cs="Times New Roman"/>
          <w:sz w:val="24"/>
          <w:szCs w:val="24"/>
        </w:rPr>
        <w:t xml:space="preserve"> (</w:t>
      </w:r>
      <w:r w:rsidRPr="00B46907">
        <w:rPr>
          <w:rFonts w:ascii="Times New Roman" w:hAnsi="Times New Roman" w:cs="Times New Roman"/>
          <w:sz w:val="24"/>
          <w:szCs w:val="24"/>
        </w:rPr>
        <w:t>M15</w:t>
      </w:r>
      <w:r w:rsidRPr="00B46907">
        <w:rPr>
          <w:rFonts w:ascii="Times New Roman" w:hAnsi="Times New Roman" w:cs="Times New Roman"/>
          <w:sz w:val="24"/>
          <w:szCs w:val="24"/>
        </w:rPr>
        <w:t xml:space="preserve">, </w:t>
      </w:r>
      <w:r w:rsidRPr="00B46907">
        <w:rPr>
          <w:rFonts w:ascii="Times New Roman" w:hAnsi="Times New Roman" w:cs="Times New Roman"/>
          <w:sz w:val="24"/>
          <w:szCs w:val="24"/>
        </w:rPr>
        <w:t>M16, M17, M18, M19, M20, M21, M22</w:t>
      </w:r>
      <w:r w:rsidRPr="00B46907">
        <w:rPr>
          <w:rFonts w:ascii="Times New Roman" w:hAnsi="Times New Roman" w:cs="Times New Roman"/>
          <w:sz w:val="24"/>
          <w:szCs w:val="24"/>
        </w:rPr>
        <w:t xml:space="preserve">, </w:t>
      </w:r>
      <w:r w:rsidRPr="00B46907">
        <w:rPr>
          <w:rFonts w:ascii="Times New Roman" w:hAnsi="Times New Roman" w:cs="Times New Roman"/>
          <w:sz w:val="24"/>
          <w:szCs w:val="24"/>
        </w:rPr>
        <w:t>M23, M24</w:t>
      </w:r>
      <w:r w:rsidRPr="00B46907">
        <w:rPr>
          <w:rFonts w:ascii="Times New Roman" w:hAnsi="Times New Roman" w:cs="Times New Roman"/>
          <w:sz w:val="24"/>
          <w:szCs w:val="24"/>
        </w:rPr>
        <w:t xml:space="preserve">), </w:t>
      </w:r>
      <w:r w:rsidRPr="00B46907">
        <w:rPr>
          <w:rFonts w:ascii="Times New Roman" w:hAnsi="Times New Roman" w:cs="Times New Roman"/>
          <w:sz w:val="24"/>
          <w:szCs w:val="24"/>
        </w:rPr>
        <w:t>Faktör 4</w:t>
      </w:r>
      <w:r w:rsidRPr="00B469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46907">
        <w:rPr>
          <w:rFonts w:ascii="Times New Roman" w:hAnsi="Times New Roman" w:cs="Times New Roman"/>
          <w:sz w:val="24"/>
          <w:szCs w:val="24"/>
        </w:rPr>
        <w:t>Adölesan</w:t>
      </w:r>
      <w:proofErr w:type="spellEnd"/>
      <w:r w:rsidRPr="00B46907">
        <w:rPr>
          <w:rFonts w:ascii="Times New Roman" w:hAnsi="Times New Roman" w:cs="Times New Roman"/>
          <w:sz w:val="24"/>
          <w:szCs w:val="24"/>
        </w:rPr>
        <w:t xml:space="preserve"> Cinsel Sağlık ve Üreme Sağlığı  yönetimine yönelik algılanan uygun tutum</w:t>
      </w:r>
      <w:r w:rsidRPr="00B46907">
        <w:rPr>
          <w:rFonts w:ascii="Times New Roman" w:hAnsi="Times New Roman" w:cs="Times New Roman"/>
          <w:sz w:val="24"/>
          <w:szCs w:val="24"/>
        </w:rPr>
        <w:t xml:space="preserve"> (</w:t>
      </w:r>
      <w:r w:rsidRPr="00B46907">
        <w:rPr>
          <w:rFonts w:ascii="Times New Roman" w:hAnsi="Times New Roman" w:cs="Times New Roman"/>
          <w:sz w:val="24"/>
          <w:szCs w:val="24"/>
        </w:rPr>
        <w:t>M25, M26, M27, M28</w:t>
      </w:r>
      <w:r w:rsidRPr="00B46907">
        <w:rPr>
          <w:rFonts w:ascii="Times New Roman" w:hAnsi="Times New Roman" w:cs="Times New Roman"/>
          <w:sz w:val="24"/>
          <w:szCs w:val="24"/>
        </w:rPr>
        <w:t xml:space="preserve">). </w:t>
      </w:r>
      <w:r w:rsidR="00041B98">
        <w:rPr>
          <w:rFonts w:ascii="Times New Roman" w:hAnsi="Times New Roman" w:cs="Times New Roman"/>
          <w:sz w:val="24"/>
          <w:szCs w:val="24"/>
        </w:rPr>
        <w:t>Ölçek toplam puan üzerinden değerlendirilmektedir.</w:t>
      </w:r>
    </w:p>
    <w:sectPr w:rsidR="00B46907" w:rsidRPr="00B46907" w:rsidSect="00497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6"/>
    <w:rsid w:val="00025FE3"/>
    <w:rsid w:val="00041B98"/>
    <w:rsid w:val="000C7B91"/>
    <w:rsid w:val="000D2A76"/>
    <w:rsid w:val="00121D27"/>
    <w:rsid w:val="0016104D"/>
    <w:rsid w:val="001A20C6"/>
    <w:rsid w:val="001E296A"/>
    <w:rsid w:val="00212EA5"/>
    <w:rsid w:val="00276E96"/>
    <w:rsid w:val="00291B53"/>
    <w:rsid w:val="002A1A05"/>
    <w:rsid w:val="002B22C4"/>
    <w:rsid w:val="002C68BC"/>
    <w:rsid w:val="00301602"/>
    <w:rsid w:val="0033078F"/>
    <w:rsid w:val="00355B84"/>
    <w:rsid w:val="00396476"/>
    <w:rsid w:val="003A2124"/>
    <w:rsid w:val="003A329D"/>
    <w:rsid w:val="00454FB5"/>
    <w:rsid w:val="0047195E"/>
    <w:rsid w:val="00492019"/>
    <w:rsid w:val="004976EB"/>
    <w:rsid w:val="004B38C2"/>
    <w:rsid w:val="004B621F"/>
    <w:rsid w:val="004E0712"/>
    <w:rsid w:val="00525E19"/>
    <w:rsid w:val="00532F2C"/>
    <w:rsid w:val="00554017"/>
    <w:rsid w:val="00585993"/>
    <w:rsid w:val="005A5D48"/>
    <w:rsid w:val="00615F0F"/>
    <w:rsid w:val="00627FF2"/>
    <w:rsid w:val="006362AF"/>
    <w:rsid w:val="00637C8B"/>
    <w:rsid w:val="006626FA"/>
    <w:rsid w:val="006F14F1"/>
    <w:rsid w:val="0075341E"/>
    <w:rsid w:val="007946AF"/>
    <w:rsid w:val="007A1818"/>
    <w:rsid w:val="008150E5"/>
    <w:rsid w:val="00827E40"/>
    <w:rsid w:val="008868F5"/>
    <w:rsid w:val="008A4050"/>
    <w:rsid w:val="008C100E"/>
    <w:rsid w:val="008D3A0B"/>
    <w:rsid w:val="008E5D8A"/>
    <w:rsid w:val="00903B02"/>
    <w:rsid w:val="009D6F83"/>
    <w:rsid w:val="009E6C91"/>
    <w:rsid w:val="00A07CB4"/>
    <w:rsid w:val="00A15F4D"/>
    <w:rsid w:val="00A21656"/>
    <w:rsid w:val="00A751C6"/>
    <w:rsid w:val="00A86E93"/>
    <w:rsid w:val="00A87712"/>
    <w:rsid w:val="00A9077B"/>
    <w:rsid w:val="00AD6202"/>
    <w:rsid w:val="00B3739B"/>
    <w:rsid w:val="00B46907"/>
    <w:rsid w:val="00BC1A14"/>
    <w:rsid w:val="00BE6BD1"/>
    <w:rsid w:val="00C20EE6"/>
    <w:rsid w:val="00C24D73"/>
    <w:rsid w:val="00C25904"/>
    <w:rsid w:val="00C557D1"/>
    <w:rsid w:val="00C93C40"/>
    <w:rsid w:val="00CB467A"/>
    <w:rsid w:val="00CF0482"/>
    <w:rsid w:val="00D146DA"/>
    <w:rsid w:val="00D63505"/>
    <w:rsid w:val="00D871CA"/>
    <w:rsid w:val="00DB5062"/>
    <w:rsid w:val="00DD36F6"/>
    <w:rsid w:val="00DF006A"/>
    <w:rsid w:val="00E30F3F"/>
    <w:rsid w:val="00E34DCD"/>
    <w:rsid w:val="00E55539"/>
    <w:rsid w:val="00E85868"/>
    <w:rsid w:val="00ED47CA"/>
    <w:rsid w:val="00F65396"/>
    <w:rsid w:val="00FA024E"/>
    <w:rsid w:val="00F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5CEE"/>
  <w15:chartTrackingRefBased/>
  <w15:docId w15:val="{40E14449-3681-4C12-B546-1AD2632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76"/>
  </w:style>
  <w:style w:type="paragraph" w:styleId="Balk1">
    <w:name w:val="heading 1"/>
    <w:basedOn w:val="Normal"/>
    <w:next w:val="Normal"/>
    <w:link w:val="Balk1Char"/>
    <w:uiPriority w:val="9"/>
    <w:qFormat/>
    <w:rsid w:val="0039647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64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64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64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64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64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64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64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64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96476"/>
  </w:style>
  <w:style w:type="character" w:styleId="AklamaBavurusu">
    <w:name w:val="annotation reference"/>
    <w:basedOn w:val="VarsaylanParagrafYazTipi"/>
    <w:uiPriority w:val="99"/>
    <w:semiHidden/>
    <w:unhideWhenUsed/>
    <w:rsid w:val="0039647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647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6476"/>
    <w:rPr>
      <w:rFonts w:ascii="Arial" w:eastAsia="Arial" w:hAnsi="Arial" w:cs="Arial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64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476"/>
    <w:rPr>
      <w:rFonts w:ascii="Segoe UI" w:eastAsia="Arial" w:hAnsi="Segoe UI" w:cs="Segoe UI"/>
      <w:sz w:val="18"/>
      <w:szCs w:val="18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39647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647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64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6476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64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64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64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64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64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964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964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647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3964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3964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96476"/>
    <w:rPr>
      <w:b/>
      <w:bCs/>
    </w:rPr>
  </w:style>
  <w:style w:type="character" w:styleId="Vurgu">
    <w:name w:val="Emphasis"/>
    <w:basedOn w:val="VarsaylanParagrafYazTipi"/>
    <w:uiPriority w:val="20"/>
    <w:qFormat/>
    <w:rsid w:val="00396476"/>
    <w:rPr>
      <w:i/>
      <w:iCs/>
    </w:rPr>
  </w:style>
  <w:style w:type="paragraph" w:styleId="AralkYok">
    <w:name w:val="No Spacing"/>
    <w:uiPriority w:val="1"/>
    <w:qFormat/>
    <w:rsid w:val="00396476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964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96476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64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647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96476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9647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96476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96476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9647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96476"/>
    <w:pPr>
      <w:outlineLvl w:val="9"/>
    </w:pPr>
  </w:style>
  <w:style w:type="paragraph" w:styleId="GvdeMetni">
    <w:name w:val="Body Text"/>
    <w:basedOn w:val="Normal"/>
    <w:link w:val="GvdeMetniChar"/>
    <w:uiPriority w:val="1"/>
    <w:qFormat/>
    <w:rsid w:val="008A40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A4050"/>
    <w:rPr>
      <w:rFonts w:ascii="Arial" w:eastAsia="Arial" w:hAnsi="Arial" w:cs="Arial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2C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0E45-93CA-4F14-8018-CF5D9ABF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Writer</cp:lastModifiedBy>
  <cp:revision>5</cp:revision>
  <dcterms:created xsi:type="dcterms:W3CDTF">2024-12-26T20:59:00Z</dcterms:created>
  <dcterms:modified xsi:type="dcterms:W3CDTF">2024-12-27T07:02:00Z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f5c7b948-251c-325e-bb94-8f3148be9dbe</vt:lpwstr>
  </property>
  <property fmtid="{D5CDD505-2E9C-101B-9397-08002B2CF9AE}" pid="24" name="Mendeley Citation Style_1">
    <vt:lpwstr>http://www.zotero.org/styles/apa</vt:lpwstr>
  </property>
</Properties>
</file>