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D9F0B" w14:textId="1169C513" w:rsidR="00662DE8" w:rsidRPr="00243C62" w:rsidRDefault="00237DDB">
      <w:pPr>
        <w:rPr>
          <w:rFonts w:ascii="Garamond" w:hAnsi="Garamond"/>
          <w:b/>
          <w:bCs/>
        </w:rPr>
      </w:pPr>
      <w:r w:rsidRPr="00243C62">
        <w:rPr>
          <w:rFonts w:ascii="Garamond" w:hAnsi="Garamond"/>
          <w:b/>
          <w:bCs/>
          <w:noProof/>
        </w:rPr>
        <mc:AlternateContent>
          <mc:Choice Requires="wps">
            <w:drawing>
              <wp:anchor distT="0" distB="0" distL="114300" distR="114300" simplePos="0" relativeHeight="251659264" behindDoc="0" locked="0" layoutInCell="1" allowOverlap="1" wp14:anchorId="2D27F3AB" wp14:editId="42A9EE9E">
                <wp:simplePos x="0" y="0"/>
                <wp:positionH relativeFrom="column">
                  <wp:posOffset>4914265</wp:posOffset>
                </wp:positionH>
                <wp:positionV relativeFrom="page">
                  <wp:posOffset>-590550</wp:posOffset>
                </wp:positionV>
                <wp:extent cx="1362075" cy="1704975"/>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1704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B5ACA" w14:textId="77777777" w:rsidR="0012739C" w:rsidRPr="0084277C" w:rsidRDefault="0012739C" w:rsidP="00662DE8">
                            <w:pPr>
                              <w:rPr>
                                <w:rFonts w:ascii="Garamond" w:hAnsi="Garamond" w:cstheme="minorHAnsi"/>
                                <w:color w:val="FFFFFF" w:themeColor="background1"/>
                                <w:w w:val="109"/>
                              </w:rPr>
                            </w:pPr>
                            <w:r w:rsidRPr="0084277C">
                              <w:rPr>
                                <w:rFonts w:ascii="Garamond" w:hAnsi="Garamond" w:cstheme="minorHAnsi"/>
                                <w:color w:val="FFFFFF" w:themeColor="background1"/>
                                <w:w w:val="109"/>
                              </w:rPr>
                              <w:t>Open Access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D27F3AB" id="_x0000_t202" coordsize="21600,21600" o:spt="202" path="m,l,21600r21600,l21600,xe">
                <v:stroke joinstyle="miter"/>
                <v:path gradientshapeok="t" o:connecttype="rect"/>
              </v:shapetype>
              <v:shape id="Metin Kutusu 4" o:spid="_x0000_s1026" type="#_x0000_t202" style="position:absolute;margin-left:386.95pt;margin-top:-46.5pt;width:107.25pt;height:134.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" filled="f" stroked="f" strokeweight=".5pt">
                <v:textbox>
                  <w:txbxContent>
                    <w:p w14:paraId="55FB5ACA" w14:textId="77777777" w:rsidR="0012739C" w:rsidRPr="0084277C" w:rsidRDefault="0012739C" w:rsidP="00662DE8">
                      <w:pPr>
                        <w:rPr>
                          <w:rFonts w:ascii="Garamond" w:hAnsi="Garamond" w:cstheme="minorHAnsi"/>
                          <w:color w:val="FFFFFF" w:themeColor="background1"/>
                          <w:w w:val="109"/>
                        </w:rPr>
                      </w:pPr>
                      <w:r w:rsidRPr="0084277C">
                        <w:rPr>
                          <w:rFonts w:ascii="Garamond" w:hAnsi="Garamond" w:cstheme="minorHAnsi"/>
                          <w:color w:val="FFFFFF" w:themeColor="background1"/>
                          <w:w w:val="109"/>
                        </w:rPr>
                        <w:t>Open Access</w:t>
                      </w:r>
                    </w:p>
                  </w:txbxContent>
                </v:textbox>
                <w10:wrap anchory="page"/>
              </v:shape>
            </w:pict>
          </mc:Fallback>
        </mc:AlternateContent>
      </w:r>
      <w:r w:rsidRPr="00243C62">
        <w:rPr>
          <w:rFonts w:ascii="Garamond" w:hAnsi="Garamond"/>
          <w:b/>
          <w:bCs/>
          <w:noProof/>
        </w:rPr>
        <mc:AlternateContent>
          <mc:Choice Requires="wps">
            <w:drawing>
              <wp:anchor distT="0" distB="0" distL="114300" distR="114300" simplePos="0" relativeHeight="251661312" behindDoc="0" locked="0" layoutInCell="1" allowOverlap="1" wp14:anchorId="6CF4F9E6" wp14:editId="44F9E883">
                <wp:simplePos x="0" y="0"/>
                <wp:positionH relativeFrom="column">
                  <wp:posOffset>6292364</wp:posOffset>
                </wp:positionH>
                <wp:positionV relativeFrom="page">
                  <wp:posOffset>-155219</wp:posOffset>
                </wp:positionV>
                <wp:extent cx="549113" cy="2121683"/>
                <wp:effectExtent l="8890" t="29210" r="3175" b="41275"/>
                <wp:wrapNone/>
                <wp:docPr id="18785" name="Metin Kutusu 18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910884" flipH="1" flipV="1">
                          <a:off x="0" y="0"/>
                          <a:ext cx="549113" cy="21216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8CAFD" w14:textId="2D9CCBF4" w:rsidR="0012739C" w:rsidRPr="0084277C" w:rsidRDefault="0012739C" w:rsidP="00662DE8">
                            <w:pPr>
                              <w:rPr>
                                <w:rFonts w:ascii="Garamond" w:hAnsi="Garamond" w:cstheme="minorHAnsi"/>
                                <w:color w:val="FFFFFF" w:themeColor="background1"/>
                                <w:w w:val="109"/>
                              </w:rPr>
                            </w:pPr>
                            <w:r w:rsidRPr="0084277C">
                              <w:rPr>
                                <w:rFonts w:ascii="Garamond" w:hAnsi="Garamond" w:cstheme="minorHAnsi"/>
                                <w:color w:val="FFFFFF" w:themeColor="background1"/>
                                <w:w w:val="109"/>
                              </w:rPr>
                              <w:t>Açık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F4F9E6" id="Metin Kutusu 18785" o:spid="_x0000_s1027" type="#_x0000_t202" style="position:absolute;margin-left:495.45pt;margin-top:-12.2pt;width:43.25pt;height:167.05pt;rotation:-6214032fd;flip:x y;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" filled="f" stroked="f" strokeweight=".5pt">
                <v:textbox>
                  <w:txbxContent>
                    <w:p w14:paraId="1CC8CAFD" w14:textId="2D9CCBF4" w:rsidR="0012739C" w:rsidRPr="0084277C" w:rsidRDefault="0012739C" w:rsidP="00662DE8">
                      <w:pPr>
                        <w:rPr>
                          <w:rFonts w:ascii="Garamond" w:hAnsi="Garamond" w:cstheme="minorHAnsi"/>
                          <w:color w:val="FFFFFF" w:themeColor="background1"/>
                          <w:w w:val="109"/>
                        </w:rPr>
                      </w:pPr>
                      <w:r w:rsidRPr="0084277C">
                        <w:rPr>
                          <w:rFonts w:ascii="Garamond" w:hAnsi="Garamond" w:cstheme="minorHAnsi"/>
                          <w:color w:val="FFFFFF" w:themeColor="background1"/>
                          <w:w w:val="109"/>
                        </w:rPr>
                        <w:t>Açık m</w:t>
                      </w:r>
                    </w:p>
                  </w:txbxContent>
                </v:textbox>
                <w10:wrap anchory="page"/>
              </v:shape>
            </w:pict>
          </mc:Fallback>
        </mc:AlternateContent>
      </w:r>
      <w:r w:rsidR="001B6A04" w:rsidRPr="00243C62">
        <w:rPr>
          <w:rFonts w:ascii="Garamond" w:hAnsi="Garamond"/>
          <w:b/>
          <w:bCs/>
          <w:noProof/>
        </w:rPr>
        <mc:AlternateContent>
          <mc:Choice Requires="wps">
            <w:drawing>
              <wp:anchor distT="0" distB="0" distL="114300" distR="114300" simplePos="0" relativeHeight="251658240" behindDoc="0" locked="0" layoutInCell="1" allowOverlap="1" wp14:anchorId="6D6756E6" wp14:editId="7F757C55">
                <wp:simplePos x="0" y="0"/>
                <wp:positionH relativeFrom="column">
                  <wp:posOffset>-461010</wp:posOffset>
                </wp:positionH>
                <wp:positionV relativeFrom="paragraph">
                  <wp:posOffset>-210820</wp:posOffset>
                </wp:positionV>
                <wp:extent cx="6505575" cy="257175"/>
                <wp:effectExtent l="0" t="0" r="28575" b="28575"/>
                <wp:wrapNone/>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57175"/>
                        </a:xfrm>
                        <a:prstGeom prst="roundRect">
                          <a:avLst>
                            <a:gd name="adj" fmla="val 16667"/>
                          </a:avLst>
                        </a:prstGeom>
                        <a:solidFill>
                          <a:srgbClr val="C00000"/>
                        </a:solidFill>
                        <a:ln>
                          <a:solidFill>
                            <a:srgbClr val="C00000"/>
                          </a:solidFill>
                        </a:ln>
                        <a:effectLst/>
                      </wps:spPr>
                      <wps:txbx>
                        <w:txbxContent>
                          <w:p w14:paraId="377EEDCA" w14:textId="77777777" w:rsidR="0012739C" w:rsidRPr="0084277C" w:rsidRDefault="0012739C" w:rsidP="00662DE8">
                            <w:pPr>
                              <w:rPr>
                                <w:rFonts w:ascii="Garamond" w:hAnsi="Garamond" w:cstheme="minorHAnsi"/>
                                <w:color w:val="FFFFFF" w:themeColor="background1"/>
                                <w:spacing w:val="30"/>
                                <w:w w:val="111"/>
                              </w:rPr>
                            </w:pPr>
                            <w:r>
                              <w:rPr>
                                <w:rFonts w:ascii="Garamond" w:hAnsi="Garamond" w:cstheme="minorHAnsi"/>
                                <w:color w:val="FFFFFF" w:themeColor="background1"/>
                                <w:spacing w:val="30"/>
                                <w:w w:val="111"/>
                              </w:rPr>
                              <w:t xml:space="preserve"> </w:t>
                            </w:r>
                            <w:r w:rsidRPr="0084277C">
                              <w:rPr>
                                <w:rFonts w:ascii="Garamond" w:hAnsi="Garamond" w:cstheme="minorHAnsi"/>
                                <w:color w:val="FFFFFF" w:themeColor="background1"/>
                                <w:spacing w:val="30"/>
                                <w:w w:val="111"/>
                              </w:rPr>
                              <w:t>RESEARCH</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6756E6" id="Yuvarlatılmış Dikdörtgen 3" o:spid="_x0000_s1028" style="position:absolute;margin-left:-36.3pt;margin-top:-16.6pt;width:512.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" fillcolor="#c00000" strokecolor="#c00000">
                <v:textbox inset="1mm,0,0,0">
                  <w:txbxContent>
                    <w:p w14:paraId="377EEDCA" w14:textId="77777777" w:rsidR="0012739C" w:rsidRPr="0084277C" w:rsidRDefault="0012739C" w:rsidP="00662DE8">
                      <w:pPr>
                        <w:rPr>
                          <w:rFonts w:ascii="Garamond" w:hAnsi="Garamond" w:cstheme="minorHAnsi"/>
                          <w:color w:val="FFFFFF" w:themeColor="background1"/>
                          <w:spacing w:val="30"/>
                          <w:w w:val="111"/>
                        </w:rPr>
                      </w:pPr>
                      <w:r>
                        <w:rPr>
                          <w:rFonts w:ascii="Garamond" w:hAnsi="Garamond" w:cstheme="minorHAnsi"/>
                          <w:color w:val="FFFFFF" w:themeColor="background1"/>
                          <w:spacing w:val="30"/>
                          <w:w w:val="111"/>
                        </w:rPr>
                        <w:t xml:space="preserve"> </w:t>
                      </w:r>
                      <w:r w:rsidRPr="0084277C">
                        <w:rPr>
                          <w:rFonts w:ascii="Garamond" w:hAnsi="Garamond" w:cstheme="minorHAnsi"/>
                          <w:color w:val="FFFFFF" w:themeColor="background1"/>
                          <w:spacing w:val="30"/>
                          <w:w w:val="111"/>
                        </w:rPr>
                        <w:t>RESEARCH</w:t>
                      </w:r>
                    </w:p>
                  </w:txbxContent>
                </v:textbox>
              </v:roundrect>
            </w:pict>
          </mc:Fallback>
        </mc:AlternateContent>
      </w:r>
    </w:p>
    <w:p w14:paraId="37DB3234" w14:textId="77777777" w:rsidR="00662DE8" w:rsidRPr="00243C62" w:rsidRDefault="00237DDB">
      <w:pPr>
        <w:rPr>
          <w:rFonts w:ascii="Garamond" w:hAnsi="Garamond"/>
        </w:rPr>
      </w:pPr>
      <w:r w:rsidRPr="00243C62">
        <w:rPr>
          <w:rFonts w:ascii="Garamond" w:hAnsi="Garamond"/>
          <w:noProof/>
        </w:rPr>
        <mc:AlternateContent>
          <mc:Choice Requires="wps">
            <w:drawing>
              <wp:anchor distT="0" distB="0" distL="114300" distR="114300" simplePos="0" relativeHeight="251671552" behindDoc="0" locked="0" layoutInCell="1" allowOverlap="1" wp14:anchorId="612B8B3A" wp14:editId="007AE725">
                <wp:simplePos x="0" y="0"/>
                <wp:positionH relativeFrom="column">
                  <wp:posOffset>-470535</wp:posOffset>
                </wp:positionH>
                <wp:positionV relativeFrom="paragraph">
                  <wp:posOffset>102870</wp:posOffset>
                </wp:positionV>
                <wp:extent cx="6496050" cy="19050"/>
                <wp:effectExtent l="0" t="0" r="19050" b="19050"/>
                <wp:wrapNone/>
                <wp:docPr id="1" name="Düz Bağlayıcı 1"/>
                <wp:cNvGraphicFramePr/>
                <a:graphic xmlns:a="http://schemas.openxmlformats.org/drawingml/2006/main">
                  <a:graphicData uri="http://schemas.microsoft.com/office/word/2010/wordprocessingShape">
                    <wps:wsp>
                      <wps:cNvCnPr/>
                      <wps:spPr>
                        <a:xfrm flipV="1">
                          <a:off x="0" y="0"/>
                          <a:ext cx="6496050" cy="19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7E171004" id="Düz Bağlayıcı 1"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5pt,8.1pt" to="474.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" strokecolor="#c00000" strokeweight=".5pt">
                <v:stroke joinstyle="miter"/>
              </v:line>
            </w:pict>
          </mc:Fallback>
        </mc:AlternateContent>
      </w:r>
    </w:p>
    <w:p w14:paraId="7BEE312B" w14:textId="4F289AF1" w:rsidR="00336B83" w:rsidRPr="00243C62" w:rsidRDefault="00FC28EA" w:rsidP="0084277C">
      <w:pPr>
        <w:spacing w:before="60" w:line="360" w:lineRule="auto"/>
        <w:jc w:val="center"/>
        <w:rPr>
          <w:rFonts w:ascii="Garamond" w:hAnsi="Garamond"/>
          <w:i/>
          <w:sz w:val="26"/>
          <w:szCs w:val="26"/>
        </w:rPr>
      </w:pPr>
      <w:r w:rsidRPr="00243C62">
        <w:rPr>
          <w:rFonts w:ascii="Garamond" w:hAnsi="Garamond"/>
          <w:noProof/>
        </w:rPr>
        <mc:AlternateContent>
          <mc:Choice Requires="wps">
            <w:drawing>
              <wp:anchor distT="0" distB="0" distL="114300" distR="114300" simplePos="0" relativeHeight="251660288" behindDoc="0" locked="0" layoutInCell="1" allowOverlap="1" wp14:anchorId="36559F31" wp14:editId="34ACD909">
                <wp:simplePos x="0" y="0"/>
                <wp:positionH relativeFrom="column">
                  <wp:posOffset>47625</wp:posOffset>
                </wp:positionH>
                <wp:positionV relativeFrom="page">
                  <wp:posOffset>-768985</wp:posOffset>
                </wp:positionV>
                <wp:extent cx="6162675" cy="381000"/>
                <wp:effectExtent l="0" t="0" r="9525" b="0"/>
                <wp:wrapNone/>
                <wp:docPr id="18784" name="Yuvarlatılmış Dikdörtgen 18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81000"/>
                        </a:xfrm>
                        <a:prstGeom prst="roundRect">
                          <a:avLst>
                            <a:gd name="adj" fmla="val 16667"/>
                          </a:avLst>
                        </a:prstGeom>
                        <a:solidFill>
                          <a:srgbClr val="1DBFC7"/>
                        </a:solidFill>
                        <a:ln>
                          <a:noFill/>
                        </a:ln>
                        <a:effectLst/>
                      </wps:spPr>
                      <wps:txbx>
                        <w:txbxContent>
                          <w:p w14:paraId="10DC795E" w14:textId="77777777" w:rsidR="0012739C" w:rsidRPr="0084277C" w:rsidRDefault="0012739C" w:rsidP="00662DE8">
                            <w:pPr>
                              <w:rPr>
                                <w:rFonts w:ascii="Garamond" w:hAnsi="Garamond" w:cstheme="minorHAnsi"/>
                                <w:color w:val="FFFFFF" w:themeColor="background1"/>
                                <w:spacing w:val="30"/>
                                <w:w w:val="111"/>
                              </w:rPr>
                            </w:pPr>
                            <w:r>
                              <w:rPr>
                                <w:rFonts w:ascii="Garamond" w:hAnsi="Garamond" w:cstheme="minorHAnsi"/>
                                <w:color w:val="FFFFFF" w:themeColor="background1"/>
                                <w:spacing w:val="30"/>
                                <w:w w:val="111"/>
                              </w:rPr>
                              <w:t xml:space="preserve"> </w:t>
                            </w:r>
                            <w:r w:rsidRPr="0084277C">
                              <w:rPr>
                                <w:rFonts w:ascii="Garamond" w:hAnsi="Garamond" w:cstheme="minorHAnsi"/>
                                <w:color w:val="FFFFFF" w:themeColor="background1"/>
                                <w:spacing w:val="30"/>
                                <w:w w:val="111"/>
                              </w:rPr>
                              <w:t>ARAŞTIRMA</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559F31" id="Yuvarlatılmış Dikdörtgen 18784" o:spid="_x0000_s1029" style="position:absolute;left:0;text-align:left;margin-left:3.75pt;margin-top:-60.55pt;width:485.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" fillcolor="#1dbfc7" stroked="f">
                <v:textbox inset="1mm,0,0,0">
                  <w:txbxContent>
                    <w:p w14:paraId="10DC795E" w14:textId="77777777" w:rsidR="0012739C" w:rsidRPr="0084277C" w:rsidRDefault="0012739C" w:rsidP="00662DE8">
                      <w:pPr>
                        <w:rPr>
                          <w:rFonts w:ascii="Garamond" w:hAnsi="Garamond" w:cstheme="minorHAnsi"/>
                          <w:color w:val="FFFFFF" w:themeColor="background1"/>
                          <w:spacing w:val="30"/>
                          <w:w w:val="111"/>
                        </w:rPr>
                      </w:pPr>
                      <w:r>
                        <w:rPr>
                          <w:rFonts w:ascii="Garamond" w:hAnsi="Garamond" w:cstheme="minorHAnsi"/>
                          <w:color w:val="FFFFFF" w:themeColor="background1"/>
                          <w:spacing w:val="30"/>
                          <w:w w:val="111"/>
                        </w:rPr>
                        <w:t xml:space="preserve"> </w:t>
                      </w:r>
                      <w:r w:rsidRPr="0084277C">
                        <w:rPr>
                          <w:rFonts w:ascii="Garamond" w:hAnsi="Garamond" w:cstheme="minorHAnsi"/>
                          <w:color w:val="FFFFFF" w:themeColor="background1"/>
                          <w:spacing w:val="30"/>
                          <w:w w:val="111"/>
                        </w:rPr>
                        <w:t>ARAŞTIRMA</w:t>
                      </w:r>
                    </w:p>
                  </w:txbxContent>
                </v:textbox>
                <w10:wrap anchory="page"/>
              </v:roundrect>
            </w:pict>
          </mc:Fallback>
        </mc:AlternateContent>
      </w:r>
      <w:r w:rsidR="00EE770A" w:rsidRPr="00243C62">
        <w:rPr>
          <w:rFonts w:ascii="Garamond" w:hAnsi="Garamond"/>
          <w:noProof/>
          <w:sz w:val="26"/>
          <w:szCs w:val="26"/>
        </w:rPr>
        <mc:AlternateContent>
          <mc:Choice Requires="wps">
            <w:drawing>
              <wp:anchor distT="0" distB="0" distL="114300" distR="114300" simplePos="0" relativeHeight="251673600" behindDoc="0" locked="0" layoutInCell="1" allowOverlap="1" wp14:anchorId="4A849EDC" wp14:editId="5CCF35BD">
                <wp:simplePos x="0" y="0"/>
                <wp:positionH relativeFrom="margin">
                  <wp:posOffset>-443230</wp:posOffset>
                </wp:positionH>
                <wp:positionV relativeFrom="paragraph">
                  <wp:posOffset>234950</wp:posOffset>
                </wp:positionV>
                <wp:extent cx="6429375" cy="19050"/>
                <wp:effectExtent l="0" t="0" r="28575" b="19050"/>
                <wp:wrapNone/>
                <wp:docPr id="2" name="Düz Bağlayıcı 2"/>
                <wp:cNvGraphicFramePr/>
                <a:graphic xmlns:a="http://schemas.openxmlformats.org/drawingml/2006/main">
                  <a:graphicData uri="http://schemas.microsoft.com/office/word/2010/wordprocessingShape">
                    <wps:wsp>
                      <wps:cNvCnPr/>
                      <wps:spPr>
                        <a:xfrm flipV="1">
                          <a:off x="0" y="0"/>
                          <a:ext cx="6429375" cy="1905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2FBC8560" id="Düz Bağlayıcı 2" o:spid="_x0000_s1026" style="position:absolute;flip:y;z-index:251673600;visibility:visible;mso-wrap-style:square;mso-wrap-distance-left:9pt;mso-wrap-distance-top:0;mso-wrap-distance-right:9pt;mso-wrap-distance-bottom:0;mso-position-horizontal:absolute;mso-position-horizontal-relative:margin;mso-position-vertical:absolute;mso-position-vertical-relative:text" from="-34.9pt,18.5pt" to="471.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" strokecolor="#5b9bd5 [3204]" strokeweight=".5pt">
                <v:stroke joinstyle="miter"/>
                <w10:wrap anchorx="margin"/>
              </v:line>
            </w:pict>
          </mc:Fallback>
        </mc:AlternateContent>
      </w:r>
      <w:r w:rsidR="007A7DC2" w:rsidRPr="00243C62">
        <w:rPr>
          <w:rFonts w:ascii="Garamond" w:hAnsi="Garamond"/>
          <w:b/>
          <w:sz w:val="28"/>
          <w:szCs w:val="28"/>
        </w:rPr>
        <w:t xml:space="preserve">Gelecek Oryantasyonu Ölçeği’nin Türk Lise Öğrencilerine Uyarlanması </w:t>
      </w:r>
      <w:r w:rsidR="00F504C1" w:rsidRPr="00243C62">
        <w:rPr>
          <w:rFonts w:ascii="Garamond" w:hAnsi="Garamond"/>
          <w:bCs/>
          <w:i/>
          <w:iCs/>
          <w:sz w:val="28"/>
          <w:szCs w:val="28"/>
        </w:rPr>
        <w:t xml:space="preserve">Adaptation of </w:t>
      </w:r>
      <w:r w:rsidR="005C2350" w:rsidRPr="00243C62">
        <w:rPr>
          <w:rFonts w:ascii="Garamond" w:hAnsi="Garamond"/>
          <w:bCs/>
          <w:i/>
          <w:iCs/>
          <w:sz w:val="28"/>
          <w:szCs w:val="28"/>
        </w:rPr>
        <w:t xml:space="preserve">Future Orientation Scale to Turkish High School Students </w:t>
      </w:r>
    </w:p>
    <w:p w14:paraId="7BE12CD6" w14:textId="6FB24324" w:rsidR="00336B83" w:rsidRPr="00243C62" w:rsidRDefault="00336B83" w:rsidP="00EE770A">
      <w:pPr>
        <w:spacing w:before="240"/>
        <w:jc w:val="center"/>
        <w:rPr>
          <w:rFonts w:ascii="Garamond" w:hAnsi="Garamond"/>
          <w:b/>
          <w:sz w:val="26"/>
          <w:szCs w:val="26"/>
        </w:rPr>
      </w:pPr>
    </w:p>
    <w:tbl>
      <w:tblPr>
        <w:tblW w:w="10632" w:type="dxa"/>
        <w:jc w:val="center"/>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975"/>
        <w:gridCol w:w="7657"/>
      </w:tblGrid>
      <w:tr w:rsidR="00C577C4" w:rsidRPr="00243C62" w14:paraId="19857219" w14:textId="77777777" w:rsidTr="002065CD">
        <w:trPr>
          <w:trHeight w:val="2520"/>
          <w:jc w:val="center"/>
        </w:trPr>
        <w:tc>
          <w:tcPr>
            <w:tcW w:w="2975" w:type="dxa"/>
            <w:tcBorders>
              <w:top w:val="single" w:sz="4" w:space="0" w:color="000000"/>
              <w:bottom w:val="single" w:sz="4" w:space="0" w:color="auto"/>
            </w:tcBorders>
          </w:tcPr>
          <w:p w14:paraId="08821571" w14:textId="77777777" w:rsidR="00DF4CEE" w:rsidRPr="00243C62" w:rsidRDefault="00EE6DB4" w:rsidP="00934298">
            <w:pPr>
              <w:keepNext/>
              <w:rPr>
                <w:rFonts w:ascii="Garamond" w:hAnsi="Garamond"/>
                <w:b/>
                <w:smallCaps/>
                <w:sz w:val="20"/>
                <w:szCs w:val="19"/>
              </w:rPr>
            </w:pPr>
            <w:r w:rsidRPr="00243C62">
              <w:rPr>
                <w:rFonts w:ascii="Garamond" w:hAnsi="Garamond"/>
                <w:b/>
                <w:sz w:val="20"/>
                <w:szCs w:val="19"/>
              </w:rPr>
              <w:t>Yazar Bilgileri</w:t>
            </w:r>
          </w:p>
          <w:p w14:paraId="4B24344F" w14:textId="46F79117" w:rsidR="00243C62" w:rsidRPr="00243C62" w:rsidRDefault="00243C62" w:rsidP="00934298">
            <w:pPr>
              <w:pBdr>
                <w:top w:val="single" w:sz="4" w:space="1" w:color="000000"/>
              </w:pBdr>
              <w:shd w:val="clear" w:color="auto" w:fill="C00000"/>
              <w:rPr>
                <w:rFonts w:ascii="Garamond" w:hAnsi="Garamond"/>
                <w:b/>
                <w:sz w:val="20"/>
                <w:szCs w:val="19"/>
              </w:rPr>
            </w:pPr>
            <w:r>
              <w:rPr>
                <w:rFonts w:ascii="Garamond" w:hAnsi="Garamond"/>
                <w:b/>
                <w:sz w:val="20"/>
                <w:szCs w:val="19"/>
              </w:rPr>
              <w:t>Beyza Bulut</w:t>
            </w:r>
          </w:p>
          <w:p w14:paraId="36C42762" w14:textId="77777777" w:rsidR="00C577C4" w:rsidRDefault="00243C62" w:rsidP="00552407">
            <w:pPr>
              <w:pBdr>
                <w:top w:val="single" w:sz="4" w:space="1" w:color="000000"/>
              </w:pBdr>
              <w:spacing w:after="60"/>
              <w:jc w:val="both"/>
              <w:rPr>
                <w:rFonts w:ascii="Garamond" w:hAnsi="Garamond"/>
                <w:sz w:val="20"/>
                <w:szCs w:val="19"/>
              </w:rPr>
            </w:pPr>
            <w:r>
              <w:rPr>
                <w:rFonts w:ascii="Garamond" w:hAnsi="Garamond"/>
                <w:sz w:val="20"/>
                <w:szCs w:val="19"/>
              </w:rPr>
              <w:t xml:space="preserve">Dr. </w:t>
            </w:r>
            <w:proofErr w:type="gramStart"/>
            <w:r>
              <w:rPr>
                <w:rFonts w:ascii="Garamond" w:hAnsi="Garamond"/>
                <w:sz w:val="20"/>
                <w:szCs w:val="19"/>
              </w:rPr>
              <w:t>Milli</w:t>
            </w:r>
            <w:proofErr w:type="gramEnd"/>
            <w:r>
              <w:rPr>
                <w:rFonts w:ascii="Garamond" w:hAnsi="Garamond"/>
                <w:sz w:val="20"/>
                <w:szCs w:val="19"/>
              </w:rPr>
              <w:t xml:space="preserve"> Eğitim Bakanlığı, </w:t>
            </w:r>
          </w:p>
          <w:p w14:paraId="38904EAB" w14:textId="77777777" w:rsidR="00243C62" w:rsidRDefault="00243C62" w:rsidP="00552407">
            <w:pPr>
              <w:pBdr>
                <w:top w:val="single" w:sz="4" w:space="1" w:color="000000"/>
              </w:pBdr>
              <w:spacing w:after="60"/>
              <w:jc w:val="both"/>
              <w:rPr>
                <w:rFonts w:ascii="Garamond" w:hAnsi="Garamond"/>
                <w:sz w:val="20"/>
                <w:szCs w:val="19"/>
              </w:rPr>
            </w:pPr>
            <w:r>
              <w:rPr>
                <w:rFonts w:ascii="Garamond" w:hAnsi="Garamond"/>
                <w:sz w:val="20"/>
                <w:szCs w:val="19"/>
              </w:rPr>
              <w:t>Çanakkale, Türkiye,</w:t>
            </w:r>
          </w:p>
          <w:p w14:paraId="2D98328D" w14:textId="70F667C4" w:rsidR="00243C62" w:rsidRDefault="00552407" w:rsidP="00552407">
            <w:pPr>
              <w:pBdr>
                <w:top w:val="single" w:sz="4" w:space="1" w:color="000000"/>
              </w:pBdr>
              <w:spacing w:after="60"/>
              <w:jc w:val="both"/>
              <w:rPr>
                <w:rFonts w:ascii="Garamond" w:hAnsi="Garamond"/>
                <w:sz w:val="20"/>
                <w:szCs w:val="19"/>
              </w:rPr>
            </w:pPr>
            <w:hyperlink r:id="rId8" w:history="1">
              <w:r w:rsidRPr="00B82822">
                <w:rPr>
                  <w:rStyle w:val="Kpr"/>
                  <w:rFonts w:ascii="Garamond" w:hAnsi="Garamond"/>
                  <w:sz w:val="20"/>
                  <w:szCs w:val="19"/>
                </w:rPr>
                <w:t>beyzakincal@gmail.com</w:t>
              </w:r>
            </w:hyperlink>
          </w:p>
          <w:p w14:paraId="3456F4FC" w14:textId="37F560CD" w:rsidR="00552407" w:rsidRPr="00243C62" w:rsidRDefault="00552407" w:rsidP="00552407">
            <w:pPr>
              <w:pBdr>
                <w:top w:val="single" w:sz="4" w:space="1" w:color="000000"/>
              </w:pBdr>
              <w:shd w:val="clear" w:color="auto" w:fill="C00000"/>
              <w:rPr>
                <w:rFonts w:ascii="Garamond" w:hAnsi="Garamond"/>
                <w:b/>
                <w:sz w:val="20"/>
                <w:szCs w:val="19"/>
              </w:rPr>
            </w:pPr>
            <w:r>
              <w:rPr>
                <w:rFonts w:ascii="Garamond" w:hAnsi="Garamond"/>
                <w:b/>
                <w:sz w:val="20"/>
                <w:szCs w:val="19"/>
              </w:rPr>
              <w:t>Feride Bacanlı</w:t>
            </w:r>
          </w:p>
          <w:p w14:paraId="30D3B97B" w14:textId="77777777" w:rsidR="00552407" w:rsidRDefault="00552407" w:rsidP="002A74EF">
            <w:pPr>
              <w:pBdr>
                <w:top w:val="single" w:sz="4" w:space="1" w:color="000000"/>
              </w:pBdr>
              <w:spacing w:after="60"/>
              <w:rPr>
                <w:rFonts w:ascii="Garamond" w:hAnsi="Garamond"/>
                <w:sz w:val="20"/>
                <w:szCs w:val="19"/>
              </w:rPr>
            </w:pPr>
            <w:r>
              <w:rPr>
                <w:rFonts w:ascii="Garamond" w:hAnsi="Garamond"/>
                <w:sz w:val="20"/>
                <w:szCs w:val="19"/>
              </w:rPr>
              <w:t>Prof. Dr., Gazi Üniversitesi,</w:t>
            </w:r>
          </w:p>
          <w:p w14:paraId="39587F0B" w14:textId="77777777" w:rsidR="00552407" w:rsidRDefault="00552407" w:rsidP="002A74EF">
            <w:pPr>
              <w:pBdr>
                <w:top w:val="single" w:sz="4" w:space="1" w:color="000000"/>
              </w:pBdr>
              <w:spacing w:after="60"/>
              <w:rPr>
                <w:rFonts w:ascii="Garamond" w:hAnsi="Garamond"/>
                <w:sz w:val="20"/>
                <w:szCs w:val="19"/>
              </w:rPr>
            </w:pPr>
            <w:r>
              <w:rPr>
                <w:rFonts w:ascii="Garamond" w:hAnsi="Garamond"/>
                <w:sz w:val="20"/>
                <w:szCs w:val="19"/>
              </w:rPr>
              <w:t>Ankara, Türkiye,</w:t>
            </w:r>
          </w:p>
          <w:p w14:paraId="0BDA4079" w14:textId="737AD01A" w:rsidR="00552407" w:rsidRDefault="00552407" w:rsidP="002A74EF">
            <w:pPr>
              <w:pBdr>
                <w:top w:val="single" w:sz="4" w:space="1" w:color="000000"/>
              </w:pBdr>
              <w:spacing w:after="60"/>
              <w:rPr>
                <w:rFonts w:ascii="Garamond" w:hAnsi="Garamond"/>
                <w:sz w:val="20"/>
                <w:szCs w:val="19"/>
              </w:rPr>
            </w:pPr>
            <w:hyperlink r:id="rId9" w:history="1">
              <w:r w:rsidRPr="00B82822">
                <w:rPr>
                  <w:rStyle w:val="Kpr"/>
                  <w:rFonts w:ascii="Garamond" w:hAnsi="Garamond"/>
                  <w:sz w:val="20"/>
                  <w:szCs w:val="19"/>
                </w:rPr>
                <w:t>ferbacanli@gmail.com</w:t>
              </w:r>
            </w:hyperlink>
          </w:p>
          <w:p w14:paraId="2FB93BD2" w14:textId="36879E8C" w:rsidR="00552407" w:rsidRPr="00243C62" w:rsidRDefault="00552407" w:rsidP="002A74EF">
            <w:pPr>
              <w:pBdr>
                <w:top w:val="single" w:sz="4" w:space="1" w:color="000000"/>
              </w:pBdr>
              <w:spacing w:after="60"/>
              <w:rPr>
                <w:rFonts w:ascii="Garamond" w:hAnsi="Garamond"/>
                <w:sz w:val="20"/>
                <w:szCs w:val="19"/>
              </w:rPr>
            </w:pPr>
          </w:p>
        </w:tc>
        <w:tc>
          <w:tcPr>
            <w:tcW w:w="7657" w:type="dxa"/>
            <w:tcBorders>
              <w:top w:val="single" w:sz="4" w:space="0" w:color="000000"/>
              <w:bottom w:val="single" w:sz="4" w:space="0" w:color="auto"/>
            </w:tcBorders>
          </w:tcPr>
          <w:p w14:paraId="7038C1A6" w14:textId="77777777" w:rsidR="002F73AD" w:rsidRPr="00243C62" w:rsidRDefault="00466F5B" w:rsidP="002F73AD">
            <w:pPr>
              <w:keepNext/>
              <w:rPr>
                <w:rFonts w:ascii="Garamond" w:hAnsi="Garamond"/>
                <w:b/>
                <w:smallCaps/>
                <w:szCs w:val="21"/>
              </w:rPr>
            </w:pPr>
            <w:r w:rsidRPr="00243C62">
              <w:rPr>
                <w:rFonts w:ascii="Garamond" w:hAnsi="Garamond"/>
                <w:b/>
                <w:smallCaps/>
                <w:szCs w:val="21"/>
              </w:rPr>
              <w:t>ÖZET</w:t>
            </w:r>
          </w:p>
          <w:p w14:paraId="39CFAA89" w14:textId="6F465726" w:rsidR="00983522" w:rsidRPr="00243C62" w:rsidRDefault="00983522" w:rsidP="00983522">
            <w:pPr>
              <w:jc w:val="both"/>
              <w:rPr>
                <w:rFonts w:ascii="Garamond" w:hAnsi="Garamond"/>
                <w:sz w:val="22"/>
                <w:szCs w:val="22"/>
              </w:rPr>
            </w:pPr>
            <w:r w:rsidRPr="00243C62">
              <w:rPr>
                <w:rFonts w:ascii="Garamond" w:hAnsi="Garamond"/>
                <w:sz w:val="22"/>
                <w:szCs w:val="22"/>
              </w:rPr>
              <w:t>Bu araştırmanın temel amacı Gelecek Oryantasyonu Ölçeği</w:t>
            </w:r>
            <w:r w:rsidR="001A74B7" w:rsidRPr="00243C62">
              <w:rPr>
                <w:rFonts w:ascii="Garamond" w:hAnsi="Garamond"/>
                <w:sz w:val="22"/>
                <w:szCs w:val="22"/>
              </w:rPr>
              <w:t>’</w:t>
            </w:r>
            <w:r w:rsidRPr="00243C62">
              <w:rPr>
                <w:rFonts w:ascii="Garamond" w:hAnsi="Garamond"/>
                <w:sz w:val="22"/>
                <w:szCs w:val="22"/>
              </w:rPr>
              <w:t>ni</w:t>
            </w:r>
            <w:r w:rsidR="001A74B7" w:rsidRPr="00243C62">
              <w:rPr>
                <w:rFonts w:ascii="Garamond" w:hAnsi="Garamond"/>
                <w:sz w:val="22"/>
                <w:szCs w:val="22"/>
              </w:rPr>
              <w:t xml:space="preserve"> (GOÖ)</w:t>
            </w:r>
            <w:r w:rsidRPr="00243C62">
              <w:rPr>
                <w:rFonts w:ascii="Garamond" w:hAnsi="Garamond"/>
                <w:sz w:val="22"/>
                <w:szCs w:val="22"/>
              </w:rPr>
              <w:t xml:space="preserve"> </w:t>
            </w:r>
            <w:r w:rsidR="00392965" w:rsidRPr="00243C62">
              <w:rPr>
                <w:rFonts w:ascii="Garamond" w:hAnsi="Garamond"/>
                <w:sz w:val="22"/>
                <w:szCs w:val="22"/>
              </w:rPr>
              <w:t>Türk</w:t>
            </w:r>
            <w:r w:rsidR="00774CBD" w:rsidRPr="00243C62">
              <w:rPr>
                <w:rFonts w:ascii="Garamond" w:hAnsi="Garamond"/>
                <w:sz w:val="22"/>
                <w:szCs w:val="22"/>
              </w:rPr>
              <w:t xml:space="preserve"> </w:t>
            </w:r>
            <w:r w:rsidRPr="00243C62">
              <w:rPr>
                <w:rFonts w:ascii="Garamond" w:hAnsi="Garamond"/>
                <w:sz w:val="22"/>
                <w:szCs w:val="22"/>
              </w:rPr>
              <w:t xml:space="preserve">lise öğrencilerine uyarlamaktır. </w:t>
            </w:r>
            <w:r w:rsidR="00392965" w:rsidRPr="00243C62">
              <w:rPr>
                <w:rFonts w:ascii="Garamond" w:hAnsi="Garamond"/>
                <w:sz w:val="22"/>
                <w:szCs w:val="22"/>
              </w:rPr>
              <w:t>Çalışma</w:t>
            </w:r>
            <w:r w:rsidRPr="00243C62">
              <w:rPr>
                <w:rFonts w:ascii="Garamond" w:hAnsi="Garamond"/>
                <w:sz w:val="22"/>
                <w:szCs w:val="22"/>
              </w:rPr>
              <w:t xml:space="preserve"> grubu</w:t>
            </w:r>
            <w:r w:rsidR="001A74B7" w:rsidRPr="00243C62">
              <w:rPr>
                <w:rFonts w:ascii="Garamond" w:hAnsi="Garamond"/>
                <w:sz w:val="22"/>
                <w:szCs w:val="22"/>
              </w:rPr>
              <w:t xml:space="preserve"> </w:t>
            </w:r>
            <w:r w:rsidRPr="00243C62">
              <w:rPr>
                <w:rFonts w:ascii="Garamond" w:hAnsi="Garamond"/>
                <w:sz w:val="22"/>
                <w:szCs w:val="22"/>
              </w:rPr>
              <w:t>151 kız ve 102 erkek öğrenci olmak üzere 253 lise öğrencisi</w:t>
            </w:r>
            <w:r w:rsidR="001A74B7" w:rsidRPr="00243C62">
              <w:rPr>
                <w:rFonts w:ascii="Garamond" w:hAnsi="Garamond"/>
                <w:sz w:val="22"/>
                <w:szCs w:val="22"/>
              </w:rPr>
              <w:t>nden oluşmaktadır</w:t>
            </w:r>
            <w:r w:rsidR="00046D2A" w:rsidRPr="00243C62">
              <w:rPr>
                <w:rFonts w:ascii="Garamond" w:hAnsi="Garamond"/>
                <w:sz w:val="22"/>
                <w:szCs w:val="22"/>
              </w:rPr>
              <w:t xml:space="preserve">. </w:t>
            </w:r>
            <w:r w:rsidR="001A74B7" w:rsidRPr="00243C62">
              <w:rPr>
                <w:rFonts w:ascii="Garamond" w:hAnsi="Garamond"/>
                <w:sz w:val="22"/>
                <w:szCs w:val="22"/>
              </w:rPr>
              <w:t>Türkçe GOÖ’nin</w:t>
            </w:r>
            <w:r w:rsidRPr="00243C62">
              <w:rPr>
                <w:rFonts w:ascii="Garamond" w:hAnsi="Garamond"/>
                <w:sz w:val="22"/>
                <w:szCs w:val="22"/>
              </w:rPr>
              <w:t xml:space="preserve"> yapı geçerliğini incelemek </w:t>
            </w:r>
            <w:r w:rsidR="001A74B7" w:rsidRPr="00243C62">
              <w:rPr>
                <w:rFonts w:ascii="Garamond" w:hAnsi="Garamond"/>
                <w:sz w:val="22"/>
                <w:szCs w:val="22"/>
              </w:rPr>
              <w:t>için</w:t>
            </w:r>
            <w:r w:rsidRPr="00243C62">
              <w:rPr>
                <w:rFonts w:ascii="Garamond" w:hAnsi="Garamond"/>
                <w:sz w:val="22"/>
                <w:szCs w:val="22"/>
              </w:rPr>
              <w:t xml:space="preserve"> </w:t>
            </w:r>
            <w:r w:rsidR="001A74B7" w:rsidRPr="00243C62">
              <w:rPr>
                <w:rFonts w:ascii="Garamond" w:hAnsi="Garamond"/>
                <w:sz w:val="22"/>
                <w:szCs w:val="22"/>
              </w:rPr>
              <w:t xml:space="preserve">verilere </w:t>
            </w:r>
            <w:r w:rsidR="00E14CEE" w:rsidRPr="00243C62">
              <w:rPr>
                <w:rFonts w:ascii="Garamond" w:hAnsi="Garamond"/>
                <w:sz w:val="22"/>
                <w:szCs w:val="22"/>
              </w:rPr>
              <w:t>D</w:t>
            </w:r>
            <w:r w:rsidRPr="00243C62">
              <w:rPr>
                <w:rFonts w:ascii="Garamond" w:hAnsi="Garamond"/>
                <w:sz w:val="22"/>
                <w:szCs w:val="22"/>
              </w:rPr>
              <w:t xml:space="preserve">oğrulayıcı </w:t>
            </w:r>
            <w:r w:rsidR="00E14CEE" w:rsidRPr="00243C62">
              <w:rPr>
                <w:rFonts w:ascii="Garamond" w:hAnsi="Garamond"/>
                <w:sz w:val="22"/>
                <w:szCs w:val="22"/>
              </w:rPr>
              <w:t>F</w:t>
            </w:r>
            <w:r w:rsidRPr="00243C62">
              <w:rPr>
                <w:rFonts w:ascii="Garamond" w:hAnsi="Garamond"/>
                <w:sz w:val="22"/>
                <w:szCs w:val="22"/>
              </w:rPr>
              <w:t xml:space="preserve">aktör </w:t>
            </w:r>
            <w:r w:rsidR="00E14CEE" w:rsidRPr="00243C62">
              <w:rPr>
                <w:rFonts w:ascii="Garamond" w:hAnsi="Garamond"/>
                <w:sz w:val="22"/>
                <w:szCs w:val="22"/>
              </w:rPr>
              <w:t>A</w:t>
            </w:r>
            <w:r w:rsidRPr="00243C62">
              <w:rPr>
                <w:rFonts w:ascii="Garamond" w:hAnsi="Garamond"/>
                <w:sz w:val="22"/>
                <w:szCs w:val="22"/>
              </w:rPr>
              <w:t xml:space="preserve">nalizi (DFA) </w:t>
            </w:r>
            <w:r w:rsidR="001A74B7" w:rsidRPr="00243C62">
              <w:rPr>
                <w:rFonts w:ascii="Garamond" w:hAnsi="Garamond"/>
                <w:sz w:val="22"/>
                <w:szCs w:val="22"/>
              </w:rPr>
              <w:t>uygulanmıştır.</w:t>
            </w:r>
            <w:r w:rsidR="00046D2A" w:rsidRPr="00243C62">
              <w:rPr>
                <w:rFonts w:ascii="Garamond" w:hAnsi="Garamond"/>
                <w:sz w:val="22"/>
                <w:szCs w:val="22"/>
              </w:rPr>
              <w:t xml:space="preserve"> </w:t>
            </w:r>
            <w:r w:rsidRPr="00243C62">
              <w:rPr>
                <w:rFonts w:ascii="Garamond" w:hAnsi="Garamond"/>
                <w:sz w:val="22"/>
                <w:szCs w:val="22"/>
              </w:rPr>
              <w:t>DFA sonuçları</w:t>
            </w:r>
            <w:r w:rsidR="00392965" w:rsidRPr="00243C62">
              <w:rPr>
                <w:rFonts w:ascii="Garamond" w:hAnsi="Garamond"/>
                <w:sz w:val="22"/>
                <w:szCs w:val="22"/>
              </w:rPr>
              <w:t>,</w:t>
            </w:r>
            <w:r w:rsidR="001A74B7" w:rsidRPr="00243C62">
              <w:rPr>
                <w:rFonts w:ascii="Garamond" w:hAnsi="Garamond"/>
                <w:sz w:val="22"/>
                <w:szCs w:val="22"/>
              </w:rPr>
              <w:t xml:space="preserve"> Türkçe GOÖ’nin de </w:t>
            </w:r>
            <w:r w:rsidRPr="00243C62">
              <w:rPr>
                <w:rFonts w:ascii="Garamond" w:hAnsi="Garamond"/>
                <w:sz w:val="22"/>
                <w:szCs w:val="22"/>
              </w:rPr>
              <w:t xml:space="preserve">orijinal </w:t>
            </w:r>
            <w:r w:rsidR="001A74B7" w:rsidRPr="00243C62">
              <w:rPr>
                <w:rFonts w:ascii="Garamond" w:hAnsi="Garamond"/>
                <w:sz w:val="22"/>
                <w:szCs w:val="22"/>
              </w:rPr>
              <w:t>ölçek</w:t>
            </w:r>
            <w:r w:rsidR="009E6092" w:rsidRPr="00243C62">
              <w:rPr>
                <w:rFonts w:ascii="Garamond" w:hAnsi="Garamond"/>
                <w:sz w:val="22"/>
                <w:szCs w:val="22"/>
              </w:rPr>
              <w:t>te olduğu</w:t>
            </w:r>
            <w:r w:rsidR="001A74B7" w:rsidRPr="00243C62">
              <w:rPr>
                <w:rFonts w:ascii="Garamond" w:hAnsi="Garamond"/>
                <w:sz w:val="22"/>
                <w:szCs w:val="22"/>
              </w:rPr>
              <w:t xml:space="preserve"> gibi</w:t>
            </w:r>
            <w:r w:rsidR="00046D2A" w:rsidRPr="00243C62">
              <w:rPr>
                <w:rFonts w:ascii="Garamond" w:hAnsi="Garamond"/>
                <w:sz w:val="22"/>
                <w:szCs w:val="22"/>
              </w:rPr>
              <w:t xml:space="preserve"> </w:t>
            </w:r>
            <w:r w:rsidRPr="00243C62">
              <w:rPr>
                <w:rFonts w:ascii="Garamond" w:hAnsi="Garamond"/>
                <w:sz w:val="22"/>
                <w:szCs w:val="22"/>
              </w:rPr>
              <w:t xml:space="preserve">tek </w:t>
            </w:r>
            <w:r w:rsidR="001A74B7" w:rsidRPr="00243C62">
              <w:rPr>
                <w:rFonts w:ascii="Garamond" w:hAnsi="Garamond"/>
                <w:sz w:val="22"/>
                <w:szCs w:val="22"/>
              </w:rPr>
              <w:t xml:space="preserve">faktörden </w:t>
            </w:r>
            <w:r w:rsidRPr="00243C62">
              <w:rPr>
                <w:rFonts w:ascii="Garamond" w:hAnsi="Garamond"/>
                <w:sz w:val="22"/>
                <w:szCs w:val="22"/>
              </w:rPr>
              <w:t>oluştuğu</w:t>
            </w:r>
            <w:r w:rsidR="001A74B7" w:rsidRPr="00243C62">
              <w:rPr>
                <w:rFonts w:ascii="Garamond" w:hAnsi="Garamond"/>
                <w:sz w:val="22"/>
                <w:szCs w:val="22"/>
              </w:rPr>
              <w:t>nu</w:t>
            </w:r>
            <w:r w:rsidRPr="00243C62">
              <w:rPr>
                <w:rFonts w:ascii="Garamond" w:hAnsi="Garamond"/>
                <w:sz w:val="22"/>
                <w:szCs w:val="22"/>
              </w:rPr>
              <w:t xml:space="preserve"> doğru</w:t>
            </w:r>
            <w:r w:rsidR="00392965" w:rsidRPr="00243C62">
              <w:rPr>
                <w:rFonts w:ascii="Garamond" w:hAnsi="Garamond"/>
                <w:sz w:val="22"/>
                <w:szCs w:val="22"/>
              </w:rPr>
              <w:t>la</w:t>
            </w:r>
            <w:r w:rsidRPr="00243C62">
              <w:rPr>
                <w:rFonts w:ascii="Garamond" w:hAnsi="Garamond"/>
                <w:sz w:val="22"/>
                <w:szCs w:val="22"/>
              </w:rPr>
              <w:t xml:space="preserve">mıştır. </w:t>
            </w:r>
            <w:r w:rsidR="00392965" w:rsidRPr="00243C62">
              <w:rPr>
                <w:rFonts w:ascii="Garamond" w:hAnsi="Garamond"/>
                <w:sz w:val="22"/>
                <w:szCs w:val="22"/>
              </w:rPr>
              <w:t>Türkçe ölçeğin ölçüt bağıntılı geçerliği</w:t>
            </w:r>
            <w:r w:rsidR="00901419" w:rsidRPr="00243C62">
              <w:rPr>
                <w:rFonts w:ascii="Garamond" w:hAnsi="Garamond"/>
                <w:sz w:val="22"/>
                <w:szCs w:val="22"/>
              </w:rPr>
              <w:t>ni belirlemek</w:t>
            </w:r>
            <w:r w:rsidR="00046D2A" w:rsidRPr="00243C62">
              <w:rPr>
                <w:rFonts w:ascii="Garamond" w:hAnsi="Garamond"/>
                <w:sz w:val="22"/>
                <w:szCs w:val="22"/>
              </w:rPr>
              <w:t xml:space="preserve"> </w:t>
            </w:r>
            <w:r w:rsidRPr="00243C62">
              <w:rPr>
                <w:rFonts w:ascii="Garamond" w:hAnsi="Garamond"/>
                <w:sz w:val="22"/>
                <w:szCs w:val="22"/>
              </w:rPr>
              <w:t xml:space="preserve">için </w:t>
            </w:r>
            <w:r w:rsidR="002065CD" w:rsidRPr="00243C62">
              <w:rPr>
                <w:rFonts w:ascii="Garamond" w:hAnsi="Garamond"/>
                <w:sz w:val="22"/>
                <w:szCs w:val="22"/>
              </w:rPr>
              <w:t xml:space="preserve">GOÖ’nin ortalama puanları ile </w:t>
            </w:r>
            <w:r w:rsidRPr="00243C62">
              <w:rPr>
                <w:rFonts w:ascii="Garamond" w:hAnsi="Garamond"/>
                <w:sz w:val="22"/>
                <w:szCs w:val="22"/>
              </w:rPr>
              <w:t xml:space="preserve">Geleceğe İlişkin Tutum </w:t>
            </w:r>
            <w:r w:rsidR="00E14CEE" w:rsidRPr="00243C62">
              <w:rPr>
                <w:rFonts w:ascii="Garamond" w:hAnsi="Garamond"/>
                <w:sz w:val="22"/>
                <w:szCs w:val="22"/>
              </w:rPr>
              <w:t>Ö</w:t>
            </w:r>
            <w:r w:rsidRPr="00243C62">
              <w:rPr>
                <w:rFonts w:ascii="Garamond" w:hAnsi="Garamond"/>
                <w:sz w:val="22"/>
                <w:szCs w:val="22"/>
              </w:rPr>
              <w:t>lçeği ve Sürekli Umut Ölçeği</w:t>
            </w:r>
            <w:r w:rsidR="002065CD" w:rsidRPr="00243C62">
              <w:rPr>
                <w:rFonts w:ascii="Garamond" w:hAnsi="Garamond"/>
                <w:sz w:val="22"/>
                <w:szCs w:val="22"/>
              </w:rPr>
              <w:t>’nin ortalama</w:t>
            </w:r>
            <w:r w:rsidRPr="00243C62">
              <w:rPr>
                <w:rFonts w:ascii="Garamond" w:hAnsi="Garamond"/>
                <w:sz w:val="22"/>
                <w:szCs w:val="22"/>
              </w:rPr>
              <w:t xml:space="preserve"> </w:t>
            </w:r>
            <w:r w:rsidR="002065CD" w:rsidRPr="00243C62">
              <w:rPr>
                <w:rFonts w:ascii="Garamond" w:hAnsi="Garamond"/>
                <w:sz w:val="22"/>
                <w:szCs w:val="22"/>
              </w:rPr>
              <w:t>puanları arasındaki ilişkiler incelenmiştir</w:t>
            </w:r>
            <w:r w:rsidR="00046D2A" w:rsidRPr="00243C62">
              <w:rPr>
                <w:rFonts w:ascii="Garamond" w:hAnsi="Garamond"/>
                <w:sz w:val="22"/>
                <w:szCs w:val="22"/>
              </w:rPr>
              <w:t>.</w:t>
            </w:r>
            <w:r w:rsidR="00684006" w:rsidRPr="00243C62">
              <w:rPr>
                <w:rFonts w:ascii="Garamond" w:hAnsi="Garamond"/>
                <w:sz w:val="22"/>
                <w:szCs w:val="22"/>
              </w:rPr>
              <w:t xml:space="preserve"> Araştırma bulgusu </w:t>
            </w:r>
            <w:r w:rsidR="002065CD" w:rsidRPr="00243C62">
              <w:rPr>
                <w:rFonts w:ascii="Garamond" w:hAnsi="Garamond"/>
                <w:sz w:val="22"/>
                <w:szCs w:val="22"/>
              </w:rPr>
              <w:t>GOÖ</w:t>
            </w:r>
            <w:r w:rsidR="00684006" w:rsidRPr="00243C62">
              <w:rPr>
                <w:rFonts w:ascii="Garamond" w:hAnsi="Garamond"/>
                <w:sz w:val="22"/>
                <w:szCs w:val="22"/>
              </w:rPr>
              <w:t xml:space="preserve"> ile Geleceğe İlişkin Tutum ölçeği ve Sürekli Umut Ölçeğ</w:t>
            </w:r>
            <w:r w:rsidR="00A23EB7" w:rsidRPr="00243C62">
              <w:rPr>
                <w:rFonts w:ascii="Garamond" w:hAnsi="Garamond"/>
                <w:sz w:val="22"/>
                <w:szCs w:val="22"/>
              </w:rPr>
              <w:t>i arasında pozitif yönde anlamlı ilişkilerin var olduğunu ortaya koym</w:t>
            </w:r>
            <w:r w:rsidR="005A2340" w:rsidRPr="00243C62">
              <w:rPr>
                <w:rFonts w:ascii="Garamond" w:hAnsi="Garamond"/>
                <w:sz w:val="22"/>
                <w:szCs w:val="22"/>
              </w:rPr>
              <w:t>uştur</w:t>
            </w:r>
            <w:r w:rsidR="00A23EB7" w:rsidRPr="00243C62">
              <w:rPr>
                <w:rFonts w:ascii="Garamond" w:hAnsi="Garamond"/>
                <w:sz w:val="22"/>
                <w:szCs w:val="22"/>
              </w:rPr>
              <w:t xml:space="preserve">. Bu </w:t>
            </w:r>
            <w:r w:rsidR="005A2340" w:rsidRPr="00243C62">
              <w:rPr>
                <w:rFonts w:ascii="Garamond" w:hAnsi="Garamond"/>
                <w:sz w:val="22"/>
                <w:szCs w:val="22"/>
              </w:rPr>
              <w:t>bulgu</w:t>
            </w:r>
            <w:r w:rsidR="00A23EB7" w:rsidRPr="00243C62">
              <w:rPr>
                <w:rFonts w:ascii="Garamond" w:hAnsi="Garamond"/>
                <w:sz w:val="22"/>
                <w:szCs w:val="22"/>
              </w:rPr>
              <w:t xml:space="preserve"> </w:t>
            </w:r>
            <w:r w:rsidR="005A2340" w:rsidRPr="00243C62">
              <w:rPr>
                <w:rFonts w:ascii="Garamond" w:hAnsi="Garamond"/>
                <w:sz w:val="22"/>
                <w:szCs w:val="22"/>
              </w:rPr>
              <w:t>GOÖ’nin</w:t>
            </w:r>
            <w:r w:rsidR="00931EC5" w:rsidRPr="00243C62">
              <w:rPr>
                <w:rFonts w:ascii="Garamond" w:hAnsi="Garamond"/>
                <w:sz w:val="22"/>
                <w:szCs w:val="22"/>
              </w:rPr>
              <w:t xml:space="preserve"> </w:t>
            </w:r>
            <w:r w:rsidR="002065CD" w:rsidRPr="00243C62">
              <w:rPr>
                <w:rFonts w:ascii="Garamond" w:hAnsi="Garamond"/>
                <w:sz w:val="22"/>
                <w:szCs w:val="22"/>
              </w:rPr>
              <w:t>ölçüt bağıntılı geçerli</w:t>
            </w:r>
            <w:r w:rsidR="005A2340" w:rsidRPr="00243C62">
              <w:rPr>
                <w:rFonts w:ascii="Garamond" w:hAnsi="Garamond"/>
                <w:sz w:val="22"/>
                <w:szCs w:val="22"/>
              </w:rPr>
              <w:t xml:space="preserve">ği </w:t>
            </w:r>
            <w:r w:rsidR="002065CD" w:rsidRPr="00243C62">
              <w:rPr>
                <w:rFonts w:ascii="Garamond" w:hAnsi="Garamond"/>
                <w:sz w:val="22"/>
                <w:szCs w:val="22"/>
              </w:rPr>
              <w:t xml:space="preserve">için </w:t>
            </w:r>
            <w:r w:rsidR="00901419" w:rsidRPr="00243C62">
              <w:rPr>
                <w:rFonts w:ascii="Garamond" w:hAnsi="Garamond"/>
                <w:sz w:val="22"/>
                <w:szCs w:val="22"/>
              </w:rPr>
              <w:t>kanıt</w:t>
            </w:r>
            <w:r w:rsidR="002065CD" w:rsidRPr="00243C62">
              <w:rPr>
                <w:rFonts w:ascii="Garamond" w:hAnsi="Garamond"/>
                <w:sz w:val="22"/>
                <w:szCs w:val="22"/>
              </w:rPr>
              <w:t xml:space="preserve"> </w:t>
            </w:r>
            <w:r w:rsidR="001D7483" w:rsidRPr="00243C62">
              <w:rPr>
                <w:rFonts w:ascii="Garamond" w:hAnsi="Garamond"/>
                <w:sz w:val="22"/>
                <w:szCs w:val="22"/>
              </w:rPr>
              <w:t>göster</w:t>
            </w:r>
            <w:r w:rsidR="005A2340" w:rsidRPr="00243C62">
              <w:rPr>
                <w:rFonts w:ascii="Garamond" w:hAnsi="Garamond"/>
                <w:sz w:val="22"/>
                <w:szCs w:val="22"/>
              </w:rPr>
              <w:t xml:space="preserve">miştir. </w:t>
            </w:r>
            <w:r w:rsidRPr="00243C62">
              <w:rPr>
                <w:rFonts w:ascii="Garamond" w:hAnsi="Garamond"/>
                <w:sz w:val="22"/>
                <w:szCs w:val="22"/>
              </w:rPr>
              <w:t>Ölçeğin güvenirliği için iç tutarlık katsayısı</w:t>
            </w:r>
            <w:r w:rsidR="001D7483" w:rsidRPr="00243C62">
              <w:rPr>
                <w:rFonts w:ascii="Garamond" w:hAnsi="Garamond"/>
                <w:sz w:val="22"/>
                <w:szCs w:val="22"/>
              </w:rPr>
              <w:t xml:space="preserve"> </w:t>
            </w:r>
            <w:r w:rsidRPr="00243C62">
              <w:rPr>
                <w:rFonts w:ascii="Garamond" w:hAnsi="Garamond"/>
                <w:sz w:val="22"/>
                <w:szCs w:val="22"/>
              </w:rPr>
              <w:t>.8</w:t>
            </w:r>
            <w:r w:rsidR="00F504C1" w:rsidRPr="00243C62">
              <w:rPr>
                <w:rFonts w:ascii="Garamond" w:hAnsi="Garamond"/>
                <w:sz w:val="22"/>
                <w:szCs w:val="22"/>
              </w:rPr>
              <w:t>3</w:t>
            </w:r>
            <w:r w:rsidRPr="00243C62">
              <w:rPr>
                <w:rFonts w:ascii="Garamond" w:hAnsi="Garamond"/>
                <w:sz w:val="22"/>
                <w:szCs w:val="22"/>
              </w:rPr>
              <w:t xml:space="preserve"> bulunmuştur.</w:t>
            </w:r>
            <w:r w:rsidR="001D7483" w:rsidRPr="00243C62">
              <w:rPr>
                <w:rFonts w:ascii="Garamond" w:hAnsi="Garamond"/>
                <w:sz w:val="22"/>
                <w:szCs w:val="22"/>
              </w:rPr>
              <w:t xml:space="preserve"> Bu araştırmanın bulguları</w:t>
            </w:r>
            <w:r w:rsidR="00901419" w:rsidRPr="00243C62">
              <w:rPr>
                <w:rFonts w:ascii="Garamond" w:hAnsi="Garamond"/>
                <w:sz w:val="22"/>
                <w:szCs w:val="22"/>
              </w:rPr>
              <w:t>,</w:t>
            </w:r>
            <w:r w:rsidRPr="00243C62">
              <w:rPr>
                <w:rFonts w:ascii="Garamond" w:hAnsi="Garamond"/>
                <w:sz w:val="22"/>
                <w:szCs w:val="22"/>
              </w:rPr>
              <w:t xml:space="preserve"> </w:t>
            </w:r>
            <w:r w:rsidR="001D7483" w:rsidRPr="00243C62">
              <w:rPr>
                <w:rFonts w:ascii="Garamond" w:hAnsi="Garamond"/>
                <w:sz w:val="22"/>
                <w:szCs w:val="22"/>
              </w:rPr>
              <w:t>Türkçe GOÖ’nin Türkiye’deki lise öğrencilerinin gelecek oryantasyonlarını ölçmek için geçerli</w:t>
            </w:r>
            <w:r w:rsidR="00901419" w:rsidRPr="00243C62">
              <w:rPr>
                <w:rFonts w:ascii="Garamond" w:hAnsi="Garamond"/>
                <w:sz w:val="22"/>
                <w:szCs w:val="22"/>
              </w:rPr>
              <w:t xml:space="preserve"> </w:t>
            </w:r>
            <w:r w:rsidR="001D7483" w:rsidRPr="00243C62">
              <w:rPr>
                <w:rFonts w:ascii="Garamond" w:hAnsi="Garamond"/>
                <w:sz w:val="22"/>
                <w:szCs w:val="22"/>
              </w:rPr>
              <w:t>ve güveni</w:t>
            </w:r>
            <w:r w:rsidR="00046D2A" w:rsidRPr="00243C62">
              <w:rPr>
                <w:rFonts w:ascii="Garamond" w:hAnsi="Garamond"/>
                <w:sz w:val="22"/>
                <w:szCs w:val="22"/>
              </w:rPr>
              <w:t xml:space="preserve">lir </w:t>
            </w:r>
            <w:r w:rsidR="006D45D0" w:rsidRPr="00243C62">
              <w:rPr>
                <w:rFonts w:ascii="Garamond" w:hAnsi="Garamond"/>
                <w:sz w:val="22"/>
                <w:szCs w:val="22"/>
              </w:rPr>
              <w:t>bir ölçme aracı olduğunu göstermiştir.</w:t>
            </w:r>
            <w:r w:rsidR="00473C37" w:rsidRPr="00243C62">
              <w:rPr>
                <w:rFonts w:ascii="Garamond" w:hAnsi="Garamond"/>
                <w:sz w:val="22"/>
                <w:szCs w:val="22"/>
              </w:rPr>
              <w:t xml:space="preserve"> </w:t>
            </w:r>
            <w:r w:rsidR="00901419" w:rsidRPr="00243C62">
              <w:rPr>
                <w:rFonts w:ascii="Garamond" w:hAnsi="Garamond"/>
                <w:sz w:val="22"/>
                <w:szCs w:val="22"/>
              </w:rPr>
              <w:t>Araştırmanın sınırlılıkları belirtilmiş ve gelecek araştırmalar için</w:t>
            </w:r>
            <w:r w:rsidR="00046D2A" w:rsidRPr="00243C62">
              <w:rPr>
                <w:rFonts w:ascii="Garamond" w:hAnsi="Garamond"/>
                <w:sz w:val="22"/>
                <w:szCs w:val="22"/>
              </w:rPr>
              <w:t xml:space="preserve"> </w:t>
            </w:r>
            <w:r w:rsidR="00901419" w:rsidRPr="00243C62">
              <w:rPr>
                <w:rFonts w:ascii="Garamond" w:hAnsi="Garamond"/>
                <w:sz w:val="22"/>
                <w:szCs w:val="22"/>
              </w:rPr>
              <w:t>öneriler sunulmuştur.</w:t>
            </w:r>
          </w:p>
          <w:p w14:paraId="6ECE148C" w14:textId="77777777" w:rsidR="00983522" w:rsidRPr="00243C62" w:rsidRDefault="00983522" w:rsidP="00983522">
            <w:pPr>
              <w:jc w:val="both"/>
            </w:pPr>
          </w:p>
          <w:p w14:paraId="4C69FFC1" w14:textId="1DFACE79" w:rsidR="00C577C4" w:rsidRPr="00243C62" w:rsidRDefault="00C577C4" w:rsidP="00466F5B">
            <w:pPr>
              <w:pBdr>
                <w:top w:val="single" w:sz="4" w:space="1" w:color="000000"/>
              </w:pBdr>
              <w:jc w:val="both"/>
              <w:rPr>
                <w:rFonts w:ascii="Garamond" w:hAnsi="Garamond"/>
                <w:szCs w:val="21"/>
              </w:rPr>
            </w:pPr>
          </w:p>
        </w:tc>
      </w:tr>
      <w:tr w:rsidR="00C577C4" w:rsidRPr="00243C62" w14:paraId="5ECB4D0C" w14:textId="77777777" w:rsidTr="00DF5CCD">
        <w:trPr>
          <w:trHeight w:val="3866"/>
          <w:jc w:val="center"/>
        </w:trPr>
        <w:tc>
          <w:tcPr>
            <w:tcW w:w="2975" w:type="dxa"/>
            <w:tcBorders>
              <w:top w:val="single" w:sz="4" w:space="0" w:color="auto"/>
              <w:bottom w:val="nil"/>
            </w:tcBorders>
          </w:tcPr>
          <w:p w14:paraId="2F76DA89" w14:textId="77777777" w:rsidR="00DF4CEE" w:rsidRPr="00243C62" w:rsidRDefault="00EE6DB4" w:rsidP="00DF4CEE">
            <w:pPr>
              <w:keepNext/>
              <w:rPr>
                <w:rFonts w:ascii="Garamond" w:hAnsi="Garamond"/>
                <w:b/>
                <w:smallCaps/>
                <w:sz w:val="20"/>
                <w:szCs w:val="19"/>
              </w:rPr>
            </w:pPr>
            <w:r w:rsidRPr="00243C62">
              <w:rPr>
                <w:rFonts w:ascii="Garamond" w:hAnsi="Garamond"/>
                <w:b/>
                <w:sz w:val="20"/>
                <w:szCs w:val="19"/>
              </w:rPr>
              <w:t>Makale Bilgileri</w:t>
            </w:r>
          </w:p>
          <w:p w14:paraId="7DAA8F1C" w14:textId="77777777" w:rsidR="009A4D80" w:rsidRPr="00243C62" w:rsidRDefault="00EE6DB4" w:rsidP="00B025A9">
            <w:pPr>
              <w:pBdr>
                <w:top w:val="single" w:sz="4" w:space="1" w:color="000000"/>
              </w:pBdr>
              <w:shd w:val="clear" w:color="auto" w:fill="5B9BD5" w:themeFill="accent1"/>
              <w:rPr>
                <w:rFonts w:ascii="Garamond" w:hAnsi="Garamond"/>
                <w:b/>
                <w:sz w:val="20"/>
                <w:szCs w:val="19"/>
              </w:rPr>
            </w:pPr>
            <w:r w:rsidRPr="00243C62">
              <w:rPr>
                <w:rFonts w:ascii="Garamond" w:hAnsi="Garamond"/>
                <w:b/>
                <w:color w:val="FFFFFF" w:themeColor="background1"/>
                <w:sz w:val="20"/>
                <w:szCs w:val="19"/>
              </w:rPr>
              <w:t>Anahtar Kelimeler</w:t>
            </w:r>
            <w:r w:rsidR="00847298" w:rsidRPr="00243C62">
              <w:rPr>
                <w:rFonts w:ascii="Garamond" w:hAnsi="Garamond"/>
                <w:b/>
                <w:sz w:val="20"/>
                <w:szCs w:val="19"/>
              </w:rPr>
              <w:t xml:space="preserve"> </w:t>
            </w:r>
          </w:p>
          <w:p w14:paraId="1341211B" w14:textId="74A479C8" w:rsidR="00466F5B" w:rsidRPr="00243C62" w:rsidRDefault="00983522" w:rsidP="00466F5B">
            <w:pPr>
              <w:pBdr>
                <w:top w:val="single" w:sz="4" w:space="1" w:color="000000"/>
              </w:pBdr>
              <w:rPr>
                <w:rFonts w:ascii="Garamond" w:hAnsi="Garamond"/>
                <w:sz w:val="20"/>
                <w:szCs w:val="19"/>
              </w:rPr>
            </w:pPr>
            <w:r w:rsidRPr="00243C62">
              <w:rPr>
                <w:rFonts w:ascii="Garamond" w:hAnsi="Garamond"/>
                <w:sz w:val="20"/>
                <w:szCs w:val="19"/>
              </w:rPr>
              <w:t>Gelecek Oryantasyonu</w:t>
            </w:r>
          </w:p>
          <w:p w14:paraId="449FCD11" w14:textId="33D18773" w:rsidR="00466F5B" w:rsidRPr="00243C62" w:rsidRDefault="00983522" w:rsidP="00466F5B">
            <w:pPr>
              <w:pBdr>
                <w:top w:val="single" w:sz="4" w:space="1" w:color="000000"/>
              </w:pBdr>
              <w:rPr>
                <w:rFonts w:ascii="Garamond" w:hAnsi="Garamond"/>
                <w:sz w:val="20"/>
                <w:szCs w:val="19"/>
              </w:rPr>
            </w:pPr>
            <w:r w:rsidRPr="00243C62">
              <w:rPr>
                <w:rFonts w:ascii="Garamond" w:hAnsi="Garamond"/>
                <w:sz w:val="20"/>
                <w:szCs w:val="19"/>
              </w:rPr>
              <w:t>Lise Öğrencileri</w:t>
            </w:r>
          </w:p>
          <w:p w14:paraId="418AF139" w14:textId="5A9F7F4F" w:rsidR="00466F5B" w:rsidRPr="00243C62" w:rsidRDefault="00983522" w:rsidP="00466F5B">
            <w:pPr>
              <w:pBdr>
                <w:top w:val="single" w:sz="4" w:space="1" w:color="000000"/>
              </w:pBdr>
              <w:rPr>
                <w:rFonts w:ascii="Garamond" w:hAnsi="Garamond"/>
                <w:sz w:val="20"/>
                <w:szCs w:val="19"/>
              </w:rPr>
            </w:pPr>
            <w:r w:rsidRPr="00243C62">
              <w:rPr>
                <w:rFonts w:ascii="Garamond" w:hAnsi="Garamond"/>
                <w:sz w:val="20"/>
                <w:szCs w:val="19"/>
              </w:rPr>
              <w:t>Ölçek Uyarlama</w:t>
            </w:r>
          </w:p>
          <w:p w14:paraId="0A54EEB4" w14:textId="77777777" w:rsidR="00BA1175" w:rsidRPr="00243C62" w:rsidRDefault="00BA1175" w:rsidP="009A4D80">
            <w:pPr>
              <w:pBdr>
                <w:top w:val="single" w:sz="4" w:space="1" w:color="000000"/>
              </w:pBdr>
              <w:rPr>
                <w:rFonts w:ascii="Garamond" w:hAnsi="Garamond"/>
                <w:sz w:val="20"/>
                <w:szCs w:val="19"/>
              </w:rPr>
            </w:pPr>
          </w:p>
          <w:p w14:paraId="77561E71" w14:textId="77777777" w:rsidR="00847298" w:rsidRPr="00243C62" w:rsidRDefault="00EE6DB4" w:rsidP="00B025A9">
            <w:pPr>
              <w:pBdr>
                <w:top w:val="single" w:sz="4" w:space="1" w:color="000000"/>
              </w:pBdr>
              <w:shd w:val="clear" w:color="auto" w:fill="5B9BD5" w:themeFill="accent1"/>
              <w:rPr>
                <w:rFonts w:ascii="Garamond" w:hAnsi="Garamond"/>
                <w:b/>
                <w:color w:val="FFFFFF" w:themeColor="background1"/>
                <w:sz w:val="20"/>
                <w:szCs w:val="19"/>
              </w:rPr>
            </w:pPr>
            <w:r w:rsidRPr="00243C62">
              <w:rPr>
                <w:rFonts w:ascii="Garamond" w:hAnsi="Garamond"/>
                <w:b/>
                <w:color w:val="FFFFFF" w:themeColor="background1"/>
                <w:sz w:val="20"/>
                <w:szCs w:val="19"/>
              </w:rPr>
              <w:t>Keywords</w:t>
            </w:r>
          </w:p>
          <w:p w14:paraId="3DDAD7F3" w14:textId="3A037BEA" w:rsidR="00847298" w:rsidRPr="00243C62" w:rsidRDefault="00983522" w:rsidP="00847298">
            <w:pPr>
              <w:pBdr>
                <w:top w:val="single" w:sz="4" w:space="1" w:color="000000"/>
              </w:pBdr>
              <w:rPr>
                <w:rFonts w:ascii="Garamond" w:hAnsi="Garamond"/>
                <w:sz w:val="20"/>
                <w:szCs w:val="19"/>
              </w:rPr>
            </w:pPr>
            <w:r w:rsidRPr="00243C62">
              <w:rPr>
                <w:rFonts w:ascii="Garamond" w:hAnsi="Garamond"/>
                <w:sz w:val="20"/>
                <w:szCs w:val="19"/>
              </w:rPr>
              <w:t>Future Orientation</w:t>
            </w:r>
          </w:p>
          <w:p w14:paraId="0F9B6BB5" w14:textId="57FD1243" w:rsidR="00847298" w:rsidRPr="00243C62" w:rsidRDefault="00983522" w:rsidP="00847298">
            <w:pPr>
              <w:pBdr>
                <w:top w:val="single" w:sz="4" w:space="1" w:color="000000"/>
              </w:pBdr>
              <w:rPr>
                <w:rFonts w:ascii="Garamond" w:hAnsi="Garamond"/>
                <w:sz w:val="20"/>
                <w:szCs w:val="19"/>
              </w:rPr>
            </w:pPr>
            <w:r w:rsidRPr="00243C62">
              <w:rPr>
                <w:rFonts w:ascii="Garamond" w:hAnsi="Garamond"/>
                <w:sz w:val="20"/>
                <w:szCs w:val="19"/>
              </w:rPr>
              <w:t>High School Students</w:t>
            </w:r>
          </w:p>
          <w:p w14:paraId="587FBDD8" w14:textId="650198BF" w:rsidR="00847298" w:rsidRPr="00243C62" w:rsidRDefault="00983522" w:rsidP="00847298">
            <w:pPr>
              <w:pBdr>
                <w:top w:val="single" w:sz="4" w:space="1" w:color="000000"/>
              </w:pBdr>
              <w:rPr>
                <w:rFonts w:ascii="Garamond" w:hAnsi="Garamond"/>
                <w:sz w:val="20"/>
                <w:szCs w:val="19"/>
              </w:rPr>
            </w:pPr>
            <w:r w:rsidRPr="00243C62">
              <w:rPr>
                <w:rFonts w:ascii="Garamond" w:hAnsi="Garamond"/>
                <w:sz w:val="20"/>
                <w:szCs w:val="19"/>
              </w:rPr>
              <w:t>Scale Adaptation</w:t>
            </w:r>
          </w:p>
          <w:p w14:paraId="37A2DF10" w14:textId="77777777" w:rsidR="00BA1175" w:rsidRPr="00243C62" w:rsidRDefault="00BA1175" w:rsidP="00847298">
            <w:pPr>
              <w:pBdr>
                <w:top w:val="single" w:sz="4" w:space="1" w:color="000000"/>
              </w:pBdr>
              <w:rPr>
                <w:rFonts w:ascii="Garamond" w:hAnsi="Garamond"/>
                <w:sz w:val="20"/>
                <w:szCs w:val="19"/>
              </w:rPr>
            </w:pPr>
          </w:p>
          <w:p w14:paraId="7E54293F" w14:textId="77777777" w:rsidR="009A4D80" w:rsidRPr="00243C62" w:rsidRDefault="00466F5B" w:rsidP="00B025A9">
            <w:pPr>
              <w:pBdr>
                <w:top w:val="single" w:sz="4" w:space="1" w:color="000000"/>
              </w:pBdr>
              <w:shd w:val="clear" w:color="auto" w:fill="5B9BD5" w:themeFill="accent1"/>
              <w:rPr>
                <w:rFonts w:ascii="Garamond" w:hAnsi="Garamond"/>
                <w:b/>
                <w:color w:val="FFFFFF" w:themeColor="background1"/>
                <w:sz w:val="20"/>
                <w:szCs w:val="19"/>
              </w:rPr>
            </w:pPr>
            <w:r w:rsidRPr="00243C62">
              <w:rPr>
                <w:rFonts w:ascii="Garamond" w:hAnsi="Garamond"/>
                <w:b/>
                <w:color w:val="FFFFFF" w:themeColor="background1"/>
                <w:sz w:val="20"/>
                <w:szCs w:val="19"/>
              </w:rPr>
              <w:t>Makale Geçmişi</w:t>
            </w:r>
          </w:p>
          <w:p w14:paraId="7DBF5E2E" w14:textId="078214F0" w:rsidR="009A4D80" w:rsidRPr="00243C62" w:rsidRDefault="00690202" w:rsidP="009A4D80">
            <w:pPr>
              <w:pBdr>
                <w:top w:val="single" w:sz="4" w:space="1" w:color="000000"/>
              </w:pBdr>
              <w:rPr>
                <w:rFonts w:ascii="Garamond" w:hAnsi="Garamond"/>
                <w:sz w:val="20"/>
                <w:szCs w:val="19"/>
              </w:rPr>
            </w:pPr>
            <w:r w:rsidRPr="00243C62">
              <w:rPr>
                <w:rFonts w:ascii="Garamond" w:hAnsi="Garamond"/>
                <w:b/>
                <w:sz w:val="20"/>
                <w:szCs w:val="19"/>
              </w:rPr>
              <w:t>Geliş</w:t>
            </w:r>
            <w:r w:rsidR="009A4D80" w:rsidRPr="00243C62">
              <w:rPr>
                <w:rFonts w:ascii="Garamond" w:hAnsi="Garamond"/>
                <w:sz w:val="20"/>
                <w:szCs w:val="19"/>
              </w:rPr>
              <w:t xml:space="preserve">: </w:t>
            </w:r>
            <w:r w:rsidR="007C51D1">
              <w:rPr>
                <w:rFonts w:ascii="Garamond" w:hAnsi="Garamond"/>
                <w:sz w:val="20"/>
                <w:szCs w:val="19"/>
              </w:rPr>
              <w:t>27</w:t>
            </w:r>
            <w:r w:rsidR="009A4D80" w:rsidRPr="00243C62">
              <w:rPr>
                <w:rFonts w:ascii="Garamond" w:hAnsi="Garamond"/>
                <w:sz w:val="20"/>
                <w:szCs w:val="19"/>
              </w:rPr>
              <w:t>/</w:t>
            </w:r>
            <w:r w:rsidR="007C51D1">
              <w:rPr>
                <w:rFonts w:ascii="Garamond" w:hAnsi="Garamond"/>
                <w:sz w:val="20"/>
                <w:szCs w:val="19"/>
              </w:rPr>
              <w:t>11</w:t>
            </w:r>
            <w:r w:rsidR="009A4D80" w:rsidRPr="00243C62">
              <w:rPr>
                <w:rFonts w:ascii="Garamond" w:hAnsi="Garamond"/>
                <w:sz w:val="20"/>
                <w:szCs w:val="19"/>
              </w:rPr>
              <w:t>/</w:t>
            </w:r>
            <w:r w:rsidR="007C51D1">
              <w:rPr>
                <w:rFonts w:ascii="Garamond" w:hAnsi="Garamond"/>
                <w:sz w:val="20"/>
                <w:szCs w:val="19"/>
              </w:rPr>
              <w:t>2023</w:t>
            </w:r>
          </w:p>
          <w:p w14:paraId="318CF423" w14:textId="7218FC7B" w:rsidR="009A4D80" w:rsidRPr="00243C62" w:rsidRDefault="00690202" w:rsidP="009A4D80">
            <w:pPr>
              <w:pBdr>
                <w:top w:val="single" w:sz="4" w:space="1" w:color="000000"/>
              </w:pBdr>
              <w:rPr>
                <w:rFonts w:ascii="Garamond" w:hAnsi="Garamond"/>
                <w:sz w:val="20"/>
                <w:szCs w:val="19"/>
              </w:rPr>
            </w:pPr>
            <w:r w:rsidRPr="00243C62">
              <w:rPr>
                <w:rFonts w:ascii="Garamond" w:hAnsi="Garamond"/>
                <w:b/>
                <w:sz w:val="20"/>
                <w:szCs w:val="19"/>
              </w:rPr>
              <w:t>Düzeltme</w:t>
            </w:r>
            <w:r w:rsidR="009A4D80" w:rsidRPr="00243C62">
              <w:rPr>
                <w:rFonts w:ascii="Garamond" w:hAnsi="Garamond"/>
                <w:sz w:val="20"/>
                <w:szCs w:val="19"/>
              </w:rPr>
              <w:t xml:space="preserve">: </w:t>
            </w:r>
            <w:r w:rsidR="007C51D1">
              <w:rPr>
                <w:rFonts w:ascii="Garamond" w:hAnsi="Garamond"/>
                <w:sz w:val="20"/>
                <w:szCs w:val="19"/>
              </w:rPr>
              <w:t>23</w:t>
            </w:r>
            <w:r w:rsidR="009A4D80" w:rsidRPr="00243C62">
              <w:rPr>
                <w:rFonts w:ascii="Garamond" w:hAnsi="Garamond"/>
                <w:sz w:val="20"/>
                <w:szCs w:val="19"/>
              </w:rPr>
              <w:t>/</w:t>
            </w:r>
            <w:r w:rsidR="007C51D1">
              <w:rPr>
                <w:rFonts w:ascii="Garamond" w:hAnsi="Garamond"/>
                <w:sz w:val="20"/>
                <w:szCs w:val="19"/>
              </w:rPr>
              <w:t>12</w:t>
            </w:r>
            <w:r w:rsidR="009A4D80" w:rsidRPr="00243C62">
              <w:rPr>
                <w:rFonts w:ascii="Garamond" w:hAnsi="Garamond"/>
                <w:sz w:val="20"/>
                <w:szCs w:val="19"/>
              </w:rPr>
              <w:t>/</w:t>
            </w:r>
            <w:r w:rsidR="007C51D1">
              <w:rPr>
                <w:rFonts w:ascii="Garamond" w:hAnsi="Garamond"/>
                <w:sz w:val="20"/>
                <w:szCs w:val="19"/>
              </w:rPr>
              <w:t>2023</w:t>
            </w:r>
          </w:p>
          <w:p w14:paraId="077EAC13" w14:textId="14D19FBC" w:rsidR="009A4D80" w:rsidRPr="00243C62" w:rsidRDefault="00690202" w:rsidP="009A4D80">
            <w:pPr>
              <w:pBdr>
                <w:top w:val="single" w:sz="4" w:space="1" w:color="000000"/>
              </w:pBdr>
              <w:rPr>
                <w:rFonts w:ascii="Garamond" w:hAnsi="Garamond"/>
                <w:sz w:val="20"/>
                <w:szCs w:val="19"/>
              </w:rPr>
            </w:pPr>
            <w:r w:rsidRPr="00243C62">
              <w:rPr>
                <w:rFonts w:ascii="Garamond" w:hAnsi="Garamond"/>
                <w:b/>
                <w:sz w:val="20"/>
                <w:szCs w:val="19"/>
              </w:rPr>
              <w:t>Kabul</w:t>
            </w:r>
            <w:r w:rsidR="009A4D80" w:rsidRPr="00243C62">
              <w:rPr>
                <w:rFonts w:ascii="Garamond" w:hAnsi="Garamond"/>
                <w:sz w:val="20"/>
                <w:szCs w:val="19"/>
              </w:rPr>
              <w:t xml:space="preserve">: </w:t>
            </w:r>
            <w:r w:rsidR="007C51D1">
              <w:rPr>
                <w:rFonts w:ascii="Garamond" w:hAnsi="Garamond"/>
                <w:sz w:val="20"/>
                <w:szCs w:val="19"/>
              </w:rPr>
              <w:t>26</w:t>
            </w:r>
            <w:r w:rsidR="009A4D80" w:rsidRPr="00243C62">
              <w:rPr>
                <w:rFonts w:ascii="Garamond" w:hAnsi="Garamond"/>
                <w:sz w:val="20"/>
                <w:szCs w:val="19"/>
              </w:rPr>
              <w:t>/</w:t>
            </w:r>
            <w:r w:rsidR="007C51D1">
              <w:rPr>
                <w:rFonts w:ascii="Garamond" w:hAnsi="Garamond"/>
                <w:sz w:val="20"/>
                <w:szCs w:val="19"/>
              </w:rPr>
              <w:t>12</w:t>
            </w:r>
            <w:r w:rsidR="009A4D80" w:rsidRPr="00243C62">
              <w:rPr>
                <w:rFonts w:ascii="Garamond" w:hAnsi="Garamond"/>
                <w:sz w:val="20"/>
                <w:szCs w:val="19"/>
              </w:rPr>
              <w:t>/</w:t>
            </w:r>
            <w:r w:rsidR="007C51D1">
              <w:rPr>
                <w:rFonts w:ascii="Garamond" w:hAnsi="Garamond"/>
                <w:sz w:val="20"/>
                <w:szCs w:val="19"/>
              </w:rPr>
              <w:t>2023</w:t>
            </w:r>
          </w:p>
          <w:p w14:paraId="219C01B6" w14:textId="77777777" w:rsidR="00C577C4" w:rsidRPr="00243C62" w:rsidRDefault="00C577C4" w:rsidP="00C577C4">
            <w:pPr>
              <w:pBdr>
                <w:top w:val="single" w:sz="4" w:space="1" w:color="000000"/>
              </w:pBdr>
              <w:rPr>
                <w:rFonts w:ascii="Garamond" w:hAnsi="Garamond"/>
                <w:sz w:val="19"/>
                <w:szCs w:val="19"/>
              </w:rPr>
            </w:pPr>
          </w:p>
        </w:tc>
        <w:tc>
          <w:tcPr>
            <w:tcW w:w="7657" w:type="dxa"/>
            <w:tcBorders>
              <w:top w:val="single" w:sz="4" w:space="0" w:color="auto"/>
              <w:bottom w:val="nil"/>
            </w:tcBorders>
          </w:tcPr>
          <w:p w14:paraId="78FA6E6B" w14:textId="77777777" w:rsidR="00C577C4" w:rsidRPr="00243C62" w:rsidRDefault="00466F5B" w:rsidP="00C577C4">
            <w:pPr>
              <w:keepNext/>
              <w:rPr>
                <w:rFonts w:ascii="Garamond" w:hAnsi="Garamond"/>
                <w:b/>
                <w:smallCaps/>
                <w:sz w:val="22"/>
                <w:szCs w:val="22"/>
              </w:rPr>
            </w:pPr>
            <w:r w:rsidRPr="00243C62">
              <w:rPr>
                <w:rFonts w:ascii="Garamond" w:hAnsi="Garamond"/>
                <w:b/>
                <w:smallCaps/>
                <w:sz w:val="22"/>
                <w:szCs w:val="22"/>
              </w:rPr>
              <w:t>ABSTRACT</w:t>
            </w:r>
          </w:p>
          <w:p w14:paraId="33304B73" w14:textId="690A41E4" w:rsidR="00F45127" w:rsidRPr="00243C62" w:rsidRDefault="00901419" w:rsidP="00554B4E">
            <w:pPr>
              <w:pBdr>
                <w:top w:val="single" w:sz="4" w:space="1" w:color="000000"/>
              </w:pBdr>
              <w:jc w:val="both"/>
              <w:rPr>
                <w:rFonts w:ascii="Garamond" w:hAnsi="Garamond"/>
                <w:sz w:val="22"/>
                <w:szCs w:val="22"/>
              </w:rPr>
            </w:pPr>
            <w:r w:rsidRPr="00243C62">
              <w:rPr>
                <w:rFonts w:ascii="Garamond" w:hAnsi="Garamond"/>
                <w:sz w:val="22"/>
                <w:szCs w:val="22"/>
              </w:rPr>
              <w:t>The main purpose of this research is to adapt the Future Orientation Scale (FO</w:t>
            </w:r>
            <w:r w:rsidR="009E6092" w:rsidRPr="00243C62">
              <w:rPr>
                <w:rFonts w:ascii="Garamond" w:hAnsi="Garamond"/>
                <w:sz w:val="22"/>
                <w:szCs w:val="22"/>
              </w:rPr>
              <w:t>S</w:t>
            </w:r>
            <w:r w:rsidRPr="00243C62">
              <w:rPr>
                <w:rFonts w:ascii="Garamond" w:hAnsi="Garamond"/>
                <w:sz w:val="22"/>
                <w:szCs w:val="22"/>
              </w:rPr>
              <w:t xml:space="preserve">) to high school students in Turkey. The study group consists of 253 high school students, 151 female and 102 male students. Confirmatory </w:t>
            </w:r>
            <w:r w:rsidR="00931EC5" w:rsidRPr="00243C62">
              <w:rPr>
                <w:rFonts w:ascii="Garamond" w:hAnsi="Garamond"/>
                <w:sz w:val="22"/>
                <w:szCs w:val="22"/>
              </w:rPr>
              <w:t>F</w:t>
            </w:r>
            <w:r w:rsidRPr="00243C62">
              <w:rPr>
                <w:rFonts w:ascii="Garamond" w:hAnsi="Garamond"/>
                <w:sz w:val="22"/>
                <w:szCs w:val="22"/>
              </w:rPr>
              <w:t>actor analysis (CFA) was applied to the data to examine the construct validity of the Turkish FOS. The results of CFA confirmed that the T</w:t>
            </w:r>
            <w:r w:rsidR="00046D2A" w:rsidRPr="00243C62">
              <w:rPr>
                <w:rFonts w:ascii="Garamond" w:hAnsi="Garamond"/>
                <w:sz w:val="22"/>
                <w:szCs w:val="22"/>
              </w:rPr>
              <w:t>u</w:t>
            </w:r>
            <w:r w:rsidRPr="00243C62">
              <w:rPr>
                <w:rFonts w:ascii="Garamond" w:hAnsi="Garamond"/>
                <w:sz w:val="22"/>
                <w:szCs w:val="22"/>
              </w:rPr>
              <w:t xml:space="preserve">rkish FOS consists of a single factor, like the original scale. To determine the criterion-related validity of the Turkish scale, the relationships between the mean scores of the </w:t>
            </w:r>
            <w:r w:rsidR="00554B4E" w:rsidRPr="00243C62">
              <w:rPr>
                <w:rFonts w:ascii="Garamond" w:hAnsi="Garamond"/>
                <w:sz w:val="22"/>
                <w:szCs w:val="22"/>
              </w:rPr>
              <w:t>FOS</w:t>
            </w:r>
            <w:r w:rsidRPr="00243C62">
              <w:rPr>
                <w:rFonts w:ascii="Garamond" w:hAnsi="Garamond"/>
                <w:sz w:val="22"/>
                <w:szCs w:val="22"/>
              </w:rPr>
              <w:t xml:space="preserve"> and the mean scores of the </w:t>
            </w:r>
            <w:r w:rsidR="00046D2A" w:rsidRPr="00243C62">
              <w:rPr>
                <w:rFonts w:ascii="Garamond" w:hAnsi="Garamond"/>
                <w:color w:val="000000" w:themeColor="text1"/>
                <w:sz w:val="22"/>
                <w:szCs w:val="22"/>
              </w:rPr>
              <w:t xml:space="preserve">Dispositional Hope </w:t>
            </w:r>
            <w:r w:rsidRPr="00243C62">
              <w:rPr>
                <w:rFonts w:ascii="Garamond" w:hAnsi="Garamond"/>
                <w:color w:val="000000" w:themeColor="text1"/>
                <w:sz w:val="22"/>
                <w:szCs w:val="22"/>
              </w:rPr>
              <w:t xml:space="preserve">Scale and the </w:t>
            </w:r>
            <w:r w:rsidR="00046D2A" w:rsidRPr="00243C62">
              <w:rPr>
                <w:rFonts w:ascii="Garamond" w:hAnsi="Garamond"/>
                <w:color w:val="000000" w:themeColor="text1"/>
                <w:sz w:val="22"/>
                <w:szCs w:val="22"/>
              </w:rPr>
              <w:t xml:space="preserve">Attitudes Towards the Future Scale </w:t>
            </w:r>
            <w:r w:rsidRPr="00243C62">
              <w:rPr>
                <w:rFonts w:ascii="Garamond" w:hAnsi="Garamond"/>
                <w:sz w:val="22"/>
                <w:szCs w:val="22"/>
              </w:rPr>
              <w:t>were examined.</w:t>
            </w:r>
            <w:r w:rsidR="00993F23" w:rsidRPr="00243C62">
              <w:rPr>
                <w:rFonts w:ascii="Garamond" w:hAnsi="Garamond"/>
                <w:sz w:val="22"/>
                <w:szCs w:val="22"/>
              </w:rPr>
              <w:t xml:space="preserve"> The findings of the study reveal</w:t>
            </w:r>
            <w:r w:rsidR="00223EB2" w:rsidRPr="00243C62">
              <w:rPr>
                <w:rFonts w:ascii="Garamond" w:hAnsi="Garamond"/>
                <w:sz w:val="22"/>
                <w:szCs w:val="22"/>
              </w:rPr>
              <w:t xml:space="preserve"> that there are significant positive correlation between the FOS and </w:t>
            </w:r>
            <w:r w:rsidR="00223EB2" w:rsidRPr="00243C62">
              <w:rPr>
                <w:rFonts w:ascii="Garamond" w:hAnsi="Garamond"/>
                <w:color w:val="000000" w:themeColor="text1"/>
                <w:sz w:val="22"/>
                <w:szCs w:val="22"/>
              </w:rPr>
              <w:t>Attitudes Towards the Future Scale and Dispositional Hope Scale.</w:t>
            </w:r>
            <w:r w:rsidR="00CA683E" w:rsidRPr="00243C62">
              <w:rPr>
                <w:rFonts w:ascii="Garamond" w:hAnsi="Garamond"/>
                <w:color w:val="000000" w:themeColor="text1"/>
                <w:sz w:val="22"/>
                <w:szCs w:val="22"/>
              </w:rPr>
              <w:t xml:space="preserve"> </w:t>
            </w:r>
            <w:r w:rsidRPr="00243C62">
              <w:rPr>
                <w:rFonts w:ascii="Garamond" w:hAnsi="Garamond"/>
                <w:sz w:val="22"/>
                <w:szCs w:val="22"/>
              </w:rPr>
              <w:t>The findings indicated evidence for the criterion-related validity of the T</w:t>
            </w:r>
            <w:r w:rsidR="00046D2A" w:rsidRPr="00243C62">
              <w:rPr>
                <w:rFonts w:ascii="Garamond" w:hAnsi="Garamond"/>
                <w:sz w:val="22"/>
                <w:szCs w:val="22"/>
              </w:rPr>
              <w:t>u</w:t>
            </w:r>
            <w:r w:rsidRPr="00243C62">
              <w:rPr>
                <w:rFonts w:ascii="Garamond" w:hAnsi="Garamond"/>
                <w:sz w:val="22"/>
                <w:szCs w:val="22"/>
              </w:rPr>
              <w:t>rkish FOS. The internal consistency coefficient for the reliability of the scale was found to be</w:t>
            </w:r>
            <w:r w:rsidR="00046D2A" w:rsidRPr="00243C62">
              <w:rPr>
                <w:rFonts w:ascii="Garamond" w:hAnsi="Garamond"/>
                <w:sz w:val="22"/>
                <w:szCs w:val="22"/>
              </w:rPr>
              <w:t xml:space="preserve"> </w:t>
            </w:r>
            <w:r w:rsidRPr="00243C62">
              <w:rPr>
                <w:rFonts w:ascii="Garamond" w:hAnsi="Garamond"/>
                <w:sz w:val="22"/>
                <w:szCs w:val="22"/>
              </w:rPr>
              <w:t>.8</w:t>
            </w:r>
            <w:r w:rsidR="00F504C1" w:rsidRPr="00243C62">
              <w:rPr>
                <w:rFonts w:ascii="Garamond" w:hAnsi="Garamond"/>
                <w:sz w:val="22"/>
                <w:szCs w:val="22"/>
              </w:rPr>
              <w:t>3</w:t>
            </w:r>
            <w:r w:rsidRPr="00243C62">
              <w:rPr>
                <w:rFonts w:ascii="Garamond" w:hAnsi="Garamond"/>
                <w:sz w:val="22"/>
                <w:szCs w:val="22"/>
              </w:rPr>
              <w:t xml:space="preserve"> The findings of this research have indicated</w:t>
            </w:r>
            <w:r w:rsidR="00473C37" w:rsidRPr="00243C62">
              <w:rPr>
                <w:rFonts w:ascii="Garamond" w:hAnsi="Garamond"/>
                <w:sz w:val="22"/>
                <w:szCs w:val="22"/>
              </w:rPr>
              <w:t xml:space="preserve"> future</w:t>
            </w:r>
            <w:r w:rsidR="00CA683E" w:rsidRPr="00243C62">
              <w:rPr>
                <w:rFonts w:ascii="Garamond" w:hAnsi="Garamond"/>
                <w:sz w:val="22"/>
                <w:szCs w:val="22"/>
              </w:rPr>
              <w:t xml:space="preserve"> </w:t>
            </w:r>
            <w:r w:rsidRPr="00243C62">
              <w:rPr>
                <w:rFonts w:ascii="Garamond" w:hAnsi="Garamond"/>
                <w:sz w:val="22"/>
                <w:szCs w:val="22"/>
              </w:rPr>
              <w:t>orientation of high school students in Turkey. The limitations of the research are stated and suggestions for future research</w:t>
            </w:r>
            <w:r w:rsidR="00473C37" w:rsidRPr="00243C62">
              <w:rPr>
                <w:rFonts w:ascii="Garamond" w:hAnsi="Garamond"/>
                <w:sz w:val="22"/>
                <w:szCs w:val="22"/>
              </w:rPr>
              <w:t xml:space="preserve"> </w:t>
            </w:r>
            <w:r w:rsidRPr="00243C62">
              <w:rPr>
                <w:rFonts w:ascii="Garamond" w:hAnsi="Garamond"/>
                <w:sz w:val="22"/>
                <w:szCs w:val="22"/>
              </w:rPr>
              <w:t>are presented.</w:t>
            </w:r>
          </w:p>
        </w:tc>
      </w:tr>
      <w:tr w:rsidR="00943248" w:rsidRPr="00243C62" w14:paraId="170CDBF9" w14:textId="77777777" w:rsidTr="002065CD">
        <w:trPr>
          <w:trHeight w:val="100"/>
          <w:jc w:val="center"/>
        </w:trPr>
        <w:tc>
          <w:tcPr>
            <w:tcW w:w="10632" w:type="dxa"/>
            <w:gridSpan w:val="2"/>
            <w:tcBorders>
              <w:top w:val="nil"/>
              <w:left w:val="nil"/>
              <w:bottom w:val="nil"/>
              <w:right w:val="nil"/>
            </w:tcBorders>
            <w:shd w:val="clear" w:color="auto" w:fill="BDD6EE" w:themeFill="accent1" w:themeFillTint="66"/>
          </w:tcPr>
          <w:p w14:paraId="23EA3AED" w14:textId="0B73775C" w:rsidR="00692798" w:rsidRDefault="00690202" w:rsidP="00692798">
            <w:r w:rsidRPr="00243C62">
              <w:rPr>
                <w:rFonts w:ascii="Garamond" w:hAnsi="Garamond"/>
                <w:b/>
                <w:sz w:val="20"/>
                <w:szCs w:val="19"/>
              </w:rPr>
              <w:t>Atıf için</w:t>
            </w:r>
            <w:r w:rsidR="00943248" w:rsidRPr="00243C62">
              <w:rPr>
                <w:rFonts w:ascii="Garamond" w:hAnsi="Garamond"/>
                <w:b/>
                <w:sz w:val="20"/>
                <w:szCs w:val="19"/>
              </w:rPr>
              <w:t xml:space="preserve">: </w:t>
            </w:r>
            <w:r w:rsidR="00552407" w:rsidRPr="00DF5CCD">
              <w:rPr>
                <w:rFonts w:ascii="Garamond" w:hAnsi="Garamond"/>
                <w:bCs/>
                <w:sz w:val="20"/>
                <w:szCs w:val="20"/>
              </w:rPr>
              <w:t>Bulut</w:t>
            </w:r>
            <w:r w:rsidR="007C51D1">
              <w:rPr>
                <w:rFonts w:ascii="Garamond" w:hAnsi="Garamond"/>
                <w:bCs/>
                <w:sz w:val="20"/>
                <w:szCs w:val="20"/>
              </w:rPr>
              <w:t xml:space="preserve">, </w:t>
            </w:r>
            <w:r w:rsidR="00552407" w:rsidRPr="00DF5CCD">
              <w:rPr>
                <w:rFonts w:ascii="Garamond" w:hAnsi="Garamond"/>
                <w:bCs/>
                <w:sz w:val="20"/>
                <w:szCs w:val="20"/>
              </w:rPr>
              <w:t xml:space="preserve">B., ve Bacanlı, F. (2023). Gelecek Oryantasyonu Ölçeği’nin Türk Lise Öğrencilerine Uyarlanması. </w:t>
            </w:r>
            <w:r w:rsidR="00552407" w:rsidRPr="00DF5CCD">
              <w:rPr>
                <w:rFonts w:ascii="Garamond" w:hAnsi="Garamond"/>
                <w:bCs/>
                <w:i/>
                <w:iCs/>
                <w:sz w:val="20"/>
                <w:szCs w:val="20"/>
              </w:rPr>
              <w:t>Kariyer Psikolojik Danışmanlığı Dergisi, 6</w:t>
            </w:r>
            <w:r w:rsidR="00552407" w:rsidRPr="00DF5CCD">
              <w:rPr>
                <w:rFonts w:ascii="Garamond" w:hAnsi="Garamond"/>
                <w:bCs/>
                <w:sz w:val="20"/>
                <w:szCs w:val="20"/>
              </w:rPr>
              <w:t xml:space="preserve">(2), 101-113. </w:t>
            </w:r>
            <w:r w:rsidR="000C64E7">
              <w:rPr>
                <w:rFonts w:ascii="Garamond" w:hAnsi="Garamond"/>
                <w:bCs/>
                <w:sz w:val="20"/>
                <w:szCs w:val="20"/>
              </w:rPr>
              <w:t>https:</w:t>
            </w:r>
            <w:r w:rsidR="00633A22">
              <w:rPr>
                <w:rFonts w:ascii="Garamond" w:hAnsi="Garamond"/>
                <w:bCs/>
                <w:sz w:val="20"/>
                <w:szCs w:val="20"/>
              </w:rPr>
              <w:t>//</w:t>
            </w:r>
            <w:r w:rsidR="000C64E7">
              <w:rPr>
                <w:rFonts w:ascii="Garamond" w:hAnsi="Garamond"/>
                <w:bCs/>
                <w:sz w:val="20"/>
                <w:szCs w:val="20"/>
              </w:rPr>
              <w:t>doi.org/10.58501/kpdd.1396645</w:t>
            </w:r>
            <w:r w:rsidR="00B24C9C">
              <w:rPr>
                <w:rFonts w:ascii="Garamond" w:hAnsi="Garamond"/>
                <w:bCs/>
                <w:sz w:val="20"/>
                <w:szCs w:val="20"/>
              </w:rPr>
              <w:t>.</w:t>
            </w:r>
          </w:p>
          <w:p w14:paraId="3857B022" w14:textId="6BE36A77" w:rsidR="00943248" w:rsidRPr="00243C62" w:rsidRDefault="00943248" w:rsidP="003E6B60">
            <w:pPr>
              <w:spacing w:after="60"/>
              <w:jc w:val="both"/>
              <w:rPr>
                <w:rFonts w:ascii="Garamond" w:hAnsi="Garamond"/>
                <w:sz w:val="20"/>
                <w:szCs w:val="19"/>
              </w:rPr>
            </w:pPr>
          </w:p>
        </w:tc>
      </w:tr>
    </w:tbl>
    <w:tbl>
      <w:tblPr>
        <w:tblStyle w:val="TabloKlavuzu"/>
        <w:tblpPr w:leftFromText="141" w:rightFromText="141" w:vertAnchor="text" w:horzAnchor="margin" w:tblpXSpec="center" w:tblpY="205"/>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351"/>
      </w:tblGrid>
      <w:tr w:rsidR="0052004A" w:rsidRPr="00243C62" w14:paraId="68AAFD6B" w14:textId="77777777" w:rsidTr="00ED52D8">
        <w:trPr>
          <w:trHeight w:val="267"/>
        </w:trPr>
        <w:tc>
          <w:tcPr>
            <w:tcW w:w="10351" w:type="dxa"/>
            <w:shd w:val="clear" w:color="auto" w:fill="C00000"/>
          </w:tcPr>
          <w:p w14:paraId="635FAE34" w14:textId="54C81373" w:rsidR="0052004A" w:rsidRPr="00243C62" w:rsidRDefault="003E6B60" w:rsidP="003E6B60">
            <w:pPr>
              <w:spacing w:after="60"/>
              <w:jc w:val="both"/>
              <w:rPr>
                <w:rFonts w:ascii="Garamond" w:hAnsi="Garamond"/>
                <w:sz w:val="20"/>
                <w:szCs w:val="19"/>
              </w:rPr>
            </w:pPr>
            <w:r w:rsidRPr="00243C62">
              <w:rPr>
                <w:rFonts w:ascii="Garamond" w:hAnsi="Garamond"/>
                <w:b/>
                <w:sz w:val="20"/>
                <w:szCs w:val="19"/>
              </w:rPr>
              <w:t>Etik Bildirim</w:t>
            </w:r>
            <w:r w:rsidR="0052004A" w:rsidRPr="00243C62">
              <w:rPr>
                <w:rFonts w:ascii="Garamond" w:hAnsi="Garamond"/>
                <w:b/>
                <w:sz w:val="20"/>
                <w:szCs w:val="19"/>
              </w:rPr>
              <w:t xml:space="preserve">: </w:t>
            </w:r>
            <w:r w:rsidR="009E6092" w:rsidRPr="00243C62">
              <w:rPr>
                <w:rFonts w:ascii="Garamond" w:hAnsi="Garamond"/>
                <w:bCs/>
                <w:sz w:val="20"/>
                <w:szCs w:val="19"/>
              </w:rPr>
              <w:t>Bu araştırma</w:t>
            </w:r>
            <w:r w:rsidR="00DF5CCD">
              <w:rPr>
                <w:rFonts w:ascii="Garamond" w:hAnsi="Garamond"/>
                <w:bCs/>
                <w:sz w:val="20"/>
                <w:szCs w:val="19"/>
              </w:rPr>
              <w:t xml:space="preserve"> Gazi </w:t>
            </w:r>
            <w:r w:rsidR="009E6092" w:rsidRPr="00243C62">
              <w:rPr>
                <w:rFonts w:ascii="Garamond" w:hAnsi="Garamond"/>
                <w:bCs/>
                <w:sz w:val="20"/>
                <w:szCs w:val="19"/>
              </w:rPr>
              <w:t>Etik Komisyonu’nun 4 Kasım 2021 tarih E.205953 sayılı onayı ile y</w:t>
            </w:r>
            <w:r w:rsidR="00704B37">
              <w:rPr>
                <w:rFonts w:ascii="Garamond" w:hAnsi="Garamond"/>
                <w:bCs/>
                <w:sz w:val="20"/>
                <w:szCs w:val="19"/>
              </w:rPr>
              <w:t xml:space="preserve">ürütülmüştür. </w:t>
            </w:r>
          </w:p>
        </w:tc>
      </w:tr>
    </w:tbl>
    <w:p w14:paraId="02C8EDBB" w14:textId="77777777" w:rsidR="0052004A" w:rsidRPr="00243C62" w:rsidRDefault="0052004A">
      <w:pPr>
        <w:rPr>
          <w:rFonts w:ascii="Garamond" w:hAnsi="Garamond"/>
        </w:rPr>
      </w:pPr>
    </w:p>
    <w:p w14:paraId="7154DC13" w14:textId="77777777" w:rsidR="008F6919" w:rsidRPr="00243C62" w:rsidRDefault="00F45127" w:rsidP="0052004A">
      <w:pPr>
        <w:jc w:val="center"/>
        <w:rPr>
          <w:rFonts w:ascii="Garamond" w:hAnsi="Garamond"/>
          <w:b/>
          <w:szCs w:val="26"/>
        </w:rPr>
      </w:pPr>
      <w:r w:rsidRPr="00243C62">
        <w:rPr>
          <w:rFonts w:ascii="Garamond" w:hAnsi="Garamond"/>
        </w:rPr>
        <w:br w:type="page"/>
      </w:r>
      <w:r w:rsidR="000B3E5F" w:rsidRPr="00243C62">
        <w:rPr>
          <w:rFonts w:ascii="Garamond" w:hAnsi="Garamond"/>
          <w:b/>
          <w:szCs w:val="26"/>
        </w:rPr>
        <w:lastRenderedPageBreak/>
        <w:t>GİRİŞ</w:t>
      </w:r>
    </w:p>
    <w:p w14:paraId="0281305E" w14:textId="0232D3E6" w:rsidR="00463EF6" w:rsidRPr="00243C62" w:rsidRDefault="00983522" w:rsidP="00704B37">
      <w:pPr>
        <w:spacing w:line="276" w:lineRule="auto"/>
        <w:jc w:val="both"/>
        <w:rPr>
          <w:rFonts w:ascii="Garamond" w:hAnsi="Garamond"/>
        </w:rPr>
      </w:pPr>
      <w:r w:rsidRPr="00243C62">
        <w:rPr>
          <w:rFonts w:ascii="Garamond" w:hAnsi="Garamond"/>
        </w:rPr>
        <w:t>Gelecek oryantasyonu</w:t>
      </w:r>
      <w:r w:rsidR="00473C37" w:rsidRPr="00243C62">
        <w:rPr>
          <w:rFonts w:ascii="Garamond" w:hAnsi="Garamond"/>
        </w:rPr>
        <w:t>,</w:t>
      </w:r>
      <w:r w:rsidRPr="00243C62">
        <w:rPr>
          <w:rFonts w:ascii="Garamond" w:hAnsi="Garamond"/>
        </w:rPr>
        <w:t xml:space="preserve"> geleceğe ilişkin imgelerin bilinçli olarak temsil edilmesi ve kendi kendine yeniden yapılandırılması olarak tanımlanmaktadır (Seginer, 2009). </w:t>
      </w:r>
      <w:r w:rsidR="00463EF6" w:rsidRPr="00243C62">
        <w:rPr>
          <w:rFonts w:ascii="Garamond" w:hAnsi="Garamond"/>
        </w:rPr>
        <w:t>Z</w:t>
      </w:r>
      <w:r w:rsidRPr="00243C62">
        <w:rPr>
          <w:rFonts w:ascii="Garamond" w:hAnsi="Garamond"/>
        </w:rPr>
        <w:t>aman algısı kişinin sahip olduğu en önemli özelliklerden bir</w:t>
      </w:r>
      <w:r w:rsidR="00473C37" w:rsidRPr="00243C62">
        <w:rPr>
          <w:rFonts w:ascii="Garamond" w:hAnsi="Garamond"/>
        </w:rPr>
        <w:t>isidir.</w:t>
      </w:r>
      <w:r w:rsidR="00046D2A" w:rsidRPr="00243C62">
        <w:rPr>
          <w:rFonts w:ascii="Garamond" w:hAnsi="Garamond"/>
        </w:rPr>
        <w:t xml:space="preserve"> </w:t>
      </w:r>
      <w:r w:rsidRPr="00243C62">
        <w:rPr>
          <w:rFonts w:ascii="Garamond" w:hAnsi="Garamond"/>
        </w:rPr>
        <w:t xml:space="preserve">İnsanlar </w:t>
      </w:r>
      <w:r w:rsidR="00473C37" w:rsidRPr="00243C62">
        <w:rPr>
          <w:rFonts w:ascii="Garamond" w:hAnsi="Garamond"/>
        </w:rPr>
        <w:t xml:space="preserve">yaşarken </w:t>
      </w:r>
      <w:r w:rsidRPr="00243C62">
        <w:rPr>
          <w:rFonts w:ascii="Garamond" w:hAnsi="Garamond"/>
        </w:rPr>
        <w:t>edindikleri deneyimleri geçmiş, şimdi ve geleceğe atıfta bulunarak düzenlemekte ve anlamlandırmaktadır</w:t>
      </w:r>
      <w:r w:rsidR="00473C37" w:rsidRPr="00243C62">
        <w:rPr>
          <w:rFonts w:ascii="Garamond" w:hAnsi="Garamond"/>
        </w:rPr>
        <w:t>lar</w:t>
      </w:r>
      <w:r w:rsidRPr="00243C62">
        <w:rPr>
          <w:rFonts w:ascii="Garamond" w:hAnsi="Garamond"/>
        </w:rPr>
        <w:t xml:space="preserve"> (Bluedorn, 2002; Zimbardo, 1994).  Psikoloji, sosyoloji, eğitim</w:t>
      </w:r>
      <w:r w:rsidR="00473C37" w:rsidRPr="00243C62">
        <w:rPr>
          <w:rFonts w:ascii="Garamond" w:hAnsi="Garamond"/>
        </w:rPr>
        <w:t>,</w:t>
      </w:r>
      <w:r w:rsidRPr="00243C62">
        <w:rPr>
          <w:rFonts w:ascii="Garamond" w:hAnsi="Garamond"/>
        </w:rPr>
        <w:t xml:space="preserve"> tıp </w:t>
      </w:r>
      <w:r w:rsidR="00473C37" w:rsidRPr="00243C62">
        <w:rPr>
          <w:rFonts w:ascii="Garamond" w:hAnsi="Garamond"/>
        </w:rPr>
        <w:t>ve benzerleri çeşitli</w:t>
      </w:r>
      <w:r w:rsidRPr="00243C62">
        <w:rPr>
          <w:rFonts w:ascii="Garamond" w:hAnsi="Garamond"/>
        </w:rPr>
        <w:t xml:space="preserve"> farklı </w:t>
      </w:r>
      <w:r w:rsidR="00473C37" w:rsidRPr="00243C62">
        <w:rPr>
          <w:rFonts w:ascii="Garamond" w:hAnsi="Garamond"/>
        </w:rPr>
        <w:t>disiplinlerde</w:t>
      </w:r>
      <w:r w:rsidRPr="00243C62">
        <w:rPr>
          <w:rFonts w:ascii="Garamond" w:hAnsi="Garamond"/>
        </w:rPr>
        <w:t xml:space="preserve"> </w:t>
      </w:r>
      <w:r w:rsidR="00463EF6" w:rsidRPr="00243C62">
        <w:rPr>
          <w:rFonts w:ascii="Garamond" w:hAnsi="Garamond"/>
        </w:rPr>
        <w:t>g</w:t>
      </w:r>
      <w:r w:rsidRPr="00243C62">
        <w:rPr>
          <w:rFonts w:ascii="Garamond" w:hAnsi="Garamond"/>
        </w:rPr>
        <w:t xml:space="preserve">elecek </w:t>
      </w:r>
      <w:r w:rsidR="00463EF6" w:rsidRPr="00243C62">
        <w:rPr>
          <w:rFonts w:ascii="Garamond" w:hAnsi="Garamond"/>
        </w:rPr>
        <w:t>o</w:t>
      </w:r>
      <w:r w:rsidRPr="00243C62">
        <w:rPr>
          <w:rFonts w:ascii="Garamond" w:hAnsi="Garamond"/>
        </w:rPr>
        <w:t>ryantasyonu kavramına yer verildiği görülmekte</w:t>
      </w:r>
      <w:r w:rsidR="00691DC1" w:rsidRPr="00243C62">
        <w:rPr>
          <w:rFonts w:ascii="Garamond" w:hAnsi="Garamond"/>
        </w:rPr>
        <w:t>dir ve bu disiplinlerde gelecek oryantasyonu</w:t>
      </w:r>
      <w:r w:rsidRPr="00243C62">
        <w:rPr>
          <w:rFonts w:ascii="Garamond" w:hAnsi="Garamond"/>
        </w:rPr>
        <w:t xml:space="preserve"> kişinin şimdiki zamandaki</w:t>
      </w:r>
      <w:r w:rsidR="00463EF6" w:rsidRPr="00243C62">
        <w:rPr>
          <w:rFonts w:ascii="Garamond" w:hAnsi="Garamond"/>
        </w:rPr>
        <w:t xml:space="preserve"> </w:t>
      </w:r>
      <w:r w:rsidRPr="00243C62">
        <w:rPr>
          <w:rFonts w:ascii="Garamond" w:hAnsi="Garamond"/>
        </w:rPr>
        <w:t>eylemlerinin gelecekteki sonuçları üzerine düşünmesi olarak tanımlan</w:t>
      </w:r>
      <w:r w:rsidR="00691DC1" w:rsidRPr="00243C62">
        <w:rPr>
          <w:rFonts w:ascii="Garamond" w:hAnsi="Garamond"/>
        </w:rPr>
        <w:t>maktadır.</w:t>
      </w:r>
      <w:r w:rsidR="00327448" w:rsidRPr="00243C62">
        <w:rPr>
          <w:rFonts w:ascii="Garamond" w:hAnsi="Garamond"/>
        </w:rPr>
        <w:t xml:space="preserve"> </w:t>
      </w:r>
      <w:r w:rsidRPr="00243C62">
        <w:rPr>
          <w:rFonts w:ascii="Garamond" w:hAnsi="Garamond"/>
        </w:rPr>
        <w:t>İnsanların çeşitli yaşam alanlarında</w:t>
      </w:r>
      <w:r w:rsidR="00327448" w:rsidRPr="00243C62">
        <w:rPr>
          <w:rFonts w:ascii="Garamond" w:hAnsi="Garamond"/>
        </w:rPr>
        <w:t xml:space="preserve"> </w:t>
      </w:r>
      <w:r w:rsidRPr="00243C62">
        <w:rPr>
          <w:rFonts w:ascii="Garamond" w:hAnsi="Garamond"/>
        </w:rPr>
        <w:t xml:space="preserve">ve farklı </w:t>
      </w:r>
      <w:r w:rsidR="00691DC1" w:rsidRPr="00243C62">
        <w:rPr>
          <w:rFonts w:ascii="Garamond" w:hAnsi="Garamond"/>
        </w:rPr>
        <w:t>kültürlerde,</w:t>
      </w:r>
      <w:r w:rsidRPr="00243C62">
        <w:rPr>
          <w:rFonts w:ascii="Garamond" w:hAnsi="Garamond"/>
        </w:rPr>
        <w:t xml:space="preserve"> gelecek hakkında düşünme eğilimlerinin geleceğe yönelik tutumlarıyla ilgili olduğu bilinmektedir (Peetz</w:t>
      </w:r>
      <w:r w:rsidR="00950B3C" w:rsidRPr="00243C62">
        <w:rPr>
          <w:rFonts w:ascii="Garamond" w:hAnsi="Garamond"/>
        </w:rPr>
        <w:t xml:space="preserve"> &amp; </w:t>
      </w:r>
      <w:r w:rsidRPr="00243C62">
        <w:rPr>
          <w:rFonts w:ascii="Garamond" w:hAnsi="Garamond"/>
        </w:rPr>
        <w:t xml:space="preserve">Wohl, 2019). Gelecek </w:t>
      </w:r>
      <w:r w:rsidR="00463EF6" w:rsidRPr="00243C62">
        <w:rPr>
          <w:rFonts w:ascii="Garamond" w:hAnsi="Garamond"/>
        </w:rPr>
        <w:t>o</w:t>
      </w:r>
      <w:r w:rsidRPr="00243C62">
        <w:rPr>
          <w:rFonts w:ascii="Garamond" w:hAnsi="Garamond"/>
        </w:rPr>
        <w:t>ryantasyonu</w:t>
      </w:r>
      <w:r w:rsidR="00691DC1" w:rsidRPr="00243C62">
        <w:rPr>
          <w:rFonts w:ascii="Garamond" w:hAnsi="Garamond"/>
        </w:rPr>
        <w:t xml:space="preserve">, </w:t>
      </w:r>
      <w:r w:rsidRPr="00243C62">
        <w:rPr>
          <w:rFonts w:ascii="Garamond" w:hAnsi="Garamond"/>
        </w:rPr>
        <w:t>sadece bilişsel yeteneklerin bireysel gelişimi ile ilişkili değildir aynı zamanda benliğin gelecekteki tem</w:t>
      </w:r>
      <w:r w:rsidR="00691DC1" w:rsidRPr="00243C62">
        <w:rPr>
          <w:rFonts w:ascii="Garamond" w:hAnsi="Garamond"/>
        </w:rPr>
        <w:t>silcilerinden</w:t>
      </w:r>
      <w:r w:rsidRPr="00243C62">
        <w:rPr>
          <w:rFonts w:ascii="Garamond" w:hAnsi="Garamond"/>
        </w:rPr>
        <w:t xml:space="preserve"> </w:t>
      </w:r>
      <w:r w:rsidR="00691DC1" w:rsidRPr="00243C62">
        <w:rPr>
          <w:rFonts w:ascii="Garamond" w:hAnsi="Garamond"/>
        </w:rPr>
        <w:t>birisi</w:t>
      </w:r>
      <w:r w:rsidRPr="00243C62">
        <w:rPr>
          <w:rFonts w:ascii="Garamond" w:hAnsi="Garamond"/>
        </w:rPr>
        <w:t xml:space="preserve"> olan motivasyon ile yakın ilişkilidir (</w:t>
      </w:r>
      <w:r w:rsidR="00C86992" w:rsidRPr="00243C62">
        <w:rPr>
          <w:rFonts w:ascii="Garamond" w:hAnsi="Garamond"/>
        </w:rPr>
        <w:t>Fusco</w:t>
      </w:r>
      <w:r w:rsidR="00774CBD" w:rsidRPr="00243C62">
        <w:rPr>
          <w:rFonts w:ascii="Garamond" w:hAnsi="Garamond"/>
        </w:rPr>
        <w:t xml:space="preserve"> vd.,</w:t>
      </w:r>
      <w:r w:rsidR="00C86992" w:rsidRPr="00243C62">
        <w:rPr>
          <w:rFonts w:ascii="Garamond" w:hAnsi="Garamond"/>
        </w:rPr>
        <w:t xml:space="preserve"> 2019</w:t>
      </w:r>
      <w:r w:rsidRPr="00243C62">
        <w:rPr>
          <w:rFonts w:ascii="Garamond" w:hAnsi="Garamond"/>
        </w:rPr>
        <w:t>).</w:t>
      </w:r>
      <w:r w:rsidR="00931EC5" w:rsidRPr="00243C62">
        <w:rPr>
          <w:rFonts w:ascii="Garamond" w:hAnsi="Garamond"/>
        </w:rPr>
        <w:t xml:space="preserve"> </w:t>
      </w:r>
      <w:r w:rsidRPr="00243C62">
        <w:rPr>
          <w:rFonts w:ascii="Garamond" w:hAnsi="Garamond"/>
        </w:rPr>
        <w:t>Gelecek zaman algısı</w:t>
      </w:r>
      <w:r w:rsidR="00691DC1" w:rsidRPr="00243C62">
        <w:rPr>
          <w:rFonts w:ascii="Garamond" w:hAnsi="Garamond"/>
        </w:rPr>
        <w:t>,</w:t>
      </w:r>
      <w:r w:rsidRPr="00243C62">
        <w:rPr>
          <w:rFonts w:ascii="Garamond" w:hAnsi="Garamond"/>
        </w:rPr>
        <w:t xml:space="preserve"> kişinin davranışlarını düzenlemekte, hedefler ve beklentiler oluşturmakta</w:t>
      </w:r>
      <w:r w:rsidR="00691DC1" w:rsidRPr="00243C62">
        <w:rPr>
          <w:rFonts w:ascii="Garamond" w:hAnsi="Garamond"/>
        </w:rPr>
        <w:t>dır.</w:t>
      </w:r>
      <w:r w:rsidR="00327448" w:rsidRPr="00243C62">
        <w:rPr>
          <w:rFonts w:ascii="Garamond" w:hAnsi="Garamond"/>
        </w:rPr>
        <w:t xml:space="preserve"> </w:t>
      </w:r>
      <w:r w:rsidR="00691DC1" w:rsidRPr="00243C62">
        <w:rPr>
          <w:rFonts w:ascii="Garamond" w:hAnsi="Garamond"/>
        </w:rPr>
        <w:t>B</w:t>
      </w:r>
      <w:r w:rsidRPr="00243C62">
        <w:rPr>
          <w:rFonts w:ascii="Garamond" w:hAnsi="Garamond"/>
        </w:rPr>
        <w:t>ununla birlikte</w:t>
      </w:r>
      <w:r w:rsidR="00691DC1" w:rsidRPr="00243C62">
        <w:rPr>
          <w:rFonts w:ascii="Garamond" w:hAnsi="Garamond"/>
        </w:rPr>
        <w:t>, gelecek oryantasyonu</w:t>
      </w:r>
      <w:r w:rsidRPr="00243C62">
        <w:rPr>
          <w:rFonts w:ascii="Garamond" w:hAnsi="Garamond"/>
        </w:rPr>
        <w:t xml:space="preserve"> kişinin farklı yaşam görevlerine ilişkin performansını etkileyerek hedeflerine ulaşıp ulaşamadığına ilişkin bir değerlendirme ortaya koymaktadır (Husman ve Shell, 2008). </w:t>
      </w:r>
    </w:p>
    <w:p w14:paraId="42B30912" w14:textId="6FFE0A8D" w:rsidR="00463EF6" w:rsidRPr="00243C62" w:rsidRDefault="00983522" w:rsidP="00704B37">
      <w:pPr>
        <w:tabs>
          <w:tab w:val="left" w:pos="8080"/>
        </w:tabs>
        <w:spacing w:line="276" w:lineRule="auto"/>
        <w:jc w:val="both"/>
        <w:rPr>
          <w:rFonts w:ascii="Garamond" w:hAnsi="Garamond"/>
        </w:rPr>
      </w:pPr>
      <w:r w:rsidRPr="00243C62">
        <w:rPr>
          <w:rFonts w:ascii="Garamond" w:hAnsi="Garamond"/>
        </w:rPr>
        <w:t>Geleceği planlama yeteneğinin insan yaşamın</w:t>
      </w:r>
      <w:r w:rsidR="00327448" w:rsidRPr="00243C62">
        <w:rPr>
          <w:rFonts w:ascii="Garamond" w:hAnsi="Garamond"/>
        </w:rPr>
        <w:t xml:space="preserve">da </w:t>
      </w:r>
      <w:r w:rsidRPr="00243C62">
        <w:rPr>
          <w:rFonts w:ascii="Garamond" w:hAnsi="Garamond"/>
        </w:rPr>
        <w:t xml:space="preserve">çok erken </w:t>
      </w:r>
      <w:r w:rsidR="00327448" w:rsidRPr="00243C62">
        <w:rPr>
          <w:rFonts w:ascii="Garamond" w:hAnsi="Garamond"/>
        </w:rPr>
        <w:t>yaşlarda</w:t>
      </w:r>
      <w:r w:rsidRPr="00243C62">
        <w:rPr>
          <w:rFonts w:ascii="Garamond" w:hAnsi="Garamond"/>
        </w:rPr>
        <w:t xml:space="preserve"> başladığı ve ergenlik dönemine gelindiği zaman ivme kazandığı bilinmektedir. İnsan yaşamı</w:t>
      </w:r>
      <w:r w:rsidR="00327448" w:rsidRPr="00243C62">
        <w:rPr>
          <w:rFonts w:ascii="Garamond" w:hAnsi="Garamond"/>
        </w:rPr>
        <w:t xml:space="preserve">nda </w:t>
      </w:r>
      <w:r w:rsidRPr="00243C62">
        <w:rPr>
          <w:rFonts w:ascii="Garamond" w:hAnsi="Garamond"/>
        </w:rPr>
        <w:t>gelecek algısının ‘yarın’ kavramının</w:t>
      </w:r>
      <w:r w:rsidR="00463EF6" w:rsidRPr="00243C62">
        <w:rPr>
          <w:rFonts w:ascii="Garamond" w:hAnsi="Garamond"/>
        </w:rPr>
        <w:t xml:space="preserve"> fark edilmesiyle </w:t>
      </w:r>
      <w:r w:rsidRPr="00243C62">
        <w:rPr>
          <w:rFonts w:ascii="Garamond" w:hAnsi="Garamond"/>
        </w:rPr>
        <w:t>birlikte 3 yaştan itibaren başladığı; 4-5 yaş aralığındaki bireylerin</w:t>
      </w:r>
      <w:r w:rsidR="00463EF6" w:rsidRPr="00243C62">
        <w:rPr>
          <w:rFonts w:ascii="Garamond" w:hAnsi="Garamond"/>
        </w:rPr>
        <w:t xml:space="preserve"> ise </w:t>
      </w:r>
      <w:r w:rsidRPr="00243C62">
        <w:rPr>
          <w:rFonts w:ascii="Garamond" w:hAnsi="Garamond"/>
        </w:rPr>
        <w:t xml:space="preserve">sahip oldukları benlik ve gelecekteki benlikleri </w:t>
      </w:r>
      <w:r w:rsidR="00327448" w:rsidRPr="00243C62">
        <w:rPr>
          <w:rFonts w:ascii="Garamond" w:hAnsi="Garamond"/>
        </w:rPr>
        <w:t xml:space="preserve">karşılaştırıldıgında ise, </w:t>
      </w:r>
      <w:r w:rsidRPr="00243C62">
        <w:rPr>
          <w:rFonts w:ascii="Garamond" w:hAnsi="Garamond"/>
        </w:rPr>
        <w:t>inançları, istekleri ve bilgilerinin farklılık gösterdiği bilinmektedir (Atance</w:t>
      </w:r>
      <w:r w:rsidR="00950B3C" w:rsidRPr="00243C62">
        <w:rPr>
          <w:rFonts w:ascii="Garamond" w:hAnsi="Garamond"/>
        </w:rPr>
        <w:t xml:space="preserve"> &amp; </w:t>
      </w:r>
      <w:r w:rsidRPr="00243C62">
        <w:rPr>
          <w:rFonts w:ascii="Garamond" w:hAnsi="Garamond"/>
        </w:rPr>
        <w:t xml:space="preserve">Methzhoff, 2005). </w:t>
      </w:r>
      <w:r w:rsidR="00327448" w:rsidRPr="00243C62">
        <w:rPr>
          <w:rFonts w:ascii="Garamond" w:hAnsi="Garamond"/>
        </w:rPr>
        <w:t>Gelecek algısı, bu</w:t>
      </w:r>
      <w:r w:rsidRPr="00243C62">
        <w:rPr>
          <w:rFonts w:ascii="Garamond" w:hAnsi="Garamond"/>
        </w:rPr>
        <w:t xml:space="preserve"> perspektiften ele alındığı zaman ergenlik dönemindeki bireyin yetişkinliğe geçiş aşamasında olduğu ve gelecek hakkında düşünüp plan yapmaya başladığı bilinmektedir (Super, 1980). Bu nedenle kişinin ergenlik döneminde akademik, sosyal ve kariyer yaşamına dair yaptığı planlama gelecekte sahip olacağı kaynakları etkilemektedir. Geleceği tasavvur etme yeteneği doğumdan itibaren başlayıp ergenlik döneminde hızlı bir şekilde artış gösterdiği için, özellikle ergenlik dönemindeki gelişim sonuçlarıyla ilgilidir (Johnson</w:t>
      </w:r>
      <w:r w:rsidR="004F0D5B" w:rsidRPr="00243C62">
        <w:rPr>
          <w:rFonts w:ascii="Garamond" w:hAnsi="Garamond"/>
        </w:rPr>
        <w:t xml:space="preserve"> vd., </w:t>
      </w:r>
      <w:r w:rsidRPr="00243C62">
        <w:rPr>
          <w:rFonts w:ascii="Garamond" w:hAnsi="Garamond"/>
        </w:rPr>
        <w:t xml:space="preserve">2014).  Ergenlik dönemindeki birey gelecekte sahip </w:t>
      </w:r>
      <w:r w:rsidR="007E4736" w:rsidRPr="00243C62">
        <w:rPr>
          <w:rFonts w:ascii="Garamond" w:hAnsi="Garamond"/>
        </w:rPr>
        <w:t>olacağı</w:t>
      </w:r>
      <w:r w:rsidRPr="00243C62">
        <w:rPr>
          <w:rFonts w:ascii="Garamond" w:hAnsi="Garamond"/>
        </w:rPr>
        <w:t xml:space="preserve"> eğitim fırsatlarını, kariyere yönelik hedeflerin</w:t>
      </w:r>
      <w:r w:rsidR="007E4736" w:rsidRPr="00243C62">
        <w:rPr>
          <w:rFonts w:ascii="Garamond" w:hAnsi="Garamond"/>
        </w:rPr>
        <w:t xml:space="preserve">i, sahip olduğu ailesinin </w:t>
      </w:r>
      <w:r w:rsidRPr="00243C62">
        <w:rPr>
          <w:rFonts w:ascii="Garamond" w:hAnsi="Garamond"/>
        </w:rPr>
        <w:t xml:space="preserve">geleceğe </w:t>
      </w:r>
      <w:r w:rsidR="007E4736" w:rsidRPr="00243C62">
        <w:rPr>
          <w:rFonts w:ascii="Garamond" w:hAnsi="Garamond"/>
        </w:rPr>
        <w:t>ilişkin hedeflerinin</w:t>
      </w:r>
      <w:r w:rsidR="00E63B17" w:rsidRPr="00243C62">
        <w:rPr>
          <w:rFonts w:ascii="Garamond" w:hAnsi="Garamond"/>
        </w:rPr>
        <w:t xml:space="preserve"> </w:t>
      </w:r>
      <w:r w:rsidRPr="00243C62">
        <w:rPr>
          <w:rFonts w:ascii="Garamond" w:hAnsi="Garamond"/>
        </w:rPr>
        <w:t>etkisi hakkında düşünmektedir. Bu nedenle</w:t>
      </w:r>
      <w:r w:rsidR="007E4736" w:rsidRPr="00243C62">
        <w:rPr>
          <w:rFonts w:ascii="Garamond" w:hAnsi="Garamond"/>
        </w:rPr>
        <w:t>,</w:t>
      </w:r>
      <w:r w:rsidRPr="00243C62">
        <w:rPr>
          <w:rFonts w:ascii="Garamond" w:hAnsi="Garamond"/>
        </w:rPr>
        <w:t xml:space="preserve"> </w:t>
      </w:r>
      <w:r w:rsidR="00463EF6" w:rsidRPr="00243C62">
        <w:rPr>
          <w:rFonts w:ascii="Garamond" w:hAnsi="Garamond"/>
        </w:rPr>
        <w:t>g</w:t>
      </w:r>
      <w:r w:rsidRPr="00243C62">
        <w:rPr>
          <w:rFonts w:ascii="Garamond" w:hAnsi="Garamond"/>
        </w:rPr>
        <w:t xml:space="preserve">elecek </w:t>
      </w:r>
      <w:r w:rsidR="00463EF6" w:rsidRPr="00243C62">
        <w:rPr>
          <w:rFonts w:ascii="Garamond" w:hAnsi="Garamond"/>
        </w:rPr>
        <w:t>o</w:t>
      </w:r>
      <w:r w:rsidRPr="00243C62">
        <w:rPr>
          <w:rFonts w:ascii="Garamond" w:hAnsi="Garamond"/>
        </w:rPr>
        <w:t xml:space="preserve">ryantasyonu özellikle ülkemizdeki genç nüfus için önemini artarak koruyan bir kavram olarak karşımıza çıkmaktadır. Geleceğe </w:t>
      </w:r>
      <w:r w:rsidR="00C238ED" w:rsidRPr="00243C62">
        <w:rPr>
          <w:rFonts w:ascii="Garamond" w:hAnsi="Garamond"/>
        </w:rPr>
        <w:t xml:space="preserve">oryantasyonu </w:t>
      </w:r>
      <w:r w:rsidRPr="00243C62">
        <w:rPr>
          <w:rFonts w:ascii="Garamond" w:hAnsi="Garamond"/>
        </w:rPr>
        <w:t>pozitif yönde olan ergenlerin</w:t>
      </w:r>
      <w:r w:rsidR="00626C9E" w:rsidRPr="00243C62">
        <w:rPr>
          <w:rFonts w:ascii="Garamond" w:hAnsi="Garamond"/>
        </w:rPr>
        <w:t>,</w:t>
      </w:r>
      <w:r w:rsidRPr="00243C62">
        <w:rPr>
          <w:rFonts w:ascii="Garamond" w:hAnsi="Garamond"/>
        </w:rPr>
        <w:t xml:space="preserve"> kendilerine anlık keyif yaratabilecek</w:t>
      </w:r>
      <w:r w:rsidR="007E4736" w:rsidRPr="00243C62">
        <w:rPr>
          <w:rFonts w:ascii="Garamond" w:hAnsi="Garamond"/>
        </w:rPr>
        <w:t xml:space="preserve"> </w:t>
      </w:r>
      <w:r w:rsidRPr="00243C62">
        <w:rPr>
          <w:rFonts w:ascii="Garamond" w:hAnsi="Garamond"/>
        </w:rPr>
        <w:t>durumlardan ve geçmişteki olumsuz deneyimlerinden etkilenme olasılıklarının daha düşük olduğu bilinmektedir (Zimbardo</w:t>
      </w:r>
      <w:r w:rsidR="00950B3C" w:rsidRPr="00243C62">
        <w:rPr>
          <w:rFonts w:ascii="Garamond" w:hAnsi="Garamond"/>
        </w:rPr>
        <w:t xml:space="preserve"> &amp; </w:t>
      </w:r>
      <w:r w:rsidRPr="00243C62">
        <w:rPr>
          <w:rFonts w:ascii="Garamond" w:hAnsi="Garamond"/>
        </w:rPr>
        <w:t>Boyd, 1999). Coulter vd. (202</w:t>
      </w:r>
      <w:r w:rsidR="00353B56" w:rsidRPr="00243C62">
        <w:rPr>
          <w:rFonts w:ascii="Garamond" w:hAnsi="Garamond"/>
        </w:rPr>
        <w:t>3</w:t>
      </w:r>
      <w:r w:rsidRPr="00243C62">
        <w:rPr>
          <w:rFonts w:ascii="Garamond" w:hAnsi="Garamond"/>
        </w:rPr>
        <w:t xml:space="preserve">) ise </w:t>
      </w:r>
      <w:r w:rsidR="00463EF6" w:rsidRPr="00243C62">
        <w:rPr>
          <w:rFonts w:ascii="Garamond" w:hAnsi="Garamond"/>
        </w:rPr>
        <w:t>g</w:t>
      </w:r>
      <w:r w:rsidRPr="00243C62">
        <w:rPr>
          <w:rFonts w:ascii="Garamond" w:hAnsi="Garamond"/>
        </w:rPr>
        <w:t xml:space="preserve">elecek </w:t>
      </w:r>
      <w:r w:rsidR="00463EF6" w:rsidRPr="00243C62">
        <w:rPr>
          <w:rFonts w:ascii="Garamond" w:hAnsi="Garamond"/>
        </w:rPr>
        <w:t>o</w:t>
      </w:r>
      <w:r w:rsidRPr="00243C62">
        <w:rPr>
          <w:rFonts w:ascii="Garamond" w:hAnsi="Garamond"/>
        </w:rPr>
        <w:t>ryantasyonu</w:t>
      </w:r>
      <w:r w:rsidR="00463EF6" w:rsidRPr="00243C62">
        <w:rPr>
          <w:rFonts w:ascii="Garamond" w:hAnsi="Garamond"/>
        </w:rPr>
        <w:t>nun</w:t>
      </w:r>
      <w:r w:rsidRPr="00243C62">
        <w:rPr>
          <w:rFonts w:ascii="Garamond" w:hAnsi="Garamond"/>
        </w:rPr>
        <w:t xml:space="preserve"> bireyin temel gelişim görevlerinden </w:t>
      </w:r>
      <w:r w:rsidR="00626C9E" w:rsidRPr="00243C62">
        <w:rPr>
          <w:rFonts w:ascii="Garamond" w:hAnsi="Garamond"/>
        </w:rPr>
        <w:t>birisi</w:t>
      </w:r>
      <w:r w:rsidRPr="00243C62">
        <w:rPr>
          <w:rFonts w:ascii="Garamond" w:hAnsi="Garamond"/>
        </w:rPr>
        <w:t xml:space="preserve"> olduğuna dikkat çekmekte</w:t>
      </w:r>
      <w:r w:rsidR="00626C9E" w:rsidRPr="00243C62">
        <w:rPr>
          <w:rFonts w:ascii="Garamond" w:hAnsi="Garamond"/>
        </w:rPr>
        <w:t>dir</w:t>
      </w:r>
      <w:r w:rsidR="00E63B17" w:rsidRPr="00243C62">
        <w:rPr>
          <w:rFonts w:ascii="Garamond" w:hAnsi="Garamond"/>
        </w:rPr>
        <w:t xml:space="preserve">. </w:t>
      </w:r>
      <w:r w:rsidR="00626C9E" w:rsidRPr="00243C62">
        <w:rPr>
          <w:rFonts w:ascii="Garamond" w:hAnsi="Garamond"/>
        </w:rPr>
        <w:t>B</w:t>
      </w:r>
      <w:r w:rsidRPr="00243C62">
        <w:rPr>
          <w:rFonts w:ascii="Garamond" w:hAnsi="Garamond"/>
        </w:rPr>
        <w:t>ununla birlikte</w:t>
      </w:r>
      <w:r w:rsidR="00626C9E" w:rsidRPr="00243C62">
        <w:rPr>
          <w:rFonts w:ascii="Garamond" w:hAnsi="Garamond"/>
        </w:rPr>
        <w:t>,</w:t>
      </w:r>
      <w:r w:rsidRPr="00243C62">
        <w:rPr>
          <w:rFonts w:ascii="Garamond" w:hAnsi="Garamond"/>
        </w:rPr>
        <w:t xml:space="preserve"> </w:t>
      </w:r>
      <w:r w:rsidR="00463EF6" w:rsidRPr="00243C62">
        <w:rPr>
          <w:rFonts w:ascii="Garamond" w:hAnsi="Garamond"/>
        </w:rPr>
        <w:t>g</w:t>
      </w:r>
      <w:r w:rsidRPr="00243C62">
        <w:rPr>
          <w:rFonts w:ascii="Garamond" w:hAnsi="Garamond"/>
        </w:rPr>
        <w:t>elecek</w:t>
      </w:r>
      <w:r w:rsidR="00E63B17" w:rsidRPr="00243C62">
        <w:rPr>
          <w:rFonts w:ascii="Garamond" w:hAnsi="Garamond"/>
        </w:rPr>
        <w:t xml:space="preserve"> </w:t>
      </w:r>
      <w:r w:rsidR="00626C9E" w:rsidRPr="00243C62">
        <w:rPr>
          <w:rFonts w:ascii="Garamond" w:hAnsi="Garamond"/>
        </w:rPr>
        <w:t>oryantasyonu</w:t>
      </w:r>
      <w:r w:rsidR="00E63B17" w:rsidRPr="00243C62">
        <w:rPr>
          <w:rFonts w:ascii="Garamond" w:hAnsi="Garamond"/>
        </w:rPr>
        <w:t xml:space="preserve"> </w:t>
      </w:r>
      <w:r w:rsidRPr="00243C62">
        <w:rPr>
          <w:rFonts w:ascii="Garamond" w:hAnsi="Garamond"/>
        </w:rPr>
        <w:t>pozitif yönde olan gençlerin daha iyi uyum gösterdiklerine işaret etmektedir. Imbellone ve Laghi (2016) ise</w:t>
      </w:r>
      <w:r w:rsidR="00626C9E" w:rsidRPr="00243C62">
        <w:rPr>
          <w:rFonts w:ascii="Garamond" w:hAnsi="Garamond"/>
        </w:rPr>
        <w:t>,</w:t>
      </w:r>
      <w:r w:rsidRPr="00243C62">
        <w:rPr>
          <w:rFonts w:ascii="Garamond" w:hAnsi="Garamond"/>
        </w:rPr>
        <w:t xml:space="preserve"> </w:t>
      </w:r>
      <w:r w:rsidR="00463EF6" w:rsidRPr="00243C62">
        <w:rPr>
          <w:rFonts w:ascii="Garamond" w:hAnsi="Garamond"/>
        </w:rPr>
        <w:t xml:space="preserve">gelecek oryantasyonu </w:t>
      </w:r>
      <w:r w:rsidRPr="00243C62">
        <w:rPr>
          <w:rFonts w:ascii="Garamond" w:hAnsi="Garamond"/>
        </w:rPr>
        <w:t>yüksek olan ergenlerin karşılacakları farklı fırsat ve engeller üzerine önceden düşündüklerini</w:t>
      </w:r>
      <w:r w:rsidR="00626C9E" w:rsidRPr="00243C62">
        <w:rPr>
          <w:rFonts w:ascii="Garamond" w:hAnsi="Garamond"/>
        </w:rPr>
        <w:t>,</w:t>
      </w:r>
      <w:r w:rsidRPr="00243C62">
        <w:rPr>
          <w:rFonts w:ascii="Garamond" w:hAnsi="Garamond"/>
        </w:rPr>
        <w:t xml:space="preserve"> bu durumun ise kariyer</w:t>
      </w:r>
      <w:r w:rsidR="00626C9E" w:rsidRPr="00243C62">
        <w:rPr>
          <w:rFonts w:ascii="Garamond" w:hAnsi="Garamond"/>
        </w:rPr>
        <w:t>e</w:t>
      </w:r>
      <w:r w:rsidRPr="00243C62">
        <w:rPr>
          <w:rFonts w:ascii="Garamond" w:hAnsi="Garamond"/>
        </w:rPr>
        <w:t xml:space="preserve"> yönelik yetkinliklerini ve kariyer uyumlarını pozitif düzeyde etkilediğini ifade etmektedir. </w:t>
      </w:r>
    </w:p>
    <w:p w14:paraId="219466D5" w14:textId="7D0F5397" w:rsidR="00983522" w:rsidRPr="00243C62" w:rsidRDefault="00983522" w:rsidP="00C26384">
      <w:pPr>
        <w:spacing w:line="276" w:lineRule="auto"/>
        <w:ind w:firstLine="567"/>
        <w:jc w:val="both"/>
        <w:rPr>
          <w:rFonts w:ascii="Garamond" w:hAnsi="Garamond"/>
        </w:rPr>
      </w:pPr>
      <w:r w:rsidRPr="00243C62">
        <w:rPr>
          <w:rFonts w:ascii="Garamond" w:hAnsi="Garamond"/>
        </w:rPr>
        <w:t>Alanyazın incelendiği</w:t>
      </w:r>
      <w:r w:rsidR="006852B1" w:rsidRPr="00243C62">
        <w:rPr>
          <w:rFonts w:ascii="Garamond" w:hAnsi="Garamond"/>
        </w:rPr>
        <w:t>nde;</w:t>
      </w:r>
      <w:r w:rsidRPr="00243C62">
        <w:rPr>
          <w:rFonts w:ascii="Garamond" w:hAnsi="Garamond"/>
        </w:rPr>
        <w:t xml:space="preserve"> </w:t>
      </w:r>
      <w:r w:rsidR="00463EF6" w:rsidRPr="00243C62">
        <w:rPr>
          <w:rFonts w:ascii="Garamond" w:hAnsi="Garamond"/>
        </w:rPr>
        <w:t xml:space="preserve">gelecek oryantasyonu </w:t>
      </w:r>
      <w:r w:rsidRPr="00243C62">
        <w:rPr>
          <w:rFonts w:ascii="Garamond" w:hAnsi="Garamond"/>
        </w:rPr>
        <w:t>kavramının</w:t>
      </w:r>
      <w:r w:rsidR="006852B1" w:rsidRPr="00243C62">
        <w:rPr>
          <w:rFonts w:ascii="Garamond" w:hAnsi="Garamond"/>
        </w:rPr>
        <w:t xml:space="preserve"> çeşitli değişkenlerle ilişkilerini inceleyen araştırmalar yapılmıştır. Gelecek oryantasyonunun </w:t>
      </w:r>
      <w:r w:rsidRPr="00243C62">
        <w:rPr>
          <w:rFonts w:ascii="Garamond" w:hAnsi="Garamond"/>
        </w:rPr>
        <w:t>akademik başarı ve akademik özyetkinlik (Lin</w:t>
      </w:r>
      <w:r w:rsidR="004F0D5B" w:rsidRPr="00243C62">
        <w:rPr>
          <w:rFonts w:ascii="Garamond" w:hAnsi="Garamond"/>
        </w:rPr>
        <w:t xml:space="preserve"> vd.</w:t>
      </w:r>
      <w:r w:rsidRPr="00243C62">
        <w:rPr>
          <w:rFonts w:ascii="Garamond" w:hAnsi="Garamond"/>
        </w:rPr>
        <w:t>,</w:t>
      </w:r>
      <w:r w:rsidR="004F0D5B" w:rsidRPr="00243C62">
        <w:rPr>
          <w:rFonts w:ascii="Garamond" w:hAnsi="Garamond"/>
        </w:rPr>
        <w:t xml:space="preserve"> 2</w:t>
      </w:r>
      <w:r w:rsidRPr="00243C62">
        <w:rPr>
          <w:rFonts w:ascii="Garamond" w:hAnsi="Garamond"/>
        </w:rPr>
        <w:t>022; Mazzetti</w:t>
      </w:r>
      <w:r w:rsidR="004F0D5B" w:rsidRPr="00243C62">
        <w:rPr>
          <w:rFonts w:ascii="Garamond" w:hAnsi="Garamond"/>
        </w:rPr>
        <w:t xml:space="preserve"> vd., </w:t>
      </w:r>
      <w:r w:rsidRPr="00243C62">
        <w:rPr>
          <w:rFonts w:ascii="Garamond" w:hAnsi="Garamond"/>
        </w:rPr>
        <w:t>2020); algılanan ebeveyn desteği (Kerpelman</w:t>
      </w:r>
      <w:r w:rsidR="004F0D5B" w:rsidRPr="00243C62">
        <w:rPr>
          <w:rFonts w:ascii="Garamond" w:hAnsi="Garamond"/>
        </w:rPr>
        <w:t xml:space="preserve"> vd., </w:t>
      </w:r>
      <w:r w:rsidRPr="00243C62">
        <w:rPr>
          <w:rFonts w:ascii="Garamond" w:hAnsi="Garamond"/>
        </w:rPr>
        <w:t>2008) kariyer uyumu ve kariyer kararı (Ginevra</w:t>
      </w:r>
      <w:r w:rsidR="00E96BAA" w:rsidRPr="00243C62">
        <w:rPr>
          <w:rFonts w:ascii="Garamond" w:hAnsi="Garamond"/>
        </w:rPr>
        <w:t xml:space="preserve"> vd., </w:t>
      </w:r>
      <w:r w:rsidRPr="00243C62">
        <w:rPr>
          <w:rFonts w:ascii="Garamond" w:hAnsi="Garamond"/>
        </w:rPr>
        <w:t>2016); ebeveyn sosyo</w:t>
      </w:r>
      <w:r w:rsidR="006852B1" w:rsidRPr="00243C62">
        <w:rPr>
          <w:rFonts w:ascii="Garamond" w:hAnsi="Garamond"/>
        </w:rPr>
        <w:t>-</w:t>
      </w:r>
      <w:r w:rsidRPr="00243C62">
        <w:rPr>
          <w:rFonts w:ascii="Garamond" w:hAnsi="Garamond"/>
        </w:rPr>
        <w:t>ekonomik düzeyi ve öğrenme sürecine katılım (Chen</w:t>
      </w:r>
      <w:r w:rsidR="00E96BAA" w:rsidRPr="00243C62">
        <w:rPr>
          <w:rFonts w:ascii="Garamond" w:hAnsi="Garamond"/>
        </w:rPr>
        <w:t xml:space="preserve"> vd., </w:t>
      </w:r>
      <w:r w:rsidRPr="00243C62">
        <w:rPr>
          <w:rFonts w:ascii="Garamond" w:hAnsi="Garamond"/>
        </w:rPr>
        <w:t>2021); okul iklimi (Lindstorm Johnson</w:t>
      </w:r>
      <w:r w:rsidR="00E96BAA" w:rsidRPr="00243C62">
        <w:rPr>
          <w:rFonts w:ascii="Garamond" w:hAnsi="Garamond"/>
        </w:rPr>
        <w:t xml:space="preserve"> vd., </w:t>
      </w:r>
      <w:r w:rsidRPr="00243C62">
        <w:rPr>
          <w:rFonts w:ascii="Garamond" w:hAnsi="Garamond"/>
        </w:rPr>
        <w:t xml:space="preserve">2016); yaşam doyumu </w:t>
      </w:r>
      <w:r w:rsidR="006852B1" w:rsidRPr="00243C62">
        <w:rPr>
          <w:rFonts w:ascii="Garamond" w:hAnsi="Garamond"/>
        </w:rPr>
        <w:t xml:space="preserve">ve </w:t>
      </w:r>
      <w:r w:rsidRPr="00243C62">
        <w:rPr>
          <w:rFonts w:ascii="Garamond" w:hAnsi="Garamond"/>
        </w:rPr>
        <w:lastRenderedPageBreak/>
        <w:t>ebeveyn özerkliğ</w:t>
      </w:r>
      <w:r w:rsidR="00463EF6" w:rsidRPr="00243C62">
        <w:rPr>
          <w:rFonts w:ascii="Garamond" w:hAnsi="Garamond"/>
        </w:rPr>
        <w:t xml:space="preserve">i </w:t>
      </w:r>
      <w:r w:rsidRPr="00243C62">
        <w:rPr>
          <w:rFonts w:ascii="Garamond" w:hAnsi="Garamond"/>
        </w:rPr>
        <w:t>(Bi</w:t>
      </w:r>
      <w:r w:rsidR="00E96BAA" w:rsidRPr="00243C62">
        <w:rPr>
          <w:rFonts w:ascii="Garamond" w:hAnsi="Garamond"/>
        </w:rPr>
        <w:t xml:space="preserve"> vd., </w:t>
      </w:r>
      <w:r w:rsidRPr="00243C62">
        <w:rPr>
          <w:rFonts w:ascii="Garamond" w:hAnsi="Garamond"/>
        </w:rPr>
        <w:t xml:space="preserve">2022); </w:t>
      </w:r>
      <w:r w:rsidR="006852B1" w:rsidRPr="00243C62">
        <w:rPr>
          <w:rFonts w:ascii="Garamond" w:hAnsi="Garamond"/>
        </w:rPr>
        <w:t xml:space="preserve">psikolojik </w:t>
      </w:r>
      <w:r w:rsidRPr="00243C62">
        <w:rPr>
          <w:rFonts w:ascii="Garamond" w:hAnsi="Garamond"/>
        </w:rPr>
        <w:t>dayanıklılık ve kariyer aidiyeti (Fusco</w:t>
      </w:r>
      <w:r w:rsidR="00C86992" w:rsidRPr="00243C62">
        <w:rPr>
          <w:rFonts w:ascii="Garamond" w:hAnsi="Garamond"/>
        </w:rPr>
        <w:t xml:space="preserve"> vd.</w:t>
      </w:r>
      <w:r w:rsidR="006852B1" w:rsidRPr="00243C62">
        <w:rPr>
          <w:rFonts w:ascii="Garamond" w:hAnsi="Garamond"/>
        </w:rPr>
        <w:t xml:space="preserve">, 2019) gibi farklı araştırma </w:t>
      </w:r>
      <w:r w:rsidRPr="00243C62">
        <w:rPr>
          <w:rFonts w:ascii="Garamond" w:hAnsi="Garamond"/>
        </w:rPr>
        <w:t>konuları ile birlikte çalışıldığı görülmektedir.</w:t>
      </w:r>
      <w:r w:rsidR="006852B1" w:rsidRPr="00243C62">
        <w:rPr>
          <w:rFonts w:ascii="Garamond" w:hAnsi="Garamond"/>
        </w:rPr>
        <w:t xml:space="preserve"> Türkiye’de</w:t>
      </w:r>
      <w:r w:rsidR="000633B5" w:rsidRPr="00243C62">
        <w:rPr>
          <w:rFonts w:ascii="Garamond" w:hAnsi="Garamond"/>
        </w:rPr>
        <w:t xml:space="preserve"> ve yurt dışında </w:t>
      </w:r>
      <w:r w:rsidR="006852B1" w:rsidRPr="00243C62">
        <w:rPr>
          <w:rFonts w:ascii="Garamond" w:hAnsi="Garamond"/>
        </w:rPr>
        <w:t>g</w:t>
      </w:r>
      <w:r w:rsidRPr="00243C62">
        <w:rPr>
          <w:rFonts w:ascii="Garamond" w:hAnsi="Garamond"/>
        </w:rPr>
        <w:t xml:space="preserve">elecek </w:t>
      </w:r>
      <w:r w:rsidR="00463EF6" w:rsidRPr="00243C62">
        <w:rPr>
          <w:rFonts w:ascii="Garamond" w:hAnsi="Garamond"/>
        </w:rPr>
        <w:t>o</w:t>
      </w:r>
      <w:r w:rsidRPr="00243C62">
        <w:rPr>
          <w:rFonts w:ascii="Garamond" w:hAnsi="Garamond"/>
        </w:rPr>
        <w:t>ryantasyonun</w:t>
      </w:r>
      <w:r w:rsidR="000D1652" w:rsidRPr="00243C62">
        <w:rPr>
          <w:rFonts w:ascii="Garamond" w:hAnsi="Garamond"/>
        </w:rPr>
        <w:t>u</w:t>
      </w:r>
      <w:r w:rsidR="00046D2A" w:rsidRPr="00243C62">
        <w:rPr>
          <w:rFonts w:ascii="Garamond" w:hAnsi="Garamond"/>
        </w:rPr>
        <w:t xml:space="preserve"> </w:t>
      </w:r>
      <w:r w:rsidR="006852B1" w:rsidRPr="00243C62">
        <w:rPr>
          <w:rFonts w:ascii="Garamond" w:hAnsi="Garamond"/>
        </w:rPr>
        <w:t>ölçmeyi</w:t>
      </w:r>
      <w:r w:rsidR="00046D2A" w:rsidRPr="00243C62">
        <w:rPr>
          <w:rFonts w:ascii="Garamond" w:hAnsi="Garamond"/>
        </w:rPr>
        <w:t xml:space="preserve"> </w:t>
      </w:r>
      <w:r w:rsidR="006852B1" w:rsidRPr="00243C62">
        <w:rPr>
          <w:rFonts w:ascii="Garamond" w:hAnsi="Garamond"/>
        </w:rPr>
        <w:t xml:space="preserve">amaçlayan </w:t>
      </w:r>
      <w:r w:rsidR="000D1652" w:rsidRPr="00243C62">
        <w:rPr>
          <w:rFonts w:ascii="Garamond" w:hAnsi="Garamond"/>
        </w:rPr>
        <w:t>çeşitli araştı</w:t>
      </w:r>
      <w:r w:rsidR="000633B5" w:rsidRPr="00243C62">
        <w:rPr>
          <w:rFonts w:ascii="Garamond" w:hAnsi="Garamond"/>
        </w:rPr>
        <w:t>rmalar yapılmıştır.</w:t>
      </w:r>
      <w:r w:rsidR="00C10A63" w:rsidRPr="00243C62">
        <w:rPr>
          <w:rFonts w:ascii="Garamond" w:hAnsi="Garamond"/>
        </w:rPr>
        <w:t xml:space="preserve"> </w:t>
      </w:r>
      <w:r w:rsidR="000D1652" w:rsidRPr="00243C62">
        <w:rPr>
          <w:rFonts w:ascii="Garamond" w:hAnsi="Garamond"/>
        </w:rPr>
        <w:t>Bu</w:t>
      </w:r>
      <w:r w:rsidRPr="00243C62">
        <w:rPr>
          <w:rFonts w:ascii="Garamond" w:hAnsi="Garamond"/>
        </w:rPr>
        <w:t xml:space="preserve"> </w:t>
      </w:r>
      <w:r w:rsidR="000633B5" w:rsidRPr="00243C62">
        <w:rPr>
          <w:rFonts w:ascii="Garamond" w:hAnsi="Garamond"/>
        </w:rPr>
        <w:t>araştırmalar</w:t>
      </w:r>
      <w:r w:rsidRPr="00243C62">
        <w:rPr>
          <w:rFonts w:ascii="Garamond" w:hAnsi="Garamond"/>
        </w:rPr>
        <w:t xml:space="preserve"> incelendiği</w:t>
      </w:r>
      <w:r w:rsidR="00751D0F" w:rsidRPr="00243C62">
        <w:rPr>
          <w:rFonts w:ascii="Garamond" w:hAnsi="Garamond"/>
        </w:rPr>
        <w:t>nde, gelecek oryantasyonun ölçümü için farklı adlarla ölçme araçlarının geliştirildiği dikkat çekmektedir. Örneğin,</w:t>
      </w:r>
      <w:r w:rsidR="00046D2A" w:rsidRPr="00243C62">
        <w:rPr>
          <w:rFonts w:ascii="Garamond" w:hAnsi="Garamond"/>
        </w:rPr>
        <w:t xml:space="preserve"> </w:t>
      </w:r>
      <w:r w:rsidR="00751D0F" w:rsidRPr="00243C62">
        <w:rPr>
          <w:rFonts w:ascii="Garamond" w:hAnsi="Garamond"/>
        </w:rPr>
        <w:t xml:space="preserve">Zimbardo </w:t>
      </w:r>
      <w:r w:rsidRPr="00243C62">
        <w:rPr>
          <w:rFonts w:ascii="Garamond" w:hAnsi="Garamond"/>
        </w:rPr>
        <w:t>ve Boyd (1999) tarafından geliştiril</w:t>
      </w:r>
      <w:r w:rsidR="00751D0F" w:rsidRPr="00243C62">
        <w:rPr>
          <w:rFonts w:ascii="Garamond" w:hAnsi="Garamond"/>
        </w:rPr>
        <w:t xml:space="preserve">en </w:t>
      </w:r>
      <w:r w:rsidR="00463EF6" w:rsidRPr="00243C62">
        <w:rPr>
          <w:rFonts w:ascii="Garamond" w:hAnsi="Garamond"/>
        </w:rPr>
        <w:t>Zaman Perspektifi Ölçeğ</w:t>
      </w:r>
      <w:r w:rsidR="00751D0F" w:rsidRPr="00243C62">
        <w:rPr>
          <w:rFonts w:ascii="Garamond" w:hAnsi="Garamond"/>
        </w:rPr>
        <w:t xml:space="preserve">i, </w:t>
      </w:r>
      <w:r w:rsidRPr="00243C62">
        <w:rPr>
          <w:rFonts w:ascii="Garamond" w:hAnsi="Garamond"/>
        </w:rPr>
        <w:t>Steinberg vd. (2009) tarafından geliştiril</w:t>
      </w:r>
      <w:r w:rsidR="00751D0F" w:rsidRPr="00243C62">
        <w:rPr>
          <w:rFonts w:ascii="Garamond" w:hAnsi="Garamond"/>
        </w:rPr>
        <w:t>en</w:t>
      </w:r>
      <w:r w:rsidRPr="00243C62">
        <w:rPr>
          <w:rFonts w:ascii="Garamond" w:hAnsi="Garamond"/>
        </w:rPr>
        <w:t xml:space="preserve"> </w:t>
      </w:r>
      <w:r w:rsidR="00463EF6" w:rsidRPr="00243C62">
        <w:rPr>
          <w:rFonts w:ascii="Garamond" w:hAnsi="Garamond"/>
        </w:rPr>
        <w:t>Gelecek Yönelimi Ölçeği</w:t>
      </w:r>
      <w:r w:rsidR="00751D0F" w:rsidRPr="00243C62">
        <w:rPr>
          <w:rFonts w:ascii="Garamond" w:hAnsi="Garamond"/>
        </w:rPr>
        <w:t xml:space="preserve"> ve</w:t>
      </w:r>
      <w:r w:rsidR="00DC0C6B" w:rsidRPr="00243C62">
        <w:rPr>
          <w:rFonts w:ascii="Garamond" w:hAnsi="Garamond"/>
        </w:rPr>
        <w:t xml:space="preserve"> </w:t>
      </w:r>
      <w:r w:rsidRPr="00243C62">
        <w:rPr>
          <w:rFonts w:ascii="Garamond" w:hAnsi="Garamond"/>
        </w:rPr>
        <w:t>Nurmi</w:t>
      </w:r>
      <w:r w:rsidR="00DC0C6B" w:rsidRPr="00243C62">
        <w:rPr>
          <w:rFonts w:ascii="Garamond" w:hAnsi="Garamond"/>
        </w:rPr>
        <w:t xml:space="preserve"> vd. </w:t>
      </w:r>
      <w:r w:rsidRPr="00243C62">
        <w:rPr>
          <w:rFonts w:ascii="Garamond" w:hAnsi="Garamond"/>
        </w:rPr>
        <w:t xml:space="preserve">(1995) </w:t>
      </w:r>
      <w:r w:rsidR="00751D0F" w:rsidRPr="00243C62">
        <w:rPr>
          <w:rFonts w:ascii="Garamond" w:hAnsi="Garamond"/>
        </w:rPr>
        <w:t xml:space="preserve">tarafından geliştirilen </w:t>
      </w:r>
      <w:r w:rsidR="00463EF6" w:rsidRPr="00243C62">
        <w:rPr>
          <w:rFonts w:ascii="Garamond" w:hAnsi="Garamond"/>
        </w:rPr>
        <w:t>Keşif ve Bağlılık Ölçeğ</w:t>
      </w:r>
      <w:r w:rsidR="00751D0F" w:rsidRPr="00243C62">
        <w:rPr>
          <w:rFonts w:ascii="Garamond" w:hAnsi="Garamond"/>
        </w:rPr>
        <w:t>i en yaygın ola</w:t>
      </w:r>
      <w:r w:rsidR="000633B5" w:rsidRPr="00243C62">
        <w:rPr>
          <w:rFonts w:ascii="Garamond" w:hAnsi="Garamond"/>
        </w:rPr>
        <w:t xml:space="preserve">rak </w:t>
      </w:r>
      <w:r w:rsidR="00751D0F" w:rsidRPr="00243C62">
        <w:rPr>
          <w:rFonts w:ascii="Garamond" w:hAnsi="Garamond"/>
        </w:rPr>
        <w:t>kullanılan ölçme araçlarıdır. Keşif ve Bağlılık Ölçeği’nin</w:t>
      </w:r>
      <w:r w:rsidR="00C10A63" w:rsidRPr="00243C62">
        <w:rPr>
          <w:rFonts w:ascii="Garamond" w:hAnsi="Garamond"/>
        </w:rPr>
        <w:t xml:space="preserve"> </w:t>
      </w:r>
      <w:r w:rsidR="009157D0" w:rsidRPr="00243C62">
        <w:rPr>
          <w:rFonts w:ascii="Garamond" w:hAnsi="Garamond"/>
        </w:rPr>
        <w:t xml:space="preserve">(Nurmi vd., 1995) </w:t>
      </w:r>
      <w:r w:rsidR="00C10A63" w:rsidRPr="00243C62">
        <w:rPr>
          <w:rFonts w:ascii="Garamond" w:hAnsi="Garamond"/>
        </w:rPr>
        <w:t>gelecek oryantasyonunu</w:t>
      </w:r>
      <w:r w:rsidR="00046D2A" w:rsidRPr="00243C62">
        <w:rPr>
          <w:rFonts w:ascii="Garamond" w:hAnsi="Garamond"/>
        </w:rPr>
        <w:t xml:space="preserve"> </w:t>
      </w:r>
      <w:r w:rsidR="00751D0F" w:rsidRPr="00243C62">
        <w:rPr>
          <w:rFonts w:ascii="Garamond" w:hAnsi="Garamond"/>
        </w:rPr>
        <w:t>eğitim, kariyer ve aile olmak üzere üç bileşen</w:t>
      </w:r>
      <w:r w:rsidR="00B63B09" w:rsidRPr="00243C62">
        <w:rPr>
          <w:rFonts w:ascii="Garamond" w:hAnsi="Garamond"/>
        </w:rPr>
        <w:t xml:space="preserve"> </w:t>
      </w:r>
      <w:r w:rsidR="00AB36BC" w:rsidRPr="00243C62">
        <w:rPr>
          <w:rFonts w:ascii="Garamond" w:hAnsi="Garamond"/>
        </w:rPr>
        <w:t xml:space="preserve">ile </w:t>
      </w:r>
      <w:r w:rsidRPr="00243C62">
        <w:rPr>
          <w:rFonts w:ascii="Garamond" w:hAnsi="Garamond"/>
        </w:rPr>
        <w:t>ölç</w:t>
      </w:r>
      <w:r w:rsidR="00C70960" w:rsidRPr="00243C62">
        <w:rPr>
          <w:rFonts w:ascii="Garamond" w:hAnsi="Garamond"/>
        </w:rPr>
        <w:t xml:space="preserve">tüğü bilinmektedir. </w:t>
      </w:r>
      <w:r w:rsidR="00C10A63" w:rsidRPr="00243C62">
        <w:rPr>
          <w:rFonts w:ascii="Garamond" w:hAnsi="Garamond"/>
        </w:rPr>
        <w:t>Türkiye’de g</w:t>
      </w:r>
      <w:r w:rsidRPr="00243C62">
        <w:rPr>
          <w:rFonts w:ascii="Garamond" w:hAnsi="Garamond"/>
        </w:rPr>
        <w:t xml:space="preserve">elecek </w:t>
      </w:r>
      <w:r w:rsidR="00463EF6" w:rsidRPr="00243C62">
        <w:rPr>
          <w:rFonts w:ascii="Garamond" w:hAnsi="Garamond"/>
        </w:rPr>
        <w:t>o</w:t>
      </w:r>
      <w:r w:rsidRPr="00243C62">
        <w:rPr>
          <w:rFonts w:ascii="Garamond" w:hAnsi="Garamond"/>
        </w:rPr>
        <w:t>ryantasyonun</w:t>
      </w:r>
      <w:r w:rsidR="00463EF6" w:rsidRPr="00243C62">
        <w:rPr>
          <w:rFonts w:ascii="Garamond" w:hAnsi="Garamond"/>
        </w:rPr>
        <w:t>u</w:t>
      </w:r>
      <w:r w:rsidRPr="00243C62">
        <w:rPr>
          <w:rFonts w:ascii="Garamond" w:hAnsi="Garamond"/>
        </w:rPr>
        <w:t xml:space="preserve"> ölçme</w:t>
      </w:r>
      <w:r w:rsidR="00C10A63" w:rsidRPr="00243C62">
        <w:rPr>
          <w:rFonts w:ascii="Garamond" w:hAnsi="Garamond"/>
        </w:rPr>
        <w:t>k için</w:t>
      </w:r>
      <w:r w:rsidR="00C70960" w:rsidRPr="00243C62">
        <w:rPr>
          <w:rFonts w:ascii="Garamond" w:hAnsi="Garamond"/>
        </w:rPr>
        <w:t xml:space="preserve"> farklı ölçme araçlarının geliştirildiği ve uyarlama çalışmalarının yapıldığı görülmektedir. </w:t>
      </w:r>
      <w:r w:rsidR="00C51950" w:rsidRPr="00243C62">
        <w:rPr>
          <w:rFonts w:ascii="Garamond" w:hAnsi="Garamond"/>
        </w:rPr>
        <w:t>Bunlar;</w:t>
      </w:r>
      <w:r w:rsidR="00046D2A" w:rsidRPr="00243C62">
        <w:rPr>
          <w:rFonts w:ascii="Garamond" w:hAnsi="Garamond"/>
        </w:rPr>
        <w:t xml:space="preserve"> </w:t>
      </w:r>
      <w:r w:rsidRPr="00243C62">
        <w:rPr>
          <w:rFonts w:ascii="Garamond" w:hAnsi="Garamond"/>
        </w:rPr>
        <w:t>Geleceğe İlişkin Tutum ölçeği (Güler, 2004)</w:t>
      </w:r>
      <w:r w:rsidR="00C51950" w:rsidRPr="00243C62">
        <w:rPr>
          <w:rFonts w:ascii="Garamond" w:hAnsi="Garamond"/>
        </w:rPr>
        <w:t>,</w:t>
      </w:r>
      <w:r w:rsidR="00046D2A" w:rsidRPr="00243C62">
        <w:rPr>
          <w:rFonts w:ascii="Garamond" w:hAnsi="Garamond"/>
        </w:rPr>
        <w:t xml:space="preserve"> </w:t>
      </w:r>
      <w:r w:rsidRPr="00243C62">
        <w:rPr>
          <w:rFonts w:ascii="Garamond" w:hAnsi="Garamond"/>
        </w:rPr>
        <w:t xml:space="preserve">Gelecek Vizyonları </w:t>
      </w:r>
      <w:r w:rsidR="002132C6" w:rsidRPr="00243C62">
        <w:rPr>
          <w:rFonts w:ascii="Garamond" w:hAnsi="Garamond"/>
        </w:rPr>
        <w:t>Ö</w:t>
      </w:r>
      <w:r w:rsidRPr="00243C62">
        <w:rPr>
          <w:rFonts w:ascii="Garamond" w:hAnsi="Garamond"/>
        </w:rPr>
        <w:t>lçeği (Akça</w:t>
      </w:r>
      <w:r w:rsidR="00DC0C6B" w:rsidRPr="00243C62">
        <w:rPr>
          <w:rFonts w:ascii="Garamond" w:hAnsi="Garamond"/>
        </w:rPr>
        <w:t xml:space="preserve"> vd., </w:t>
      </w:r>
      <w:r w:rsidRPr="00243C62">
        <w:rPr>
          <w:rFonts w:ascii="Garamond" w:hAnsi="Garamond"/>
        </w:rPr>
        <w:t>2008)</w:t>
      </w:r>
      <w:r w:rsidR="00C51950" w:rsidRPr="00243C62">
        <w:rPr>
          <w:rFonts w:ascii="Garamond" w:hAnsi="Garamond"/>
        </w:rPr>
        <w:t>,</w:t>
      </w:r>
      <w:r w:rsidRPr="00243C62">
        <w:rPr>
          <w:rFonts w:ascii="Garamond" w:hAnsi="Garamond"/>
        </w:rPr>
        <w:t xml:space="preserve"> Olumlu Gelecek Beklentisi Ölçeği (İmamoğlu,</w:t>
      </w:r>
      <w:r w:rsidR="00E63B17" w:rsidRPr="00243C62">
        <w:rPr>
          <w:rFonts w:ascii="Garamond" w:hAnsi="Garamond"/>
        </w:rPr>
        <w:t xml:space="preserve"> </w:t>
      </w:r>
      <w:r w:rsidRPr="00243C62">
        <w:rPr>
          <w:rFonts w:ascii="Garamond" w:hAnsi="Garamond"/>
        </w:rPr>
        <w:t>200</w:t>
      </w:r>
      <w:r w:rsidR="00E06A35" w:rsidRPr="00243C62">
        <w:rPr>
          <w:rFonts w:ascii="Garamond" w:hAnsi="Garamond"/>
        </w:rPr>
        <w:t xml:space="preserve">1), </w:t>
      </w:r>
      <w:r w:rsidRPr="00243C62">
        <w:rPr>
          <w:rFonts w:ascii="Garamond" w:hAnsi="Garamond"/>
        </w:rPr>
        <w:t>Gelecek Beklentisi Ölçeği (Şimşek, 2012)</w:t>
      </w:r>
      <w:r w:rsidR="00C51950" w:rsidRPr="00243C62">
        <w:rPr>
          <w:rFonts w:ascii="Garamond" w:hAnsi="Garamond"/>
        </w:rPr>
        <w:t xml:space="preserve"> ve </w:t>
      </w:r>
      <w:r w:rsidRPr="00243C62">
        <w:rPr>
          <w:rFonts w:ascii="Garamond" w:hAnsi="Garamond"/>
        </w:rPr>
        <w:t>Ergen Gelecek Beklentileri Ölçeği (Tuncer,2011)</w:t>
      </w:r>
      <w:r w:rsidR="00046D2A" w:rsidRPr="00243C62">
        <w:rPr>
          <w:rFonts w:ascii="Garamond" w:hAnsi="Garamond"/>
        </w:rPr>
        <w:t xml:space="preserve"> </w:t>
      </w:r>
      <w:r w:rsidR="00C51950" w:rsidRPr="00243C62">
        <w:rPr>
          <w:rFonts w:ascii="Garamond" w:hAnsi="Garamond"/>
        </w:rPr>
        <w:t>çalışmaları yapılmıştır. Nurmi (1989) gelecek</w:t>
      </w:r>
      <w:r w:rsidRPr="00243C62">
        <w:rPr>
          <w:rFonts w:ascii="Garamond" w:hAnsi="Garamond"/>
        </w:rPr>
        <w:t xml:space="preserve"> </w:t>
      </w:r>
      <w:r w:rsidR="00463EF6" w:rsidRPr="00243C62">
        <w:rPr>
          <w:rFonts w:ascii="Garamond" w:hAnsi="Garamond"/>
        </w:rPr>
        <w:t>o</w:t>
      </w:r>
      <w:r w:rsidRPr="00243C62">
        <w:rPr>
          <w:rFonts w:ascii="Garamond" w:hAnsi="Garamond"/>
        </w:rPr>
        <w:t xml:space="preserve">ryantasyonu kavramının motivasyon, umut, iyimserlik gibi </w:t>
      </w:r>
      <w:r w:rsidR="00C51950" w:rsidRPr="00243C62">
        <w:rPr>
          <w:rFonts w:ascii="Garamond" w:hAnsi="Garamond"/>
        </w:rPr>
        <w:t>kavramları</w:t>
      </w:r>
      <w:r w:rsidR="00046D2A" w:rsidRPr="00243C62">
        <w:rPr>
          <w:rFonts w:ascii="Garamond" w:hAnsi="Garamond"/>
        </w:rPr>
        <w:t xml:space="preserve"> </w:t>
      </w:r>
      <w:r w:rsidRPr="00243C62">
        <w:rPr>
          <w:rFonts w:ascii="Garamond" w:hAnsi="Garamond"/>
        </w:rPr>
        <w:t>kapsadığı</w:t>
      </w:r>
      <w:r w:rsidR="00C51950" w:rsidRPr="00243C62">
        <w:rPr>
          <w:rFonts w:ascii="Garamond" w:hAnsi="Garamond"/>
        </w:rPr>
        <w:t>nı ileri sürmektedir. Bu görüş</w:t>
      </w:r>
      <w:r w:rsidR="002132C6" w:rsidRPr="00243C62">
        <w:rPr>
          <w:rFonts w:ascii="Garamond" w:hAnsi="Garamond"/>
        </w:rPr>
        <w:t>ten yola çıkarak</w:t>
      </w:r>
      <w:r w:rsidR="00C51950" w:rsidRPr="00243C62">
        <w:rPr>
          <w:rFonts w:ascii="Garamond" w:hAnsi="Garamond"/>
        </w:rPr>
        <w:t>,</w:t>
      </w:r>
      <w:r w:rsidRPr="00243C62">
        <w:rPr>
          <w:rFonts w:ascii="Garamond" w:hAnsi="Garamond"/>
        </w:rPr>
        <w:t xml:space="preserve"> </w:t>
      </w:r>
      <w:r w:rsidR="00C26384" w:rsidRPr="00243C62">
        <w:rPr>
          <w:rFonts w:ascii="Garamond" w:hAnsi="Garamond"/>
        </w:rPr>
        <w:t>g</w:t>
      </w:r>
      <w:r w:rsidRPr="00243C62">
        <w:rPr>
          <w:rFonts w:ascii="Garamond" w:hAnsi="Garamond"/>
        </w:rPr>
        <w:t xml:space="preserve">elecek </w:t>
      </w:r>
      <w:r w:rsidR="00C26384" w:rsidRPr="00243C62">
        <w:rPr>
          <w:rFonts w:ascii="Garamond" w:hAnsi="Garamond"/>
        </w:rPr>
        <w:t>o</w:t>
      </w:r>
      <w:r w:rsidRPr="00243C62">
        <w:rPr>
          <w:rFonts w:ascii="Garamond" w:hAnsi="Garamond"/>
        </w:rPr>
        <w:t>ryantasyonun</w:t>
      </w:r>
      <w:r w:rsidR="00C26384" w:rsidRPr="00243C62">
        <w:rPr>
          <w:rFonts w:ascii="Garamond" w:hAnsi="Garamond"/>
        </w:rPr>
        <w:t xml:space="preserve">u </w:t>
      </w:r>
      <w:r w:rsidRPr="00243C62">
        <w:rPr>
          <w:rFonts w:ascii="Garamond" w:hAnsi="Garamond"/>
        </w:rPr>
        <w:t xml:space="preserve">ölçmek amacıyla geliştirilmiş ve uyarlanmış ölçme araçlarının </w:t>
      </w:r>
      <w:r w:rsidR="003F57B8" w:rsidRPr="00243C62">
        <w:rPr>
          <w:rFonts w:ascii="Garamond" w:hAnsi="Garamond"/>
          <w:color w:val="000000" w:themeColor="text1"/>
        </w:rPr>
        <w:t xml:space="preserve">başarılı olmaya ilişkin inançları </w:t>
      </w:r>
      <w:r w:rsidRPr="00243C62">
        <w:rPr>
          <w:rFonts w:ascii="Garamond" w:hAnsi="Garamond"/>
        </w:rPr>
        <w:t>ölçme noktasında sınırlı düzeyde etkili oldu</w:t>
      </w:r>
      <w:r w:rsidR="00C51950" w:rsidRPr="00243C62">
        <w:rPr>
          <w:rFonts w:ascii="Garamond" w:hAnsi="Garamond"/>
        </w:rPr>
        <w:t>kları</w:t>
      </w:r>
      <w:r w:rsidR="00354390" w:rsidRPr="00243C62">
        <w:rPr>
          <w:rFonts w:ascii="Garamond" w:hAnsi="Garamond"/>
        </w:rPr>
        <w:t xml:space="preserve"> </w:t>
      </w:r>
      <w:r w:rsidR="00C51950" w:rsidRPr="00243C62">
        <w:rPr>
          <w:rFonts w:ascii="Garamond" w:hAnsi="Garamond"/>
        </w:rPr>
        <w:t>söylenebilir. Oysa,</w:t>
      </w:r>
      <w:r w:rsidRPr="00243C62">
        <w:rPr>
          <w:rFonts w:ascii="Garamond" w:hAnsi="Garamond"/>
        </w:rPr>
        <w:t xml:space="preserve"> geleceğe yönelik bir karar verirken başarı kavramının büyük önem arz ettiği </w:t>
      </w:r>
      <w:r w:rsidR="002F119B" w:rsidRPr="00243C62">
        <w:rPr>
          <w:rFonts w:ascii="Garamond" w:hAnsi="Garamond"/>
        </w:rPr>
        <w:t>ileri sürülmektedir</w:t>
      </w:r>
      <w:r w:rsidRPr="00243C62">
        <w:rPr>
          <w:rFonts w:ascii="Garamond" w:hAnsi="Garamond"/>
        </w:rPr>
        <w:t xml:space="preserve"> (Chodkiewicz</w:t>
      </w:r>
      <w:r w:rsidR="00950B3C" w:rsidRPr="00243C62">
        <w:rPr>
          <w:rFonts w:ascii="Garamond" w:hAnsi="Garamond"/>
        </w:rPr>
        <w:t xml:space="preserve"> &amp; </w:t>
      </w:r>
      <w:r w:rsidRPr="00243C62">
        <w:rPr>
          <w:rFonts w:ascii="Garamond" w:hAnsi="Garamond"/>
        </w:rPr>
        <w:t>Boyle, 2017; G</w:t>
      </w:r>
      <w:r w:rsidR="00353B56" w:rsidRPr="00243C62">
        <w:rPr>
          <w:rFonts w:ascii="Garamond" w:hAnsi="Garamond"/>
        </w:rPr>
        <w:t>r</w:t>
      </w:r>
      <w:r w:rsidRPr="00243C62">
        <w:rPr>
          <w:rFonts w:ascii="Garamond" w:hAnsi="Garamond"/>
        </w:rPr>
        <w:t>over</w:t>
      </w:r>
      <w:r w:rsidR="00950B3C" w:rsidRPr="00243C62">
        <w:rPr>
          <w:rFonts w:ascii="Garamond" w:hAnsi="Garamond"/>
        </w:rPr>
        <w:t xml:space="preserve"> &amp; </w:t>
      </w:r>
      <w:r w:rsidRPr="00243C62">
        <w:rPr>
          <w:rFonts w:ascii="Garamond" w:hAnsi="Garamond"/>
        </w:rPr>
        <w:t xml:space="preserve">O’Flaherty, 2016). </w:t>
      </w:r>
      <w:r w:rsidR="00C51950" w:rsidRPr="00243C62">
        <w:rPr>
          <w:rFonts w:ascii="Garamond" w:hAnsi="Garamond"/>
        </w:rPr>
        <w:t>Türkiye’deki ergenlerin gelecek oryantasyonlarının ölçümünde kulla</w:t>
      </w:r>
      <w:r w:rsidR="00EA3F19" w:rsidRPr="00243C62">
        <w:rPr>
          <w:rFonts w:ascii="Garamond" w:hAnsi="Garamond"/>
        </w:rPr>
        <w:t>nılan Ergen Gelecek Beklentileri Ölçeği</w:t>
      </w:r>
      <w:r w:rsidR="00E06A35" w:rsidRPr="00243C62">
        <w:rPr>
          <w:rFonts w:ascii="Garamond" w:hAnsi="Garamond"/>
        </w:rPr>
        <w:t xml:space="preserve"> </w:t>
      </w:r>
      <w:r w:rsidR="00EA3F19" w:rsidRPr="00243C62">
        <w:rPr>
          <w:rFonts w:ascii="Garamond" w:hAnsi="Garamond"/>
        </w:rPr>
        <w:t>(Tuncer,</w:t>
      </w:r>
      <w:r w:rsidR="00950B3C" w:rsidRPr="00243C62">
        <w:rPr>
          <w:rFonts w:ascii="Garamond" w:hAnsi="Garamond"/>
        </w:rPr>
        <w:t xml:space="preserve"> </w:t>
      </w:r>
      <w:r w:rsidR="00EA3F19" w:rsidRPr="00243C62">
        <w:rPr>
          <w:rFonts w:ascii="Garamond" w:hAnsi="Garamond"/>
        </w:rPr>
        <w:t xml:space="preserve">2011) </w:t>
      </w:r>
      <w:r w:rsidR="00E06A35" w:rsidRPr="00243C62">
        <w:rPr>
          <w:rFonts w:ascii="Garamond" w:hAnsi="Garamond"/>
        </w:rPr>
        <w:t>incelendiği</w:t>
      </w:r>
      <w:r w:rsidR="002F119B" w:rsidRPr="00243C62">
        <w:rPr>
          <w:rFonts w:ascii="Garamond" w:hAnsi="Garamond"/>
        </w:rPr>
        <w:t xml:space="preserve">nde, </w:t>
      </w:r>
      <w:r w:rsidR="00EA3F19" w:rsidRPr="00243C62">
        <w:rPr>
          <w:rFonts w:ascii="Garamond" w:hAnsi="Garamond"/>
        </w:rPr>
        <w:t>geleceğe yönelik kararları verirken önemli olan başarı kavramını içerme</w:t>
      </w:r>
      <w:r w:rsidR="00E06A35" w:rsidRPr="00243C62">
        <w:rPr>
          <w:rFonts w:ascii="Garamond" w:hAnsi="Garamond"/>
        </w:rPr>
        <w:t>diği görülmektedir</w:t>
      </w:r>
      <w:r w:rsidR="00EA3F19" w:rsidRPr="00243C62">
        <w:rPr>
          <w:rFonts w:ascii="Garamond" w:hAnsi="Garamond"/>
        </w:rPr>
        <w:t>.</w:t>
      </w:r>
      <w:r w:rsidR="00E06A35" w:rsidRPr="00243C62">
        <w:rPr>
          <w:rFonts w:ascii="Garamond" w:hAnsi="Garamond"/>
        </w:rPr>
        <w:t xml:space="preserve"> Bununla birlikte ölçeğin din ve toplum, sağlık ve yaşam, evlilik ve aile gibi alt boyutlarının var olması ergenlerin geleceğe ilişkin alacağı kararlarda farklı faktörlerin vurgulandığını göstermektedir. Uyarlama çalışması yapılan Gelecek Oryantasyonu Ölçeğinde ise</w:t>
      </w:r>
      <w:r w:rsidR="002F119B" w:rsidRPr="00243C62">
        <w:rPr>
          <w:rFonts w:ascii="Garamond" w:hAnsi="Garamond"/>
        </w:rPr>
        <w:t>,</w:t>
      </w:r>
      <w:r w:rsidR="00E06A35" w:rsidRPr="00243C62">
        <w:rPr>
          <w:rFonts w:ascii="Garamond" w:hAnsi="Garamond"/>
        </w:rPr>
        <w:t xml:space="preserve"> kişinin yaşamında sergilemiş olduğu başarı ve akademik başarıya yer verilmektedir. </w:t>
      </w:r>
      <w:r w:rsidR="00EA3F19" w:rsidRPr="00243C62">
        <w:rPr>
          <w:rFonts w:ascii="Garamond" w:hAnsi="Garamond"/>
        </w:rPr>
        <w:t xml:space="preserve">Bu nedenle, bu araştırmada başarı kavramını da içeren </w:t>
      </w:r>
      <w:r w:rsidR="00C26384" w:rsidRPr="00243C62">
        <w:rPr>
          <w:rFonts w:ascii="Garamond" w:hAnsi="Garamond"/>
        </w:rPr>
        <w:t>Bowen ve Richman (2008) tarafından geliştiril</w:t>
      </w:r>
      <w:r w:rsidR="00EA3F19" w:rsidRPr="00243C62">
        <w:rPr>
          <w:rFonts w:ascii="Garamond" w:hAnsi="Garamond"/>
        </w:rPr>
        <w:t>en</w:t>
      </w:r>
      <w:r w:rsidR="00046D2A" w:rsidRPr="00243C62">
        <w:rPr>
          <w:rFonts w:ascii="Garamond" w:hAnsi="Garamond"/>
        </w:rPr>
        <w:t xml:space="preserve"> </w:t>
      </w:r>
      <w:r w:rsidR="00C26384" w:rsidRPr="00243C62">
        <w:rPr>
          <w:rFonts w:ascii="Garamond" w:hAnsi="Garamond"/>
        </w:rPr>
        <w:t>G</w:t>
      </w:r>
      <w:r w:rsidRPr="00243C62">
        <w:rPr>
          <w:rFonts w:ascii="Garamond" w:hAnsi="Garamond"/>
        </w:rPr>
        <w:t xml:space="preserve">elecek </w:t>
      </w:r>
      <w:r w:rsidR="00C26384" w:rsidRPr="00243C62">
        <w:rPr>
          <w:rFonts w:ascii="Garamond" w:hAnsi="Garamond"/>
        </w:rPr>
        <w:t>O</w:t>
      </w:r>
      <w:r w:rsidRPr="00243C62">
        <w:rPr>
          <w:rFonts w:ascii="Garamond" w:hAnsi="Garamond"/>
        </w:rPr>
        <w:t>ryantasyonu Ölçeği’ni</w:t>
      </w:r>
      <w:r w:rsidR="00046D2A" w:rsidRPr="00243C62">
        <w:rPr>
          <w:rFonts w:ascii="Garamond" w:hAnsi="Garamond"/>
        </w:rPr>
        <w:t xml:space="preserve"> </w:t>
      </w:r>
      <w:r w:rsidR="00C26384" w:rsidRPr="00243C62">
        <w:rPr>
          <w:rFonts w:ascii="Garamond" w:hAnsi="Garamond"/>
        </w:rPr>
        <w:t>(GOÖ</w:t>
      </w:r>
      <w:r w:rsidR="00390C58" w:rsidRPr="00243C62">
        <w:rPr>
          <w:rFonts w:ascii="Garamond" w:hAnsi="Garamond"/>
        </w:rPr>
        <w:t>)</w:t>
      </w:r>
      <w:r w:rsidRPr="00243C62">
        <w:rPr>
          <w:rFonts w:ascii="Garamond" w:hAnsi="Garamond"/>
        </w:rPr>
        <w:t xml:space="preserve"> Türk</w:t>
      </w:r>
      <w:r w:rsidR="00AA485B" w:rsidRPr="00243C62">
        <w:rPr>
          <w:rFonts w:ascii="Garamond" w:hAnsi="Garamond"/>
        </w:rPr>
        <w:t xml:space="preserve"> </w:t>
      </w:r>
      <w:r w:rsidRPr="00243C62">
        <w:rPr>
          <w:rFonts w:ascii="Garamond" w:hAnsi="Garamond"/>
        </w:rPr>
        <w:t>lise öğrencileri</w:t>
      </w:r>
      <w:r w:rsidR="00EA3F19" w:rsidRPr="00243C62">
        <w:rPr>
          <w:rFonts w:ascii="Garamond" w:hAnsi="Garamond"/>
        </w:rPr>
        <w:t>ne uyarlamak amaçlanmıştır.</w:t>
      </w:r>
      <w:r w:rsidRPr="00243C62">
        <w:rPr>
          <w:rFonts w:ascii="Garamond" w:hAnsi="Garamond"/>
        </w:rPr>
        <w:t xml:space="preserve"> </w:t>
      </w:r>
      <w:r w:rsidR="00EA3F19" w:rsidRPr="00243C62">
        <w:rPr>
          <w:rFonts w:ascii="Garamond" w:hAnsi="Garamond"/>
        </w:rPr>
        <w:t>Bu amaç için</w:t>
      </w:r>
      <w:r w:rsidR="00046D2A" w:rsidRPr="00243C62">
        <w:rPr>
          <w:rFonts w:ascii="Garamond" w:hAnsi="Garamond"/>
        </w:rPr>
        <w:t xml:space="preserve"> </w:t>
      </w:r>
      <w:r w:rsidR="00EA3F19" w:rsidRPr="00243C62">
        <w:rPr>
          <w:rFonts w:ascii="Garamond" w:hAnsi="Garamond"/>
        </w:rPr>
        <w:t xml:space="preserve">öncelikle </w:t>
      </w:r>
      <w:r w:rsidR="00046D2A" w:rsidRPr="00243C62">
        <w:rPr>
          <w:rFonts w:ascii="Garamond" w:hAnsi="Garamond"/>
        </w:rPr>
        <w:t>a)</w:t>
      </w:r>
      <w:r w:rsidR="008511B3" w:rsidRPr="00243C62">
        <w:rPr>
          <w:rFonts w:ascii="Garamond" w:hAnsi="Garamond"/>
        </w:rPr>
        <w:t>O</w:t>
      </w:r>
      <w:r w:rsidR="00EA3F19" w:rsidRPr="00243C62">
        <w:rPr>
          <w:rFonts w:ascii="Garamond" w:hAnsi="Garamond"/>
        </w:rPr>
        <w:t>rijinali İngilizce olan</w:t>
      </w:r>
      <w:r w:rsidR="00046D2A" w:rsidRPr="00243C62">
        <w:rPr>
          <w:rFonts w:ascii="Garamond" w:hAnsi="Garamond"/>
        </w:rPr>
        <w:t xml:space="preserve"> </w:t>
      </w:r>
      <w:r w:rsidR="00390C58" w:rsidRPr="00243C62">
        <w:rPr>
          <w:rFonts w:ascii="Garamond" w:hAnsi="Garamond"/>
        </w:rPr>
        <w:t>GOÖ’nin Türkçeye çevirisi çalışmaları yapılmıştır</w:t>
      </w:r>
      <w:r w:rsidR="00046D2A" w:rsidRPr="00243C62">
        <w:rPr>
          <w:rFonts w:ascii="Garamond" w:hAnsi="Garamond"/>
        </w:rPr>
        <w:t xml:space="preserve"> </w:t>
      </w:r>
      <w:r w:rsidR="00390C58" w:rsidRPr="00243C62">
        <w:rPr>
          <w:rFonts w:ascii="Garamond" w:hAnsi="Garamond"/>
        </w:rPr>
        <w:t xml:space="preserve">b) Orijinal Ölçeğin yapısının Türkiye’deki lise öğrencileri örnekleminde de </w:t>
      </w:r>
      <w:r w:rsidR="00AA485B" w:rsidRPr="00243C62">
        <w:rPr>
          <w:rFonts w:ascii="Garamond" w:hAnsi="Garamond"/>
        </w:rPr>
        <w:t xml:space="preserve">geçerli olup olamdığını </w:t>
      </w:r>
      <w:r w:rsidR="00390C58" w:rsidRPr="00243C62">
        <w:rPr>
          <w:rFonts w:ascii="Garamond" w:hAnsi="Garamond"/>
        </w:rPr>
        <w:t xml:space="preserve">belirlemek için verilere </w:t>
      </w:r>
      <w:r w:rsidR="00554B4E" w:rsidRPr="00243C62">
        <w:rPr>
          <w:rFonts w:ascii="Garamond" w:hAnsi="Garamond"/>
        </w:rPr>
        <w:t>d</w:t>
      </w:r>
      <w:r w:rsidR="00390C58" w:rsidRPr="00243C62">
        <w:rPr>
          <w:rFonts w:ascii="Garamond" w:hAnsi="Garamond"/>
        </w:rPr>
        <w:t xml:space="preserve">oğrulayıcı </w:t>
      </w:r>
      <w:r w:rsidR="00554B4E" w:rsidRPr="00243C62">
        <w:rPr>
          <w:rFonts w:ascii="Garamond" w:hAnsi="Garamond"/>
        </w:rPr>
        <w:t>f</w:t>
      </w:r>
      <w:r w:rsidR="00390C58" w:rsidRPr="00243C62">
        <w:rPr>
          <w:rFonts w:ascii="Garamond" w:hAnsi="Garamond"/>
        </w:rPr>
        <w:t>aktör analizi uygulaması yapılmıştır</w:t>
      </w:r>
      <w:r w:rsidR="005B6B22" w:rsidRPr="00243C62">
        <w:rPr>
          <w:rFonts w:ascii="Garamond" w:hAnsi="Garamond"/>
        </w:rPr>
        <w:t xml:space="preserve">. </w:t>
      </w:r>
      <w:r w:rsidR="00390C58" w:rsidRPr="00243C62">
        <w:rPr>
          <w:rFonts w:ascii="Garamond" w:hAnsi="Garamond"/>
        </w:rPr>
        <w:t>c)</w:t>
      </w:r>
      <w:r w:rsidRPr="00243C62">
        <w:rPr>
          <w:rFonts w:ascii="Garamond" w:hAnsi="Garamond"/>
        </w:rPr>
        <w:t xml:space="preserve"> </w:t>
      </w:r>
      <w:r w:rsidR="005B6B22" w:rsidRPr="00243C62">
        <w:rPr>
          <w:rFonts w:ascii="Garamond" w:hAnsi="Garamond"/>
        </w:rPr>
        <w:t xml:space="preserve">GOÖ’nin </w:t>
      </w:r>
      <w:r w:rsidRPr="00243C62">
        <w:rPr>
          <w:rFonts w:ascii="Garamond" w:hAnsi="Garamond"/>
        </w:rPr>
        <w:t>ölçüt</w:t>
      </w:r>
      <w:r w:rsidR="00AA485B" w:rsidRPr="00243C62">
        <w:rPr>
          <w:rFonts w:ascii="Garamond" w:hAnsi="Garamond"/>
        </w:rPr>
        <w:t xml:space="preserve"> bağıntılı </w:t>
      </w:r>
      <w:r w:rsidRPr="00243C62">
        <w:rPr>
          <w:rFonts w:ascii="Garamond" w:hAnsi="Garamond"/>
        </w:rPr>
        <w:t>geçerliği için</w:t>
      </w:r>
      <w:r w:rsidR="00AA485B" w:rsidRPr="00243C62">
        <w:rPr>
          <w:rFonts w:ascii="Garamond" w:hAnsi="Garamond"/>
        </w:rPr>
        <w:t>,</w:t>
      </w:r>
      <w:r w:rsidRPr="00243C62">
        <w:rPr>
          <w:rFonts w:ascii="Garamond" w:hAnsi="Garamond"/>
        </w:rPr>
        <w:t xml:space="preserve"> </w:t>
      </w:r>
      <w:r w:rsidR="00AA485B" w:rsidRPr="00243C62">
        <w:rPr>
          <w:rFonts w:ascii="Garamond" w:hAnsi="Garamond"/>
        </w:rPr>
        <w:t xml:space="preserve">bu ölçeğin puanı ile </w:t>
      </w:r>
      <w:r w:rsidRPr="00243C62">
        <w:rPr>
          <w:rFonts w:ascii="Garamond" w:hAnsi="Garamond"/>
        </w:rPr>
        <w:t>Sürekli Umut Ölçeği (Akman ve Korkut, 1996) ve Geleceğe İlişkin Umut Ölçeği (Güler, 200</w:t>
      </w:r>
      <w:r w:rsidR="00353B56" w:rsidRPr="00243C62">
        <w:rPr>
          <w:rFonts w:ascii="Garamond" w:hAnsi="Garamond"/>
        </w:rPr>
        <w:t>4</w:t>
      </w:r>
      <w:r w:rsidRPr="00243C62">
        <w:rPr>
          <w:rFonts w:ascii="Garamond" w:hAnsi="Garamond"/>
        </w:rPr>
        <w:t xml:space="preserve">) </w:t>
      </w:r>
      <w:r w:rsidR="005B6B22" w:rsidRPr="00243C62">
        <w:rPr>
          <w:rFonts w:ascii="Garamond" w:hAnsi="Garamond"/>
        </w:rPr>
        <w:t xml:space="preserve">punları </w:t>
      </w:r>
      <w:r w:rsidRPr="00243C62">
        <w:rPr>
          <w:rFonts w:ascii="Garamond" w:hAnsi="Garamond"/>
        </w:rPr>
        <w:t>arasındaki ilişki</w:t>
      </w:r>
      <w:r w:rsidR="005B6B22" w:rsidRPr="00243C62">
        <w:rPr>
          <w:rFonts w:ascii="Garamond" w:hAnsi="Garamond"/>
        </w:rPr>
        <w:t>ler</w:t>
      </w:r>
      <w:r w:rsidRPr="00243C62">
        <w:rPr>
          <w:rFonts w:ascii="Garamond" w:hAnsi="Garamond"/>
        </w:rPr>
        <w:t xml:space="preserve"> incelemiştir. </w:t>
      </w:r>
      <w:r w:rsidR="005B6B22" w:rsidRPr="00243C62">
        <w:rPr>
          <w:rFonts w:ascii="Garamond" w:hAnsi="Garamond"/>
        </w:rPr>
        <w:t>GOÖ’nin</w:t>
      </w:r>
      <w:r w:rsidRPr="00243C62">
        <w:rPr>
          <w:rFonts w:ascii="Garamond" w:hAnsi="Garamond"/>
        </w:rPr>
        <w:t xml:space="preserve"> güvenirliği </w:t>
      </w:r>
      <w:r w:rsidR="005B6B22" w:rsidRPr="00243C62">
        <w:rPr>
          <w:rFonts w:ascii="Garamond" w:hAnsi="Garamond"/>
        </w:rPr>
        <w:t>için</w:t>
      </w:r>
      <w:r w:rsidR="00AA485B" w:rsidRPr="00243C62">
        <w:rPr>
          <w:rFonts w:ascii="Garamond" w:hAnsi="Garamond"/>
        </w:rPr>
        <w:t xml:space="preserve">, </w:t>
      </w:r>
      <w:r w:rsidR="005B6B22" w:rsidRPr="00243C62">
        <w:rPr>
          <w:rFonts w:ascii="Garamond" w:hAnsi="Garamond"/>
        </w:rPr>
        <w:t xml:space="preserve"> </w:t>
      </w:r>
      <w:r w:rsidRPr="00243C62">
        <w:rPr>
          <w:rFonts w:ascii="Garamond" w:hAnsi="Garamond"/>
        </w:rPr>
        <w:t>Cronbach Alpha iç tuta</w:t>
      </w:r>
      <w:r w:rsidR="00554B4E" w:rsidRPr="00243C62">
        <w:rPr>
          <w:rFonts w:ascii="Garamond" w:hAnsi="Garamond"/>
        </w:rPr>
        <w:t>rlı</w:t>
      </w:r>
      <w:r w:rsidRPr="00243C62">
        <w:rPr>
          <w:rFonts w:ascii="Garamond" w:hAnsi="Garamond"/>
        </w:rPr>
        <w:t xml:space="preserve">lık </w:t>
      </w:r>
      <w:r w:rsidR="005B6B22" w:rsidRPr="00243C62">
        <w:rPr>
          <w:rFonts w:ascii="Garamond" w:hAnsi="Garamond"/>
        </w:rPr>
        <w:t>katsayısı hesaplanmıştır.</w:t>
      </w:r>
    </w:p>
    <w:p w14:paraId="5539B5D8" w14:textId="77777777" w:rsidR="00983522" w:rsidRPr="00243C62" w:rsidRDefault="00983522" w:rsidP="00C26384">
      <w:pPr>
        <w:spacing w:line="276" w:lineRule="auto"/>
        <w:jc w:val="both"/>
      </w:pPr>
    </w:p>
    <w:p w14:paraId="2D6DB0C3" w14:textId="77777777" w:rsidR="00140EB2" w:rsidRDefault="00FE49C3" w:rsidP="00140EB2">
      <w:pPr>
        <w:spacing w:before="120" w:after="120" w:line="276" w:lineRule="auto"/>
        <w:ind w:firstLine="567"/>
        <w:jc w:val="center"/>
        <w:rPr>
          <w:rFonts w:ascii="Garamond" w:hAnsi="Garamond"/>
          <w:b/>
        </w:rPr>
      </w:pPr>
      <w:r w:rsidRPr="00243C62">
        <w:rPr>
          <w:rFonts w:ascii="Garamond" w:hAnsi="Garamond"/>
          <w:b/>
        </w:rPr>
        <w:t>YÖNTEM</w:t>
      </w:r>
    </w:p>
    <w:p w14:paraId="5D29EDD1" w14:textId="3EB47EB5" w:rsidR="00C26384" w:rsidRPr="00704B37" w:rsidRDefault="00C26384" w:rsidP="00140EB2">
      <w:pPr>
        <w:spacing w:before="120" w:after="120" w:line="276" w:lineRule="auto"/>
        <w:rPr>
          <w:rFonts w:ascii="Garamond" w:hAnsi="Garamond"/>
          <w:b/>
        </w:rPr>
      </w:pPr>
      <w:r w:rsidRPr="00243C62">
        <w:rPr>
          <w:rFonts w:ascii="Garamond" w:hAnsi="Garamond"/>
          <w:b/>
          <w:bCs/>
        </w:rPr>
        <w:t>Çalışma Grubu</w:t>
      </w:r>
    </w:p>
    <w:p w14:paraId="79E70671" w14:textId="77777777" w:rsidR="00704B37" w:rsidRDefault="005B6B22" w:rsidP="00704B37">
      <w:pPr>
        <w:spacing w:before="120" w:after="120" w:line="276" w:lineRule="auto"/>
        <w:ind w:left="-283" w:right="-283"/>
        <w:jc w:val="both"/>
        <w:rPr>
          <w:rFonts w:ascii="Garamond" w:hAnsi="Garamond"/>
        </w:rPr>
      </w:pPr>
      <w:r w:rsidRPr="00243C62">
        <w:rPr>
          <w:rFonts w:ascii="Garamond" w:hAnsi="Garamond"/>
        </w:rPr>
        <w:t>Ç</w:t>
      </w:r>
      <w:r w:rsidR="00C26384" w:rsidRPr="00243C62">
        <w:rPr>
          <w:rFonts w:ascii="Garamond" w:hAnsi="Garamond"/>
        </w:rPr>
        <w:t>alışma grubu</w:t>
      </w:r>
      <w:r w:rsidR="00354390" w:rsidRPr="00243C62">
        <w:rPr>
          <w:rFonts w:ascii="Garamond" w:hAnsi="Garamond"/>
        </w:rPr>
        <w:t xml:space="preserve">, </w:t>
      </w:r>
      <w:r w:rsidR="00C26384" w:rsidRPr="00243C62">
        <w:rPr>
          <w:rFonts w:ascii="Garamond" w:hAnsi="Garamond"/>
        </w:rPr>
        <w:t>151’i</w:t>
      </w:r>
      <w:r w:rsidR="00354390" w:rsidRPr="00243C62">
        <w:rPr>
          <w:rFonts w:ascii="Garamond" w:hAnsi="Garamond"/>
        </w:rPr>
        <w:t xml:space="preserve"> </w:t>
      </w:r>
      <w:r w:rsidR="00C26384" w:rsidRPr="00243C62">
        <w:rPr>
          <w:rFonts w:ascii="Garamond" w:hAnsi="Garamond"/>
        </w:rPr>
        <w:t>(%59.2) kız ve 102</w:t>
      </w:r>
      <w:r w:rsidR="00354390" w:rsidRPr="00243C62">
        <w:rPr>
          <w:rFonts w:ascii="Garamond" w:hAnsi="Garamond"/>
        </w:rPr>
        <w:t xml:space="preserve">’si </w:t>
      </w:r>
      <w:r w:rsidR="00C26384" w:rsidRPr="00243C62">
        <w:rPr>
          <w:rFonts w:ascii="Garamond" w:hAnsi="Garamond"/>
        </w:rPr>
        <w:t>(%40) erkek öğrenci olmak üzere toplam 25</w:t>
      </w:r>
      <w:r w:rsidR="00354390" w:rsidRPr="00243C62">
        <w:rPr>
          <w:rFonts w:ascii="Garamond" w:hAnsi="Garamond"/>
        </w:rPr>
        <w:t xml:space="preserve">3 lise öğrencisinde oluşmaktadır. Veriler </w:t>
      </w:r>
      <w:r w:rsidR="00C26384" w:rsidRPr="00243C62">
        <w:rPr>
          <w:rFonts w:ascii="Garamond" w:hAnsi="Garamond"/>
        </w:rPr>
        <w:t>Anadolu Lisesi, Sosyal Bilimler Lisesi, Fen Lisesi ve BİLSEM’</w:t>
      </w:r>
      <w:r w:rsidR="00354390" w:rsidRPr="00243C62">
        <w:rPr>
          <w:rFonts w:ascii="Garamond" w:hAnsi="Garamond"/>
        </w:rPr>
        <w:t>d</w:t>
      </w:r>
      <w:r w:rsidR="00C26384" w:rsidRPr="00243C62">
        <w:rPr>
          <w:rFonts w:ascii="Garamond" w:hAnsi="Garamond"/>
        </w:rPr>
        <w:t>e</w:t>
      </w:r>
      <w:r w:rsidR="00354390" w:rsidRPr="00243C62">
        <w:rPr>
          <w:rFonts w:ascii="Garamond" w:hAnsi="Garamond"/>
        </w:rPr>
        <w:t xml:space="preserve"> öğrenim görmekte olan lise öğrencilerinden toplanmıştır. </w:t>
      </w:r>
      <w:r w:rsidR="00C26384" w:rsidRPr="00243C62">
        <w:rPr>
          <w:rFonts w:ascii="Garamond" w:hAnsi="Garamond"/>
        </w:rPr>
        <w:t>Çalışma grubunda</w:t>
      </w:r>
      <w:r w:rsidRPr="00243C62">
        <w:rPr>
          <w:rFonts w:ascii="Garamond" w:hAnsi="Garamond"/>
        </w:rPr>
        <w:t>ki öğrencilerin</w:t>
      </w:r>
      <w:r w:rsidR="00C26384" w:rsidRPr="00243C62">
        <w:rPr>
          <w:rFonts w:ascii="Garamond" w:hAnsi="Garamond"/>
        </w:rPr>
        <w:t xml:space="preserve"> 18’i (</w:t>
      </w:r>
      <w:r w:rsidR="002F1B22" w:rsidRPr="00243C62">
        <w:rPr>
          <w:rFonts w:ascii="Garamond" w:hAnsi="Garamond"/>
        </w:rPr>
        <w:t>%</w:t>
      </w:r>
      <w:r w:rsidR="00C26384" w:rsidRPr="00243C62">
        <w:rPr>
          <w:rFonts w:ascii="Garamond" w:hAnsi="Garamond"/>
        </w:rPr>
        <w:t xml:space="preserve">7.1) hazırlık </w:t>
      </w:r>
      <w:r w:rsidRPr="00243C62">
        <w:rPr>
          <w:rFonts w:ascii="Garamond" w:hAnsi="Garamond"/>
        </w:rPr>
        <w:t>sınıfında,</w:t>
      </w:r>
      <w:r w:rsidR="00C26384" w:rsidRPr="00243C62">
        <w:rPr>
          <w:rFonts w:ascii="Garamond" w:hAnsi="Garamond"/>
        </w:rPr>
        <w:t xml:space="preserve"> 26’sı (%10.2) dokuzuncu sınıf</w:t>
      </w:r>
      <w:r w:rsidRPr="00243C62">
        <w:rPr>
          <w:rFonts w:ascii="Garamond" w:hAnsi="Garamond"/>
        </w:rPr>
        <w:t>ta,</w:t>
      </w:r>
      <w:r w:rsidR="00C26384" w:rsidRPr="00243C62">
        <w:rPr>
          <w:rFonts w:ascii="Garamond" w:hAnsi="Garamond"/>
        </w:rPr>
        <w:t xml:space="preserve"> 68’i (%26.7) onuncu sınıf</w:t>
      </w:r>
      <w:r w:rsidRPr="00243C62">
        <w:rPr>
          <w:rFonts w:ascii="Garamond" w:hAnsi="Garamond"/>
        </w:rPr>
        <w:t>ta,</w:t>
      </w:r>
      <w:r w:rsidR="00C26384" w:rsidRPr="00243C62">
        <w:rPr>
          <w:rFonts w:ascii="Garamond" w:hAnsi="Garamond"/>
        </w:rPr>
        <w:t xml:space="preserve"> 81’i (%31.8) onbirinci sınıf</w:t>
      </w:r>
      <w:r w:rsidRPr="00243C62">
        <w:rPr>
          <w:rFonts w:ascii="Garamond" w:hAnsi="Garamond"/>
        </w:rPr>
        <w:t xml:space="preserve">ta, </w:t>
      </w:r>
      <w:r w:rsidR="00C26384" w:rsidRPr="00243C62">
        <w:rPr>
          <w:rFonts w:ascii="Garamond" w:hAnsi="Garamond"/>
        </w:rPr>
        <w:t>62’si (%24.3) onikinci sınıf</w:t>
      </w:r>
      <w:r w:rsidRPr="00243C62">
        <w:rPr>
          <w:rFonts w:ascii="Garamond" w:hAnsi="Garamond"/>
        </w:rPr>
        <w:t>ta öğrenim görmekte</w:t>
      </w:r>
      <w:r w:rsidR="002F1B22" w:rsidRPr="00243C62">
        <w:rPr>
          <w:rFonts w:ascii="Garamond" w:hAnsi="Garamond"/>
        </w:rPr>
        <w:t>dir</w:t>
      </w:r>
      <w:r w:rsidRPr="00243C62">
        <w:rPr>
          <w:rFonts w:ascii="Garamond" w:hAnsi="Garamond"/>
        </w:rPr>
        <w:t>.</w:t>
      </w:r>
      <w:r w:rsidR="002F1B22" w:rsidRPr="00243C62">
        <w:rPr>
          <w:rFonts w:ascii="Garamond" w:hAnsi="Garamond"/>
        </w:rPr>
        <w:t xml:space="preserve"> </w:t>
      </w:r>
      <w:r w:rsidR="00C26384" w:rsidRPr="00243C62">
        <w:rPr>
          <w:rFonts w:ascii="Garamond" w:hAnsi="Garamond"/>
        </w:rPr>
        <w:t xml:space="preserve">Araştırmanın çalışma grubu </w:t>
      </w:r>
      <w:r w:rsidR="00C26384" w:rsidRPr="00243C62">
        <w:rPr>
          <w:rFonts w:ascii="Garamond" w:hAnsi="Garamond"/>
          <w:noProof/>
        </w:rPr>
        <w:t>kolay</w:t>
      </w:r>
      <w:r w:rsidR="005D3E0F" w:rsidRPr="00243C62">
        <w:rPr>
          <w:rFonts w:ascii="Garamond" w:hAnsi="Garamond"/>
          <w:noProof/>
        </w:rPr>
        <w:t xml:space="preserve"> erişilebilen</w:t>
      </w:r>
      <w:r w:rsidR="00AA485B" w:rsidRPr="00243C62">
        <w:rPr>
          <w:rFonts w:ascii="Garamond" w:hAnsi="Garamond"/>
          <w:noProof/>
        </w:rPr>
        <w:t xml:space="preserve"> </w:t>
      </w:r>
      <w:r w:rsidR="00C26384" w:rsidRPr="00243C62">
        <w:rPr>
          <w:rFonts w:ascii="Garamond" w:hAnsi="Garamond"/>
          <w:noProof/>
        </w:rPr>
        <w:t xml:space="preserve">örnekleme yöntemi ile oluşturulmuştur. </w:t>
      </w:r>
    </w:p>
    <w:p w14:paraId="5E81FB63" w14:textId="569DAC47" w:rsidR="00B01FD1" w:rsidRPr="00704B37" w:rsidRDefault="006C0CC4" w:rsidP="00704B37">
      <w:pPr>
        <w:spacing w:before="120" w:after="120" w:line="276" w:lineRule="auto"/>
        <w:ind w:left="-283" w:right="-283"/>
        <w:jc w:val="both"/>
        <w:rPr>
          <w:rFonts w:ascii="Garamond" w:hAnsi="Garamond"/>
        </w:rPr>
      </w:pPr>
      <w:r w:rsidRPr="00243C62">
        <w:rPr>
          <w:rFonts w:ascii="Garamond" w:hAnsi="Garamond"/>
          <w:b/>
          <w:bCs/>
        </w:rPr>
        <w:t>İşlem</w:t>
      </w:r>
      <w:r w:rsidR="00B01FD1" w:rsidRPr="00243C62">
        <w:rPr>
          <w:rFonts w:ascii="Garamond" w:hAnsi="Garamond"/>
          <w:b/>
          <w:bCs/>
        </w:rPr>
        <w:t xml:space="preserve"> </w:t>
      </w:r>
    </w:p>
    <w:p w14:paraId="3B2FFFC0" w14:textId="4BA04D05" w:rsidR="00554B4E" w:rsidRPr="00243C62" w:rsidRDefault="0016056D" w:rsidP="00704B37">
      <w:pPr>
        <w:spacing w:before="120" w:after="120" w:line="276" w:lineRule="auto"/>
        <w:ind w:left="-284" w:right="-284"/>
        <w:jc w:val="both"/>
        <w:rPr>
          <w:rFonts w:ascii="Garamond" w:hAnsi="Garamond"/>
        </w:rPr>
      </w:pPr>
      <w:r w:rsidRPr="00243C62">
        <w:rPr>
          <w:rFonts w:ascii="Garamond" w:hAnsi="Garamond"/>
        </w:rPr>
        <w:lastRenderedPageBreak/>
        <w:t xml:space="preserve">Araştırmanın tüm aşamalarında etik ilke ve esaslara uygun olarak hareket edilmiştir. </w:t>
      </w:r>
      <w:r w:rsidR="00811C5E" w:rsidRPr="00243C62">
        <w:rPr>
          <w:rFonts w:ascii="Garamond" w:hAnsi="Garamond"/>
        </w:rPr>
        <w:t>Önce Türkiye’deki lise öğrencilerine uyarlaması yapılacak Gelecek</w:t>
      </w:r>
      <w:r w:rsidR="00046D2A" w:rsidRPr="00243C62">
        <w:rPr>
          <w:rFonts w:ascii="Garamond" w:hAnsi="Garamond"/>
        </w:rPr>
        <w:t xml:space="preserve"> </w:t>
      </w:r>
      <w:r w:rsidR="00811C5E" w:rsidRPr="00243C62">
        <w:rPr>
          <w:rFonts w:ascii="Garamond" w:hAnsi="Garamond"/>
        </w:rPr>
        <w:t>Oryantasyonu Ölçeği’nin</w:t>
      </w:r>
      <w:r w:rsidR="00046D2A" w:rsidRPr="00243C62">
        <w:rPr>
          <w:rFonts w:ascii="Garamond" w:hAnsi="Garamond"/>
        </w:rPr>
        <w:t xml:space="preserve"> </w:t>
      </w:r>
      <w:r w:rsidR="00811C5E" w:rsidRPr="00243C62">
        <w:rPr>
          <w:rFonts w:ascii="Garamond" w:hAnsi="Garamond"/>
        </w:rPr>
        <w:t>(</w:t>
      </w:r>
      <w:r w:rsidR="00054FC5" w:rsidRPr="00243C62">
        <w:rPr>
          <w:rFonts w:ascii="Garamond" w:hAnsi="Garamond"/>
        </w:rPr>
        <w:t>GOÖ</w:t>
      </w:r>
      <w:r w:rsidR="00811C5E" w:rsidRPr="00243C62">
        <w:rPr>
          <w:rFonts w:ascii="Garamond" w:hAnsi="Garamond"/>
        </w:rPr>
        <w:t>) yazarlarından GOÖ’nin uyarlaması için</w:t>
      </w:r>
      <w:r w:rsidR="00046D2A" w:rsidRPr="00243C62">
        <w:rPr>
          <w:rFonts w:ascii="Garamond" w:hAnsi="Garamond"/>
        </w:rPr>
        <w:t xml:space="preserve"> </w:t>
      </w:r>
      <w:r w:rsidR="00811C5E" w:rsidRPr="00243C62">
        <w:rPr>
          <w:rFonts w:ascii="Garamond" w:hAnsi="Garamond"/>
        </w:rPr>
        <w:t>izin istenmiştir. Sürekli Umut Ölçeği’ni (Akman</w:t>
      </w:r>
      <w:r w:rsidR="00154342" w:rsidRPr="00243C62">
        <w:rPr>
          <w:rFonts w:ascii="Garamond" w:hAnsi="Garamond"/>
        </w:rPr>
        <w:t xml:space="preserve"> &amp; </w:t>
      </w:r>
      <w:r w:rsidR="00811C5E" w:rsidRPr="00243C62">
        <w:rPr>
          <w:rFonts w:ascii="Garamond" w:hAnsi="Garamond"/>
        </w:rPr>
        <w:t>Korkut, 1996) ve Geleceğe İlişkin Umut Ölçeği’ni</w:t>
      </w:r>
      <w:r w:rsidR="00046D2A" w:rsidRPr="00243C62">
        <w:rPr>
          <w:rFonts w:ascii="Garamond" w:hAnsi="Garamond"/>
        </w:rPr>
        <w:t xml:space="preserve"> </w:t>
      </w:r>
      <w:r w:rsidR="00811C5E" w:rsidRPr="00243C62">
        <w:rPr>
          <w:rFonts w:ascii="Garamond" w:hAnsi="Garamond"/>
        </w:rPr>
        <w:t>(Güler, 20</w:t>
      </w:r>
      <w:r w:rsidR="00353B56" w:rsidRPr="00243C62">
        <w:rPr>
          <w:rFonts w:ascii="Garamond" w:hAnsi="Garamond"/>
        </w:rPr>
        <w:t>04</w:t>
      </w:r>
      <w:r w:rsidR="00811C5E" w:rsidRPr="00243C62">
        <w:rPr>
          <w:rFonts w:ascii="Garamond" w:hAnsi="Garamond"/>
        </w:rPr>
        <w:t xml:space="preserve">) GOÖ’nin ölçüt bağıntılı geçerlik çalışmasında kullanmak için </w:t>
      </w:r>
      <w:r w:rsidRPr="00243C62">
        <w:rPr>
          <w:rFonts w:ascii="Garamond" w:hAnsi="Garamond"/>
        </w:rPr>
        <w:t>ölçeği geliştiren sorumlu yazarlar</w:t>
      </w:r>
      <w:r w:rsidR="00811C5E" w:rsidRPr="00243C62">
        <w:rPr>
          <w:rFonts w:ascii="Garamond" w:hAnsi="Garamond"/>
        </w:rPr>
        <w:t>dan izin istenmiştir</w:t>
      </w:r>
      <w:r w:rsidR="00AC58E6" w:rsidRPr="00243C62">
        <w:rPr>
          <w:rFonts w:ascii="Garamond" w:hAnsi="Garamond"/>
        </w:rPr>
        <w:t>.</w:t>
      </w:r>
      <w:r w:rsidR="00046D2A" w:rsidRPr="00243C62">
        <w:rPr>
          <w:rFonts w:ascii="Garamond" w:hAnsi="Garamond"/>
        </w:rPr>
        <w:t xml:space="preserve"> </w:t>
      </w:r>
      <w:r w:rsidRPr="00243C62">
        <w:rPr>
          <w:rFonts w:ascii="Garamond" w:hAnsi="Garamond"/>
        </w:rPr>
        <w:t>Bu aşamanın ardından</w:t>
      </w:r>
      <w:r w:rsidR="000205B5" w:rsidRPr="00243C62">
        <w:rPr>
          <w:rFonts w:ascii="Garamond" w:hAnsi="Garamond"/>
        </w:rPr>
        <w:t xml:space="preserve"> Gazi </w:t>
      </w:r>
      <w:r w:rsidRPr="00243C62">
        <w:rPr>
          <w:rFonts w:ascii="Garamond" w:hAnsi="Garamond"/>
        </w:rPr>
        <w:t>Üniversitesi Etik Komisyonuna başvurarak gerekli izin alınmıştır.</w:t>
      </w:r>
      <w:r w:rsidR="000205B5" w:rsidRPr="00243C62">
        <w:rPr>
          <w:rFonts w:ascii="Garamond" w:hAnsi="Garamond"/>
        </w:rPr>
        <w:t xml:space="preserve"> Gazi </w:t>
      </w:r>
      <w:r w:rsidRPr="00243C62">
        <w:rPr>
          <w:rFonts w:ascii="Garamond" w:hAnsi="Garamond"/>
        </w:rPr>
        <w:t>Üniversitesi Etik Komisyonun</w:t>
      </w:r>
      <w:r w:rsidR="00AC58E6" w:rsidRPr="00243C62">
        <w:rPr>
          <w:rFonts w:ascii="Garamond" w:hAnsi="Garamond"/>
        </w:rPr>
        <w:t xml:space="preserve">dan izin aldıktan sonra </w:t>
      </w:r>
      <w:r w:rsidRPr="00243C62">
        <w:rPr>
          <w:rFonts w:ascii="Garamond" w:hAnsi="Garamond"/>
        </w:rPr>
        <w:t>Milli Eğitim Bakanlığına</w:t>
      </w:r>
      <w:r w:rsidR="00DE46C5" w:rsidRPr="00243C62">
        <w:rPr>
          <w:rFonts w:ascii="Garamond" w:hAnsi="Garamond"/>
        </w:rPr>
        <w:t xml:space="preserve"> (MEB)</w:t>
      </w:r>
      <w:r w:rsidR="000205B5" w:rsidRPr="00243C62">
        <w:rPr>
          <w:rFonts w:ascii="Garamond" w:hAnsi="Garamond"/>
        </w:rPr>
        <w:t xml:space="preserve"> bağlı</w:t>
      </w:r>
      <w:r w:rsidR="00D602D5" w:rsidRPr="00243C62">
        <w:rPr>
          <w:rFonts w:ascii="Garamond" w:hAnsi="Garamond"/>
        </w:rPr>
        <w:t xml:space="preserve"> </w:t>
      </w:r>
      <w:r w:rsidR="000205B5" w:rsidRPr="00243C62">
        <w:rPr>
          <w:rFonts w:ascii="Garamond" w:hAnsi="Garamond"/>
        </w:rPr>
        <w:t>liselerde</w:t>
      </w:r>
      <w:r w:rsidR="00EE24FF" w:rsidRPr="00243C62">
        <w:rPr>
          <w:rFonts w:ascii="Garamond" w:hAnsi="Garamond"/>
        </w:rPr>
        <w:t xml:space="preserve"> öğrenim gören </w:t>
      </w:r>
      <w:r w:rsidR="00AC58E6" w:rsidRPr="00243C62">
        <w:rPr>
          <w:rFonts w:ascii="Garamond" w:hAnsi="Garamond"/>
        </w:rPr>
        <w:t>öğr</w:t>
      </w:r>
      <w:r w:rsidR="00054FC5" w:rsidRPr="00243C62">
        <w:rPr>
          <w:rFonts w:ascii="Garamond" w:hAnsi="Garamond"/>
        </w:rPr>
        <w:t>encilerinden veri toplamak için</w:t>
      </w:r>
      <w:r w:rsidRPr="00243C62">
        <w:rPr>
          <w:rFonts w:ascii="Garamond" w:hAnsi="Garamond"/>
        </w:rPr>
        <w:t xml:space="preserve"> </w:t>
      </w:r>
      <w:r w:rsidR="00AC58E6" w:rsidRPr="00243C62">
        <w:rPr>
          <w:rFonts w:ascii="Garamond" w:hAnsi="Garamond"/>
        </w:rPr>
        <w:t xml:space="preserve">başvuru yapılmış ve </w:t>
      </w:r>
      <w:r w:rsidRPr="00243C62">
        <w:rPr>
          <w:rFonts w:ascii="Garamond" w:hAnsi="Garamond"/>
        </w:rPr>
        <w:t>gerekli izin al</w:t>
      </w:r>
      <w:r w:rsidR="00353B56" w:rsidRPr="00243C62">
        <w:rPr>
          <w:rFonts w:ascii="Garamond" w:hAnsi="Garamond"/>
        </w:rPr>
        <w:t>ın</w:t>
      </w:r>
      <w:r w:rsidRPr="00243C62">
        <w:rPr>
          <w:rFonts w:ascii="Garamond" w:hAnsi="Garamond"/>
        </w:rPr>
        <w:t>mış</w:t>
      </w:r>
      <w:r w:rsidR="00AC58E6" w:rsidRPr="00243C62">
        <w:rPr>
          <w:rFonts w:ascii="Garamond" w:hAnsi="Garamond"/>
        </w:rPr>
        <w:t>tır. Veri toplama</w:t>
      </w:r>
      <w:r w:rsidRPr="00243C62">
        <w:rPr>
          <w:rFonts w:ascii="Garamond" w:hAnsi="Garamond"/>
        </w:rPr>
        <w:t xml:space="preserve"> sürecinde katılımcılara ve ebeveynlere bilgilendirimiş onam formları sunulmuş</w:t>
      </w:r>
      <w:r w:rsidR="00046D2A" w:rsidRPr="00243C62">
        <w:rPr>
          <w:rFonts w:ascii="Garamond" w:hAnsi="Garamond"/>
        </w:rPr>
        <w:t xml:space="preserve"> </w:t>
      </w:r>
      <w:r w:rsidR="003E73AB" w:rsidRPr="00243C62">
        <w:rPr>
          <w:rFonts w:ascii="Garamond" w:hAnsi="Garamond"/>
        </w:rPr>
        <w:t>ve</w:t>
      </w:r>
      <w:r w:rsidR="00046D2A" w:rsidRPr="00243C62">
        <w:rPr>
          <w:rFonts w:ascii="Garamond" w:hAnsi="Garamond"/>
        </w:rPr>
        <w:t xml:space="preserve"> </w:t>
      </w:r>
      <w:r w:rsidRPr="00243C62">
        <w:rPr>
          <w:rFonts w:ascii="Garamond" w:hAnsi="Garamond"/>
        </w:rPr>
        <w:t xml:space="preserve">istedikleri takdirde araştırmadan çekilebilecekleri yönünde açıklamalar yapılmıştır. Araştırma sürecinde katılımcılar için tanımlayıcı herhangi bir kişisel bilgiye yer verilmemiştir. </w:t>
      </w:r>
      <w:r w:rsidR="001D138D" w:rsidRPr="00243C62">
        <w:rPr>
          <w:rFonts w:ascii="Garamond" w:hAnsi="Garamond"/>
        </w:rPr>
        <w:t xml:space="preserve">Araştırma kapsamında yer alan veri toplama araçları ve kişisel bilgi formu okul psikolojik danışmanı ve branş öğretmenleri tarafından veri toplama günü sınıfında bulunan ve araştırmaya katılmaya gönüllü öğrencilere uygulanmıştır. Uygulama öncesinde Gelecek Oryantasyonu </w:t>
      </w:r>
      <w:r w:rsidR="0065791F" w:rsidRPr="00243C62">
        <w:rPr>
          <w:rFonts w:ascii="Garamond" w:hAnsi="Garamond"/>
        </w:rPr>
        <w:t>Ö</w:t>
      </w:r>
      <w:r w:rsidR="001D138D" w:rsidRPr="00243C62">
        <w:rPr>
          <w:rFonts w:ascii="Garamond" w:hAnsi="Garamond"/>
        </w:rPr>
        <w:t xml:space="preserve">lçeği, Sürekli Umut Ölçeği ve Geleceğe İlişkin Umut </w:t>
      </w:r>
      <w:r w:rsidR="0065791F" w:rsidRPr="00243C62">
        <w:rPr>
          <w:rFonts w:ascii="Garamond" w:hAnsi="Garamond"/>
        </w:rPr>
        <w:t>Ö</w:t>
      </w:r>
      <w:r w:rsidR="001D138D" w:rsidRPr="00243C62">
        <w:rPr>
          <w:rFonts w:ascii="Garamond" w:hAnsi="Garamond"/>
        </w:rPr>
        <w:t>lçeği yönergeleri uygulayıcılar tarafından okunmuş olup ve araştırmacının amacı ha</w:t>
      </w:r>
      <w:r w:rsidR="00554B4E" w:rsidRPr="00243C62">
        <w:rPr>
          <w:rFonts w:ascii="Garamond" w:hAnsi="Garamond"/>
        </w:rPr>
        <w:t xml:space="preserve">kkında kısa bilgi verilmiştir. </w:t>
      </w:r>
      <w:r w:rsidR="00E63B17" w:rsidRPr="00243C62">
        <w:rPr>
          <w:rFonts w:ascii="Garamond" w:hAnsi="Garamond"/>
        </w:rPr>
        <w:t xml:space="preserve">Araştırmanın verileri 2021-2022 eğitim öğretim yılı içerisinde toplanmıştır. </w:t>
      </w:r>
    </w:p>
    <w:p w14:paraId="67A2E61C" w14:textId="4C97A4F6" w:rsidR="003E73AB" w:rsidRPr="00243C62" w:rsidRDefault="003E73AB" w:rsidP="00353B56">
      <w:pPr>
        <w:spacing w:before="120" w:after="120" w:line="276" w:lineRule="auto"/>
        <w:ind w:right="-283"/>
        <w:jc w:val="both"/>
        <w:rPr>
          <w:rFonts w:ascii="Garamond" w:hAnsi="Garamond"/>
          <w:b/>
          <w:bCs/>
        </w:rPr>
      </w:pPr>
      <w:r w:rsidRPr="00243C62">
        <w:rPr>
          <w:rFonts w:ascii="Garamond" w:hAnsi="Garamond"/>
          <w:b/>
          <w:bCs/>
        </w:rPr>
        <w:t>Veri Toplama Araçları</w:t>
      </w:r>
    </w:p>
    <w:p w14:paraId="47F4DF8F" w14:textId="38A13B71" w:rsidR="009E6092" w:rsidRPr="00243C62" w:rsidRDefault="003E73AB" w:rsidP="00704B37">
      <w:pPr>
        <w:spacing w:before="120" w:after="120" w:line="276" w:lineRule="auto"/>
        <w:ind w:right="-283"/>
        <w:jc w:val="both"/>
        <w:rPr>
          <w:rFonts w:ascii="Garamond" w:hAnsi="Garamond"/>
        </w:rPr>
      </w:pPr>
      <w:r w:rsidRPr="00243C62">
        <w:rPr>
          <w:rFonts w:ascii="Garamond" w:hAnsi="Garamond"/>
          <w:b/>
          <w:bCs/>
          <w:iCs/>
        </w:rPr>
        <w:t>Kişisel Bilgi Formu</w:t>
      </w:r>
    </w:p>
    <w:p w14:paraId="2362B2E4" w14:textId="77777777" w:rsidR="00704B37" w:rsidRDefault="003E73AB" w:rsidP="00704B37">
      <w:pPr>
        <w:spacing w:before="120" w:after="120" w:line="276" w:lineRule="auto"/>
        <w:ind w:left="-283" w:right="-283"/>
        <w:jc w:val="both"/>
        <w:rPr>
          <w:rFonts w:ascii="Garamond" w:hAnsi="Garamond"/>
        </w:rPr>
      </w:pPr>
      <w:r w:rsidRPr="00243C62">
        <w:rPr>
          <w:rFonts w:ascii="Garamond" w:hAnsi="Garamond"/>
        </w:rPr>
        <w:t>Araştırmacılar tarafından Kişisel Bilgi Formu hazırlanmıştır. Bu formda cinsiyet, yaş, sınıf düzeyi, sosyo-ekonomik düzey ve akademik başarı düzeyi ile ilgili sorular sorulmuştur.</w:t>
      </w:r>
      <w:r w:rsidR="00046D2A" w:rsidRPr="00243C62">
        <w:rPr>
          <w:rFonts w:ascii="Garamond" w:hAnsi="Garamond"/>
        </w:rPr>
        <w:t xml:space="preserve"> </w:t>
      </w:r>
    </w:p>
    <w:p w14:paraId="1D49AB7F" w14:textId="77777777" w:rsidR="00704B37" w:rsidRDefault="00FE467F" w:rsidP="00704B37">
      <w:pPr>
        <w:spacing w:before="120" w:after="120" w:line="276" w:lineRule="auto"/>
        <w:ind w:left="-283" w:right="-283"/>
        <w:jc w:val="both"/>
        <w:rPr>
          <w:rFonts w:ascii="Garamond" w:hAnsi="Garamond"/>
        </w:rPr>
      </w:pPr>
      <w:r w:rsidRPr="00243C62">
        <w:rPr>
          <w:rFonts w:ascii="Garamond" w:hAnsi="Garamond"/>
          <w:b/>
          <w:bCs/>
        </w:rPr>
        <w:t>Gelecek Oryantasyonu Ölçeğ</w:t>
      </w:r>
      <w:r w:rsidR="00704B37">
        <w:rPr>
          <w:rFonts w:ascii="Garamond" w:hAnsi="Garamond"/>
          <w:b/>
          <w:bCs/>
        </w:rPr>
        <w:t>i</w:t>
      </w:r>
    </w:p>
    <w:p w14:paraId="6A3B6EE5" w14:textId="77777777" w:rsidR="00704B37" w:rsidRDefault="001D138D" w:rsidP="00704B37">
      <w:pPr>
        <w:spacing w:before="120" w:after="120" w:line="276" w:lineRule="auto"/>
        <w:ind w:left="-283" w:right="-283"/>
        <w:jc w:val="both"/>
        <w:rPr>
          <w:rFonts w:ascii="Garamond" w:hAnsi="Garamond"/>
        </w:rPr>
      </w:pPr>
      <w:r w:rsidRPr="00243C62">
        <w:rPr>
          <w:rFonts w:ascii="Garamond" w:hAnsi="Garamond"/>
          <w:color w:val="000000" w:themeColor="text1"/>
        </w:rPr>
        <w:t>Gelecek Oryantasyonu Ölçeği</w:t>
      </w:r>
      <w:r w:rsidR="00EB47B0" w:rsidRPr="00243C62">
        <w:rPr>
          <w:rFonts w:ascii="Garamond" w:hAnsi="Garamond"/>
          <w:color w:val="000000" w:themeColor="text1"/>
        </w:rPr>
        <w:t>’nin orijinali</w:t>
      </w:r>
      <w:r w:rsidRPr="00243C62">
        <w:rPr>
          <w:rFonts w:ascii="Garamond" w:hAnsi="Garamond"/>
          <w:color w:val="000000" w:themeColor="text1"/>
        </w:rPr>
        <w:t xml:space="preserve"> Bowen ve Richman (2008) tarafından </w:t>
      </w:r>
      <w:r w:rsidR="00EB47B0" w:rsidRPr="00243C62">
        <w:rPr>
          <w:rFonts w:ascii="Garamond" w:hAnsi="Garamond"/>
          <w:color w:val="000000" w:themeColor="text1"/>
        </w:rPr>
        <w:t xml:space="preserve">ortaokul ve lise öğrencileri için </w:t>
      </w:r>
      <w:r w:rsidRPr="00243C62">
        <w:rPr>
          <w:rFonts w:ascii="Garamond" w:hAnsi="Garamond"/>
          <w:color w:val="000000" w:themeColor="text1"/>
        </w:rPr>
        <w:t>geliştirilmiştir. Ölçekteki maddeler özellikle gençlerin geleceğe ilişkin amaçlarına odaklanmaktadır. Ölçek 12 maddeden oluşmaktadır</w:t>
      </w:r>
      <w:r w:rsidR="00EB47B0" w:rsidRPr="00243C62">
        <w:rPr>
          <w:rFonts w:ascii="Garamond" w:hAnsi="Garamond"/>
          <w:color w:val="000000" w:themeColor="text1"/>
        </w:rPr>
        <w:t>.</w:t>
      </w:r>
      <w:r w:rsidRPr="00243C62">
        <w:rPr>
          <w:rFonts w:ascii="Garamond" w:hAnsi="Garamond"/>
          <w:color w:val="000000" w:themeColor="text1"/>
        </w:rPr>
        <w:t xml:space="preserve"> </w:t>
      </w:r>
      <w:r w:rsidR="00EB47B0" w:rsidRPr="00243C62">
        <w:rPr>
          <w:rFonts w:ascii="Garamond" w:hAnsi="Garamond"/>
          <w:color w:val="000000" w:themeColor="text1"/>
        </w:rPr>
        <w:t>Ölçek ö</w:t>
      </w:r>
      <w:r w:rsidRPr="00243C62">
        <w:rPr>
          <w:rFonts w:ascii="Garamond" w:hAnsi="Garamond"/>
          <w:color w:val="000000" w:themeColor="text1"/>
        </w:rPr>
        <w:t>ğrencilerin geleceğe iliş</w:t>
      </w:r>
      <w:r w:rsidR="000B601C" w:rsidRPr="00243C62">
        <w:rPr>
          <w:rFonts w:ascii="Garamond" w:hAnsi="Garamond"/>
          <w:color w:val="000000" w:themeColor="text1"/>
        </w:rPr>
        <w:t>k</w:t>
      </w:r>
      <w:r w:rsidRPr="00243C62">
        <w:rPr>
          <w:rFonts w:ascii="Garamond" w:hAnsi="Garamond"/>
          <w:color w:val="000000" w:themeColor="text1"/>
        </w:rPr>
        <w:t xml:space="preserve">in pozitif </w:t>
      </w:r>
      <w:r w:rsidR="00EB47B0" w:rsidRPr="00243C62">
        <w:rPr>
          <w:rFonts w:ascii="Garamond" w:hAnsi="Garamond"/>
          <w:color w:val="000000" w:themeColor="text1"/>
        </w:rPr>
        <w:t>algılarını,</w:t>
      </w:r>
      <w:r w:rsidRPr="00243C62">
        <w:rPr>
          <w:rFonts w:ascii="Garamond" w:hAnsi="Garamond"/>
          <w:color w:val="000000" w:themeColor="text1"/>
        </w:rPr>
        <w:t xml:space="preserve"> başarılı olaca</w:t>
      </w:r>
      <w:r w:rsidR="008E261B" w:rsidRPr="00243C62">
        <w:rPr>
          <w:rFonts w:ascii="Garamond" w:hAnsi="Garamond"/>
          <w:color w:val="000000" w:themeColor="text1"/>
        </w:rPr>
        <w:t>klarına</w:t>
      </w:r>
      <w:r w:rsidRPr="00243C62">
        <w:rPr>
          <w:rFonts w:ascii="Garamond" w:hAnsi="Garamond"/>
          <w:color w:val="000000" w:themeColor="text1"/>
        </w:rPr>
        <w:t xml:space="preserve"> dair inançlarını ve lise eğitimini tamamlayıp üniversiteye devam etmeleri</w:t>
      </w:r>
      <w:r w:rsidR="008E261B" w:rsidRPr="00243C62">
        <w:rPr>
          <w:rFonts w:ascii="Garamond" w:hAnsi="Garamond"/>
          <w:color w:val="000000" w:themeColor="text1"/>
        </w:rPr>
        <w:t xml:space="preserve">ni içeren </w:t>
      </w:r>
      <w:r w:rsidR="004160F6" w:rsidRPr="00243C62">
        <w:rPr>
          <w:rFonts w:ascii="Garamond" w:hAnsi="Garamond"/>
          <w:color w:val="000000" w:themeColor="text1"/>
        </w:rPr>
        <w:t>ifadeleri/</w:t>
      </w:r>
      <w:r w:rsidR="008E261B" w:rsidRPr="00243C62">
        <w:rPr>
          <w:rFonts w:ascii="Garamond" w:hAnsi="Garamond"/>
          <w:color w:val="000000" w:themeColor="text1"/>
        </w:rPr>
        <w:t xml:space="preserve">maddeleri </w:t>
      </w:r>
      <w:r w:rsidRPr="00243C62">
        <w:rPr>
          <w:rFonts w:ascii="Garamond" w:hAnsi="Garamond"/>
          <w:color w:val="000000" w:themeColor="text1"/>
        </w:rPr>
        <w:t xml:space="preserve">içermektedir. Ölçek 4’lü likert tipindedir (1= Kesinlikle katılmıyorum, 4=Kesinlikle katılıyorum). </w:t>
      </w:r>
      <w:r w:rsidR="00EB47B0" w:rsidRPr="00243C62">
        <w:rPr>
          <w:rFonts w:ascii="Garamond" w:hAnsi="Garamond"/>
          <w:color w:val="000000" w:themeColor="text1"/>
        </w:rPr>
        <w:t xml:space="preserve">Ölçek </w:t>
      </w:r>
      <w:r w:rsidRPr="00243C62">
        <w:rPr>
          <w:rFonts w:ascii="Garamond" w:hAnsi="Garamond"/>
          <w:color w:val="000000" w:themeColor="text1"/>
        </w:rPr>
        <w:t xml:space="preserve">maddeleri </w:t>
      </w:r>
      <w:r w:rsidR="008E261B" w:rsidRPr="00243C62">
        <w:rPr>
          <w:rFonts w:ascii="Garamond" w:hAnsi="Garamond"/>
          <w:color w:val="000000" w:themeColor="text1"/>
        </w:rPr>
        <w:t xml:space="preserve">duygusal boyutundaki </w:t>
      </w:r>
      <w:r w:rsidR="00EB47B0" w:rsidRPr="00243C62">
        <w:rPr>
          <w:rFonts w:ascii="Garamond" w:hAnsi="Garamond"/>
          <w:color w:val="000000" w:themeColor="text1"/>
        </w:rPr>
        <w:t>“</w:t>
      </w:r>
      <w:r w:rsidRPr="00243C62">
        <w:rPr>
          <w:rFonts w:ascii="Garamond" w:hAnsi="Garamond"/>
          <w:color w:val="000000" w:themeColor="text1"/>
        </w:rPr>
        <w:t>başarılı bir hayatım olacağına inanırım</w:t>
      </w:r>
      <w:r w:rsidR="00EB47B0" w:rsidRPr="00243C62">
        <w:rPr>
          <w:rFonts w:ascii="Garamond" w:hAnsi="Garamond"/>
          <w:color w:val="000000" w:themeColor="text1"/>
        </w:rPr>
        <w:t>”,</w:t>
      </w:r>
      <w:r w:rsidRPr="00243C62">
        <w:rPr>
          <w:rFonts w:ascii="Garamond" w:hAnsi="Garamond"/>
          <w:color w:val="000000" w:themeColor="text1"/>
        </w:rPr>
        <w:t xml:space="preserve"> bilişsel boyutu</w:t>
      </w:r>
      <w:r w:rsidR="008E261B" w:rsidRPr="00243C62">
        <w:rPr>
          <w:rFonts w:ascii="Garamond" w:hAnsi="Garamond"/>
          <w:color w:val="000000" w:themeColor="text1"/>
        </w:rPr>
        <w:t>ndaki</w:t>
      </w:r>
      <w:r w:rsidRPr="00243C62">
        <w:rPr>
          <w:rFonts w:ascii="Garamond" w:hAnsi="Garamond"/>
          <w:color w:val="000000" w:themeColor="text1"/>
        </w:rPr>
        <w:t xml:space="preserve"> </w:t>
      </w:r>
      <w:r w:rsidR="00EB47B0" w:rsidRPr="00243C62">
        <w:rPr>
          <w:rFonts w:ascii="Garamond" w:hAnsi="Garamond"/>
          <w:color w:val="000000" w:themeColor="text1"/>
        </w:rPr>
        <w:t>“</w:t>
      </w:r>
      <w:r w:rsidRPr="00243C62">
        <w:rPr>
          <w:rFonts w:ascii="Garamond" w:hAnsi="Garamond"/>
          <w:color w:val="000000" w:themeColor="text1"/>
        </w:rPr>
        <w:t>okul başarısı ve hayat başarısı arasında güçlü bir bağ olduğunu düşünürüm</w:t>
      </w:r>
      <w:r w:rsidR="00EB47B0" w:rsidRPr="00243C62">
        <w:rPr>
          <w:rFonts w:ascii="Garamond" w:hAnsi="Garamond"/>
          <w:color w:val="000000" w:themeColor="text1"/>
        </w:rPr>
        <w:t>”</w:t>
      </w:r>
      <w:r w:rsidR="00622F50" w:rsidRPr="00243C62">
        <w:rPr>
          <w:rFonts w:ascii="Garamond" w:hAnsi="Garamond"/>
          <w:color w:val="000000" w:themeColor="text1"/>
        </w:rPr>
        <w:t xml:space="preserve"> </w:t>
      </w:r>
      <w:r w:rsidRPr="00243C62">
        <w:rPr>
          <w:rFonts w:ascii="Garamond" w:hAnsi="Garamond"/>
          <w:color w:val="000000" w:themeColor="text1"/>
        </w:rPr>
        <w:t>ve</w:t>
      </w:r>
      <w:r w:rsidR="00622F50" w:rsidRPr="00243C62">
        <w:rPr>
          <w:rFonts w:ascii="Garamond" w:hAnsi="Garamond"/>
          <w:color w:val="000000" w:themeColor="text1"/>
        </w:rPr>
        <w:t xml:space="preserve"> </w:t>
      </w:r>
      <w:r w:rsidRPr="00243C62">
        <w:rPr>
          <w:rFonts w:ascii="Garamond" w:hAnsi="Garamond"/>
          <w:color w:val="000000" w:themeColor="text1"/>
        </w:rPr>
        <w:t>davranışsal boyut</w:t>
      </w:r>
      <w:r w:rsidR="008E261B" w:rsidRPr="00243C62">
        <w:rPr>
          <w:rFonts w:ascii="Garamond" w:hAnsi="Garamond"/>
          <w:color w:val="000000" w:themeColor="text1"/>
        </w:rPr>
        <w:t>undaki</w:t>
      </w:r>
      <w:r w:rsidRPr="00243C62">
        <w:rPr>
          <w:rFonts w:ascii="Garamond" w:hAnsi="Garamond"/>
          <w:color w:val="000000" w:themeColor="text1"/>
        </w:rPr>
        <w:t xml:space="preserve"> </w:t>
      </w:r>
      <w:r w:rsidR="00EB47B0" w:rsidRPr="00243C62">
        <w:rPr>
          <w:rFonts w:ascii="Garamond" w:hAnsi="Garamond"/>
          <w:color w:val="000000" w:themeColor="text1"/>
        </w:rPr>
        <w:t>“</w:t>
      </w:r>
      <w:r w:rsidRPr="00243C62">
        <w:rPr>
          <w:rFonts w:ascii="Garamond" w:hAnsi="Garamond"/>
          <w:color w:val="000000" w:themeColor="text1"/>
        </w:rPr>
        <w:t>iyi bir geleceğe sahip olma şansını artırabilmek için iyi seçimler yapmaya çalışırım</w:t>
      </w:r>
      <w:r w:rsidR="00EB47B0" w:rsidRPr="00243C62">
        <w:rPr>
          <w:rFonts w:ascii="Garamond" w:hAnsi="Garamond"/>
          <w:color w:val="000000" w:themeColor="text1"/>
        </w:rPr>
        <w:t xml:space="preserve">” </w:t>
      </w:r>
      <w:r w:rsidR="008E261B" w:rsidRPr="00243C62">
        <w:rPr>
          <w:rFonts w:ascii="Garamond" w:hAnsi="Garamond"/>
          <w:color w:val="000000" w:themeColor="text1"/>
        </w:rPr>
        <w:t xml:space="preserve">ifadeleriyle </w:t>
      </w:r>
      <w:r w:rsidRPr="00243C62">
        <w:rPr>
          <w:rFonts w:ascii="Garamond" w:hAnsi="Garamond"/>
          <w:color w:val="000000" w:themeColor="text1"/>
        </w:rPr>
        <w:t xml:space="preserve">Gelecek Oryantasyonu tanımının çok yönlü unsurlarıyla tutarlıdır. </w:t>
      </w:r>
      <w:r w:rsidRPr="00243C62">
        <w:rPr>
          <w:rFonts w:ascii="Garamond" w:hAnsi="Garamond"/>
        </w:rPr>
        <w:t xml:space="preserve">Ölçeğin </w:t>
      </w:r>
      <w:r w:rsidR="008E261B" w:rsidRPr="00243C62">
        <w:rPr>
          <w:rFonts w:ascii="Garamond" w:hAnsi="Garamond"/>
        </w:rPr>
        <w:t>güvenirliği için</w:t>
      </w:r>
      <w:r w:rsidR="00046D2A" w:rsidRPr="00243C62">
        <w:rPr>
          <w:rFonts w:ascii="Garamond" w:hAnsi="Garamond"/>
        </w:rPr>
        <w:t xml:space="preserve"> </w:t>
      </w:r>
      <w:r w:rsidRPr="00243C62">
        <w:rPr>
          <w:rFonts w:ascii="Garamond" w:hAnsi="Garamond"/>
        </w:rPr>
        <w:t xml:space="preserve">Cronbach </w:t>
      </w:r>
      <w:r w:rsidR="008E261B" w:rsidRPr="00243C62">
        <w:rPr>
          <w:rFonts w:ascii="Garamond" w:hAnsi="Garamond"/>
        </w:rPr>
        <w:t xml:space="preserve">Alpha katsayısı </w:t>
      </w:r>
      <w:r w:rsidRPr="00243C62">
        <w:rPr>
          <w:rFonts w:ascii="Garamond" w:hAnsi="Garamond"/>
        </w:rPr>
        <w:t xml:space="preserve">.86 olarak hesaplanmıştır. Bu araştırma için hesaplanan </w:t>
      </w:r>
      <w:r w:rsidR="004160F6" w:rsidRPr="00243C62">
        <w:rPr>
          <w:rFonts w:ascii="Garamond" w:hAnsi="Garamond"/>
        </w:rPr>
        <w:t>C</w:t>
      </w:r>
      <w:r w:rsidRPr="00243C62">
        <w:rPr>
          <w:rFonts w:ascii="Garamond" w:hAnsi="Garamond"/>
        </w:rPr>
        <w:t xml:space="preserve">ronbach </w:t>
      </w:r>
      <w:r w:rsidR="004160F6" w:rsidRPr="00243C62">
        <w:rPr>
          <w:rFonts w:ascii="Garamond" w:hAnsi="Garamond"/>
        </w:rPr>
        <w:t xml:space="preserve">Alpha </w:t>
      </w:r>
      <w:r w:rsidRPr="00243C62">
        <w:rPr>
          <w:rFonts w:ascii="Garamond" w:hAnsi="Garamond"/>
        </w:rPr>
        <w:t>güvenirlik katsayısı</w:t>
      </w:r>
      <w:r w:rsidR="00FF4FF1" w:rsidRPr="00243C62">
        <w:rPr>
          <w:rFonts w:ascii="Garamond" w:hAnsi="Garamond"/>
        </w:rPr>
        <w:t xml:space="preserve"> </w:t>
      </w:r>
      <w:r w:rsidRPr="00243C62">
        <w:rPr>
          <w:rFonts w:ascii="Garamond" w:hAnsi="Garamond"/>
        </w:rPr>
        <w:t>.8</w:t>
      </w:r>
      <w:r w:rsidR="00F504C1" w:rsidRPr="00243C62">
        <w:rPr>
          <w:rFonts w:ascii="Garamond" w:hAnsi="Garamond"/>
        </w:rPr>
        <w:t>3</w:t>
      </w:r>
      <w:r w:rsidRPr="00243C62">
        <w:rPr>
          <w:rFonts w:ascii="Garamond" w:hAnsi="Garamond"/>
        </w:rPr>
        <w:t xml:space="preserve"> ol</w:t>
      </w:r>
      <w:r w:rsidR="008E261B" w:rsidRPr="00243C62">
        <w:rPr>
          <w:rFonts w:ascii="Garamond" w:hAnsi="Garamond"/>
        </w:rPr>
        <w:t>arak</w:t>
      </w:r>
      <w:r w:rsidRPr="00243C62">
        <w:rPr>
          <w:rFonts w:ascii="Garamond" w:hAnsi="Garamond"/>
        </w:rPr>
        <w:t xml:space="preserve"> </w:t>
      </w:r>
      <w:r w:rsidR="008E261B" w:rsidRPr="00243C62">
        <w:rPr>
          <w:rFonts w:ascii="Garamond" w:hAnsi="Garamond"/>
        </w:rPr>
        <w:t>bulunmuştur.</w:t>
      </w:r>
      <w:bookmarkStart w:id="0" w:name="_Toc128999826"/>
    </w:p>
    <w:p w14:paraId="6418E9DF" w14:textId="77777777" w:rsidR="00704B37" w:rsidRDefault="001D138D" w:rsidP="00704B37">
      <w:pPr>
        <w:spacing w:before="120" w:after="120" w:line="276" w:lineRule="auto"/>
        <w:ind w:left="-283" w:right="-283"/>
        <w:jc w:val="both"/>
        <w:rPr>
          <w:rFonts w:ascii="Garamond" w:hAnsi="Garamond"/>
        </w:rPr>
      </w:pPr>
      <w:r w:rsidRPr="00243C62">
        <w:rPr>
          <w:rFonts w:ascii="Garamond" w:hAnsi="Garamond"/>
          <w:b/>
          <w:bCs/>
          <w:color w:val="000000" w:themeColor="text1"/>
        </w:rPr>
        <w:t>Sürekli Umut Ölçeği</w:t>
      </w:r>
      <w:bookmarkEnd w:id="0"/>
    </w:p>
    <w:p w14:paraId="4C064285" w14:textId="77777777" w:rsidR="00704B37" w:rsidRDefault="00F96544" w:rsidP="00704B37">
      <w:pPr>
        <w:spacing w:before="120" w:after="120" w:line="276" w:lineRule="auto"/>
        <w:ind w:left="-283" w:right="-283"/>
        <w:jc w:val="both"/>
        <w:rPr>
          <w:rFonts w:ascii="Garamond" w:hAnsi="Garamond"/>
        </w:rPr>
      </w:pPr>
      <w:r w:rsidRPr="00243C62">
        <w:rPr>
          <w:rFonts w:ascii="Garamond" w:hAnsi="Garamond"/>
        </w:rPr>
        <w:t xml:space="preserve">Sürekli Umut Ölçeği’nin (SUÖ) </w:t>
      </w:r>
      <w:r w:rsidR="00A02B6F" w:rsidRPr="00243C62">
        <w:rPr>
          <w:rFonts w:ascii="Garamond" w:hAnsi="Garamond"/>
        </w:rPr>
        <w:t xml:space="preserve">Snyder vd. (1991) </w:t>
      </w:r>
      <w:r w:rsidR="001D138D" w:rsidRPr="00243C62">
        <w:rPr>
          <w:rFonts w:ascii="Garamond" w:hAnsi="Garamond"/>
        </w:rPr>
        <w:t>tarafından geliştiril</w:t>
      </w:r>
      <w:r w:rsidRPr="00243C62">
        <w:rPr>
          <w:rFonts w:ascii="Garamond" w:hAnsi="Garamond"/>
        </w:rPr>
        <w:t>miştir.</w:t>
      </w:r>
      <w:r w:rsidR="00A02B6F" w:rsidRPr="00243C62">
        <w:rPr>
          <w:rFonts w:ascii="Garamond" w:hAnsi="Garamond"/>
        </w:rPr>
        <w:t xml:space="preserve"> Ölçeğin Tü</w:t>
      </w:r>
      <w:r w:rsidR="00E13549" w:rsidRPr="00243C62">
        <w:rPr>
          <w:rFonts w:ascii="Garamond" w:hAnsi="Garamond"/>
        </w:rPr>
        <w:t xml:space="preserve">rk kültürüne </w:t>
      </w:r>
      <w:r w:rsidR="00A02B6F" w:rsidRPr="00243C62">
        <w:rPr>
          <w:rFonts w:ascii="Garamond" w:hAnsi="Garamond"/>
        </w:rPr>
        <w:t>uyarlama çalışmaları ise</w:t>
      </w:r>
      <w:r w:rsidR="00E13549" w:rsidRPr="00243C62">
        <w:rPr>
          <w:rFonts w:ascii="Garamond" w:hAnsi="Garamond"/>
        </w:rPr>
        <w:t xml:space="preserve"> Akman ve Korkut (1993) tarafından yapılmıştır. </w:t>
      </w:r>
      <w:r w:rsidR="00046D2A" w:rsidRPr="00243C62">
        <w:rPr>
          <w:rFonts w:ascii="Garamond" w:hAnsi="Garamond"/>
        </w:rPr>
        <w:t xml:space="preserve">SUÖ </w:t>
      </w:r>
      <w:r w:rsidR="001D138D" w:rsidRPr="00243C62">
        <w:rPr>
          <w:rFonts w:ascii="Garamond" w:hAnsi="Garamond"/>
          <w:color w:val="000000" w:themeColor="text1"/>
        </w:rPr>
        <w:t xml:space="preserve">15 yaş üzerindeki bireylere uygulanmaktadır. </w:t>
      </w:r>
      <w:r w:rsidR="001D138D" w:rsidRPr="00243C62">
        <w:rPr>
          <w:rFonts w:ascii="Garamond" w:hAnsi="Garamond"/>
        </w:rPr>
        <w:t xml:space="preserve">Toplam 12 maddeden oluşan ölçekte, umudun </w:t>
      </w:r>
      <w:r w:rsidR="001D138D" w:rsidRPr="00243C62">
        <w:rPr>
          <w:rFonts w:ascii="Garamond" w:hAnsi="Garamond"/>
          <w:i/>
        </w:rPr>
        <w:t>alternatif yollar düşüncesi</w:t>
      </w:r>
      <w:r w:rsidR="001D138D" w:rsidRPr="00243C62">
        <w:rPr>
          <w:rFonts w:ascii="Garamond" w:hAnsi="Garamond"/>
        </w:rPr>
        <w:t xml:space="preserve"> ve </w:t>
      </w:r>
      <w:r w:rsidR="009C39AB" w:rsidRPr="00243C62">
        <w:rPr>
          <w:rFonts w:ascii="Garamond" w:hAnsi="Garamond"/>
        </w:rPr>
        <w:t xml:space="preserve">eyleyici düşünce </w:t>
      </w:r>
      <w:r w:rsidR="001D138D" w:rsidRPr="00243C62">
        <w:rPr>
          <w:rFonts w:ascii="Garamond" w:hAnsi="Garamond"/>
        </w:rPr>
        <w:t>boyutları</w:t>
      </w:r>
      <w:r w:rsidR="004A51B3" w:rsidRPr="00243C62">
        <w:rPr>
          <w:rFonts w:ascii="Garamond" w:hAnsi="Garamond"/>
        </w:rPr>
        <w:t xml:space="preserve"> olmak üzere </w:t>
      </w:r>
      <w:r w:rsidR="001D138D" w:rsidRPr="00243C62">
        <w:rPr>
          <w:rFonts w:ascii="Garamond" w:hAnsi="Garamond"/>
        </w:rPr>
        <w:t>dörder madde</w:t>
      </w:r>
      <w:r w:rsidR="004A51B3" w:rsidRPr="00243C62">
        <w:rPr>
          <w:rFonts w:ascii="Garamond" w:hAnsi="Garamond"/>
        </w:rPr>
        <w:t xml:space="preserve"> bulunmaktadır</w:t>
      </w:r>
      <w:r w:rsidR="003243F0" w:rsidRPr="00243C62">
        <w:rPr>
          <w:rFonts w:ascii="Garamond" w:hAnsi="Garamond"/>
        </w:rPr>
        <w:t>.</w:t>
      </w:r>
      <w:r w:rsidR="001D138D" w:rsidRPr="00243C62">
        <w:rPr>
          <w:rFonts w:ascii="Garamond" w:hAnsi="Garamond"/>
        </w:rPr>
        <w:t xml:space="preserve"> </w:t>
      </w:r>
      <w:r w:rsidR="003243F0" w:rsidRPr="00243C62">
        <w:rPr>
          <w:rFonts w:ascii="Garamond" w:hAnsi="Garamond"/>
        </w:rPr>
        <w:t>SUÖ’nin</w:t>
      </w:r>
      <w:r w:rsidR="00046D2A" w:rsidRPr="00243C62">
        <w:rPr>
          <w:rFonts w:ascii="Garamond" w:hAnsi="Garamond"/>
        </w:rPr>
        <w:t xml:space="preserve"> </w:t>
      </w:r>
      <w:r w:rsidR="003243F0" w:rsidRPr="00243C62">
        <w:rPr>
          <w:rFonts w:ascii="Garamond" w:hAnsi="Garamond"/>
        </w:rPr>
        <w:t>güvenirliği için</w:t>
      </w:r>
      <w:r w:rsidR="001D138D" w:rsidRPr="00243C62">
        <w:rPr>
          <w:rFonts w:ascii="Garamond" w:hAnsi="Garamond"/>
        </w:rPr>
        <w:t xml:space="preserve"> Cronbach Al</w:t>
      </w:r>
      <w:r w:rsidR="003243F0" w:rsidRPr="00243C62">
        <w:rPr>
          <w:rFonts w:ascii="Garamond" w:hAnsi="Garamond"/>
        </w:rPr>
        <w:t>pha iç tutarlılık katsayıları</w:t>
      </w:r>
      <w:r w:rsidR="004A51B3" w:rsidRPr="00243C62">
        <w:rPr>
          <w:rFonts w:ascii="Garamond" w:hAnsi="Garamond"/>
        </w:rPr>
        <w:t xml:space="preserve"> hesaplanmıştır</w:t>
      </w:r>
      <w:r w:rsidR="001D138D" w:rsidRPr="00243C62">
        <w:rPr>
          <w:rFonts w:ascii="Garamond" w:hAnsi="Garamond"/>
        </w:rPr>
        <w:t>.</w:t>
      </w:r>
      <w:r w:rsidR="004A51B3" w:rsidRPr="00243C62">
        <w:rPr>
          <w:rFonts w:ascii="Garamond" w:hAnsi="Garamond"/>
          <w:i/>
        </w:rPr>
        <w:t xml:space="preserve"> </w:t>
      </w:r>
      <w:r w:rsidR="004A51B3" w:rsidRPr="00243C62">
        <w:rPr>
          <w:rFonts w:ascii="Garamond" w:hAnsi="Garamond"/>
          <w:iCs/>
        </w:rPr>
        <w:t xml:space="preserve">Buna göre </w:t>
      </w:r>
      <w:r w:rsidR="00046D2A" w:rsidRPr="00243C62">
        <w:rPr>
          <w:rFonts w:ascii="Garamond" w:hAnsi="Garamond"/>
          <w:i/>
        </w:rPr>
        <w:t>E</w:t>
      </w:r>
      <w:r w:rsidR="003243F0" w:rsidRPr="00243C62">
        <w:rPr>
          <w:rFonts w:ascii="Garamond" w:hAnsi="Garamond"/>
          <w:i/>
        </w:rPr>
        <w:t>yleyici düşünce boyutu için</w:t>
      </w:r>
      <w:r w:rsidR="00046D2A" w:rsidRPr="00243C62">
        <w:rPr>
          <w:rFonts w:ascii="Garamond" w:hAnsi="Garamond"/>
          <w:i/>
        </w:rPr>
        <w:t xml:space="preserve"> </w:t>
      </w:r>
      <w:r w:rsidR="00655F5F" w:rsidRPr="00243C62">
        <w:rPr>
          <w:rFonts w:ascii="Garamond" w:hAnsi="Garamond"/>
          <w:i/>
        </w:rPr>
        <w:t>.</w:t>
      </w:r>
      <w:r w:rsidR="001D138D" w:rsidRPr="00243C62">
        <w:rPr>
          <w:rFonts w:ascii="Garamond" w:hAnsi="Garamond"/>
        </w:rPr>
        <w:t>71</w:t>
      </w:r>
      <w:r w:rsidR="00AC5D81" w:rsidRPr="00243C62">
        <w:rPr>
          <w:rFonts w:ascii="Garamond" w:hAnsi="Garamond"/>
        </w:rPr>
        <w:t xml:space="preserve"> ile </w:t>
      </w:r>
      <w:r w:rsidR="001D138D" w:rsidRPr="00243C62">
        <w:rPr>
          <w:rFonts w:ascii="Garamond" w:hAnsi="Garamond"/>
        </w:rPr>
        <w:t xml:space="preserve">.76, </w:t>
      </w:r>
      <w:r w:rsidR="003243F0" w:rsidRPr="00243C62">
        <w:rPr>
          <w:rFonts w:ascii="Garamond" w:hAnsi="Garamond"/>
          <w:i/>
        </w:rPr>
        <w:t>a</w:t>
      </w:r>
      <w:r w:rsidR="001D138D" w:rsidRPr="00243C62">
        <w:rPr>
          <w:rFonts w:ascii="Garamond" w:hAnsi="Garamond"/>
          <w:i/>
        </w:rPr>
        <w:t xml:space="preserve">lternatif </w:t>
      </w:r>
      <w:r w:rsidR="003243F0" w:rsidRPr="00243C62">
        <w:rPr>
          <w:rFonts w:ascii="Garamond" w:hAnsi="Garamond"/>
          <w:i/>
        </w:rPr>
        <w:t>y</w:t>
      </w:r>
      <w:r w:rsidR="001D138D" w:rsidRPr="00243C62">
        <w:rPr>
          <w:rFonts w:ascii="Garamond" w:hAnsi="Garamond"/>
          <w:i/>
        </w:rPr>
        <w:t xml:space="preserve">ollar </w:t>
      </w:r>
      <w:r w:rsidR="003243F0" w:rsidRPr="00243C62">
        <w:rPr>
          <w:rFonts w:ascii="Garamond" w:hAnsi="Garamond"/>
          <w:i/>
        </w:rPr>
        <w:t>d</w:t>
      </w:r>
      <w:r w:rsidR="001D138D" w:rsidRPr="00243C62">
        <w:rPr>
          <w:rFonts w:ascii="Garamond" w:hAnsi="Garamond"/>
          <w:i/>
        </w:rPr>
        <w:t>üşüncesi</w:t>
      </w:r>
      <w:r w:rsidR="001D138D" w:rsidRPr="00243C62">
        <w:rPr>
          <w:rFonts w:ascii="Garamond" w:hAnsi="Garamond"/>
        </w:rPr>
        <w:t xml:space="preserve"> </w:t>
      </w:r>
      <w:r w:rsidR="003243F0" w:rsidRPr="00243C62">
        <w:rPr>
          <w:rFonts w:ascii="Garamond" w:hAnsi="Garamond"/>
        </w:rPr>
        <w:t xml:space="preserve">boyutu için </w:t>
      </w:r>
      <w:r w:rsidR="001D138D" w:rsidRPr="00243C62">
        <w:rPr>
          <w:rFonts w:ascii="Garamond" w:hAnsi="Garamond"/>
        </w:rPr>
        <w:t>.63</w:t>
      </w:r>
      <w:r w:rsidR="00AC5D81" w:rsidRPr="00243C62">
        <w:rPr>
          <w:rFonts w:ascii="Garamond" w:hAnsi="Garamond"/>
        </w:rPr>
        <w:t xml:space="preserve"> ile </w:t>
      </w:r>
      <w:r w:rsidR="001D138D" w:rsidRPr="00243C62">
        <w:rPr>
          <w:rFonts w:ascii="Garamond" w:hAnsi="Garamond"/>
        </w:rPr>
        <w:t>.80, ölçeğin toplam</w:t>
      </w:r>
      <w:r w:rsidR="003243F0" w:rsidRPr="00243C62">
        <w:rPr>
          <w:rFonts w:ascii="Garamond" w:hAnsi="Garamond"/>
        </w:rPr>
        <w:t>ı</w:t>
      </w:r>
      <w:r w:rsidR="001D138D" w:rsidRPr="00243C62">
        <w:rPr>
          <w:rFonts w:ascii="Garamond" w:hAnsi="Garamond"/>
        </w:rPr>
        <w:t xml:space="preserve"> </w:t>
      </w:r>
      <w:r w:rsidR="003243F0" w:rsidRPr="00243C62">
        <w:rPr>
          <w:rFonts w:ascii="Garamond" w:hAnsi="Garamond"/>
        </w:rPr>
        <w:t>için</w:t>
      </w:r>
      <w:r w:rsidR="00E63B17" w:rsidRPr="00243C62">
        <w:rPr>
          <w:rFonts w:ascii="Garamond" w:hAnsi="Garamond"/>
        </w:rPr>
        <w:t xml:space="preserve"> </w:t>
      </w:r>
      <w:r w:rsidR="001D138D" w:rsidRPr="00243C62">
        <w:rPr>
          <w:rFonts w:ascii="Garamond" w:hAnsi="Garamond"/>
        </w:rPr>
        <w:t>.74</w:t>
      </w:r>
      <w:r w:rsidR="00AC5D81" w:rsidRPr="00243C62">
        <w:rPr>
          <w:rFonts w:ascii="Garamond" w:hAnsi="Garamond"/>
        </w:rPr>
        <w:t xml:space="preserve"> ile .</w:t>
      </w:r>
      <w:r w:rsidR="001D138D" w:rsidRPr="00243C62">
        <w:rPr>
          <w:rFonts w:ascii="Garamond" w:hAnsi="Garamond"/>
        </w:rPr>
        <w:t xml:space="preserve">84 </w:t>
      </w:r>
      <w:r w:rsidR="00AC5D81" w:rsidRPr="00243C62">
        <w:rPr>
          <w:rFonts w:ascii="Garamond" w:hAnsi="Garamond"/>
        </w:rPr>
        <w:t xml:space="preserve">arasında </w:t>
      </w:r>
      <w:r w:rsidR="00C951E6" w:rsidRPr="00243C62">
        <w:rPr>
          <w:rFonts w:ascii="Garamond" w:hAnsi="Garamond"/>
        </w:rPr>
        <w:t>olduğu tespit edilmiştir</w:t>
      </w:r>
      <w:r w:rsidR="001D138D" w:rsidRPr="00243C62">
        <w:rPr>
          <w:rFonts w:ascii="Garamond" w:hAnsi="Garamond"/>
        </w:rPr>
        <w:t>.</w:t>
      </w:r>
      <w:r w:rsidR="00C951E6" w:rsidRPr="00243C62">
        <w:rPr>
          <w:rFonts w:ascii="Garamond" w:hAnsi="Garamond"/>
        </w:rPr>
        <w:t xml:space="preserve"> </w:t>
      </w:r>
      <w:r w:rsidR="004160F6" w:rsidRPr="00243C62">
        <w:rPr>
          <w:rFonts w:ascii="Garamond" w:hAnsi="Garamond"/>
        </w:rPr>
        <w:t xml:space="preserve">Testin tekrarı </w:t>
      </w:r>
      <w:r w:rsidR="001D138D" w:rsidRPr="00243C62">
        <w:rPr>
          <w:rFonts w:ascii="Garamond" w:hAnsi="Garamond"/>
        </w:rPr>
        <w:lastRenderedPageBreak/>
        <w:t xml:space="preserve">yöntemi ile 3 hafta ara ile </w:t>
      </w:r>
      <w:r w:rsidR="003243F0" w:rsidRPr="00243C62">
        <w:rPr>
          <w:rFonts w:ascii="Garamond" w:hAnsi="Garamond"/>
        </w:rPr>
        <w:t>hesaplanan kararlılık katsayıları ölçeğin toplam</w:t>
      </w:r>
      <w:r w:rsidR="0070025B" w:rsidRPr="00243C62">
        <w:rPr>
          <w:rFonts w:ascii="Garamond" w:hAnsi="Garamond"/>
        </w:rPr>
        <w:t>ı</w:t>
      </w:r>
      <w:r w:rsidR="003243F0" w:rsidRPr="00243C62">
        <w:rPr>
          <w:rFonts w:ascii="Garamond" w:hAnsi="Garamond"/>
        </w:rPr>
        <w:t xml:space="preserve"> </w:t>
      </w:r>
      <w:r w:rsidR="0070025B" w:rsidRPr="00243C62">
        <w:rPr>
          <w:rFonts w:ascii="Garamond" w:hAnsi="Garamond"/>
        </w:rPr>
        <w:t>i</w:t>
      </w:r>
      <w:r w:rsidR="003243F0" w:rsidRPr="00243C62">
        <w:rPr>
          <w:rFonts w:ascii="Garamond" w:hAnsi="Garamond"/>
        </w:rPr>
        <w:t>çin</w:t>
      </w:r>
      <w:r w:rsidR="001D138D" w:rsidRPr="00243C62">
        <w:rPr>
          <w:rFonts w:ascii="Garamond" w:hAnsi="Garamond"/>
        </w:rPr>
        <w:t>, 8 hafta ara ile</w:t>
      </w:r>
      <w:r w:rsidR="0070025B" w:rsidRPr="00243C62">
        <w:rPr>
          <w:rFonts w:ascii="Garamond" w:hAnsi="Garamond"/>
        </w:rPr>
        <w:t xml:space="preserve"> </w:t>
      </w:r>
      <w:r w:rsidR="003243F0" w:rsidRPr="00243C62">
        <w:rPr>
          <w:rFonts w:ascii="Garamond" w:hAnsi="Garamond"/>
        </w:rPr>
        <w:t>.85,</w:t>
      </w:r>
      <w:r w:rsidR="0070025B" w:rsidRPr="00243C62">
        <w:rPr>
          <w:rFonts w:ascii="Garamond" w:hAnsi="Garamond"/>
        </w:rPr>
        <w:t xml:space="preserve"> </w:t>
      </w:r>
      <w:r w:rsidR="001D138D" w:rsidRPr="00243C62">
        <w:rPr>
          <w:rFonts w:ascii="Garamond" w:hAnsi="Garamond"/>
        </w:rPr>
        <w:t xml:space="preserve">10 hafta ara ile </w:t>
      </w:r>
      <w:r w:rsidR="003243F0" w:rsidRPr="00243C62">
        <w:rPr>
          <w:rFonts w:ascii="Garamond" w:hAnsi="Garamond"/>
        </w:rPr>
        <w:t xml:space="preserve">.73 </w:t>
      </w:r>
      <w:r w:rsidR="001D138D" w:rsidRPr="00243C62">
        <w:rPr>
          <w:rFonts w:ascii="Garamond" w:hAnsi="Garamond"/>
        </w:rPr>
        <w:t>olarak bulunmuştur.</w:t>
      </w:r>
    </w:p>
    <w:p w14:paraId="1AB13E9C" w14:textId="77777777" w:rsidR="00704B37" w:rsidRDefault="001D138D" w:rsidP="00704B37">
      <w:pPr>
        <w:spacing w:before="120" w:after="120" w:line="276" w:lineRule="auto"/>
        <w:ind w:left="-283" w:right="-283"/>
        <w:jc w:val="both"/>
        <w:rPr>
          <w:rFonts w:ascii="Garamond" w:hAnsi="Garamond"/>
        </w:rPr>
      </w:pPr>
      <w:r w:rsidRPr="00243C62">
        <w:rPr>
          <w:rFonts w:ascii="Garamond" w:hAnsi="Garamond"/>
        </w:rPr>
        <w:t>Ölçeğin Türk kültürüne uyarlama çalışmaları Akman ve Korkut (1993) tarafından yapılmıştır.</w:t>
      </w:r>
      <w:r w:rsidR="00046D2A" w:rsidRPr="00243C62">
        <w:rPr>
          <w:rFonts w:ascii="Garamond" w:hAnsi="Garamond"/>
        </w:rPr>
        <w:t xml:space="preserve"> </w:t>
      </w:r>
      <w:r w:rsidR="00ED26D3" w:rsidRPr="00243C62">
        <w:rPr>
          <w:rFonts w:ascii="Garamond" w:hAnsi="Garamond"/>
        </w:rPr>
        <w:t>Türkçe SUÖ’nin faktör yapısını belirlemek için Türkiye’deki ortaokul öğrencilerinden toplanan verilere doğrulayıcı faktör analizi</w:t>
      </w:r>
      <w:r w:rsidR="00046D2A" w:rsidRPr="00243C62">
        <w:rPr>
          <w:rFonts w:ascii="Garamond" w:hAnsi="Garamond"/>
        </w:rPr>
        <w:t xml:space="preserve"> </w:t>
      </w:r>
      <w:r w:rsidR="00ED26D3" w:rsidRPr="00243C62">
        <w:rPr>
          <w:rFonts w:ascii="Garamond" w:hAnsi="Garamond"/>
        </w:rPr>
        <w:t xml:space="preserve">(DFA) uygulanmıştıtır. DFA sonuçları Türkçe SUÖ’nin </w:t>
      </w:r>
      <w:r w:rsidRPr="00243C62">
        <w:rPr>
          <w:rFonts w:ascii="Garamond" w:hAnsi="Garamond"/>
        </w:rPr>
        <w:t xml:space="preserve">maddelerin </w:t>
      </w:r>
      <w:r w:rsidR="00ED26D3" w:rsidRPr="00243C62">
        <w:rPr>
          <w:rFonts w:ascii="Garamond" w:hAnsi="Garamond"/>
        </w:rPr>
        <w:t xml:space="preserve">orijinal ölçeğin yapısından farklı olarak </w:t>
      </w:r>
      <w:r w:rsidRPr="00243C62">
        <w:rPr>
          <w:rFonts w:ascii="Garamond" w:hAnsi="Garamond"/>
        </w:rPr>
        <w:t>tek bir faktör</w:t>
      </w:r>
      <w:r w:rsidR="00ED26D3" w:rsidRPr="00243C62">
        <w:rPr>
          <w:rFonts w:ascii="Garamond" w:hAnsi="Garamond"/>
        </w:rPr>
        <w:t>de</w:t>
      </w:r>
      <w:bookmarkStart w:id="1" w:name="_Toc128999827"/>
      <w:r w:rsidR="00046D2A" w:rsidRPr="00243C62">
        <w:rPr>
          <w:rFonts w:ascii="Garamond" w:hAnsi="Garamond"/>
        </w:rPr>
        <w:t xml:space="preserve"> </w:t>
      </w:r>
      <w:r w:rsidRPr="00243C62">
        <w:rPr>
          <w:rFonts w:ascii="Garamond" w:hAnsi="Garamond"/>
        </w:rPr>
        <w:t>toplandığı</w:t>
      </w:r>
      <w:r w:rsidR="00ED26D3" w:rsidRPr="00243C62">
        <w:rPr>
          <w:rFonts w:ascii="Garamond" w:hAnsi="Garamond"/>
        </w:rPr>
        <w:t>nı</w:t>
      </w:r>
      <w:r w:rsidRPr="00243C62">
        <w:rPr>
          <w:rFonts w:ascii="Garamond" w:hAnsi="Garamond"/>
        </w:rPr>
        <w:t xml:space="preserve"> </w:t>
      </w:r>
      <w:r w:rsidR="00ED26D3" w:rsidRPr="00243C62">
        <w:rPr>
          <w:rFonts w:ascii="Garamond" w:hAnsi="Garamond"/>
        </w:rPr>
        <w:t>göstermiştir.</w:t>
      </w:r>
      <w:r w:rsidR="00046D2A" w:rsidRPr="00243C62">
        <w:rPr>
          <w:rFonts w:ascii="Garamond" w:hAnsi="Garamond"/>
        </w:rPr>
        <w:t xml:space="preserve"> </w:t>
      </w:r>
      <w:r w:rsidR="00ED26D3" w:rsidRPr="00243C62">
        <w:rPr>
          <w:rFonts w:ascii="Garamond" w:hAnsi="Garamond"/>
        </w:rPr>
        <w:t>Türkçe</w:t>
      </w:r>
      <w:r w:rsidR="00046D2A" w:rsidRPr="00243C62">
        <w:rPr>
          <w:rFonts w:ascii="Garamond" w:hAnsi="Garamond"/>
        </w:rPr>
        <w:t xml:space="preserve"> </w:t>
      </w:r>
      <w:r w:rsidR="00ED26D3" w:rsidRPr="00243C62">
        <w:rPr>
          <w:rFonts w:ascii="Garamond" w:hAnsi="Garamond"/>
        </w:rPr>
        <w:t>SUÖ’nin güvenirliği için iç tutarlılık katsayısı .65 olarak bulunmuştur.</w:t>
      </w:r>
      <w:r w:rsidR="0049083C" w:rsidRPr="00243C62">
        <w:rPr>
          <w:rFonts w:ascii="Garamond" w:hAnsi="Garamond"/>
        </w:rPr>
        <w:t xml:space="preserve"> </w:t>
      </w:r>
      <w:r w:rsidR="00F2426C" w:rsidRPr="00243C62">
        <w:rPr>
          <w:rFonts w:ascii="Garamond" w:hAnsi="Garamond"/>
        </w:rPr>
        <w:t>Türkçe SUÖ’nin g</w:t>
      </w:r>
      <w:r w:rsidR="00ED26D3" w:rsidRPr="00243C62">
        <w:rPr>
          <w:rFonts w:ascii="Garamond" w:hAnsi="Garamond"/>
        </w:rPr>
        <w:t>üvenirliği için 4 hafta ara ile test tekrar test tekniğiyle hesaplanan kararlılık katsayısı .66 olarak hesaplanmıştır</w:t>
      </w:r>
      <w:r w:rsidR="00F2426C" w:rsidRPr="00243C62">
        <w:rPr>
          <w:rFonts w:ascii="Garamond" w:hAnsi="Garamond"/>
        </w:rPr>
        <w:t>.</w:t>
      </w:r>
      <w:r w:rsidR="00E8256A" w:rsidRPr="00243C62">
        <w:rPr>
          <w:rFonts w:ascii="Garamond" w:hAnsi="Garamond"/>
        </w:rPr>
        <w:t xml:space="preserve"> </w:t>
      </w:r>
      <w:r w:rsidR="007F2623" w:rsidRPr="00243C62">
        <w:rPr>
          <w:rFonts w:ascii="Garamond" w:hAnsi="Garamond"/>
        </w:rPr>
        <w:t>Sunulan</w:t>
      </w:r>
      <w:r w:rsidR="00E8256A" w:rsidRPr="00243C62">
        <w:rPr>
          <w:rFonts w:ascii="Garamond" w:hAnsi="Garamond"/>
        </w:rPr>
        <w:t xml:space="preserve"> bu araştır</w:t>
      </w:r>
      <w:r w:rsidR="00924F0A" w:rsidRPr="00243C62">
        <w:rPr>
          <w:rFonts w:ascii="Garamond" w:hAnsi="Garamond"/>
        </w:rPr>
        <w:t>mada ise iç tutarlılık katsayısı .</w:t>
      </w:r>
      <w:r w:rsidR="003B558F" w:rsidRPr="00243C62">
        <w:rPr>
          <w:rFonts w:ascii="Garamond" w:hAnsi="Garamond"/>
        </w:rPr>
        <w:t>49</w:t>
      </w:r>
      <w:r w:rsidR="00924F0A" w:rsidRPr="00243C62">
        <w:rPr>
          <w:rFonts w:ascii="Garamond" w:hAnsi="Garamond"/>
        </w:rPr>
        <w:t xml:space="preserve"> olarak bulunmuştur. </w:t>
      </w:r>
    </w:p>
    <w:p w14:paraId="0EBB434E" w14:textId="77777777" w:rsidR="00704B37" w:rsidRDefault="001D138D" w:rsidP="00704B37">
      <w:pPr>
        <w:spacing w:before="120" w:after="120" w:line="276" w:lineRule="auto"/>
        <w:ind w:left="-283" w:right="-283"/>
        <w:jc w:val="both"/>
        <w:rPr>
          <w:rFonts w:ascii="Garamond" w:hAnsi="Garamond"/>
        </w:rPr>
      </w:pPr>
      <w:r w:rsidRPr="00243C62">
        <w:rPr>
          <w:rFonts w:ascii="Garamond" w:hAnsi="Garamond"/>
          <w:b/>
          <w:bCs/>
          <w:color w:val="000000" w:themeColor="text1"/>
        </w:rPr>
        <w:t>Geleceğe İlişkin Tutum Ölçeği</w:t>
      </w:r>
      <w:bookmarkEnd w:id="1"/>
    </w:p>
    <w:p w14:paraId="7C0F12D0" w14:textId="77777777" w:rsidR="00704B37" w:rsidRDefault="001D138D" w:rsidP="00704B37">
      <w:pPr>
        <w:spacing w:before="120" w:after="120" w:line="276" w:lineRule="auto"/>
        <w:ind w:left="-283" w:right="-283"/>
        <w:jc w:val="both"/>
        <w:rPr>
          <w:rFonts w:ascii="Garamond" w:hAnsi="Garamond"/>
        </w:rPr>
      </w:pPr>
      <w:r w:rsidRPr="00243C62">
        <w:rPr>
          <w:rFonts w:ascii="Garamond" w:hAnsi="Garamond"/>
          <w:color w:val="000000" w:themeColor="text1"/>
        </w:rPr>
        <w:t xml:space="preserve">Geleceğe İlişkin Tutum </w:t>
      </w:r>
      <w:r w:rsidR="00046D2A" w:rsidRPr="00243C62">
        <w:rPr>
          <w:rFonts w:ascii="Garamond" w:hAnsi="Garamond"/>
          <w:color w:val="000000" w:themeColor="text1"/>
        </w:rPr>
        <w:t>Ö</w:t>
      </w:r>
      <w:r w:rsidRPr="00243C62">
        <w:rPr>
          <w:rFonts w:ascii="Garamond" w:hAnsi="Garamond"/>
          <w:color w:val="000000" w:themeColor="text1"/>
        </w:rPr>
        <w:t xml:space="preserve">lçeği </w:t>
      </w:r>
      <w:r w:rsidR="00046D2A" w:rsidRPr="00243C62">
        <w:rPr>
          <w:rFonts w:ascii="Garamond" w:hAnsi="Garamond"/>
          <w:color w:val="000000" w:themeColor="text1"/>
        </w:rPr>
        <w:t xml:space="preserve">(GİTÖ) </w:t>
      </w:r>
      <w:r w:rsidRPr="00243C62">
        <w:rPr>
          <w:rFonts w:ascii="Garamond" w:hAnsi="Garamond"/>
          <w:color w:val="000000" w:themeColor="text1"/>
        </w:rPr>
        <w:t>Güler (2004) tarafından geliştirilmiş</w:t>
      </w:r>
      <w:r w:rsidR="00046D2A" w:rsidRPr="00243C62">
        <w:rPr>
          <w:rFonts w:ascii="Garamond" w:hAnsi="Garamond"/>
          <w:color w:val="000000" w:themeColor="text1"/>
        </w:rPr>
        <w:t xml:space="preserve"> olup geleceğe yöneli tutum ve yönelimleri ölçmeyi amaçlamaktadır. GİTÖ</w:t>
      </w:r>
      <w:r w:rsidR="00670DBE" w:rsidRPr="00243C62">
        <w:rPr>
          <w:rFonts w:ascii="Garamond" w:hAnsi="Garamond"/>
          <w:color w:val="000000" w:themeColor="text1"/>
        </w:rPr>
        <w:t xml:space="preserve">, </w:t>
      </w:r>
      <w:r w:rsidRPr="00243C62">
        <w:rPr>
          <w:rFonts w:ascii="Garamond" w:hAnsi="Garamond"/>
          <w:color w:val="000000" w:themeColor="text1"/>
        </w:rPr>
        <w:t>olumlu (positive), korkulu (fearful) ve planlı yönelim (planful) olmak üzere 3 alt boyuttan oluş</w:t>
      </w:r>
      <w:r w:rsidR="00046D2A" w:rsidRPr="00243C62">
        <w:rPr>
          <w:rFonts w:ascii="Garamond" w:hAnsi="Garamond"/>
          <w:color w:val="000000" w:themeColor="text1"/>
        </w:rPr>
        <w:t xml:space="preserve">maktadır. GİTÖ </w:t>
      </w:r>
      <w:r w:rsidR="00046D2A" w:rsidRPr="00243C62">
        <w:rPr>
          <w:rFonts w:ascii="Garamond" w:hAnsi="Garamond"/>
        </w:rPr>
        <w:t>uzun ve kısa form olmak üzere iki formdan oluşmaktadır. Uzun form 40 maddeden, kısa form ise 15 maddeden oluşmaktadır. Araştırma kapsamında ölçüt bağıntı geçerliğini incelemek amacıyla 15 maddelik kısa form kullanılmış</w:t>
      </w:r>
      <w:r w:rsidR="00DB1DD0" w:rsidRPr="00243C62">
        <w:rPr>
          <w:rFonts w:ascii="Garamond" w:hAnsi="Garamond"/>
        </w:rPr>
        <w:t xml:space="preserve"> olup</w:t>
      </w:r>
      <w:r w:rsidR="004A7B99" w:rsidRPr="00243C62">
        <w:rPr>
          <w:rFonts w:ascii="Garamond" w:hAnsi="Garamond"/>
        </w:rPr>
        <w:t xml:space="preserve"> alt boyutlara yer verilmemiştir</w:t>
      </w:r>
      <w:r w:rsidR="00046D2A" w:rsidRPr="00243C62">
        <w:rPr>
          <w:rFonts w:ascii="Garamond" w:hAnsi="Garamond"/>
        </w:rPr>
        <w:t>. Ölçek “Geleceğe dair planlar yaparım”, “Hayatın bana ne getireceğini bilmemek beni huzursuz ediyor” gibi maddeler içermektedir.</w:t>
      </w:r>
      <w:r w:rsidR="005A3C0B" w:rsidRPr="00243C62">
        <w:rPr>
          <w:rFonts w:ascii="Garamond" w:hAnsi="Garamond"/>
        </w:rPr>
        <w:t xml:space="preserve"> Ölçeğin güvenirlik katsayıları incelendiği zaman olumlu, korkulu yönelim ve planlı yönelim alt</w:t>
      </w:r>
      <w:r w:rsidR="002E58F1" w:rsidRPr="00243C62">
        <w:rPr>
          <w:rFonts w:ascii="Garamond" w:hAnsi="Garamond"/>
        </w:rPr>
        <w:t xml:space="preserve"> boyutları </w:t>
      </w:r>
      <w:r w:rsidR="005A3C0B" w:rsidRPr="00243C62">
        <w:rPr>
          <w:rFonts w:ascii="Garamond" w:hAnsi="Garamond"/>
        </w:rPr>
        <w:t>için sırasıyla .80</w:t>
      </w:r>
      <w:r w:rsidR="002E58F1" w:rsidRPr="00243C62">
        <w:rPr>
          <w:rFonts w:ascii="Garamond" w:hAnsi="Garamond"/>
        </w:rPr>
        <w:t xml:space="preserve">, .81, ve .79; tüm ölçek için ise .84 olarak bulunmuştur. </w:t>
      </w:r>
      <w:r w:rsidR="00046D2A" w:rsidRPr="00243C62">
        <w:rPr>
          <w:rFonts w:ascii="Garamond" w:hAnsi="Garamond"/>
          <w:color w:val="000000" w:themeColor="text1"/>
        </w:rPr>
        <w:t>Olumlu, korkulu ve planlı yönelimlerin ve GİTÖ’nin sırasıyla test-tekrar-test katsayıları sırasıyla .70, .76, .71 ve .78 olarak bulunmuştur (</w:t>
      </w:r>
      <w:r w:rsidR="00353B56" w:rsidRPr="00243C62">
        <w:rPr>
          <w:rFonts w:ascii="Garamond" w:hAnsi="Garamond"/>
          <w:color w:val="000000" w:themeColor="text1"/>
        </w:rPr>
        <w:t>Güler</w:t>
      </w:r>
      <w:r w:rsidR="00046D2A" w:rsidRPr="00243C62">
        <w:rPr>
          <w:rFonts w:ascii="Garamond" w:hAnsi="Garamond"/>
          <w:color w:val="000000" w:themeColor="text1"/>
        </w:rPr>
        <w:t>,</w:t>
      </w:r>
      <w:r w:rsidR="00353B56" w:rsidRPr="00243C62">
        <w:rPr>
          <w:rFonts w:ascii="Garamond" w:hAnsi="Garamond"/>
          <w:color w:val="000000" w:themeColor="text1"/>
        </w:rPr>
        <w:t xml:space="preserve"> </w:t>
      </w:r>
      <w:r w:rsidR="00046D2A" w:rsidRPr="00243C62">
        <w:rPr>
          <w:rFonts w:ascii="Garamond" w:hAnsi="Garamond"/>
          <w:color w:val="000000" w:themeColor="text1"/>
        </w:rPr>
        <w:t>200</w:t>
      </w:r>
      <w:r w:rsidR="00353B56" w:rsidRPr="00243C62">
        <w:rPr>
          <w:rFonts w:ascii="Garamond" w:hAnsi="Garamond"/>
          <w:color w:val="000000" w:themeColor="text1"/>
        </w:rPr>
        <w:t>4</w:t>
      </w:r>
      <w:r w:rsidR="00046D2A" w:rsidRPr="00243C62">
        <w:rPr>
          <w:rFonts w:ascii="Garamond" w:hAnsi="Garamond"/>
          <w:color w:val="000000" w:themeColor="text1"/>
        </w:rPr>
        <w:t>).</w:t>
      </w:r>
      <w:r w:rsidR="00F134FF" w:rsidRPr="00243C62">
        <w:rPr>
          <w:rFonts w:ascii="Garamond" w:hAnsi="Garamond"/>
          <w:color w:val="000000" w:themeColor="text1"/>
        </w:rPr>
        <w:t xml:space="preserve"> </w:t>
      </w:r>
      <w:r w:rsidR="00BA43E4" w:rsidRPr="00243C62">
        <w:rPr>
          <w:rFonts w:ascii="Garamond" w:hAnsi="Garamond"/>
          <w:color w:val="000000" w:themeColor="text1"/>
        </w:rPr>
        <w:t xml:space="preserve">Bu araştırmada </w:t>
      </w:r>
      <w:r w:rsidR="00F134FF" w:rsidRPr="00243C62">
        <w:rPr>
          <w:rFonts w:ascii="Garamond" w:hAnsi="Garamond"/>
          <w:color w:val="000000" w:themeColor="text1"/>
        </w:rPr>
        <w:t>GİTÖ’nin 15 maddelik kısa formu</w:t>
      </w:r>
      <w:r w:rsidR="00BA43E4" w:rsidRPr="00243C62">
        <w:rPr>
          <w:rFonts w:ascii="Garamond" w:hAnsi="Garamond"/>
          <w:color w:val="000000" w:themeColor="text1"/>
        </w:rPr>
        <w:t xml:space="preserve"> için </w:t>
      </w:r>
      <w:r w:rsidR="003B558F" w:rsidRPr="00243C62">
        <w:rPr>
          <w:rFonts w:ascii="Garamond" w:hAnsi="Garamond"/>
          <w:color w:val="000000" w:themeColor="text1"/>
        </w:rPr>
        <w:t xml:space="preserve">iç tutarlılık katsayısı ise .62 olarak hesaplanmıştır. </w:t>
      </w:r>
    </w:p>
    <w:p w14:paraId="5DC1FF47" w14:textId="77777777" w:rsidR="00704B37" w:rsidRDefault="00FE467F" w:rsidP="00704B37">
      <w:pPr>
        <w:spacing w:before="120" w:after="120" w:line="276" w:lineRule="auto"/>
        <w:ind w:left="-283" w:right="-283"/>
        <w:jc w:val="both"/>
        <w:rPr>
          <w:rFonts w:ascii="Garamond" w:hAnsi="Garamond"/>
        </w:rPr>
      </w:pPr>
      <w:r w:rsidRPr="00243C62">
        <w:rPr>
          <w:rFonts w:ascii="Garamond" w:hAnsi="Garamond"/>
          <w:b/>
          <w:bCs/>
        </w:rPr>
        <w:t>Gelecek Oryantasyonu Ölçeği Türkçe Formunun Oluşturulması</w:t>
      </w:r>
    </w:p>
    <w:p w14:paraId="61533FFA" w14:textId="0BD3CD8C" w:rsidR="009E6092" w:rsidRPr="00704B37" w:rsidRDefault="00FE467F" w:rsidP="00704B37">
      <w:pPr>
        <w:spacing w:before="120" w:after="120" w:line="276" w:lineRule="auto"/>
        <w:ind w:left="-283" w:right="-283"/>
        <w:jc w:val="both"/>
        <w:rPr>
          <w:rFonts w:ascii="Garamond" w:hAnsi="Garamond"/>
        </w:rPr>
      </w:pPr>
      <w:r w:rsidRPr="00243C62">
        <w:rPr>
          <w:rFonts w:ascii="Garamond" w:hAnsi="Garamond"/>
          <w:color w:val="000000" w:themeColor="text1"/>
        </w:rPr>
        <w:t>Bowen ve Richman</w:t>
      </w:r>
      <w:r w:rsidR="00353B56" w:rsidRPr="00243C62">
        <w:rPr>
          <w:rFonts w:ascii="Garamond" w:hAnsi="Garamond"/>
          <w:color w:val="000000" w:themeColor="text1"/>
        </w:rPr>
        <w:t xml:space="preserve"> (</w:t>
      </w:r>
      <w:r w:rsidRPr="00243C62">
        <w:rPr>
          <w:rFonts w:ascii="Garamond" w:hAnsi="Garamond"/>
          <w:color w:val="000000" w:themeColor="text1"/>
        </w:rPr>
        <w:t>2008)</w:t>
      </w:r>
      <w:r w:rsidR="00437C85" w:rsidRPr="00243C62">
        <w:rPr>
          <w:rFonts w:ascii="Garamond" w:hAnsi="Garamond"/>
        </w:rPr>
        <w:t xml:space="preserve"> tarafından geliştirilen Gelecek Oryantasyonu Ölçeği’nin (Future Orientation Scale)</w:t>
      </w:r>
      <w:r w:rsidR="003C24D4" w:rsidRPr="00243C62">
        <w:rPr>
          <w:rFonts w:ascii="Garamond" w:hAnsi="Garamond"/>
        </w:rPr>
        <w:t xml:space="preserve"> </w:t>
      </w:r>
      <w:r w:rsidRPr="00243C62">
        <w:rPr>
          <w:rFonts w:ascii="Garamond" w:hAnsi="Garamond"/>
        </w:rPr>
        <w:t>uyarlama çalışması için önce Türkçe’ye çevirisi yapılmıştır. Bunun için, ölçek maddeleri psikolojik danışma ve rehberlik alanında uzman</w:t>
      </w:r>
      <w:r w:rsidR="008C0F2E" w:rsidRPr="00243C62">
        <w:rPr>
          <w:rFonts w:ascii="Garamond" w:hAnsi="Garamond"/>
        </w:rPr>
        <w:t xml:space="preserve"> </w:t>
      </w:r>
      <w:r w:rsidRPr="00243C62">
        <w:rPr>
          <w:rFonts w:ascii="Garamond" w:hAnsi="Garamond"/>
        </w:rPr>
        <w:t>ve İngilizceye hâkim üç öğretim üyesi tarafından Türkçe’ye çevrilmiştir.</w:t>
      </w:r>
      <w:r w:rsidR="00046D2A" w:rsidRPr="00243C62">
        <w:rPr>
          <w:rFonts w:ascii="Garamond" w:hAnsi="Garamond"/>
        </w:rPr>
        <w:t xml:space="preserve"> </w:t>
      </w:r>
      <w:r w:rsidRPr="00243C62">
        <w:rPr>
          <w:rFonts w:ascii="Garamond" w:hAnsi="Garamond"/>
        </w:rPr>
        <w:t>Bu üç Türkçe çeviri formdaki ölçek maddeleri</w:t>
      </w:r>
      <w:r w:rsidR="00046D2A" w:rsidRPr="00243C62">
        <w:rPr>
          <w:rFonts w:ascii="Garamond" w:hAnsi="Garamond"/>
        </w:rPr>
        <w:t xml:space="preserve"> </w:t>
      </w:r>
      <w:r w:rsidRPr="00243C62">
        <w:rPr>
          <w:rFonts w:ascii="Garamond" w:hAnsi="Garamond"/>
        </w:rPr>
        <w:t>araştırmacılar tarafından karşılaştırıl</w:t>
      </w:r>
      <w:r w:rsidR="00987B61" w:rsidRPr="00243C62">
        <w:rPr>
          <w:rFonts w:ascii="Garamond" w:hAnsi="Garamond"/>
        </w:rPr>
        <w:t>mıştır</w:t>
      </w:r>
      <w:r w:rsidR="007F2623" w:rsidRPr="00243C62">
        <w:rPr>
          <w:rFonts w:ascii="Garamond" w:hAnsi="Garamond"/>
        </w:rPr>
        <w:t xml:space="preserve">. </w:t>
      </w:r>
      <w:r w:rsidR="00987B61" w:rsidRPr="00243C62">
        <w:rPr>
          <w:rFonts w:ascii="Garamond" w:hAnsi="Garamond"/>
        </w:rPr>
        <w:t>GOÖ’nin Türkçe</w:t>
      </w:r>
      <w:r w:rsidR="007F2623" w:rsidRPr="00243C62">
        <w:rPr>
          <w:rFonts w:ascii="Garamond" w:hAnsi="Garamond"/>
        </w:rPr>
        <w:t>ye çeviri 3</w:t>
      </w:r>
      <w:r w:rsidR="00987B61" w:rsidRPr="00243C62">
        <w:rPr>
          <w:rFonts w:ascii="Garamond" w:hAnsi="Garamond"/>
        </w:rPr>
        <w:t xml:space="preserve"> formu</w:t>
      </w:r>
      <w:r w:rsidR="007F2623" w:rsidRPr="00243C62">
        <w:rPr>
          <w:rFonts w:ascii="Garamond" w:hAnsi="Garamond"/>
        </w:rPr>
        <w:t>nun birbirlerine oldukça benzer oldukları</w:t>
      </w:r>
      <w:r w:rsidR="00140EB2">
        <w:rPr>
          <w:rFonts w:ascii="Garamond" w:hAnsi="Garamond"/>
        </w:rPr>
        <w:t xml:space="preserve"> </w:t>
      </w:r>
      <w:r w:rsidR="007F2623" w:rsidRPr="00243C62">
        <w:rPr>
          <w:rFonts w:ascii="Garamond" w:hAnsi="Garamond"/>
        </w:rPr>
        <w:t xml:space="preserve">görülmüş ve böylece ölçeğin Türkçe formu </w:t>
      </w:r>
      <w:r w:rsidR="00987B61" w:rsidRPr="00243C62">
        <w:rPr>
          <w:rFonts w:ascii="Garamond" w:hAnsi="Garamond"/>
        </w:rPr>
        <w:t xml:space="preserve">oluşturulmuştur. </w:t>
      </w:r>
      <w:r w:rsidRPr="00243C62">
        <w:rPr>
          <w:rFonts w:ascii="Garamond" w:hAnsi="Garamond"/>
        </w:rPr>
        <w:t>Türkçe form</w:t>
      </w:r>
      <w:r w:rsidR="00987B61" w:rsidRPr="00243C62">
        <w:rPr>
          <w:rFonts w:ascii="Garamond" w:hAnsi="Garamond"/>
        </w:rPr>
        <w:t>un</w:t>
      </w:r>
      <w:r w:rsidRPr="00243C62">
        <w:rPr>
          <w:rFonts w:ascii="Garamond" w:hAnsi="Garamond"/>
        </w:rPr>
        <w:t xml:space="preserve"> İngilizce dil bilimi alanında</w:t>
      </w:r>
      <w:r w:rsidR="002303AC" w:rsidRPr="00243C62">
        <w:rPr>
          <w:rFonts w:ascii="Garamond" w:hAnsi="Garamond"/>
        </w:rPr>
        <w:t xml:space="preserve"> </w:t>
      </w:r>
      <w:r w:rsidRPr="00243C62">
        <w:rPr>
          <w:rFonts w:ascii="Garamond" w:hAnsi="Garamond"/>
        </w:rPr>
        <w:t>uzman</w:t>
      </w:r>
      <w:r w:rsidR="002303AC" w:rsidRPr="00243C62">
        <w:rPr>
          <w:rFonts w:ascii="Garamond" w:hAnsi="Garamond"/>
        </w:rPr>
        <w:t xml:space="preserve"> bir öğretim üyesi </w:t>
      </w:r>
      <w:r w:rsidRPr="00243C62">
        <w:rPr>
          <w:rFonts w:ascii="Garamond" w:hAnsi="Garamond"/>
        </w:rPr>
        <w:t>tarafından İngilizceye geri çevirisi yapılmıştır. Bu geri çeviri İngilizce form</w:t>
      </w:r>
      <w:r w:rsidR="007F2623" w:rsidRPr="00243C62">
        <w:rPr>
          <w:rFonts w:ascii="Garamond" w:hAnsi="Garamond"/>
        </w:rPr>
        <w:t xml:space="preserve"> </w:t>
      </w:r>
      <w:r w:rsidRPr="00243C62">
        <w:rPr>
          <w:rFonts w:ascii="Garamond" w:hAnsi="Garamond"/>
        </w:rPr>
        <w:t>GOÖ</w:t>
      </w:r>
      <w:r w:rsidR="007F2623" w:rsidRPr="00243C62">
        <w:rPr>
          <w:rFonts w:ascii="Garamond" w:hAnsi="Garamond"/>
        </w:rPr>
        <w:t>’nin İngilizce orijinal formu</w:t>
      </w:r>
      <w:r w:rsidR="00140EB2">
        <w:rPr>
          <w:rFonts w:ascii="Garamond" w:hAnsi="Garamond"/>
        </w:rPr>
        <w:t xml:space="preserve"> </w:t>
      </w:r>
      <w:r w:rsidRPr="00243C62">
        <w:rPr>
          <w:rFonts w:ascii="Garamond" w:hAnsi="Garamond"/>
        </w:rPr>
        <w:t>ile karşılaştırı</w:t>
      </w:r>
      <w:r w:rsidR="002303AC" w:rsidRPr="00243C62">
        <w:rPr>
          <w:rFonts w:ascii="Garamond" w:hAnsi="Garamond"/>
        </w:rPr>
        <w:t xml:space="preserve">lmış ve </w:t>
      </w:r>
      <w:r w:rsidRPr="00243C62">
        <w:rPr>
          <w:rFonts w:ascii="Garamond" w:hAnsi="Garamond"/>
        </w:rPr>
        <w:t>Türkçe taslak GOÖ oluşturul</w:t>
      </w:r>
      <w:r w:rsidR="002303AC" w:rsidRPr="00243C62">
        <w:rPr>
          <w:rFonts w:ascii="Garamond" w:hAnsi="Garamond"/>
        </w:rPr>
        <w:t xml:space="preserve">muştur. </w:t>
      </w:r>
      <w:r w:rsidRPr="00243C62">
        <w:rPr>
          <w:rFonts w:ascii="Garamond" w:hAnsi="Garamond"/>
        </w:rPr>
        <w:t xml:space="preserve"> </w:t>
      </w:r>
    </w:p>
    <w:p w14:paraId="69028DDA" w14:textId="77777777" w:rsidR="002303AC" w:rsidRPr="00243C62" w:rsidRDefault="002303AC" w:rsidP="008F7F14">
      <w:pPr>
        <w:spacing w:line="276" w:lineRule="auto"/>
        <w:jc w:val="center"/>
        <w:rPr>
          <w:rFonts w:ascii="Garamond" w:hAnsi="Garamond"/>
          <w:b/>
          <w:bCs/>
          <w:color w:val="000000" w:themeColor="text1"/>
        </w:rPr>
      </w:pPr>
    </w:p>
    <w:p w14:paraId="73B276A9" w14:textId="77777777" w:rsidR="00AD6191" w:rsidRDefault="003B79CD" w:rsidP="00AD6191">
      <w:pPr>
        <w:spacing w:line="276" w:lineRule="auto"/>
        <w:ind w:firstLine="709"/>
        <w:rPr>
          <w:rFonts w:ascii="Garamond" w:hAnsi="Garamond"/>
          <w:b/>
          <w:bCs/>
          <w:color w:val="000000" w:themeColor="text1"/>
        </w:rPr>
      </w:pPr>
      <w:r w:rsidRPr="00243C62">
        <w:rPr>
          <w:rFonts w:ascii="Garamond" w:hAnsi="Garamond"/>
          <w:b/>
          <w:bCs/>
          <w:color w:val="000000" w:themeColor="text1"/>
        </w:rPr>
        <w:t xml:space="preserve">                                                         </w:t>
      </w:r>
      <w:r w:rsidR="008F7F14" w:rsidRPr="00243C62">
        <w:rPr>
          <w:rFonts w:ascii="Garamond" w:hAnsi="Garamond"/>
          <w:b/>
          <w:bCs/>
          <w:color w:val="000000" w:themeColor="text1"/>
        </w:rPr>
        <w:t>BULGULAR</w:t>
      </w:r>
    </w:p>
    <w:p w14:paraId="2B2C02D9" w14:textId="5AB52DFF" w:rsidR="00C26384" w:rsidRPr="00243C62" w:rsidRDefault="00C26384" w:rsidP="00AD6191">
      <w:pPr>
        <w:spacing w:line="276" w:lineRule="auto"/>
        <w:rPr>
          <w:rFonts w:ascii="Garamond" w:hAnsi="Garamond"/>
          <w:b/>
          <w:bCs/>
          <w:color w:val="000000" w:themeColor="text1"/>
        </w:rPr>
      </w:pPr>
      <w:r w:rsidRPr="00243C62">
        <w:rPr>
          <w:rFonts w:ascii="Garamond" w:hAnsi="Garamond"/>
          <w:b/>
          <w:bCs/>
          <w:color w:val="000000" w:themeColor="text1"/>
        </w:rPr>
        <w:t>Gelecek Oryantasyonu Ölçeği’nin Geçerliği ve Güvenirliğine İlişkin Bulgular</w:t>
      </w:r>
    </w:p>
    <w:p w14:paraId="60F4C31A" w14:textId="76CFD2E3" w:rsidR="00046D2A" w:rsidRPr="00AD6191" w:rsidRDefault="00F7775D" w:rsidP="003B79CD">
      <w:pPr>
        <w:spacing w:line="276" w:lineRule="auto"/>
        <w:jc w:val="both"/>
        <w:rPr>
          <w:rFonts w:ascii="Garamond" w:hAnsi="Garamond"/>
          <w:b/>
          <w:bCs/>
          <w:color w:val="000000" w:themeColor="text1"/>
        </w:rPr>
      </w:pPr>
      <w:r w:rsidRPr="00243C62">
        <w:rPr>
          <w:rFonts w:ascii="Garamond" w:hAnsi="Garamond"/>
          <w:b/>
          <w:bCs/>
          <w:color w:val="000000" w:themeColor="text1"/>
        </w:rPr>
        <w:t>Betimsel İstatistikler</w:t>
      </w:r>
      <w:r w:rsidR="00AD6191">
        <w:rPr>
          <w:rFonts w:ascii="Garamond" w:hAnsi="Garamond"/>
          <w:b/>
          <w:bCs/>
          <w:color w:val="000000" w:themeColor="text1"/>
        </w:rPr>
        <w:t xml:space="preserve">. </w:t>
      </w:r>
      <w:r w:rsidR="00D5548D" w:rsidRPr="00243C62">
        <w:rPr>
          <w:rFonts w:ascii="Garamond" w:hAnsi="Garamond"/>
          <w:bCs/>
          <w:color w:val="000000" w:themeColor="text1"/>
        </w:rPr>
        <w:t>GOÖ’nin</w:t>
      </w:r>
      <w:r w:rsidR="00046D2A" w:rsidRPr="00243C62">
        <w:rPr>
          <w:rFonts w:ascii="Garamond" w:hAnsi="Garamond"/>
          <w:bCs/>
          <w:color w:val="000000" w:themeColor="text1"/>
        </w:rPr>
        <w:t xml:space="preserve"> </w:t>
      </w:r>
      <w:r w:rsidR="006B3F4F" w:rsidRPr="00243C62">
        <w:rPr>
          <w:rFonts w:ascii="Garamond" w:hAnsi="Garamond"/>
          <w:bCs/>
          <w:color w:val="000000" w:themeColor="text1"/>
        </w:rPr>
        <w:t>faktör yapısını belirlemek için verilere doğrul</w:t>
      </w:r>
      <w:r w:rsidR="00046D2A" w:rsidRPr="00243C62">
        <w:rPr>
          <w:rFonts w:ascii="Garamond" w:hAnsi="Garamond"/>
          <w:bCs/>
          <w:color w:val="000000" w:themeColor="text1"/>
        </w:rPr>
        <w:t>a</w:t>
      </w:r>
      <w:r w:rsidR="006B3F4F" w:rsidRPr="00243C62">
        <w:rPr>
          <w:rFonts w:ascii="Garamond" w:hAnsi="Garamond"/>
          <w:bCs/>
          <w:color w:val="000000" w:themeColor="text1"/>
        </w:rPr>
        <w:t>yıcı faktör analizi (DFA) uygulanmıştır.</w:t>
      </w:r>
      <w:r w:rsidR="00046D2A" w:rsidRPr="00243C62">
        <w:rPr>
          <w:rFonts w:ascii="Garamond" w:hAnsi="Garamond"/>
          <w:bCs/>
          <w:color w:val="000000" w:themeColor="text1"/>
        </w:rPr>
        <w:t xml:space="preserve"> </w:t>
      </w:r>
      <w:r w:rsidR="006B3F4F" w:rsidRPr="00243C62">
        <w:rPr>
          <w:rFonts w:ascii="Garamond" w:hAnsi="Garamond"/>
          <w:bCs/>
          <w:color w:val="000000" w:themeColor="text1"/>
        </w:rPr>
        <w:t>Ancak DFA</w:t>
      </w:r>
      <w:r w:rsidR="008F7F14" w:rsidRPr="00243C62">
        <w:rPr>
          <w:rFonts w:ascii="Garamond" w:hAnsi="Garamond"/>
          <w:bCs/>
          <w:color w:val="000000" w:themeColor="text1"/>
        </w:rPr>
        <w:t xml:space="preserve"> </w:t>
      </w:r>
      <w:r w:rsidR="006B3F4F" w:rsidRPr="00243C62">
        <w:rPr>
          <w:rFonts w:ascii="Garamond" w:hAnsi="Garamond"/>
          <w:bCs/>
          <w:color w:val="000000" w:themeColor="text1"/>
        </w:rPr>
        <w:t>ö</w:t>
      </w:r>
      <w:r w:rsidR="008F7F14" w:rsidRPr="00243C62">
        <w:rPr>
          <w:rFonts w:ascii="Garamond" w:hAnsi="Garamond"/>
          <w:bCs/>
          <w:color w:val="000000" w:themeColor="text1"/>
        </w:rPr>
        <w:t>ncesi</w:t>
      </w:r>
      <w:r w:rsidR="00046D2A" w:rsidRPr="00243C62">
        <w:rPr>
          <w:rFonts w:ascii="Garamond" w:hAnsi="Garamond"/>
          <w:bCs/>
          <w:color w:val="000000" w:themeColor="text1"/>
        </w:rPr>
        <w:t xml:space="preserve"> </w:t>
      </w:r>
      <w:r w:rsidR="006B3F4F" w:rsidRPr="00243C62">
        <w:rPr>
          <w:rFonts w:ascii="Garamond" w:hAnsi="Garamond"/>
          <w:bCs/>
          <w:color w:val="000000" w:themeColor="text1"/>
        </w:rPr>
        <w:t>bazı istatistiki işlemlerin yapılması gerekmektedir.</w:t>
      </w:r>
      <w:r w:rsidR="00046D2A" w:rsidRPr="00243C62">
        <w:rPr>
          <w:rFonts w:ascii="Garamond" w:hAnsi="Garamond"/>
          <w:bCs/>
          <w:color w:val="000000" w:themeColor="text1"/>
        </w:rPr>
        <w:t xml:space="preserve"> </w:t>
      </w:r>
      <w:r w:rsidR="008F7F14" w:rsidRPr="00243C62">
        <w:rPr>
          <w:rFonts w:ascii="Garamond" w:hAnsi="Garamond"/>
          <w:color w:val="000000" w:themeColor="text1"/>
        </w:rPr>
        <w:t>DFA</w:t>
      </w:r>
      <w:r w:rsidR="006B3F4F" w:rsidRPr="00243C62">
        <w:rPr>
          <w:rFonts w:ascii="Garamond" w:hAnsi="Garamond"/>
          <w:color w:val="000000" w:themeColor="text1"/>
        </w:rPr>
        <w:t xml:space="preserve"> </w:t>
      </w:r>
      <w:r w:rsidR="008F7F14" w:rsidRPr="00243C62">
        <w:rPr>
          <w:rFonts w:ascii="Garamond" w:hAnsi="Garamond"/>
          <w:color w:val="000000" w:themeColor="text1"/>
        </w:rPr>
        <w:t xml:space="preserve">öncesinde frekans tabloları aracılığıyla minimum ve maksimum değerler </w:t>
      </w:r>
      <w:r w:rsidR="006B3F4F" w:rsidRPr="00243C62">
        <w:rPr>
          <w:rFonts w:ascii="Garamond" w:hAnsi="Garamond"/>
          <w:color w:val="000000" w:themeColor="text1"/>
        </w:rPr>
        <w:t>kontrol edilmiştir.</w:t>
      </w:r>
      <w:r w:rsidR="008F7F14" w:rsidRPr="00243C62">
        <w:rPr>
          <w:rFonts w:ascii="Garamond" w:hAnsi="Garamond"/>
          <w:color w:val="000000" w:themeColor="text1"/>
        </w:rPr>
        <w:t xml:space="preserve"> </w:t>
      </w:r>
      <w:r w:rsidR="002118F1" w:rsidRPr="00243C62">
        <w:rPr>
          <w:rFonts w:ascii="Garamond" w:hAnsi="Garamond"/>
          <w:color w:val="000000" w:themeColor="text1"/>
        </w:rPr>
        <w:t>Tek değişkenli</w:t>
      </w:r>
      <w:r w:rsidR="008F7F14" w:rsidRPr="00243C62">
        <w:rPr>
          <w:rFonts w:ascii="Garamond" w:hAnsi="Garamond"/>
          <w:color w:val="000000" w:themeColor="text1"/>
        </w:rPr>
        <w:t xml:space="preserve"> ayrkırı değerleri tespit edebilmek için standartlaştırılmış z puanları incelenmiştir. </w:t>
      </w:r>
      <w:r w:rsidR="008F7F14" w:rsidRPr="00243C62">
        <w:rPr>
          <w:rFonts w:ascii="Garamond" w:hAnsi="Garamond"/>
        </w:rPr>
        <w:t>Tabachnick ve Fidell (2013)’e göre ± 3,29 aralığının dışındaki değerler aykırı değerler olarak kabul edilmektedir. Buna göre yapılan analizler doğrultusunda tek değişkenli aykırı değer tespit edilmemiştir.</w:t>
      </w:r>
      <w:r w:rsidR="008867DA" w:rsidRPr="00243C62">
        <w:rPr>
          <w:rFonts w:ascii="Garamond" w:hAnsi="Garamond"/>
        </w:rPr>
        <w:t xml:space="preserve"> Aynı zamanda bu araştırmada örneklem büyüklüğünün test edilebilmesi için Kaiser-Meyer-Olkin (KMO) testi yapılmıştır. Analiz sonuçlarına göre, KMO katsayısı .862, kikare değeri </w:t>
      </w:r>
      <w:r w:rsidR="008867DA" w:rsidRPr="00243C62">
        <w:rPr>
          <w:rFonts w:ascii="Garamond" w:hAnsi="Garamond"/>
        </w:rPr>
        <w:lastRenderedPageBreak/>
        <w:t>932.441 (p&lt;.001) bulunmuştur. Bu değerler örneklem büyüklüğünün yeterli ve ölçme verilerinin faktör analizini gerçekleştirmek için uygun olduğunu ortaya koymaktadır (Field, 2005).</w:t>
      </w:r>
      <w:r w:rsidR="008867DA" w:rsidRPr="00243C62">
        <w:t xml:space="preserve"> </w:t>
      </w:r>
      <w:r w:rsidR="008F7F14" w:rsidRPr="00243C62">
        <w:rPr>
          <w:rFonts w:ascii="Garamond" w:hAnsi="Garamond"/>
        </w:rPr>
        <w:t>Tek değişkenli normalliği test etmek için ise çarpıklık ve basıklık değerleri incelenmiştir. Çarpıklık değerinin ±3’ten büyük olması (Chou</w:t>
      </w:r>
      <w:r w:rsidR="00154342" w:rsidRPr="00243C62">
        <w:rPr>
          <w:rFonts w:ascii="Garamond" w:hAnsi="Garamond"/>
        </w:rPr>
        <w:t xml:space="preserve"> &amp; </w:t>
      </w:r>
      <w:r w:rsidR="008F7F14" w:rsidRPr="00243C62">
        <w:rPr>
          <w:rFonts w:ascii="Garamond" w:hAnsi="Garamond"/>
        </w:rPr>
        <w:t>Bentler, 1995), basıklık değerinin ise ±10’dan büyük olması (Kline, 2005) verilerin normal dağılmadığına işaret etme</w:t>
      </w:r>
      <w:r w:rsidR="008867DA" w:rsidRPr="00243C62">
        <w:rPr>
          <w:rFonts w:ascii="Garamond" w:hAnsi="Garamond"/>
        </w:rPr>
        <w:t>k</w:t>
      </w:r>
      <w:r w:rsidR="008F7F14" w:rsidRPr="00243C62">
        <w:rPr>
          <w:rFonts w:ascii="Garamond" w:hAnsi="Garamond"/>
        </w:rPr>
        <w:t xml:space="preserve">tedir. Bu doğrultuda </w:t>
      </w:r>
      <w:r w:rsidR="002118F1" w:rsidRPr="00243C62">
        <w:rPr>
          <w:rFonts w:ascii="Garamond" w:hAnsi="Garamond"/>
        </w:rPr>
        <w:t>GOÖ’nin</w:t>
      </w:r>
      <w:r w:rsidR="008F7F14" w:rsidRPr="00243C62">
        <w:rPr>
          <w:rFonts w:ascii="Garamond" w:hAnsi="Garamond"/>
        </w:rPr>
        <w:t xml:space="preserve"> tüm maddelerinin literatürde yer alan kriterleri sağladığı görülmektedir. Normallik varsayımına ilişkin ilgili bilgiler Tablo 1’ de </w:t>
      </w:r>
      <w:r w:rsidR="00ED5F01" w:rsidRPr="00243C62">
        <w:rPr>
          <w:rFonts w:ascii="Garamond" w:hAnsi="Garamond"/>
        </w:rPr>
        <w:t>sunulmuştur.</w:t>
      </w:r>
      <w:r w:rsidR="008867DA" w:rsidRPr="00243C62">
        <w:rPr>
          <w:rFonts w:ascii="Garamond" w:hAnsi="Garamond"/>
        </w:rPr>
        <w:t xml:space="preserve"> </w:t>
      </w:r>
      <w:bookmarkStart w:id="2" w:name="_Toc146483115"/>
    </w:p>
    <w:p w14:paraId="4DDC4465" w14:textId="77777777" w:rsidR="009E6092" w:rsidRPr="00243C62" w:rsidRDefault="009E6092" w:rsidP="008F7F14">
      <w:pPr>
        <w:pStyle w:val="ResimYazs"/>
        <w:rPr>
          <w:rFonts w:ascii="Garamond" w:hAnsi="Garamond"/>
          <w:b/>
          <w:bCs/>
          <w:i w:val="0"/>
          <w:iCs w:val="0"/>
          <w:color w:val="000000"/>
          <w:sz w:val="24"/>
          <w:szCs w:val="24"/>
        </w:rPr>
      </w:pPr>
    </w:p>
    <w:p w14:paraId="1A5A00AB" w14:textId="3C911350" w:rsidR="008F7F14" w:rsidRPr="00243C62" w:rsidRDefault="008F7F14" w:rsidP="008F7F14">
      <w:pPr>
        <w:pStyle w:val="ResimYazs"/>
        <w:rPr>
          <w:rFonts w:ascii="Garamond" w:hAnsi="Garamond"/>
          <w:b/>
          <w:bCs/>
          <w:i w:val="0"/>
          <w:iCs w:val="0"/>
          <w:color w:val="000000"/>
          <w:sz w:val="24"/>
          <w:szCs w:val="24"/>
        </w:rPr>
      </w:pPr>
      <w:r w:rsidRPr="00243C62">
        <w:rPr>
          <w:rFonts w:ascii="Garamond" w:hAnsi="Garamond"/>
          <w:b/>
          <w:bCs/>
          <w:i w:val="0"/>
          <w:iCs w:val="0"/>
          <w:color w:val="000000"/>
          <w:sz w:val="24"/>
          <w:szCs w:val="24"/>
        </w:rPr>
        <w:t xml:space="preserve">Tablo 1. Gelecek </w:t>
      </w:r>
      <w:r w:rsidR="00ED5F01" w:rsidRPr="00243C62">
        <w:rPr>
          <w:rFonts w:ascii="Garamond" w:hAnsi="Garamond"/>
          <w:b/>
          <w:bCs/>
          <w:i w:val="0"/>
          <w:iCs w:val="0"/>
          <w:color w:val="000000"/>
          <w:sz w:val="24"/>
          <w:szCs w:val="24"/>
        </w:rPr>
        <w:t>O</w:t>
      </w:r>
      <w:r w:rsidRPr="00243C62">
        <w:rPr>
          <w:rFonts w:ascii="Garamond" w:hAnsi="Garamond"/>
          <w:b/>
          <w:bCs/>
          <w:i w:val="0"/>
          <w:iCs w:val="0"/>
          <w:color w:val="000000"/>
          <w:sz w:val="24"/>
          <w:szCs w:val="24"/>
        </w:rPr>
        <w:t>ryantasyonu Ölçeği’nin Madde Faktör Yükü, Maddelerin Ortalama, Standart Sapma, Çarpıklık ve Basıklık Değerleri</w:t>
      </w:r>
      <w:bookmarkEnd w:id="2"/>
      <w:r w:rsidRPr="00243C62">
        <w:rPr>
          <w:rFonts w:ascii="Garamond" w:hAnsi="Garamond"/>
          <w:b/>
          <w:bCs/>
          <w:i w:val="0"/>
          <w:iCs w:val="0"/>
          <w:color w:val="000000"/>
          <w:sz w:val="24"/>
          <w:szCs w:val="24"/>
        </w:rPr>
        <w:t xml:space="preserve"> </w:t>
      </w:r>
    </w:p>
    <w:tbl>
      <w:tblPr>
        <w:tblW w:w="5000" w:type="pct"/>
        <w:tblLook w:val="04A0" w:firstRow="1" w:lastRow="0" w:firstColumn="1" w:lastColumn="0" w:noHBand="0" w:noVBand="1"/>
      </w:tblPr>
      <w:tblGrid>
        <w:gridCol w:w="1081"/>
        <w:gridCol w:w="3789"/>
        <w:gridCol w:w="780"/>
        <w:gridCol w:w="916"/>
        <w:gridCol w:w="1325"/>
        <w:gridCol w:w="1181"/>
      </w:tblGrid>
      <w:tr w:rsidR="008F7F14" w:rsidRPr="00243C62" w14:paraId="366A7E7B" w14:textId="77777777" w:rsidTr="008F7F14">
        <w:tc>
          <w:tcPr>
            <w:tcW w:w="595" w:type="pct"/>
            <w:tcBorders>
              <w:top w:val="single" w:sz="4" w:space="0" w:color="auto"/>
              <w:bottom w:val="single" w:sz="4" w:space="0" w:color="auto"/>
            </w:tcBorders>
            <w:shd w:val="clear" w:color="auto" w:fill="auto"/>
          </w:tcPr>
          <w:p w14:paraId="09D851CD" w14:textId="77777777" w:rsidR="008F7F14" w:rsidRPr="00243C62" w:rsidRDefault="008F7F14" w:rsidP="008F7F14">
            <w:pPr>
              <w:jc w:val="center"/>
              <w:rPr>
                <w:rFonts w:ascii="Garamond" w:hAnsi="Garamond"/>
                <w:sz w:val="20"/>
                <w:szCs w:val="20"/>
              </w:rPr>
            </w:pPr>
            <w:r w:rsidRPr="00243C62">
              <w:rPr>
                <w:rFonts w:ascii="Garamond" w:hAnsi="Garamond"/>
                <w:sz w:val="20"/>
                <w:szCs w:val="20"/>
              </w:rPr>
              <w:t>Madde</w:t>
            </w:r>
          </w:p>
        </w:tc>
        <w:tc>
          <w:tcPr>
            <w:tcW w:w="2088" w:type="pct"/>
            <w:tcBorders>
              <w:top w:val="single" w:sz="4" w:space="0" w:color="auto"/>
              <w:bottom w:val="single" w:sz="4" w:space="0" w:color="auto"/>
            </w:tcBorders>
            <w:shd w:val="clear" w:color="auto" w:fill="auto"/>
          </w:tcPr>
          <w:p w14:paraId="4AC6E95B" w14:textId="77777777" w:rsidR="008F7F14" w:rsidRPr="00243C62" w:rsidRDefault="008F7F14" w:rsidP="008F7F14">
            <w:pPr>
              <w:jc w:val="center"/>
              <w:rPr>
                <w:rFonts w:ascii="Garamond" w:hAnsi="Garamond"/>
                <w:sz w:val="20"/>
                <w:szCs w:val="20"/>
              </w:rPr>
            </w:pPr>
            <w:r w:rsidRPr="00243C62">
              <w:rPr>
                <w:rFonts w:ascii="Garamond" w:hAnsi="Garamond"/>
                <w:sz w:val="20"/>
                <w:szCs w:val="20"/>
              </w:rPr>
              <w:t>Standardize madde faktör yükü</w:t>
            </w:r>
          </w:p>
        </w:tc>
        <w:tc>
          <w:tcPr>
            <w:tcW w:w="430" w:type="pct"/>
            <w:tcBorders>
              <w:top w:val="single" w:sz="4" w:space="0" w:color="auto"/>
              <w:bottom w:val="single" w:sz="4" w:space="0" w:color="auto"/>
            </w:tcBorders>
            <w:shd w:val="clear" w:color="auto" w:fill="auto"/>
          </w:tcPr>
          <w:p w14:paraId="4BF337A0" w14:textId="77777777" w:rsidR="008F7F14" w:rsidRPr="00243C62" w:rsidRDefault="008F7F14" w:rsidP="008F7F14">
            <w:pPr>
              <w:jc w:val="center"/>
              <w:rPr>
                <w:rFonts w:ascii="Garamond" w:hAnsi="Garamond"/>
                <w:sz w:val="20"/>
                <w:szCs w:val="20"/>
              </w:rPr>
            </w:pPr>
            <w:r w:rsidRPr="00243C62">
              <w:rPr>
                <w:rFonts w:ascii="Garamond" w:hAnsi="Garamond"/>
                <w:color w:val="000000"/>
                <w:sz w:val="20"/>
                <w:szCs w:val="20"/>
                <w:shd w:val="clear" w:color="auto" w:fill="FFFFFF"/>
              </w:rPr>
              <w:t>X</w:t>
            </w:r>
            <w:r w:rsidRPr="00243C62">
              <w:rPr>
                <w:color w:val="000000"/>
                <w:sz w:val="20"/>
                <w:szCs w:val="20"/>
                <w:shd w:val="clear" w:color="auto" w:fill="FFFFFF"/>
              </w:rPr>
              <w:t>̄</w:t>
            </w:r>
          </w:p>
        </w:tc>
        <w:tc>
          <w:tcPr>
            <w:tcW w:w="505" w:type="pct"/>
            <w:tcBorders>
              <w:top w:val="single" w:sz="4" w:space="0" w:color="auto"/>
              <w:bottom w:val="single" w:sz="4" w:space="0" w:color="auto"/>
            </w:tcBorders>
            <w:shd w:val="clear" w:color="auto" w:fill="auto"/>
          </w:tcPr>
          <w:p w14:paraId="4CA9E0B9" w14:textId="77777777" w:rsidR="008F7F14" w:rsidRPr="00243C62" w:rsidRDefault="008F7F14" w:rsidP="008F7F14">
            <w:pPr>
              <w:jc w:val="center"/>
              <w:rPr>
                <w:rFonts w:ascii="Garamond" w:hAnsi="Garamond"/>
                <w:sz w:val="20"/>
                <w:szCs w:val="20"/>
              </w:rPr>
            </w:pPr>
            <w:r w:rsidRPr="00243C62">
              <w:rPr>
                <w:rFonts w:ascii="Garamond" w:hAnsi="Garamond"/>
                <w:sz w:val="20"/>
                <w:szCs w:val="20"/>
              </w:rPr>
              <w:t>SS</w:t>
            </w:r>
          </w:p>
        </w:tc>
        <w:tc>
          <w:tcPr>
            <w:tcW w:w="730" w:type="pct"/>
            <w:tcBorders>
              <w:top w:val="single" w:sz="4" w:space="0" w:color="auto"/>
              <w:bottom w:val="single" w:sz="4" w:space="0" w:color="auto"/>
            </w:tcBorders>
            <w:shd w:val="clear" w:color="auto" w:fill="auto"/>
          </w:tcPr>
          <w:p w14:paraId="2C1EECC1" w14:textId="77777777" w:rsidR="008F7F14" w:rsidRPr="00243C62" w:rsidRDefault="008F7F14" w:rsidP="008F7F14">
            <w:pPr>
              <w:jc w:val="center"/>
              <w:rPr>
                <w:rFonts w:ascii="Garamond" w:hAnsi="Garamond"/>
                <w:sz w:val="20"/>
                <w:szCs w:val="20"/>
              </w:rPr>
            </w:pPr>
            <w:r w:rsidRPr="00243C62">
              <w:rPr>
                <w:rFonts w:ascii="Garamond" w:hAnsi="Garamond"/>
                <w:sz w:val="20"/>
                <w:szCs w:val="20"/>
              </w:rPr>
              <w:t>Çarpıklık</w:t>
            </w:r>
          </w:p>
        </w:tc>
        <w:tc>
          <w:tcPr>
            <w:tcW w:w="651" w:type="pct"/>
            <w:tcBorders>
              <w:top w:val="single" w:sz="4" w:space="0" w:color="auto"/>
              <w:bottom w:val="single" w:sz="4" w:space="0" w:color="auto"/>
            </w:tcBorders>
            <w:shd w:val="clear" w:color="auto" w:fill="auto"/>
          </w:tcPr>
          <w:p w14:paraId="396D6FE5" w14:textId="77777777" w:rsidR="008F7F14" w:rsidRPr="00243C62" w:rsidRDefault="008F7F14" w:rsidP="008F7F14">
            <w:pPr>
              <w:jc w:val="center"/>
              <w:rPr>
                <w:rFonts w:ascii="Garamond" w:hAnsi="Garamond"/>
                <w:sz w:val="20"/>
                <w:szCs w:val="20"/>
              </w:rPr>
            </w:pPr>
            <w:r w:rsidRPr="00243C62">
              <w:rPr>
                <w:rFonts w:ascii="Garamond" w:hAnsi="Garamond"/>
                <w:sz w:val="20"/>
                <w:szCs w:val="20"/>
              </w:rPr>
              <w:t>Basıklık</w:t>
            </w:r>
          </w:p>
        </w:tc>
      </w:tr>
      <w:tr w:rsidR="008F7F14" w:rsidRPr="00243C62" w14:paraId="30CE13E6" w14:textId="77777777" w:rsidTr="008F7F14">
        <w:tc>
          <w:tcPr>
            <w:tcW w:w="595" w:type="pct"/>
            <w:tcBorders>
              <w:top w:val="single" w:sz="4" w:space="0" w:color="auto"/>
            </w:tcBorders>
            <w:shd w:val="clear" w:color="auto" w:fill="auto"/>
          </w:tcPr>
          <w:p w14:paraId="2E8309CE" w14:textId="77777777" w:rsidR="008F7F14" w:rsidRPr="00243C62" w:rsidRDefault="008F7F14" w:rsidP="008F7F14">
            <w:pPr>
              <w:jc w:val="center"/>
              <w:rPr>
                <w:rFonts w:ascii="Garamond" w:hAnsi="Garamond"/>
                <w:sz w:val="20"/>
                <w:szCs w:val="20"/>
              </w:rPr>
            </w:pPr>
            <w:r w:rsidRPr="00243C62">
              <w:rPr>
                <w:rFonts w:ascii="Garamond" w:hAnsi="Garamond"/>
                <w:sz w:val="20"/>
                <w:szCs w:val="20"/>
              </w:rPr>
              <w:t>F1</w:t>
            </w:r>
          </w:p>
        </w:tc>
        <w:tc>
          <w:tcPr>
            <w:tcW w:w="2088" w:type="pct"/>
            <w:tcBorders>
              <w:top w:val="single" w:sz="4" w:space="0" w:color="auto"/>
            </w:tcBorders>
            <w:shd w:val="clear" w:color="auto" w:fill="auto"/>
          </w:tcPr>
          <w:p w14:paraId="741BE47F" w14:textId="60D62D0F" w:rsidR="008F7F14" w:rsidRPr="00243C62" w:rsidRDefault="003B79C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50</w:t>
            </w:r>
          </w:p>
        </w:tc>
        <w:tc>
          <w:tcPr>
            <w:tcW w:w="430" w:type="pct"/>
            <w:tcBorders>
              <w:top w:val="single" w:sz="4" w:space="0" w:color="auto"/>
            </w:tcBorders>
            <w:shd w:val="clear" w:color="auto" w:fill="auto"/>
          </w:tcPr>
          <w:p w14:paraId="6D19D2F8" w14:textId="0DC0CEA0" w:rsidR="008F7F14" w:rsidRPr="00243C62" w:rsidRDefault="008F7F14" w:rsidP="008F7F14">
            <w:pPr>
              <w:jc w:val="center"/>
              <w:rPr>
                <w:rFonts w:ascii="Garamond" w:hAnsi="Garamond"/>
                <w:sz w:val="20"/>
                <w:szCs w:val="20"/>
              </w:rPr>
            </w:pPr>
            <w:r w:rsidRPr="00243C62">
              <w:rPr>
                <w:rFonts w:ascii="Garamond" w:hAnsi="Garamond"/>
                <w:sz w:val="20"/>
                <w:szCs w:val="20"/>
              </w:rPr>
              <w:t>2</w:t>
            </w:r>
            <w:r w:rsidR="003B79CD" w:rsidRPr="00243C62">
              <w:rPr>
                <w:rFonts w:ascii="Garamond" w:hAnsi="Garamond"/>
                <w:sz w:val="20"/>
                <w:szCs w:val="20"/>
              </w:rPr>
              <w:t>.</w:t>
            </w:r>
            <w:r w:rsidRPr="00243C62">
              <w:rPr>
                <w:rFonts w:ascii="Garamond" w:hAnsi="Garamond"/>
                <w:sz w:val="20"/>
                <w:szCs w:val="20"/>
              </w:rPr>
              <w:t>34</w:t>
            </w:r>
          </w:p>
        </w:tc>
        <w:tc>
          <w:tcPr>
            <w:tcW w:w="505" w:type="pct"/>
            <w:tcBorders>
              <w:top w:val="single" w:sz="4" w:space="0" w:color="auto"/>
            </w:tcBorders>
            <w:shd w:val="clear" w:color="auto" w:fill="auto"/>
          </w:tcPr>
          <w:p w14:paraId="12BF7799" w14:textId="77777777" w:rsidR="008F7F14" w:rsidRPr="00243C62" w:rsidRDefault="008F7F14" w:rsidP="008F7F14">
            <w:pPr>
              <w:jc w:val="center"/>
              <w:rPr>
                <w:rFonts w:ascii="Garamond" w:hAnsi="Garamond"/>
                <w:sz w:val="20"/>
                <w:szCs w:val="20"/>
              </w:rPr>
            </w:pPr>
            <w:r w:rsidRPr="00243C62">
              <w:rPr>
                <w:rFonts w:ascii="Garamond" w:hAnsi="Garamond"/>
                <w:sz w:val="20"/>
                <w:szCs w:val="20"/>
              </w:rPr>
              <w:t>.903</w:t>
            </w:r>
          </w:p>
        </w:tc>
        <w:tc>
          <w:tcPr>
            <w:tcW w:w="730" w:type="pct"/>
            <w:tcBorders>
              <w:top w:val="single" w:sz="4" w:space="0" w:color="auto"/>
            </w:tcBorders>
            <w:shd w:val="clear" w:color="auto" w:fill="auto"/>
          </w:tcPr>
          <w:p w14:paraId="565BD3AA" w14:textId="4D8B43A5" w:rsidR="008F7F14" w:rsidRPr="00243C62" w:rsidRDefault="003B79C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05</w:t>
            </w:r>
          </w:p>
        </w:tc>
        <w:tc>
          <w:tcPr>
            <w:tcW w:w="651" w:type="pct"/>
            <w:tcBorders>
              <w:top w:val="single" w:sz="4" w:space="0" w:color="auto"/>
            </w:tcBorders>
            <w:shd w:val="clear" w:color="auto" w:fill="auto"/>
          </w:tcPr>
          <w:p w14:paraId="1BD40B9C" w14:textId="60DCF1A1" w:rsidR="008F7F14" w:rsidRPr="00243C62" w:rsidRDefault="008F7F14" w:rsidP="008F7F14">
            <w:pPr>
              <w:jc w:val="center"/>
              <w:rPr>
                <w:rFonts w:ascii="Garamond" w:hAnsi="Garamond"/>
                <w:sz w:val="20"/>
                <w:szCs w:val="20"/>
              </w:rPr>
            </w:pPr>
            <w:r w:rsidRPr="00243C62">
              <w:rPr>
                <w:rFonts w:ascii="Garamond" w:hAnsi="Garamond"/>
                <w:sz w:val="20"/>
                <w:szCs w:val="20"/>
              </w:rPr>
              <w:t>-</w:t>
            </w:r>
            <w:r w:rsidR="003B79CD" w:rsidRPr="00243C62">
              <w:rPr>
                <w:rFonts w:ascii="Garamond" w:hAnsi="Garamond"/>
                <w:sz w:val="20"/>
                <w:szCs w:val="20"/>
              </w:rPr>
              <w:t>.</w:t>
            </w:r>
            <w:r w:rsidRPr="00243C62">
              <w:rPr>
                <w:rFonts w:ascii="Garamond" w:hAnsi="Garamond"/>
                <w:sz w:val="20"/>
                <w:szCs w:val="20"/>
              </w:rPr>
              <w:t>82</w:t>
            </w:r>
          </w:p>
        </w:tc>
      </w:tr>
      <w:tr w:rsidR="008F7F14" w:rsidRPr="00243C62" w14:paraId="6D8AE5E7" w14:textId="77777777" w:rsidTr="008F7F14">
        <w:tc>
          <w:tcPr>
            <w:tcW w:w="595" w:type="pct"/>
            <w:shd w:val="clear" w:color="auto" w:fill="auto"/>
          </w:tcPr>
          <w:p w14:paraId="6CDE292E" w14:textId="77777777" w:rsidR="008F7F14" w:rsidRPr="00243C62" w:rsidRDefault="008F7F14" w:rsidP="008F7F14">
            <w:pPr>
              <w:jc w:val="center"/>
              <w:rPr>
                <w:rFonts w:ascii="Garamond" w:hAnsi="Garamond"/>
                <w:sz w:val="20"/>
                <w:szCs w:val="20"/>
              </w:rPr>
            </w:pPr>
            <w:r w:rsidRPr="00243C62">
              <w:rPr>
                <w:rFonts w:ascii="Garamond" w:hAnsi="Garamond"/>
                <w:sz w:val="20"/>
                <w:szCs w:val="20"/>
              </w:rPr>
              <w:t>F2</w:t>
            </w:r>
          </w:p>
        </w:tc>
        <w:tc>
          <w:tcPr>
            <w:tcW w:w="2088" w:type="pct"/>
            <w:shd w:val="clear" w:color="auto" w:fill="auto"/>
          </w:tcPr>
          <w:p w14:paraId="21DEC69E" w14:textId="6AE26D91" w:rsidR="008F7F14" w:rsidRPr="00243C62" w:rsidRDefault="003B79C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57</w:t>
            </w:r>
          </w:p>
        </w:tc>
        <w:tc>
          <w:tcPr>
            <w:tcW w:w="430" w:type="pct"/>
            <w:shd w:val="clear" w:color="auto" w:fill="auto"/>
          </w:tcPr>
          <w:p w14:paraId="7A766D71" w14:textId="3F4EE01C" w:rsidR="008F7F14" w:rsidRPr="00243C62" w:rsidRDefault="008F7F14" w:rsidP="008F7F14">
            <w:pPr>
              <w:jc w:val="center"/>
              <w:rPr>
                <w:rFonts w:ascii="Garamond" w:hAnsi="Garamond"/>
                <w:sz w:val="20"/>
                <w:szCs w:val="20"/>
              </w:rPr>
            </w:pPr>
            <w:r w:rsidRPr="00243C62">
              <w:rPr>
                <w:rFonts w:ascii="Garamond" w:hAnsi="Garamond"/>
                <w:sz w:val="20"/>
                <w:szCs w:val="20"/>
              </w:rPr>
              <w:t>2</w:t>
            </w:r>
            <w:r w:rsidR="003B79CD" w:rsidRPr="00243C62">
              <w:rPr>
                <w:rFonts w:ascii="Garamond" w:hAnsi="Garamond"/>
                <w:sz w:val="20"/>
                <w:szCs w:val="20"/>
              </w:rPr>
              <w:t>.</w:t>
            </w:r>
            <w:r w:rsidRPr="00243C62">
              <w:rPr>
                <w:rFonts w:ascii="Garamond" w:hAnsi="Garamond"/>
                <w:sz w:val="20"/>
                <w:szCs w:val="20"/>
              </w:rPr>
              <w:t>54</w:t>
            </w:r>
          </w:p>
        </w:tc>
        <w:tc>
          <w:tcPr>
            <w:tcW w:w="505" w:type="pct"/>
            <w:shd w:val="clear" w:color="auto" w:fill="auto"/>
          </w:tcPr>
          <w:p w14:paraId="2C518449" w14:textId="77777777" w:rsidR="008F7F14" w:rsidRPr="00243C62" w:rsidRDefault="008F7F14" w:rsidP="008F7F14">
            <w:pPr>
              <w:jc w:val="center"/>
              <w:rPr>
                <w:rFonts w:ascii="Garamond" w:hAnsi="Garamond"/>
                <w:sz w:val="20"/>
                <w:szCs w:val="20"/>
              </w:rPr>
            </w:pPr>
            <w:r w:rsidRPr="00243C62">
              <w:rPr>
                <w:rFonts w:ascii="Garamond" w:hAnsi="Garamond"/>
                <w:sz w:val="20"/>
                <w:szCs w:val="20"/>
              </w:rPr>
              <w:t>.775</w:t>
            </w:r>
          </w:p>
        </w:tc>
        <w:tc>
          <w:tcPr>
            <w:tcW w:w="730" w:type="pct"/>
            <w:shd w:val="clear" w:color="auto" w:fill="auto"/>
          </w:tcPr>
          <w:p w14:paraId="4E4C9E4A" w14:textId="39750338" w:rsidR="008F7F14" w:rsidRPr="00243C62" w:rsidRDefault="008F7F14" w:rsidP="008F7F14">
            <w:pPr>
              <w:jc w:val="center"/>
              <w:rPr>
                <w:rFonts w:ascii="Garamond" w:hAnsi="Garamond"/>
                <w:sz w:val="20"/>
                <w:szCs w:val="20"/>
              </w:rPr>
            </w:pPr>
            <w:r w:rsidRPr="00243C62">
              <w:rPr>
                <w:rFonts w:ascii="Garamond" w:hAnsi="Garamond"/>
                <w:sz w:val="20"/>
                <w:szCs w:val="20"/>
              </w:rPr>
              <w:t>-</w:t>
            </w:r>
            <w:r w:rsidR="003B79CD" w:rsidRPr="00243C62">
              <w:rPr>
                <w:rFonts w:ascii="Garamond" w:hAnsi="Garamond"/>
                <w:sz w:val="20"/>
                <w:szCs w:val="20"/>
              </w:rPr>
              <w:t>.</w:t>
            </w:r>
            <w:r w:rsidRPr="00243C62">
              <w:rPr>
                <w:rFonts w:ascii="Garamond" w:hAnsi="Garamond"/>
                <w:sz w:val="20"/>
                <w:szCs w:val="20"/>
              </w:rPr>
              <w:t>27</w:t>
            </w:r>
          </w:p>
        </w:tc>
        <w:tc>
          <w:tcPr>
            <w:tcW w:w="651" w:type="pct"/>
            <w:shd w:val="clear" w:color="auto" w:fill="auto"/>
          </w:tcPr>
          <w:p w14:paraId="6C615871" w14:textId="4CD28306" w:rsidR="008F7F14" w:rsidRPr="00243C62" w:rsidRDefault="008F7F14" w:rsidP="008F7F14">
            <w:pPr>
              <w:jc w:val="center"/>
              <w:rPr>
                <w:rFonts w:ascii="Garamond" w:hAnsi="Garamond"/>
                <w:sz w:val="20"/>
                <w:szCs w:val="20"/>
              </w:rPr>
            </w:pPr>
            <w:r w:rsidRPr="00243C62">
              <w:rPr>
                <w:rFonts w:ascii="Garamond" w:hAnsi="Garamond"/>
                <w:sz w:val="20"/>
                <w:szCs w:val="20"/>
              </w:rPr>
              <w:t>-</w:t>
            </w:r>
            <w:r w:rsidR="0013495D" w:rsidRPr="00243C62">
              <w:rPr>
                <w:rFonts w:ascii="Garamond" w:hAnsi="Garamond"/>
                <w:sz w:val="20"/>
                <w:szCs w:val="20"/>
              </w:rPr>
              <w:t>.</w:t>
            </w:r>
            <w:r w:rsidRPr="00243C62">
              <w:rPr>
                <w:rFonts w:ascii="Garamond" w:hAnsi="Garamond"/>
                <w:sz w:val="20"/>
                <w:szCs w:val="20"/>
              </w:rPr>
              <w:t>32</w:t>
            </w:r>
          </w:p>
        </w:tc>
      </w:tr>
      <w:tr w:rsidR="008F7F14" w:rsidRPr="00243C62" w14:paraId="39930F2F" w14:textId="77777777" w:rsidTr="008F7F14">
        <w:tc>
          <w:tcPr>
            <w:tcW w:w="595" w:type="pct"/>
            <w:shd w:val="clear" w:color="auto" w:fill="auto"/>
          </w:tcPr>
          <w:p w14:paraId="04A2BCB1" w14:textId="77777777" w:rsidR="008F7F14" w:rsidRPr="00243C62" w:rsidRDefault="008F7F14" w:rsidP="008F7F14">
            <w:pPr>
              <w:jc w:val="center"/>
              <w:rPr>
                <w:rFonts w:ascii="Garamond" w:hAnsi="Garamond"/>
                <w:sz w:val="20"/>
                <w:szCs w:val="20"/>
              </w:rPr>
            </w:pPr>
            <w:r w:rsidRPr="00243C62">
              <w:rPr>
                <w:rFonts w:ascii="Garamond" w:hAnsi="Garamond"/>
                <w:sz w:val="20"/>
                <w:szCs w:val="20"/>
              </w:rPr>
              <w:t>F3</w:t>
            </w:r>
          </w:p>
        </w:tc>
        <w:tc>
          <w:tcPr>
            <w:tcW w:w="2088" w:type="pct"/>
            <w:shd w:val="clear" w:color="auto" w:fill="auto"/>
          </w:tcPr>
          <w:p w14:paraId="722D89D2" w14:textId="036FE11E" w:rsidR="008F7F14" w:rsidRPr="00243C62" w:rsidRDefault="003B79C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43</w:t>
            </w:r>
          </w:p>
        </w:tc>
        <w:tc>
          <w:tcPr>
            <w:tcW w:w="430" w:type="pct"/>
            <w:shd w:val="clear" w:color="auto" w:fill="auto"/>
          </w:tcPr>
          <w:p w14:paraId="580D2DFB" w14:textId="07B0A823" w:rsidR="008F7F14" w:rsidRPr="00243C62" w:rsidRDefault="008F7F14" w:rsidP="008F7F14">
            <w:pPr>
              <w:jc w:val="center"/>
              <w:rPr>
                <w:rFonts w:ascii="Garamond" w:hAnsi="Garamond"/>
                <w:sz w:val="20"/>
                <w:szCs w:val="20"/>
              </w:rPr>
            </w:pPr>
            <w:r w:rsidRPr="00243C62">
              <w:rPr>
                <w:rFonts w:ascii="Garamond" w:hAnsi="Garamond"/>
                <w:sz w:val="20"/>
                <w:szCs w:val="20"/>
              </w:rPr>
              <w:t>3</w:t>
            </w:r>
            <w:r w:rsidR="003B79CD" w:rsidRPr="00243C62">
              <w:rPr>
                <w:rFonts w:ascii="Garamond" w:hAnsi="Garamond"/>
                <w:sz w:val="20"/>
                <w:szCs w:val="20"/>
              </w:rPr>
              <w:t>.</w:t>
            </w:r>
            <w:r w:rsidRPr="00243C62">
              <w:rPr>
                <w:rFonts w:ascii="Garamond" w:hAnsi="Garamond"/>
                <w:sz w:val="20"/>
                <w:szCs w:val="20"/>
              </w:rPr>
              <w:t>44</w:t>
            </w:r>
          </w:p>
        </w:tc>
        <w:tc>
          <w:tcPr>
            <w:tcW w:w="505" w:type="pct"/>
            <w:shd w:val="clear" w:color="auto" w:fill="auto"/>
          </w:tcPr>
          <w:p w14:paraId="0CA9D738" w14:textId="77777777" w:rsidR="008F7F14" w:rsidRPr="00243C62" w:rsidRDefault="008F7F14" w:rsidP="008F7F14">
            <w:pPr>
              <w:jc w:val="center"/>
              <w:rPr>
                <w:rFonts w:ascii="Garamond" w:hAnsi="Garamond"/>
                <w:sz w:val="20"/>
                <w:szCs w:val="20"/>
              </w:rPr>
            </w:pPr>
            <w:r w:rsidRPr="00243C62">
              <w:rPr>
                <w:rFonts w:ascii="Garamond" w:hAnsi="Garamond"/>
                <w:sz w:val="20"/>
                <w:szCs w:val="20"/>
              </w:rPr>
              <w:t>.803</w:t>
            </w:r>
          </w:p>
        </w:tc>
        <w:tc>
          <w:tcPr>
            <w:tcW w:w="730" w:type="pct"/>
            <w:shd w:val="clear" w:color="auto" w:fill="auto"/>
          </w:tcPr>
          <w:p w14:paraId="6AB23B6F" w14:textId="561B7D7D" w:rsidR="008F7F14" w:rsidRPr="00243C62" w:rsidRDefault="008F7F14" w:rsidP="008F7F14">
            <w:pPr>
              <w:jc w:val="center"/>
              <w:rPr>
                <w:rFonts w:ascii="Garamond" w:hAnsi="Garamond"/>
                <w:sz w:val="20"/>
                <w:szCs w:val="20"/>
              </w:rPr>
            </w:pPr>
            <w:r w:rsidRPr="00243C62">
              <w:rPr>
                <w:rFonts w:ascii="Garamond" w:hAnsi="Garamond"/>
                <w:sz w:val="20"/>
                <w:szCs w:val="20"/>
              </w:rPr>
              <w:t>-1</w:t>
            </w:r>
            <w:r w:rsidR="003B79CD" w:rsidRPr="00243C62">
              <w:rPr>
                <w:rFonts w:ascii="Garamond" w:hAnsi="Garamond"/>
                <w:sz w:val="20"/>
                <w:szCs w:val="20"/>
              </w:rPr>
              <w:t>.</w:t>
            </w:r>
            <w:r w:rsidRPr="00243C62">
              <w:rPr>
                <w:rFonts w:ascii="Garamond" w:hAnsi="Garamond"/>
                <w:sz w:val="20"/>
                <w:szCs w:val="20"/>
              </w:rPr>
              <w:t>55</w:t>
            </w:r>
          </w:p>
        </w:tc>
        <w:tc>
          <w:tcPr>
            <w:tcW w:w="651" w:type="pct"/>
            <w:shd w:val="clear" w:color="auto" w:fill="auto"/>
          </w:tcPr>
          <w:p w14:paraId="529F0516" w14:textId="72444FB8" w:rsidR="008F7F14" w:rsidRPr="00243C62" w:rsidRDefault="008F7F14" w:rsidP="008F7F14">
            <w:pPr>
              <w:jc w:val="center"/>
              <w:rPr>
                <w:rFonts w:ascii="Garamond" w:hAnsi="Garamond"/>
                <w:sz w:val="20"/>
                <w:szCs w:val="20"/>
              </w:rPr>
            </w:pPr>
            <w:r w:rsidRPr="00243C62">
              <w:rPr>
                <w:rFonts w:ascii="Garamond" w:hAnsi="Garamond"/>
                <w:sz w:val="20"/>
                <w:szCs w:val="20"/>
              </w:rPr>
              <w:t>2</w:t>
            </w:r>
            <w:r w:rsidR="0013495D" w:rsidRPr="00243C62">
              <w:rPr>
                <w:rFonts w:ascii="Garamond" w:hAnsi="Garamond"/>
                <w:sz w:val="20"/>
                <w:szCs w:val="20"/>
              </w:rPr>
              <w:t>.</w:t>
            </w:r>
            <w:r w:rsidRPr="00243C62">
              <w:rPr>
                <w:rFonts w:ascii="Garamond" w:hAnsi="Garamond"/>
                <w:sz w:val="20"/>
                <w:szCs w:val="20"/>
              </w:rPr>
              <w:t>07</w:t>
            </w:r>
          </w:p>
        </w:tc>
      </w:tr>
      <w:tr w:rsidR="008F7F14" w:rsidRPr="00243C62" w14:paraId="3F90AFE3" w14:textId="77777777" w:rsidTr="008F7F14">
        <w:tc>
          <w:tcPr>
            <w:tcW w:w="595" w:type="pct"/>
            <w:shd w:val="clear" w:color="auto" w:fill="auto"/>
          </w:tcPr>
          <w:p w14:paraId="59BA5105" w14:textId="77777777" w:rsidR="008F7F14" w:rsidRPr="00243C62" w:rsidRDefault="008F7F14" w:rsidP="008F7F14">
            <w:pPr>
              <w:jc w:val="center"/>
              <w:rPr>
                <w:rFonts w:ascii="Garamond" w:hAnsi="Garamond"/>
                <w:sz w:val="20"/>
                <w:szCs w:val="20"/>
              </w:rPr>
            </w:pPr>
            <w:r w:rsidRPr="00243C62">
              <w:rPr>
                <w:rFonts w:ascii="Garamond" w:hAnsi="Garamond"/>
                <w:sz w:val="20"/>
                <w:szCs w:val="20"/>
              </w:rPr>
              <w:t>F4</w:t>
            </w:r>
          </w:p>
        </w:tc>
        <w:tc>
          <w:tcPr>
            <w:tcW w:w="2088" w:type="pct"/>
            <w:shd w:val="clear" w:color="auto" w:fill="auto"/>
          </w:tcPr>
          <w:p w14:paraId="5BC30994" w14:textId="263444A6" w:rsidR="008F7F14" w:rsidRPr="00243C62" w:rsidRDefault="003B79C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28</w:t>
            </w:r>
          </w:p>
        </w:tc>
        <w:tc>
          <w:tcPr>
            <w:tcW w:w="430" w:type="pct"/>
            <w:shd w:val="clear" w:color="auto" w:fill="auto"/>
          </w:tcPr>
          <w:p w14:paraId="645347A8" w14:textId="68E4D419" w:rsidR="008F7F14" w:rsidRPr="00243C62" w:rsidRDefault="008F7F14" w:rsidP="008F7F14">
            <w:pPr>
              <w:jc w:val="center"/>
              <w:rPr>
                <w:rFonts w:ascii="Garamond" w:hAnsi="Garamond"/>
                <w:sz w:val="20"/>
                <w:szCs w:val="20"/>
              </w:rPr>
            </w:pPr>
            <w:r w:rsidRPr="00243C62">
              <w:rPr>
                <w:rFonts w:ascii="Garamond" w:hAnsi="Garamond"/>
                <w:sz w:val="20"/>
                <w:szCs w:val="20"/>
              </w:rPr>
              <w:t>3</w:t>
            </w:r>
            <w:r w:rsidR="003B79CD" w:rsidRPr="00243C62">
              <w:rPr>
                <w:rFonts w:ascii="Garamond" w:hAnsi="Garamond"/>
                <w:sz w:val="20"/>
                <w:szCs w:val="20"/>
              </w:rPr>
              <w:t>.</w:t>
            </w:r>
            <w:r w:rsidRPr="00243C62">
              <w:rPr>
                <w:rFonts w:ascii="Garamond" w:hAnsi="Garamond"/>
                <w:sz w:val="20"/>
                <w:szCs w:val="20"/>
              </w:rPr>
              <w:t>11</w:t>
            </w:r>
          </w:p>
        </w:tc>
        <w:tc>
          <w:tcPr>
            <w:tcW w:w="505" w:type="pct"/>
            <w:shd w:val="clear" w:color="auto" w:fill="auto"/>
          </w:tcPr>
          <w:p w14:paraId="69F0F084" w14:textId="77777777" w:rsidR="008F7F14" w:rsidRPr="00243C62" w:rsidRDefault="008F7F14" w:rsidP="008F7F14">
            <w:pPr>
              <w:jc w:val="center"/>
              <w:rPr>
                <w:rFonts w:ascii="Garamond" w:hAnsi="Garamond"/>
                <w:sz w:val="20"/>
                <w:szCs w:val="20"/>
              </w:rPr>
            </w:pPr>
            <w:r w:rsidRPr="00243C62">
              <w:rPr>
                <w:rFonts w:ascii="Garamond" w:hAnsi="Garamond"/>
                <w:sz w:val="20"/>
                <w:szCs w:val="20"/>
              </w:rPr>
              <w:t>.679</w:t>
            </w:r>
          </w:p>
        </w:tc>
        <w:tc>
          <w:tcPr>
            <w:tcW w:w="730" w:type="pct"/>
            <w:shd w:val="clear" w:color="auto" w:fill="auto"/>
          </w:tcPr>
          <w:p w14:paraId="5B47D4CA" w14:textId="77777777" w:rsidR="008F7F14" w:rsidRPr="00243C62" w:rsidRDefault="008F7F14" w:rsidP="008F7F14">
            <w:pPr>
              <w:jc w:val="center"/>
              <w:rPr>
                <w:rFonts w:ascii="Garamond" w:hAnsi="Garamond"/>
                <w:sz w:val="20"/>
                <w:szCs w:val="20"/>
              </w:rPr>
            </w:pPr>
            <w:r w:rsidRPr="00243C62">
              <w:rPr>
                <w:rFonts w:ascii="Garamond" w:hAnsi="Garamond"/>
                <w:sz w:val="20"/>
                <w:szCs w:val="20"/>
              </w:rPr>
              <w:t>-,56</w:t>
            </w:r>
          </w:p>
        </w:tc>
        <w:tc>
          <w:tcPr>
            <w:tcW w:w="651" w:type="pct"/>
            <w:shd w:val="clear" w:color="auto" w:fill="auto"/>
          </w:tcPr>
          <w:p w14:paraId="6DBB253E" w14:textId="13B301A2" w:rsidR="008F7F14" w:rsidRPr="00243C62" w:rsidRDefault="0013495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74</w:t>
            </w:r>
          </w:p>
        </w:tc>
      </w:tr>
      <w:tr w:rsidR="008F7F14" w:rsidRPr="00243C62" w14:paraId="65B5B39E" w14:textId="77777777" w:rsidTr="008F7F14">
        <w:tc>
          <w:tcPr>
            <w:tcW w:w="595" w:type="pct"/>
            <w:shd w:val="clear" w:color="auto" w:fill="auto"/>
          </w:tcPr>
          <w:p w14:paraId="2CB874C1" w14:textId="77777777" w:rsidR="008F7F14" w:rsidRPr="00243C62" w:rsidRDefault="008F7F14" w:rsidP="008F7F14">
            <w:pPr>
              <w:jc w:val="center"/>
              <w:rPr>
                <w:rFonts w:ascii="Garamond" w:hAnsi="Garamond"/>
                <w:sz w:val="20"/>
                <w:szCs w:val="20"/>
              </w:rPr>
            </w:pPr>
            <w:r w:rsidRPr="00243C62">
              <w:rPr>
                <w:rFonts w:ascii="Garamond" w:hAnsi="Garamond"/>
                <w:sz w:val="20"/>
                <w:szCs w:val="20"/>
              </w:rPr>
              <w:t>F5</w:t>
            </w:r>
          </w:p>
        </w:tc>
        <w:tc>
          <w:tcPr>
            <w:tcW w:w="2088" w:type="pct"/>
            <w:shd w:val="clear" w:color="auto" w:fill="auto"/>
          </w:tcPr>
          <w:p w14:paraId="3B63C90F" w14:textId="5DCC4AB9" w:rsidR="008F7F14" w:rsidRPr="00243C62" w:rsidRDefault="003B79C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72</w:t>
            </w:r>
          </w:p>
        </w:tc>
        <w:tc>
          <w:tcPr>
            <w:tcW w:w="430" w:type="pct"/>
            <w:shd w:val="clear" w:color="auto" w:fill="auto"/>
          </w:tcPr>
          <w:p w14:paraId="7E252015" w14:textId="63EF421D" w:rsidR="008F7F14" w:rsidRPr="00243C62" w:rsidRDefault="008F7F14" w:rsidP="008F7F14">
            <w:pPr>
              <w:jc w:val="center"/>
              <w:rPr>
                <w:rFonts w:ascii="Garamond" w:hAnsi="Garamond"/>
                <w:sz w:val="20"/>
                <w:szCs w:val="20"/>
              </w:rPr>
            </w:pPr>
            <w:r w:rsidRPr="00243C62">
              <w:rPr>
                <w:rFonts w:ascii="Garamond" w:hAnsi="Garamond"/>
                <w:sz w:val="20"/>
                <w:szCs w:val="20"/>
              </w:rPr>
              <w:t>2</w:t>
            </w:r>
            <w:r w:rsidR="003B79CD" w:rsidRPr="00243C62">
              <w:rPr>
                <w:rFonts w:ascii="Garamond" w:hAnsi="Garamond"/>
                <w:sz w:val="20"/>
                <w:szCs w:val="20"/>
              </w:rPr>
              <w:t>.</w:t>
            </w:r>
            <w:r w:rsidRPr="00243C62">
              <w:rPr>
                <w:rFonts w:ascii="Garamond" w:hAnsi="Garamond"/>
                <w:sz w:val="20"/>
                <w:szCs w:val="20"/>
              </w:rPr>
              <w:t>56</w:t>
            </w:r>
          </w:p>
        </w:tc>
        <w:tc>
          <w:tcPr>
            <w:tcW w:w="505" w:type="pct"/>
            <w:shd w:val="clear" w:color="auto" w:fill="auto"/>
          </w:tcPr>
          <w:p w14:paraId="714CCB73" w14:textId="77777777" w:rsidR="008F7F14" w:rsidRPr="00243C62" w:rsidRDefault="008F7F14" w:rsidP="008F7F14">
            <w:pPr>
              <w:jc w:val="center"/>
              <w:rPr>
                <w:rFonts w:ascii="Garamond" w:hAnsi="Garamond"/>
                <w:sz w:val="20"/>
                <w:szCs w:val="20"/>
              </w:rPr>
            </w:pPr>
            <w:r w:rsidRPr="00243C62">
              <w:rPr>
                <w:rFonts w:ascii="Garamond" w:hAnsi="Garamond"/>
                <w:sz w:val="20"/>
                <w:szCs w:val="20"/>
              </w:rPr>
              <w:t>.780</w:t>
            </w:r>
          </w:p>
        </w:tc>
        <w:tc>
          <w:tcPr>
            <w:tcW w:w="730" w:type="pct"/>
            <w:shd w:val="clear" w:color="auto" w:fill="auto"/>
          </w:tcPr>
          <w:p w14:paraId="2A25E481" w14:textId="4E3E3DEC" w:rsidR="008F7F14" w:rsidRPr="00243C62" w:rsidRDefault="008F7F14" w:rsidP="008F7F14">
            <w:pPr>
              <w:jc w:val="center"/>
              <w:rPr>
                <w:rFonts w:ascii="Garamond" w:hAnsi="Garamond"/>
                <w:sz w:val="20"/>
                <w:szCs w:val="20"/>
              </w:rPr>
            </w:pPr>
            <w:r w:rsidRPr="00243C62">
              <w:rPr>
                <w:rFonts w:ascii="Garamond" w:hAnsi="Garamond"/>
                <w:sz w:val="20"/>
                <w:szCs w:val="20"/>
              </w:rPr>
              <w:t>-</w:t>
            </w:r>
            <w:r w:rsidR="003B79CD" w:rsidRPr="00243C62">
              <w:rPr>
                <w:rFonts w:ascii="Garamond" w:hAnsi="Garamond"/>
                <w:sz w:val="20"/>
                <w:szCs w:val="20"/>
              </w:rPr>
              <w:t>.</w:t>
            </w:r>
            <w:r w:rsidRPr="00243C62">
              <w:rPr>
                <w:rFonts w:ascii="Garamond" w:hAnsi="Garamond"/>
                <w:sz w:val="20"/>
                <w:szCs w:val="20"/>
              </w:rPr>
              <w:t>26</w:t>
            </w:r>
          </w:p>
        </w:tc>
        <w:tc>
          <w:tcPr>
            <w:tcW w:w="651" w:type="pct"/>
            <w:shd w:val="clear" w:color="auto" w:fill="auto"/>
          </w:tcPr>
          <w:p w14:paraId="0ABBE7BB" w14:textId="5282A7F9" w:rsidR="008F7F14" w:rsidRPr="00243C62" w:rsidRDefault="008F7F14" w:rsidP="008F7F14">
            <w:pPr>
              <w:jc w:val="center"/>
              <w:rPr>
                <w:rFonts w:ascii="Garamond" w:hAnsi="Garamond"/>
                <w:sz w:val="20"/>
                <w:szCs w:val="20"/>
              </w:rPr>
            </w:pPr>
            <w:r w:rsidRPr="00243C62">
              <w:rPr>
                <w:rFonts w:ascii="Garamond" w:hAnsi="Garamond"/>
                <w:sz w:val="20"/>
                <w:szCs w:val="20"/>
              </w:rPr>
              <w:t>-</w:t>
            </w:r>
            <w:r w:rsidR="0013495D" w:rsidRPr="00243C62">
              <w:rPr>
                <w:rFonts w:ascii="Garamond" w:hAnsi="Garamond"/>
                <w:sz w:val="20"/>
                <w:szCs w:val="20"/>
              </w:rPr>
              <w:t>.</w:t>
            </w:r>
            <w:r w:rsidRPr="00243C62">
              <w:rPr>
                <w:rFonts w:ascii="Garamond" w:hAnsi="Garamond"/>
                <w:sz w:val="20"/>
                <w:szCs w:val="20"/>
              </w:rPr>
              <w:t>32</w:t>
            </w:r>
          </w:p>
        </w:tc>
      </w:tr>
      <w:tr w:rsidR="008F7F14" w:rsidRPr="00243C62" w14:paraId="4DCD809D" w14:textId="77777777" w:rsidTr="008F7F14">
        <w:tc>
          <w:tcPr>
            <w:tcW w:w="595" w:type="pct"/>
            <w:shd w:val="clear" w:color="auto" w:fill="auto"/>
          </w:tcPr>
          <w:p w14:paraId="06B8A791" w14:textId="77777777" w:rsidR="008F7F14" w:rsidRPr="00243C62" w:rsidRDefault="008F7F14" w:rsidP="008F7F14">
            <w:pPr>
              <w:jc w:val="center"/>
              <w:rPr>
                <w:rFonts w:ascii="Garamond" w:hAnsi="Garamond"/>
                <w:sz w:val="20"/>
                <w:szCs w:val="20"/>
              </w:rPr>
            </w:pPr>
            <w:r w:rsidRPr="00243C62">
              <w:rPr>
                <w:rFonts w:ascii="Garamond" w:hAnsi="Garamond"/>
                <w:sz w:val="20"/>
                <w:szCs w:val="20"/>
              </w:rPr>
              <w:t>F6</w:t>
            </w:r>
          </w:p>
        </w:tc>
        <w:tc>
          <w:tcPr>
            <w:tcW w:w="2088" w:type="pct"/>
            <w:shd w:val="clear" w:color="auto" w:fill="auto"/>
          </w:tcPr>
          <w:p w14:paraId="7501201E" w14:textId="2DAE9322" w:rsidR="008F7F14" w:rsidRPr="00243C62" w:rsidRDefault="003B79C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54</w:t>
            </w:r>
          </w:p>
        </w:tc>
        <w:tc>
          <w:tcPr>
            <w:tcW w:w="430" w:type="pct"/>
            <w:shd w:val="clear" w:color="auto" w:fill="auto"/>
          </w:tcPr>
          <w:p w14:paraId="473A12D0" w14:textId="58A87609" w:rsidR="008F7F14" w:rsidRPr="00243C62" w:rsidRDefault="008F7F14" w:rsidP="008F7F14">
            <w:pPr>
              <w:jc w:val="center"/>
              <w:rPr>
                <w:rFonts w:ascii="Garamond" w:hAnsi="Garamond"/>
                <w:sz w:val="20"/>
                <w:szCs w:val="20"/>
              </w:rPr>
            </w:pPr>
            <w:r w:rsidRPr="00243C62">
              <w:rPr>
                <w:rFonts w:ascii="Garamond" w:hAnsi="Garamond"/>
                <w:sz w:val="20"/>
                <w:szCs w:val="20"/>
              </w:rPr>
              <w:t>3</w:t>
            </w:r>
            <w:r w:rsidR="003B79CD" w:rsidRPr="00243C62">
              <w:rPr>
                <w:rFonts w:ascii="Garamond" w:hAnsi="Garamond"/>
                <w:sz w:val="20"/>
                <w:szCs w:val="20"/>
              </w:rPr>
              <w:t>.</w:t>
            </w:r>
            <w:r w:rsidRPr="00243C62">
              <w:rPr>
                <w:rFonts w:ascii="Garamond" w:hAnsi="Garamond"/>
                <w:sz w:val="20"/>
                <w:szCs w:val="20"/>
              </w:rPr>
              <w:t>05</w:t>
            </w:r>
          </w:p>
        </w:tc>
        <w:tc>
          <w:tcPr>
            <w:tcW w:w="505" w:type="pct"/>
            <w:shd w:val="clear" w:color="auto" w:fill="auto"/>
          </w:tcPr>
          <w:p w14:paraId="19F08F67" w14:textId="77777777" w:rsidR="008F7F14" w:rsidRPr="00243C62" w:rsidRDefault="008F7F14" w:rsidP="008F7F14">
            <w:pPr>
              <w:jc w:val="center"/>
              <w:rPr>
                <w:rFonts w:ascii="Garamond" w:hAnsi="Garamond"/>
                <w:sz w:val="20"/>
                <w:szCs w:val="20"/>
              </w:rPr>
            </w:pPr>
            <w:r w:rsidRPr="00243C62">
              <w:rPr>
                <w:rFonts w:ascii="Garamond" w:hAnsi="Garamond"/>
                <w:sz w:val="20"/>
                <w:szCs w:val="20"/>
              </w:rPr>
              <w:t>.708</w:t>
            </w:r>
          </w:p>
        </w:tc>
        <w:tc>
          <w:tcPr>
            <w:tcW w:w="730" w:type="pct"/>
            <w:shd w:val="clear" w:color="auto" w:fill="auto"/>
          </w:tcPr>
          <w:p w14:paraId="3CBA3417" w14:textId="0B529B13" w:rsidR="008F7F14" w:rsidRPr="00243C62" w:rsidRDefault="008F7F14" w:rsidP="008F7F14">
            <w:pPr>
              <w:jc w:val="center"/>
              <w:rPr>
                <w:rFonts w:ascii="Garamond" w:hAnsi="Garamond"/>
                <w:sz w:val="20"/>
                <w:szCs w:val="20"/>
              </w:rPr>
            </w:pPr>
            <w:r w:rsidRPr="00243C62">
              <w:rPr>
                <w:rFonts w:ascii="Garamond" w:hAnsi="Garamond"/>
                <w:sz w:val="20"/>
                <w:szCs w:val="20"/>
              </w:rPr>
              <w:t>-</w:t>
            </w:r>
            <w:r w:rsidR="003B79CD" w:rsidRPr="00243C62">
              <w:rPr>
                <w:rFonts w:ascii="Garamond" w:hAnsi="Garamond"/>
                <w:sz w:val="20"/>
                <w:szCs w:val="20"/>
              </w:rPr>
              <w:t>.</w:t>
            </w:r>
            <w:r w:rsidRPr="00243C62">
              <w:rPr>
                <w:rFonts w:ascii="Garamond" w:hAnsi="Garamond"/>
                <w:sz w:val="20"/>
                <w:szCs w:val="20"/>
              </w:rPr>
              <w:t>81</w:t>
            </w:r>
          </w:p>
        </w:tc>
        <w:tc>
          <w:tcPr>
            <w:tcW w:w="651" w:type="pct"/>
            <w:shd w:val="clear" w:color="auto" w:fill="auto"/>
          </w:tcPr>
          <w:p w14:paraId="4E6D2FBF" w14:textId="4536F8BD" w:rsidR="008F7F14" w:rsidRPr="00243C62" w:rsidRDefault="008F7F14" w:rsidP="008F7F14">
            <w:pPr>
              <w:jc w:val="center"/>
              <w:rPr>
                <w:rFonts w:ascii="Garamond" w:hAnsi="Garamond"/>
                <w:sz w:val="20"/>
                <w:szCs w:val="20"/>
              </w:rPr>
            </w:pPr>
            <w:r w:rsidRPr="00243C62">
              <w:rPr>
                <w:rFonts w:ascii="Garamond" w:hAnsi="Garamond"/>
                <w:sz w:val="20"/>
                <w:szCs w:val="20"/>
              </w:rPr>
              <w:t>1</w:t>
            </w:r>
            <w:r w:rsidR="0013495D" w:rsidRPr="00243C62">
              <w:rPr>
                <w:rFonts w:ascii="Garamond" w:hAnsi="Garamond"/>
                <w:sz w:val="20"/>
                <w:szCs w:val="20"/>
              </w:rPr>
              <w:t>.</w:t>
            </w:r>
            <w:r w:rsidRPr="00243C62">
              <w:rPr>
                <w:rFonts w:ascii="Garamond" w:hAnsi="Garamond"/>
                <w:sz w:val="20"/>
                <w:szCs w:val="20"/>
              </w:rPr>
              <w:t>36</w:t>
            </w:r>
          </w:p>
        </w:tc>
      </w:tr>
      <w:tr w:rsidR="008F7F14" w:rsidRPr="00243C62" w14:paraId="1E94E116" w14:textId="77777777" w:rsidTr="008F7F14">
        <w:tc>
          <w:tcPr>
            <w:tcW w:w="595" w:type="pct"/>
            <w:shd w:val="clear" w:color="auto" w:fill="auto"/>
          </w:tcPr>
          <w:p w14:paraId="5FCBD2C9" w14:textId="77777777" w:rsidR="008F7F14" w:rsidRPr="00243C62" w:rsidRDefault="008F7F14" w:rsidP="008F7F14">
            <w:pPr>
              <w:jc w:val="center"/>
              <w:rPr>
                <w:rFonts w:ascii="Garamond" w:hAnsi="Garamond"/>
                <w:sz w:val="20"/>
                <w:szCs w:val="20"/>
              </w:rPr>
            </w:pPr>
            <w:r w:rsidRPr="00243C62">
              <w:rPr>
                <w:rFonts w:ascii="Garamond" w:hAnsi="Garamond"/>
                <w:sz w:val="20"/>
                <w:szCs w:val="20"/>
              </w:rPr>
              <w:t>F7</w:t>
            </w:r>
          </w:p>
        </w:tc>
        <w:tc>
          <w:tcPr>
            <w:tcW w:w="2088" w:type="pct"/>
            <w:shd w:val="clear" w:color="auto" w:fill="auto"/>
          </w:tcPr>
          <w:p w14:paraId="29625B5D" w14:textId="08B8C2FF" w:rsidR="008F7F14" w:rsidRPr="00243C62" w:rsidRDefault="003B79C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83</w:t>
            </w:r>
          </w:p>
        </w:tc>
        <w:tc>
          <w:tcPr>
            <w:tcW w:w="430" w:type="pct"/>
            <w:shd w:val="clear" w:color="auto" w:fill="auto"/>
          </w:tcPr>
          <w:p w14:paraId="3D57B94E" w14:textId="100032EB" w:rsidR="008F7F14" w:rsidRPr="00243C62" w:rsidRDefault="008F7F14" w:rsidP="008F7F14">
            <w:pPr>
              <w:jc w:val="center"/>
              <w:rPr>
                <w:rFonts w:ascii="Garamond" w:hAnsi="Garamond"/>
                <w:sz w:val="20"/>
                <w:szCs w:val="20"/>
              </w:rPr>
            </w:pPr>
            <w:r w:rsidRPr="00243C62">
              <w:rPr>
                <w:rFonts w:ascii="Garamond" w:hAnsi="Garamond"/>
                <w:sz w:val="20"/>
                <w:szCs w:val="20"/>
              </w:rPr>
              <w:t>2</w:t>
            </w:r>
            <w:r w:rsidR="003B79CD" w:rsidRPr="00243C62">
              <w:rPr>
                <w:rFonts w:ascii="Garamond" w:hAnsi="Garamond"/>
                <w:sz w:val="20"/>
                <w:szCs w:val="20"/>
              </w:rPr>
              <w:t>.</w:t>
            </w:r>
            <w:r w:rsidRPr="00243C62">
              <w:rPr>
                <w:rFonts w:ascii="Garamond" w:hAnsi="Garamond"/>
                <w:sz w:val="20"/>
                <w:szCs w:val="20"/>
              </w:rPr>
              <w:t>33</w:t>
            </w:r>
          </w:p>
        </w:tc>
        <w:tc>
          <w:tcPr>
            <w:tcW w:w="505" w:type="pct"/>
            <w:shd w:val="clear" w:color="auto" w:fill="auto"/>
          </w:tcPr>
          <w:p w14:paraId="696CB9DA" w14:textId="7D23E604" w:rsidR="008F7F14" w:rsidRPr="00243C62" w:rsidRDefault="008F7F14" w:rsidP="008F7F14">
            <w:pPr>
              <w:jc w:val="center"/>
              <w:rPr>
                <w:rFonts w:ascii="Garamond" w:hAnsi="Garamond"/>
                <w:sz w:val="20"/>
                <w:szCs w:val="20"/>
              </w:rPr>
            </w:pPr>
            <w:r w:rsidRPr="00243C62">
              <w:rPr>
                <w:rFonts w:ascii="Garamond" w:hAnsi="Garamond"/>
                <w:sz w:val="20"/>
                <w:szCs w:val="20"/>
              </w:rPr>
              <w:t>1</w:t>
            </w:r>
            <w:r w:rsidR="003B79CD" w:rsidRPr="00243C62">
              <w:rPr>
                <w:rFonts w:ascii="Garamond" w:hAnsi="Garamond"/>
                <w:sz w:val="20"/>
                <w:szCs w:val="20"/>
              </w:rPr>
              <w:t>.</w:t>
            </w:r>
            <w:r w:rsidRPr="00243C62">
              <w:rPr>
                <w:rFonts w:ascii="Garamond" w:hAnsi="Garamond"/>
                <w:sz w:val="20"/>
                <w:szCs w:val="20"/>
              </w:rPr>
              <w:t>011</w:t>
            </w:r>
          </w:p>
        </w:tc>
        <w:tc>
          <w:tcPr>
            <w:tcW w:w="730" w:type="pct"/>
            <w:shd w:val="clear" w:color="auto" w:fill="auto"/>
          </w:tcPr>
          <w:p w14:paraId="0B22DC35" w14:textId="4435A583" w:rsidR="008F7F14" w:rsidRPr="00243C62" w:rsidRDefault="003B79C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15</w:t>
            </w:r>
          </w:p>
        </w:tc>
        <w:tc>
          <w:tcPr>
            <w:tcW w:w="651" w:type="pct"/>
            <w:shd w:val="clear" w:color="auto" w:fill="auto"/>
          </w:tcPr>
          <w:p w14:paraId="536681F8" w14:textId="0B0BB21B" w:rsidR="008F7F14" w:rsidRPr="00243C62" w:rsidRDefault="008F7F14" w:rsidP="008F7F14">
            <w:pPr>
              <w:jc w:val="center"/>
              <w:rPr>
                <w:rFonts w:ascii="Garamond" w:hAnsi="Garamond"/>
                <w:sz w:val="20"/>
                <w:szCs w:val="20"/>
              </w:rPr>
            </w:pPr>
            <w:r w:rsidRPr="00243C62">
              <w:rPr>
                <w:rFonts w:ascii="Garamond" w:hAnsi="Garamond"/>
                <w:sz w:val="20"/>
                <w:szCs w:val="20"/>
              </w:rPr>
              <w:t>-1</w:t>
            </w:r>
            <w:r w:rsidR="0013495D" w:rsidRPr="00243C62">
              <w:rPr>
                <w:rFonts w:ascii="Garamond" w:hAnsi="Garamond"/>
                <w:sz w:val="20"/>
                <w:szCs w:val="20"/>
              </w:rPr>
              <w:t>.</w:t>
            </w:r>
            <w:r w:rsidRPr="00243C62">
              <w:rPr>
                <w:rFonts w:ascii="Garamond" w:hAnsi="Garamond"/>
                <w:sz w:val="20"/>
                <w:szCs w:val="20"/>
              </w:rPr>
              <w:t>08</w:t>
            </w:r>
          </w:p>
        </w:tc>
      </w:tr>
      <w:tr w:rsidR="008F7F14" w:rsidRPr="00243C62" w14:paraId="222FBBDC" w14:textId="77777777" w:rsidTr="008F7F14">
        <w:tc>
          <w:tcPr>
            <w:tcW w:w="595" w:type="pct"/>
            <w:shd w:val="clear" w:color="auto" w:fill="auto"/>
          </w:tcPr>
          <w:p w14:paraId="508BC23D" w14:textId="77777777" w:rsidR="008F7F14" w:rsidRPr="00243C62" w:rsidRDefault="008F7F14" w:rsidP="008F7F14">
            <w:pPr>
              <w:jc w:val="center"/>
              <w:rPr>
                <w:rFonts w:ascii="Garamond" w:hAnsi="Garamond"/>
                <w:sz w:val="20"/>
                <w:szCs w:val="20"/>
              </w:rPr>
            </w:pPr>
            <w:r w:rsidRPr="00243C62">
              <w:rPr>
                <w:rFonts w:ascii="Garamond" w:hAnsi="Garamond"/>
                <w:sz w:val="20"/>
                <w:szCs w:val="20"/>
              </w:rPr>
              <w:t>F8</w:t>
            </w:r>
          </w:p>
        </w:tc>
        <w:tc>
          <w:tcPr>
            <w:tcW w:w="2088" w:type="pct"/>
            <w:shd w:val="clear" w:color="auto" w:fill="auto"/>
          </w:tcPr>
          <w:p w14:paraId="1CA76F4F" w14:textId="071CAABA" w:rsidR="008F7F14" w:rsidRPr="00243C62" w:rsidRDefault="003B79C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48</w:t>
            </w:r>
          </w:p>
        </w:tc>
        <w:tc>
          <w:tcPr>
            <w:tcW w:w="430" w:type="pct"/>
            <w:shd w:val="clear" w:color="auto" w:fill="auto"/>
          </w:tcPr>
          <w:p w14:paraId="5E65F8AC" w14:textId="19B36DE8" w:rsidR="008F7F14" w:rsidRPr="00243C62" w:rsidRDefault="008F7F14" w:rsidP="008F7F14">
            <w:pPr>
              <w:jc w:val="center"/>
              <w:rPr>
                <w:rFonts w:ascii="Garamond" w:hAnsi="Garamond"/>
                <w:sz w:val="20"/>
                <w:szCs w:val="20"/>
              </w:rPr>
            </w:pPr>
            <w:r w:rsidRPr="00243C62">
              <w:rPr>
                <w:rFonts w:ascii="Garamond" w:hAnsi="Garamond"/>
                <w:sz w:val="20"/>
                <w:szCs w:val="20"/>
              </w:rPr>
              <w:t>2</w:t>
            </w:r>
            <w:r w:rsidR="003B79CD" w:rsidRPr="00243C62">
              <w:rPr>
                <w:rFonts w:ascii="Garamond" w:hAnsi="Garamond"/>
                <w:sz w:val="20"/>
                <w:szCs w:val="20"/>
              </w:rPr>
              <w:t>.</w:t>
            </w:r>
            <w:r w:rsidRPr="00243C62">
              <w:rPr>
                <w:rFonts w:ascii="Garamond" w:hAnsi="Garamond"/>
                <w:sz w:val="20"/>
                <w:szCs w:val="20"/>
              </w:rPr>
              <w:t>86</w:t>
            </w:r>
          </w:p>
        </w:tc>
        <w:tc>
          <w:tcPr>
            <w:tcW w:w="505" w:type="pct"/>
            <w:shd w:val="clear" w:color="auto" w:fill="auto"/>
          </w:tcPr>
          <w:p w14:paraId="0901C990" w14:textId="77777777" w:rsidR="008F7F14" w:rsidRPr="00243C62" w:rsidRDefault="008F7F14" w:rsidP="008F7F14">
            <w:pPr>
              <w:jc w:val="center"/>
              <w:rPr>
                <w:rFonts w:ascii="Garamond" w:hAnsi="Garamond"/>
                <w:sz w:val="20"/>
                <w:szCs w:val="20"/>
              </w:rPr>
            </w:pPr>
            <w:r w:rsidRPr="00243C62">
              <w:rPr>
                <w:rFonts w:ascii="Garamond" w:hAnsi="Garamond"/>
                <w:sz w:val="20"/>
                <w:szCs w:val="20"/>
              </w:rPr>
              <w:t>.822</w:t>
            </w:r>
          </w:p>
        </w:tc>
        <w:tc>
          <w:tcPr>
            <w:tcW w:w="730" w:type="pct"/>
            <w:shd w:val="clear" w:color="auto" w:fill="auto"/>
          </w:tcPr>
          <w:p w14:paraId="249E3C15" w14:textId="0E09F364" w:rsidR="008F7F14" w:rsidRPr="00243C62" w:rsidRDefault="008F7F14" w:rsidP="008F7F14">
            <w:pPr>
              <w:jc w:val="center"/>
              <w:rPr>
                <w:rFonts w:ascii="Garamond" w:hAnsi="Garamond"/>
                <w:sz w:val="20"/>
                <w:szCs w:val="20"/>
              </w:rPr>
            </w:pPr>
            <w:r w:rsidRPr="00243C62">
              <w:rPr>
                <w:rFonts w:ascii="Garamond" w:hAnsi="Garamond"/>
                <w:sz w:val="20"/>
                <w:szCs w:val="20"/>
              </w:rPr>
              <w:t>-</w:t>
            </w:r>
            <w:r w:rsidR="003B79CD" w:rsidRPr="00243C62">
              <w:rPr>
                <w:rFonts w:ascii="Garamond" w:hAnsi="Garamond"/>
                <w:sz w:val="20"/>
                <w:szCs w:val="20"/>
              </w:rPr>
              <w:t>.</w:t>
            </w:r>
            <w:r w:rsidRPr="00243C62">
              <w:rPr>
                <w:rFonts w:ascii="Garamond" w:hAnsi="Garamond"/>
                <w:sz w:val="20"/>
                <w:szCs w:val="20"/>
              </w:rPr>
              <w:t>42</w:t>
            </w:r>
          </w:p>
        </w:tc>
        <w:tc>
          <w:tcPr>
            <w:tcW w:w="651" w:type="pct"/>
            <w:shd w:val="clear" w:color="auto" w:fill="auto"/>
          </w:tcPr>
          <w:p w14:paraId="6573AFE4" w14:textId="0AAC9559" w:rsidR="008F7F14" w:rsidRPr="00243C62" w:rsidRDefault="008F7F14" w:rsidP="008F7F14">
            <w:pPr>
              <w:jc w:val="center"/>
              <w:rPr>
                <w:rFonts w:ascii="Garamond" w:hAnsi="Garamond"/>
                <w:sz w:val="20"/>
                <w:szCs w:val="20"/>
              </w:rPr>
            </w:pPr>
            <w:r w:rsidRPr="00243C62">
              <w:rPr>
                <w:rFonts w:ascii="Garamond" w:hAnsi="Garamond"/>
                <w:sz w:val="20"/>
                <w:szCs w:val="20"/>
              </w:rPr>
              <w:t>-</w:t>
            </w:r>
            <w:r w:rsidR="0013495D" w:rsidRPr="00243C62">
              <w:rPr>
                <w:rFonts w:ascii="Garamond" w:hAnsi="Garamond"/>
                <w:sz w:val="20"/>
                <w:szCs w:val="20"/>
              </w:rPr>
              <w:t>.</w:t>
            </w:r>
            <w:r w:rsidRPr="00243C62">
              <w:rPr>
                <w:rFonts w:ascii="Garamond" w:hAnsi="Garamond"/>
                <w:sz w:val="20"/>
                <w:szCs w:val="20"/>
              </w:rPr>
              <w:t>25</w:t>
            </w:r>
          </w:p>
        </w:tc>
      </w:tr>
      <w:tr w:rsidR="008F7F14" w:rsidRPr="00243C62" w14:paraId="0B457914" w14:textId="77777777" w:rsidTr="008F7F14">
        <w:tc>
          <w:tcPr>
            <w:tcW w:w="595" w:type="pct"/>
            <w:shd w:val="clear" w:color="auto" w:fill="auto"/>
          </w:tcPr>
          <w:p w14:paraId="1C46AE55" w14:textId="77777777" w:rsidR="008F7F14" w:rsidRPr="00243C62" w:rsidRDefault="008F7F14" w:rsidP="008F7F14">
            <w:pPr>
              <w:jc w:val="center"/>
              <w:rPr>
                <w:rFonts w:ascii="Garamond" w:hAnsi="Garamond"/>
                <w:sz w:val="20"/>
                <w:szCs w:val="20"/>
              </w:rPr>
            </w:pPr>
            <w:r w:rsidRPr="00243C62">
              <w:rPr>
                <w:rFonts w:ascii="Garamond" w:hAnsi="Garamond"/>
                <w:sz w:val="20"/>
                <w:szCs w:val="20"/>
              </w:rPr>
              <w:t>F9</w:t>
            </w:r>
          </w:p>
        </w:tc>
        <w:tc>
          <w:tcPr>
            <w:tcW w:w="2088" w:type="pct"/>
            <w:shd w:val="clear" w:color="auto" w:fill="auto"/>
          </w:tcPr>
          <w:p w14:paraId="5E9AAA53" w14:textId="14A2C376" w:rsidR="008F7F14" w:rsidRPr="00243C62" w:rsidRDefault="003B79C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54</w:t>
            </w:r>
          </w:p>
        </w:tc>
        <w:tc>
          <w:tcPr>
            <w:tcW w:w="430" w:type="pct"/>
            <w:shd w:val="clear" w:color="auto" w:fill="auto"/>
          </w:tcPr>
          <w:p w14:paraId="6E851BE0" w14:textId="00012D6D" w:rsidR="008F7F14" w:rsidRPr="00243C62" w:rsidRDefault="008F7F14" w:rsidP="008F7F14">
            <w:pPr>
              <w:jc w:val="center"/>
              <w:rPr>
                <w:rFonts w:ascii="Garamond" w:hAnsi="Garamond"/>
                <w:sz w:val="20"/>
                <w:szCs w:val="20"/>
              </w:rPr>
            </w:pPr>
            <w:r w:rsidRPr="00243C62">
              <w:rPr>
                <w:rFonts w:ascii="Garamond" w:hAnsi="Garamond"/>
                <w:sz w:val="20"/>
                <w:szCs w:val="20"/>
              </w:rPr>
              <w:t>2</w:t>
            </w:r>
            <w:r w:rsidR="003B79CD" w:rsidRPr="00243C62">
              <w:rPr>
                <w:rFonts w:ascii="Garamond" w:hAnsi="Garamond"/>
                <w:sz w:val="20"/>
                <w:szCs w:val="20"/>
              </w:rPr>
              <w:t>.</w:t>
            </w:r>
            <w:r w:rsidRPr="00243C62">
              <w:rPr>
                <w:rFonts w:ascii="Garamond" w:hAnsi="Garamond"/>
                <w:sz w:val="20"/>
                <w:szCs w:val="20"/>
              </w:rPr>
              <w:t>76</w:t>
            </w:r>
          </w:p>
        </w:tc>
        <w:tc>
          <w:tcPr>
            <w:tcW w:w="505" w:type="pct"/>
            <w:shd w:val="clear" w:color="auto" w:fill="auto"/>
          </w:tcPr>
          <w:p w14:paraId="038B4588" w14:textId="77777777" w:rsidR="008F7F14" w:rsidRPr="00243C62" w:rsidRDefault="008F7F14" w:rsidP="008F7F14">
            <w:pPr>
              <w:jc w:val="center"/>
              <w:rPr>
                <w:rFonts w:ascii="Garamond" w:hAnsi="Garamond"/>
                <w:sz w:val="20"/>
                <w:szCs w:val="20"/>
              </w:rPr>
            </w:pPr>
            <w:r w:rsidRPr="00243C62">
              <w:rPr>
                <w:rFonts w:ascii="Garamond" w:hAnsi="Garamond"/>
                <w:sz w:val="20"/>
                <w:szCs w:val="20"/>
              </w:rPr>
              <w:t>.869</w:t>
            </w:r>
          </w:p>
        </w:tc>
        <w:tc>
          <w:tcPr>
            <w:tcW w:w="730" w:type="pct"/>
            <w:shd w:val="clear" w:color="auto" w:fill="auto"/>
          </w:tcPr>
          <w:p w14:paraId="10F72E47" w14:textId="3E5C2CA0" w:rsidR="008F7F14" w:rsidRPr="00243C62" w:rsidRDefault="008F7F14" w:rsidP="008F7F14">
            <w:pPr>
              <w:jc w:val="center"/>
              <w:rPr>
                <w:rFonts w:ascii="Garamond" w:hAnsi="Garamond"/>
                <w:sz w:val="20"/>
                <w:szCs w:val="20"/>
              </w:rPr>
            </w:pPr>
            <w:r w:rsidRPr="00243C62">
              <w:rPr>
                <w:rFonts w:ascii="Garamond" w:hAnsi="Garamond"/>
                <w:sz w:val="20"/>
                <w:szCs w:val="20"/>
              </w:rPr>
              <w:t>-</w:t>
            </w:r>
            <w:r w:rsidR="003B79CD" w:rsidRPr="00243C62">
              <w:rPr>
                <w:rFonts w:ascii="Garamond" w:hAnsi="Garamond"/>
                <w:sz w:val="20"/>
                <w:szCs w:val="20"/>
              </w:rPr>
              <w:t>.</w:t>
            </w:r>
            <w:r w:rsidRPr="00243C62">
              <w:rPr>
                <w:rFonts w:ascii="Garamond" w:hAnsi="Garamond"/>
                <w:sz w:val="20"/>
                <w:szCs w:val="20"/>
              </w:rPr>
              <w:t>39</w:t>
            </w:r>
          </w:p>
        </w:tc>
        <w:tc>
          <w:tcPr>
            <w:tcW w:w="651" w:type="pct"/>
            <w:shd w:val="clear" w:color="auto" w:fill="auto"/>
          </w:tcPr>
          <w:p w14:paraId="75B71249" w14:textId="486A8E02" w:rsidR="008F7F14" w:rsidRPr="00243C62" w:rsidRDefault="008F7F14" w:rsidP="008F7F14">
            <w:pPr>
              <w:jc w:val="center"/>
              <w:rPr>
                <w:rFonts w:ascii="Garamond" w:hAnsi="Garamond"/>
                <w:sz w:val="20"/>
                <w:szCs w:val="20"/>
              </w:rPr>
            </w:pPr>
            <w:r w:rsidRPr="00243C62">
              <w:rPr>
                <w:rFonts w:ascii="Garamond" w:hAnsi="Garamond"/>
                <w:sz w:val="20"/>
                <w:szCs w:val="20"/>
              </w:rPr>
              <w:t>-</w:t>
            </w:r>
            <w:r w:rsidR="0013495D" w:rsidRPr="00243C62">
              <w:rPr>
                <w:rFonts w:ascii="Garamond" w:hAnsi="Garamond"/>
                <w:sz w:val="20"/>
                <w:szCs w:val="20"/>
              </w:rPr>
              <w:t>.</w:t>
            </w:r>
            <w:r w:rsidRPr="00243C62">
              <w:rPr>
                <w:rFonts w:ascii="Garamond" w:hAnsi="Garamond"/>
                <w:sz w:val="20"/>
                <w:szCs w:val="20"/>
              </w:rPr>
              <w:t>43</w:t>
            </w:r>
          </w:p>
        </w:tc>
      </w:tr>
      <w:tr w:rsidR="008F7F14" w:rsidRPr="00243C62" w14:paraId="314267AE" w14:textId="77777777" w:rsidTr="008F7F14">
        <w:tc>
          <w:tcPr>
            <w:tcW w:w="595" w:type="pct"/>
            <w:shd w:val="clear" w:color="auto" w:fill="auto"/>
          </w:tcPr>
          <w:p w14:paraId="03429FCE" w14:textId="77777777" w:rsidR="008F7F14" w:rsidRPr="00243C62" w:rsidRDefault="008F7F14" w:rsidP="008F7F14">
            <w:pPr>
              <w:jc w:val="center"/>
              <w:rPr>
                <w:rFonts w:ascii="Garamond" w:hAnsi="Garamond"/>
                <w:sz w:val="20"/>
                <w:szCs w:val="20"/>
              </w:rPr>
            </w:pPr>
            <w:r w:rsidRPr="00243C62">
              <w:rPr>
                <w:rFonts w:ascii="Garamond" w:hAnsi="Garamond"/>
                <w:sz w:val="20"/>
                <w:szCs w:val="20"/>
              </w:rPr>
              <w:t>F10</w:t>
            </w:r>
          </w:p>
        </w:tc>
        <w:tc>
          <w:tcPr>
            <w:tcW w:w="2088" w:type="pct"/>
            <w:shd w:val="clear" w:color="auto" w:fill="auto"/>
          </w:tcPr>
          <w:p w14:paraId="2DF94368" w14:textId="51B9BEEB" w:rsidR="008F7F14" w:rsidRPr="00243C62" w:rsidRDefault="003B79C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60</w:t>
            </w:r>
          </w:p>
        </w:tc>
        <w:tc>
          <w:tcPr>
            <w:tcW w:w="430" w:type="pct"/>
            <w:shd w:val="clear" w:color="auto" w:fill="auto"/>
          </w:tcPr>
          <w:p w14:paraId="4E9BAEA5" w14:textId="386769EF" w:rsidR="008F7F14" w:rsidRPr="00243C62" w:rsidRDefault="008F7F14" w:rsidP="008F7F14">
            <w:pPr>
              <w:jc w:val="center"/>
              <w:rPr>
                <w:rFonts w:ascii="Garamond" w:hAnsi="Garamond"/>
                <w:sz w:val="20"/>
                <w:szCs w:val="20"/>
              </w:rPr>
            </w:pPr>
            <w:r w:rsidRPr="00243C62">
              <w:rPr>
                <w:rFonts w:ascii="Garamond" w:hAnsi="Garamond"/>
                <w:sz w:val="20"/>
                <w:szCs w:val="20"/>
              </w:rPr>
              <w:t>3</w:t>
            </w:r>
            <w:r w:rsidR="003B79CD" w:rsidRPr="00243C62">
              <w:rPr>
                <w:rFonts w:ascii="Garamond" w:hAnsi="Garamond"/>
                <w:sz w:val="20"/>
                <w:szCs w:val="20"/>
              </w:rPr>
              <w:t>.</w:t>
            </w:r>
            <w:r w:rsidRPr="00243C62">
              <w:rPr>
                <w:rFonts w:ascii="Garamond" w:hAnsi="Garamond"/>
                <w:sz w:val="20"/>
                <w:szCs w:val="20"/>
              </w:rPr>
              <w:t>68</w:t>
            </w:r>
          </w:p>
        </w:tc>
        <w:tc>
          <w:tcPr>
            <w:tcW w:w="505" w:type="pct"/>
            <w:shd w:val="clear" w:color="auto" w:fill="auto"/>
          </w:tcPr>
          <w:p w14:paraId="4587D3D2" w14:textId="77777777" w:rsidR="008F7F14" w:rsidRPr="00243C62" w:rsidRDefault="008F7F14" w:rsidP="008F7F14">
            <w:pPr>
              <w:jc w:val="center"/>
              <w:rPr>
                <w:rFonts w:ascii="Garamond" w:hAnsi="Garamond"/>
                <w:sz w:val="20"/>
                <w:szCs w:val="20"/>
              </w:rPr>
            </w:pPr>
            <w:r w:rsidRPr="00243C62">
              <w:rPr>
                <w:rFonts w:ascii="Garamond" w:hAnsi="Garamond"/>
                <w:sz w:val="20"/>
                <w:szCs w:val="20"/>
              </w:rPr>
              <w:t>.671</w:t>
            </w:r>
          </w:p>
        </w:tc>
        <w:tc>
          <w:tcPr>
            <w:tcW w:w="730" w:type="pct"/>
            <w:shd w:val="clear" w:color="auto" w:fill="auto"/>
          </w:tcPr>
          <w:p w14:paraId="06D5FE01" w14:textId="44D912C0" w:rsidR="008F7F14" w:rsidRPr="00243C62" w:rsidRDefault="008F7F14" w:rsidP="008F7F14">
            <w:pPr>
              <w:jc w:val="center"/>
              <w:rPr>
                <w:rFonts w:ascii="Garamond" w:hAnsi="Garamond"/>
                <w:sz w:val="20"/>
                <w:szCs w:val="20"/>
              </w:rPr>
            </w:pPr>
            <w:r w:rsidRPr="00243C62">
              <w:rPr>
                <w:rFonts w:ascii="Garamond" w:hAnsi="Garamond"/>
                <w:sz w:val="20"/>
                <w:szCs w:val="20"/>
              </w:rPr>
              <w:t>-2</w:t>
            </w:r>
            <w:r w:rsidR="003B79CD" w:rsidRPr="00243C62">
              <w:rPr>
                <w:rFonts w:ascii="Garamond" w:hAnsi="Garamond"/>
                <w:sz w:val="20"/>
                <w:szCs w:val="20"/>
              </w:rPr>
              <w:t>.</w:t>
            </w:r>
            <w:r w:rsidRPr="00243C62">
              <w:rPr>
                <w:rFonts w:ascii="Garamond" w:hAnsi="Garamond"/>
                <w:sz w:val="20"/>
                <w:szCs w:val="20"/>
              </w:rPr>
              <w:t>33</w:t>
            </w:r>
          </w:p>
        </w:tc>
        <w:tc>
          <w:tcPr>
            <w:tcW w:w="651" w:type="pct"/>
            <w:shd w:val="clear" w:color="auto" w:fill="auto"/>
          </w:tcPr>
          <w:p w14:paraId="5A7E1041" w14:textId="5AD91AAD" w:rsidR="008F7F14" w:rsidRPr="00243C62" w:rsidRDefault="008F7F14" w:rsidP="008F7F14">
            <w:pPr>
              <w:jc w:val="center"/>
              <w:rPr>
                <w:rFonts w:ascii="Garamond" w:hAnsi="Garamond"/>
                <w:sz w:val="20"/>
                <w:szCs w:val="20"/>
              </w:rPr>
            </w:pPr>
            <w:r w:rsidRPr="00243C62">
              <w:rPr>
                <w:rFonts w:ascii="Garamond" w:hAnsi="Garamond"/>
                <w:sz w:val="20"/>
                <w:szCs w:val="20"/>
              </w:rPr>
              <w:t>5</w:t>
            </w:r>
            <w:r w:rsidR="0013495D" w:rsidRPr="00243C62">
              <w:rPr>
                <w:rFonts w:ascii="Garamond" w:hAnsi="Garamond"/>
                <w:sz w:val="20"/>
                <w:szCs w:val="20"/>
              </w:rPr>
              <w:t>.</w:t>
            </w:r>
            <w:r w:rsidRPr="00243C62">
              <w:rPr>
                <w:rFonts w:ascii="Garamond" w:hAnsi="Garamond"/>
                <w:sz w:val="20"/>
                <w:szCs w:val="20"/>
              </w:rPr>
              <w:t>38</w:t>
            </w:r>
          </w:p>
        </w:tc>
      </w:tr>
      <w:tr w:rsidR="008F7F14" w:rsidRPr="00243C62" w14:paraId="6E0B5078" w14:textId="77777777" w:rsidTr="008F7F14">
        <w:tc>
          <w:tcPr>
            <w:tcW w:w="595" w:type="pct"/>
            <w:shd w:val="clear" w:color="auto" w:fill="auto"/>
          </w:tcPr>
          <w:p w14:paraId="5B903E6C" w14:textId="77777777" w:rsidR="008F7F14" w:rsidRPr="00243C62" w:rsidRDefault="008F7F14" w:rsidP="008F7F14">
            <w:pPr>
              <w:jc w:val="center"/>
              <w:rPr>
                <w:rFonts w:ascii="Garamond" w:hAnsi="Garamond"/>
                <w:sz w:val="20"/>
                <w:szCs w:val="20"/>
              </w:rPr>
            </w:pPr>
            <w:r w:rsidRPr="00243C62">
              <w:rPr>
                <w:rFonts w:ascii="Garamond" w:hAnsi="Garamond"/>
                <w:sz w:val="20"/>
                <w:szCs w:val="20"/>
              </w:rPr>
              <w:t>F11</w:t>
            </w:r>
          </w:p>
        </w:tc>
        <w:tc>
          <w:tcPr>
            <w:tcW w:w="2088" w:type="pct"/>
            <w:shd w:val="clear" w:color="auto" w:fill="auto"/>
          </w:tcPr>
          <w:p w14:paraId="47B7A8A0" w14:textId="2B640D58" w:rsidR="008F7F14" w:rsidRPr="00243C62" w:rsidRDefault="003B79C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67</w:t>
            </w:r>
          </w:p>
        </w:tc>
        <w:tc>
          <w:tcPr>
            <w:tcW w:w="430" w:type="pct"/>
            <w:shd w:val="clear" w:color="auto" w:fill="auto"/>
          </w:tcPr>
          <w:p w14:paraId="6BCCD179" w14:textId="2F0B4FD1" w:rsidR="008F7F14" w:rsidRPr="00243C62" w:rsidRDefault="008F7F14" w:rsidP="008F7F14">
            <w:pPr>
              <w:jc w:val="center"/>
              <w:rPr>
                <w:rFonts w:ascii="Garamond" w:hAnsi="Garamond"/>
                <w:sz w:val="20"/>
                <w:szCs w:val="20"/>
              </w:rPr>
            </w:pPr>
            <w:r w:rsidRPr="00243C62">
              <w:rPr>
                <w:rFonts w:ascii="Garamond" w:hAnsi="Garamond"/>
                <w:sz w:val="20"/>
                <w:szCs w:val="20"/>
              </w:rPr>
              <w:t>3</w:t>
            </w:r>
            <w:r w:rsidR="003B79CD" w:rsidRPr="00243C62">
              <w:rPr>
                <w:rFonts w:ascii="Garamond" w:hAnsi="Garamond"/>
                <w:sz w:val="20"/>
                <w:szCs w:val="20"/>
              </w:rPr>
              <w:t>.</w:t>
            </w:r>
            <w:r w:rsidRPr="00243C62">
              <w:rPr>
                <w:rFonts w:ascii="Garamond" w:hAnsi="Garamond"/>
                <w:sz w:val="20"/>
                <w:szCs w:val="20"/>
              </w:rPr>
              <w:t>70</w:t>
            </w:r>
          </w:p>
        </w:tc>
        <w:tc>
          <w:tcPr>
            <w:tcW w:w="505" w:type="pct"/>
            <w:shd w:val="clear" w:color="auto" w:fill="auto"/>
          </w:tcPr>
          <w:p w14:paraId="2B8CF682" w14:textId="77777777" w:rsidR="008F7F14" w:rsidRPr="00243C62" w:rsidRDefault="008F7F14" w:rsidP="008F7F14">
            <w:pPr>
              <w:jc w:val="center"/>
              <w:rPr>
                <w:rFonts w:ascii="Garamond" w:hAnsi="Garamond"/>
                <w:sz w:val="20"/>
                <w:szCs w:val="20"/>
              </w:rPr>
            </w:pPr>
            <w:r w:rsidRPr="00243C62">
              <w:rPr>
                <w:rFonts w:ascii="Garamond" w:hAnsi="Garamond"/>
                <w:sz w:val="20"/>
                <w:szCs w:val="20"/>
              </w:rPr>
              <w:t>.568</w:t>
            </w:r>
          </w:p>
        </w:tc>
        <w:tc>
          <w:tcPr>
            <w:tcW w:w="730" w:type="pct"/>
            <w:shd w:val="clear" w:color="auto" w:fill="auto"/>
          </w:tcPr>
          <w:p w14:paraId="59D9B443" w14:textId="6333F2F1" w:rsidR="008F7F14" w:rsidRPr="00243C62" w:rsidRDefault="008F7F14" w:rsidP="008F7F14">
            <w:pPr>
              <w:jc w:val="center"/>
              <w:rPr>
                <w:rFonts w:ascii="Garamond" w:hAnsi="Garamond"/>
                <w:sz w:val="20"/>
                <w:szCs w:val="20"/>
              </w:rPr>
            </w:pPr>
            <w:r w:rsidRPr="00243C62">
              <w:rPr>
                <w:rFonts w:ascii="Garamond" w:hAnsi="Garamond"/>
                <w:sz w:val="20"/>
                <w:szCs w:val="20"/>
              </w:rPr>
              <w:t>-2</w:t>
            </w:r>
            <w:r w:rsidR="003B79CD" w:rsidRPr="00243C62">
              <w:rPr>
                <w:rFonts w:ascii="Garamond" w:hAnsi="Garamond"/>
                <w:sz w:val="20"/>
                <w:szCs w:val="20"/>
              </w:rPr>
              <w:t>.</w:t>
            </w:r>
            <w:r w:rsidRPr="00243C62">
              <w:rPr>
                <w:rFonts w:ascii="Garamond" w:hAnsi="Garamond"/>
                <w:sz w:val="20"/>
                <w:szCs w:val="20"/>
              </w:rPr>
              <w:t>08</w:t>
            </w:r>
          </w:p>
        </w:tc>
        <w:tc>
          <w:tcPr>
            <w:tcW w:w="651" w:type="pct"/>
            <w:shd w:val="clear" w:color="auto" w:fill="auto"/>
          </w:tcPr>
          <w:p w14:paraId="0FE562C8" w14:textId="3BD58EC8" w:rsidR="008F7F14" w:rsidRPr="00243C62" w:rsidRDefault="008F7F14" w:rsidP="008F7F14">
            <w:pPr>
              <w:jc w:val="center"/>
              <w:rPr>
                <w:rFonts w:ascii="Garamond" w:hAnsi="Garamond"/>
                <w:sz w:val="20"/>
                <w:szCs w:val="20"/>
              </w:rPr>
            </w:pPr>
            <w:r w:rsidRPr="00243C62">
              <w:rPr>
                <w:rFonts w:ascii="Garamond" w:hAnsi="Garamond"/>
                <w:sz w:val="20"/>
                <w:szCs w:val="20"/>
              </w:rPr>
              <w:t>5</w:t>
            </w:r>
            <w:r w:rsidR="0013495D" w:rsidRPr="00243C62">
              <w:rPr>
                <w:rFonts w:ascii="Garamond" w:hAnsi="Garamond"/>
                <w:sz w:val="20"/>
                <w:szCs w:val="20"/>
              </w:rPr>
              <w:t>.</w:t>
            </w:r>
            <w:r w:rsidRPr="00243C62">
              <w:rPr>
                <w:rFonts w:ascii="Garamond" w:hAnsi="Garamond"/>
                <w:sz w:val="20"/>
                <w:szCs w:val="20"/>
              </w:rPr>
              <w:t>06</w:t>
            </w:r>
          </w:p>
        </w:tc>
      </w:tr>
      <w:tr w:rsidR="008F7F14" w:rsidRPr="00243C62" w14:paraId="49D3ADE1" w14:textId="77777777" w:rsidTr="00E301A4">
        <w:trPr>
          <w:trHeight w:val="81"/>
        </w:trPr>
        <w:tc>
          <w:tcPr>
            <w:tcW w:w="595" w:type="pct"/>
            <w:tcBorders>
              <w:bottom w:val="single" w:sz="4" w:space="0" w:color="auto"/>
            </w:tcBorders>
            <w:shd w:val="clear" w:color="auto" w:fill="auto"/>
          </w:tcPr>
          <w:p w14:paraId="431B062D" w14:textId="77777777" w:rsidR="008F7F14" w:rsidRPr="00243C62" w:rsidRDefault="008F7F14" w:rsidP="008F7F14">
            <w:pPr>
              <w:jc w:val="center"/>
              <w:rPr>
                <w:rFonts w:ascii="Garamond" w:hAnsi="Garamond"/>
                <w:sz w:val="20"/>
                <w:szCs w:val="20"/>
              </w:rPr>
            </w:pPr>
            <w:r w:rsidRPr="00243C62">
              <w:rPr>
                <w:rFonts w:ascii="Garamond" w:hAnsi="Garamond"/>
                <w:sz w:val="20"/>
                <w:szCs w:val="20"/>
              </w:rPr>
              <w:t>F12</w:t>
            </w:r>
          </w:p>
        </w:tc>
        <w:tc>
          <w:tcPr>
            <w:tcW w:w="2088" w:type="pct"/>
            <w:tcBorders>
              <w:bottom w:val="single" w:sz="4" w:space="0" w:color="auto"/>
            </w:tcBorders>
            <w:shd w:val="clear" w:color="auto" w:fill="auto"/>
          </w:tcPr>
          <w:p w14:paraId="7EC8CC7A" w14:textId="7049F175" w:rsidR="008F7F14" w:rsidRPr="00243C62" w:rsidRDefault="003B79C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65</w:t>
            </w:r>
          </w:p>
        </w:tc>
        <w:tc>
          <w:tcPr>
            <w:tcW w:w="430" w:type="pct"/>
            <w:tcBorders>
              <w:bottom w:val="single" w:sz="4" w:space="0" w:color="auto"/>
            </w:tcBorders>
            <w:shd w:val="clear" w:color="auto" w:fill="auto"/>
          </w:tcPr>
          <w:p w14:paraId="7859663E" w14:textId="41F160B4" w:rsidR="008F7F14" w:rsidRPr="00243C62" w:rsidRDefault="008F7F14" w:rsidP="008F7F14">
            <w:pPr>
              <w:jc w:val="center"/>
              <w:rPr>
                <w:rFonts w:ascii="Garamond" w:hAnsi="Garamond"/>
                <w:sz w:val="20"/>
                <w:szCs w:val="20"/>
              </w:rPr>
            </w:pPr>
            <w:r w:rsidRPr="00243C62">
              <w:rPr>
                <w:rFonts w:ascii="Garamond" w:hAnsi="Garamond"/>
                <w:sz w:val="20"/>
                <w:szCs w:val="20"/>
              </w:rPr>
              <w:t>3</w:t>
            </w:r>
            <w:r w:rsidR="003B79CD" w:rsidRPr="00243C62">
              <w:rPr>
                <w:rFonts w:ascii="Garamond" w:hAnsi="Garamond"/>
                <w:sz w:val="20"/>
                <w:szCs w:val="20"/>
              </w:rPr>
              <w:t>.</w:t>
            </w:r>
            <w:r w:rsidRPr="00243C62">
              <w:rPr>
                <w:rFonts w:ascii="Garamond" w:hAnsi="Garamond"/>
                <w:sz w:val="20"/>
                <w:szCs w:val="20"/>
              </w:rPr>
              <w:t>10</w:t>
            </w:r>
          </w:p>
        </w:tc>
        <w:tc>
          <w:tcPr>
            <w:tcW w:w="505" w:type="pct"/>
            <w:tcBorders>
              <w:bottom w:val="single" w:sz="4" w:space="0" w:color="auto"/>
            </w:tcBorders>
            <w:shd w:val="clear" w:color="auto" w:fill="auto"/>
          </w:tcPr>
          <w:p w14:paraId="18B45788" w14:textId="77777777" w:rsidR="008F7F14" w:rsidRPr="00243C62" w:rsidRDefault="008F7F14" w:rsidP="008F7F14">
            <w:pPr>
              <w:jc w:val="center"/>
              <w:rPr>
                <w:rFonts w:ascii="Garamond" w:hAnsi="Garamond"/>
                <w:sz w:val="20"/>
                <w:szCs w:val="20"/>
              </w:rPr>
            </w:pPr>
            <w:r w:rsidRPr="00243C62">
              <w:rPr>
                <w:rFonts w:ascii="Garamond" w:hAnsi="Garamond"/>
                <w:sz w:val="20"/>
                <w:szCs w:val="20"/>
              </w:rPr>
              <w:t>.835</w:t>
            </w:r>
          </w:p>
        </w:tc>
        <w:tc>
          <w:tcPr>
            <w:tcW w:w="730" w:type="pct"/>
            <w:tcBorders>
              <w:bottom w:val="single" w:sz="4" w:space="0" w:color="auto"/>
            </w:tcBorders>
            <w:shd w:val="clear" w:color="auto" w:fill="auto"/>
          </w:tcPr>
          <w:p w14:paraId="598EAB63" w14:textId="10639891" w:rsidR="008F7F14" w:rsidRPr="00243C62" w:rsidRDefault="008F7F14" w:rsidP="008F7F14">
            <w:pPr>
              <w:jc w:val="center"/>
              <w:rPr>
                <w:rFonts w:ascii="Garamond" w:hAnsi="Garamond"/>
                <w:sz w:val="20"/>
                <w:szCs w:val="20"/>
              </w:rPr>
            </w:pPr>
            <w:r w:rsidRPr="00243C62">
              <w:rPr>
                <w:rFonts w:ascii="Garamond" w:hAnsi="Garamond"/>
                <w:sz w:val="20"/>
                <w:szCs w:val="20"/>
              </w:rPr>
              <w:t>-</w:t>
            </w:r>
            <w:r w:rsidR="003B79CD" w:rsidRPr="00243C62">
              <w:rPr>
                <w:rFonts w:ascii="Garamond" w:hAnsi="Garamond"/>
                <w:sz w:val="20"/>
                <w:szCs w:val="20"/>
              </w:rPr>
              <w:t>.</w:t>
            </w:r>
            <w:r w:rsidRPr="00243C62">
              <w:rPr>
                <w:rFonts w:ascii="Garamond" w:hAnsi="Garamond"/>
                <w:sz w:val="20"/>
                <w:szCs w:val="20"/>
              </w:rPr>
              <w:t>77</w:t>
            </w:r>
          </w:p>
        </w:tc>
        <w:tc>
          <w:tcPr>
            <w:tcW w:w="651" w:type="pct"/>
            <w:tcBorders>
              <w:bottom w:val="single" w:sz="4" w:space="0" w:color="auto"/>
            </w:tcBorders>
            <w:shd w:val="clear" w:color="auto" w:fill="auto"/>
          </w:tcPr>
          <w:p w14:paraId="5151CA88" w14:textId="6D004EED" w:rsidR="008F7F14" w:rsidRPr="00243C62" w:rsidRDefault="0013495D" w:rsidP="008F7F14">
            <w:pPr>
              <w:jc w:val="center"/>
              <w:rPr>
                <w:rFonts w:ascii="Garamond" w:hAnsi="Garamond"/>
                <w:sz w:val="20"/>
                <w:szCs w:val="20"/>
              </w:rPr>
            </w:pPr>
            <w:r w:rsidRPr="00243C62">
              <w:rPr>
                <w:rFonts w:ascii="Garamond" w:hAnsi="Garamond"/>
                <w:sz w:val="20"/>
                <w:szCs w:val="20"/>
              </w:rPr>
              <w:t>.</w:t>
            </w:r>
            <w:r w:rsidR="008F7F14" w:rsidRPr="00243C62">
              <w:rPr>
                <w:rFonts w:ascii="Garamond" w:hAnsi="Garamond"/>
                <w:sz w:val="20"/>
                <w:szCs w:val="20"/>
              </w:rPr>
              <w:t>14</w:t>
            </w:r>
          </w:p>
        </w:tc>
      </w:tr>
    </w:tbl>
    <w:p w14:paraId="58C26ED9" w14:textId="21BB88D0" w:rsidR="008F7F14" w:rsidRPr="00243C62" w:rsidRDefault="008F7F14" w:rsidP="008F7F14">
      <w:pPr>
        <w:pStyle w:val="ResimYazs"/>
        <w:rPr>
          <w:rFonts w:ascii="Garamond" w:hAnsi="Garamond"/>
          <w:i w:val="0"/>
          <w:iCs w:val="0"/>
          <w:color w:val="000000"/>
          <w:sz w:val="20"/>
          <w:szCs w:val="20"/>
        </w:rPr>
      </w:pPr>
      <w:proofErr w:type="gramStart"/>
      <w:r w:rsidRPr="00243C62">
        <w:rPr>
          <w:rFonts w:ascii="Garamond" w:hAnsi="Garamond"/>
          <w:i w:val="0"/>
          <w:iCs w:val="0"/>
          <w:color w:val="000000"/>
          <w:sz w:val="20"/>
          <w:szCs w:val="20"/>
        </w:rPr>
        <w:t>n</w:t>
      </w:r>
      <w:proofErr w:type="gramEnd"/>
      <w:r w:rsidRPr="00243C62">
        <w:rPr>
          <w:rFonts w:ascii="Garamond" w:hAnsi="Garamond"/>
          <w:i w:val="0"/>
          <w:iCs w:val="0"/>
          <w:color w:val="000000"/>
          <w:sz w:val="20"/>
          <w:szCs w:val="20"/>
        </w:rPr>
        <w:t>=25</w:t>
      </w:r>
      <w:r w:rsidR="0013495D" w:rsidRPr="00243C62">
        <w:rPr>
          <w:rFonts w:ascii="Garamond" w:hAnsi="Garamond"/>
          <w:i w:val="0"/>
          <w:iCs w:val="0"/>
          <w:color w:val="000000"/>
          <w:sz w:val="20"/>
          <w:szCs w:val="20"/>
        </w:rPr>
        <w:t>3</w:t>
      </w:r>
      <w:r w:rsidRPr="00243C62">
        <w:rPr>
          <w:rFonts w:ascii="Garamond" w:hAnsi="Garamond"/>
          <w:i w:val="0"/>
          <w:iCs w:val="0"/>
          <w:color w:val="000000"/>
          <w:sz w:val="20"/>
          <w:szCs w:val="20"/>
        </w:rPr>
        <w:t xml:space="preserve"> Bütün madde faktör yükleri p&lt;</w:t>
      </w:r>
      <w:r w:rsidR="0013495D" w:rsidRPr="00243C62">
        <w:rPr>
          <w:rFonts w:ascii="Garamond" w:hAnsi="Garamond"/>
          <w:i w:val="0"/>
          <w:iCs w:val="0"/>
          <w:color w:val="000000"/>
          <w:sz w:val="20"/>
          <w:szCs w:val="20"/>
        </w:rPr>
        <w:t>.</w:t>
      </w:r>
      <w:r w:rsidRPr="00243C62">
        <w:rPr>
          <w:rFonts w:ascii="Garamond" w:hAnsi="Garamond"/>
          <w:i w:val="0"/>
          <w:iCs w:val="0"/>
          <w:color w:val="000000"/>
          <w:sz w:val="20"/>
          <w:szCs w:val="20"/>
        </w:rPr>
        <w:t xml:space="preserve">001 düzeyinde anlamlıdır. </w:t>
      </w:r>
    </w:p>
    <w:p w14:paraId="6070C9B9" w14:textId="77777777" w:rsidR="00AD6191" w:rsidRDefault="008F7F14" w:rsidP="00AD6191">
      <w:pPr>
        <w:spacing w:line="276" w:lineRule="auto"/>
        <w:ind w:firstLine="708"/>
        <w:jc w:val="both"/>
        <w:rPr>
          <w:rFonts w:ascii="Garamond" w:hAnsi="Garamond"/>
        </w:rPr>
      </w:pPr>
      <w:r w:rsidRPr="00243C62">
        <w:rPr>
          <w:rFonts w:ascii="Garamond" w:hAnsi="Garamond"/>
        </w:rPr>
        <w:t xml:space="preserve">Türkçe </w:t>
      </w:r>
      <w:r w:rsidR="002118F1" w:rsidRPr="00243C62">
        <w:rPr>
          <w:rFonts w:ascii="Garamond" w:hAnsi="Garamond"/>
        </w:rPr>
        <w:t>GOÖ’nin</w:t>
      </w:r>
      <w:r w:rsidRPr="00243C62">
        <w:rPr>
          <w:rFonts w:ascii="Garamond" w:hAnsi="Garamond"/>
        </w:rPr>
        <w:t xml:space="preserve"> standardize edilmiş madde faktör yüklerinin Tablo 2’de yer alan verilere göre 0.29 </w:t>
      </w:r>
      <w:proofErr w:type="gramStart"/>
      <w:r w:rsidRPr="00243C62">
        <w:rPr>
          <w:rFonts w:ascii="Garamond" w:hAnsi="Garamond"/>
        </w:rPr>
        <w:t>&lt; λ</w:t>
      </w:r>
      <w:proofErr w:type="gramEnd"/>
      <w:r w:rsidRPr="00243C62">
        <w:rPr>
          <w:rFonts w:ascii="Garamond" w:hAnsi="Garamond"/>
        </w:rPr>
        <w:t xml:space="preserve"> &lt; 0.84 aralığında olduğu görülmektedir. Türkçe </w:t>
      </w:r>
      <w:r w:rsidR="00F7775D" w:rsidRPr="00243C62">
        <w:rPr>
          <w:rFonts w:ascii="Garamond" w:hAnsi="Garamond"/>
        </w:rPr>
        <w:t xml:space="preserve">GOÖ’nin </w:t>
      </w:r>
      <w:r w:rsidRPr="00243C62">
        <w:rPr>
          <w:rFonts w:ascii="Garamond" w:hAnsi="Garamond"/>
        </w:rPr>
        <w:t xml:space="preserve">tüm maddelerinin faktör yüklerinin 4. </w:t>
      </w:r>
      <w:r w:rsidR="00E301A4" w:rsidRPr="00243C62">
        <w:rPr>
          <w:rFonts w:ascii="Garamond" w:hAnsi="Garamond"/>
        </w:rPr>
        <w:t>m</w:t>
      </w:r>
      <w:r w:rsidRPr="00243C62">
        <w:rPr>
          <w:rFonts w:ascii="Garamond" w:hAnsi="Garamond"/>
        </w:rPr>
        <w:t>adde haricinde istenen düzeyde (</w:t>
      </w:r>
      <w:proofErr w:type="gramStart"/>
      <w:r w:rsidRPr="00243C62">
        <w:rPr>
          <w:rFonts w:ascii="Garamond" w:hAnsi="Garamond"/>
        </w:rPr>
        <w:t>λ &gt;</w:t>
      </w:r>
      <w:proofErr w:type="gramEnd"/>
      <w:r w:rsidRPr="00243C62">
        <w:rPr>
          <w:rFonts w:ascii="Garamond" w:hAnsi="Garamond"/>
        </w:rPr>
        <w:t xml:space="preserve"> 0.30; Tabachnick</w:t>
      </w:r>
      <w:r w:rsidR="003C3E92" w:rsidRPr="00243C62">
        <w:rPr>
          <w:rFonts w:ascii="Garamond" w:hAnsi="Garamond"/>
        </w:rPr>
        <w:t xml:space="preserve"> &amp; </w:t>
      </w:r>
      <w:r w:rsidRPr="00243C62">
        <w:rPr>
          <w:rFonts w:ascii="Garamond" w:hAnsi="Garamond"/>
        </w:rPr>
        <w:t xml:space="preserve">Fidell, 2013) olduğu aynı zamada ölçeğin tüm maddelerinin gelecek oryantasyonuunu ölçmeye ilişkin yeterli ölçümü sağladığı görülmektedir. </w:t>
      </w:r>
    </w:p>
    <w:p w14:paraId="493B67DB" w14:textId="4ACC0916" w:rsidR="00F7775D" w:rsidRPr="00243C62" w:rsidRDefault="00F7775D" w:rsidP="00AD6191">
      <w:pPr>
        <w:spacing w:line="276" w:lineRule="auto"/>
        <w:jc w:val="both"/>
        <w:rPr>
          <w:rFonts w:ascii="Garamond" w:hAnsi="Garamond"/>
        </w:rPr>
      </w:pPr>
      <w:r w:rsidRPr="00243C62">
        <w:rPr>
          <w:rFonts w:ascii="Garamond" w:hAnsi="Garamond"/>
          <w:b/>
          <w:bCs/>
        </w:rPr>
        <w:t xml:space="preserve">GOÖ’nin Yapı </w:t>
      </w:r>
      <w:r w:rsidR="008F7F14" w:rsidRPr="00243C62">
        <w:rPr>
          <w:rFonts w:ascii="Garamond" w:hAnsi="Garamond"/>
          <w:b/>
          <w:bCs/>
        </w:rPr>
        <w:t>Geçerliğine İlişkin Bulgular</w:t>
      </w:r>
      <w:r w:rsidR="00AD6191">
        <w:rPr>
          <w:rFonts w:ascii="Garamond" w:hAnsi="Garamond"/>
          <w:b/>
          <w:bCs/>
        </w:rPr>
        <w:t xml:space="preserve">. </w:t>
      </w:r>
      <w:r w:rsidRPr="00243C62">
        <w:rPr>
          <w:rFonts w:ascii="Garamond" w:hAnsi="Garamond"/>
          <w:color w:val="000000" w:themeColor="text1"/>
        </w:rPr>
        <w:t>GOÖ’nin</w:t>
      </w:r>
      <w:r w:rsidR="00046D2A" w:rsidRPr="00243C62">
        <w:rPr>
          <w:rFonts w:ascii="Garamond" w:hAnsi="Garamond"/>
          <w:color w:val="000000" w:themeColor="text1"/>
        </w:rPr>
        <w:t xml:space="preserve"> </w:t>
      </w:r>
      <w:r w:rsidR="00C26384" w:rsidRPr="00243C62">
        <w:rPr>
          <w:rFonts w:ascii="Garamond" w:hAnsi="Garamond"/>
          <w:color w:val="000000" w:themeColor="text1"/>
        </w:rPr>
        <w:t xml:space="preserve">Türk lise öğrecileri için yapı geçerliliğini </w:t>
      </w:r>
      <w:r w:rsidRPr="00243C62">
        <w:rPr>
          <w:rFonts w:ascii="Garamond" w:hAnsi="Garamond"/>
          <w:color w:val="000000" w:themeColor="text1"/>
        </w:rPr>
        <w:t>belirlemek</w:t>
      </w:r>
      <w:r w:rsidR="00C26384" w:rsidRPr="00243C62">
        <w:rPr>
          <w:rFonts w:ascii="Garamond" w:hAnsi="Garamond"/>
          <w:color w:val="000000" w:themeColor="text1"/>
        </w:rPr>
        <w:t xml:space="preserve"> için n=253 lise öğrencisinden </w:t>
      </w:r>
      <w:r w:rsidRPr="00243C62">
        <w:rPr>
          <w:rFonts w:ascii="Garamond" w:hAnsi="Garamond"/>
          <w:color w:val="000000" w:themeColor="text1"/>
        </w:rPr>
        <w:t>toplanan verilere</w:t>
      </w:r>
      <w:r w:rsidR="00C26384" w:rsidRPr="00243C62">
        <w:rPr>
          <w:rFonts w:ascii="Garamond" w:hAnsi="Garamond"/>
          <w:color w:val="000000" w:themeColor="text1"/>
        </w:rPr>
        <w:t xml:space="preserve"> doğrulayıcı faktör analizi </w:t>
      </w:r>
      <w:r w:rsidRPr="00243C62">
        <w:rPr>
          <w:rFonts w:ascii="Garamond" w:hAnsi="Garamond"/>
          <w:color w:val="000000" w:themeColor="text1"/>
        </w:rPr>
        <w:t>uygulanmıştır.</w:t>
      </w:r>
      <w:r w:rsidR="00E301A4" w:rsidRPr="00243C62">
        <w:rPr>
          <w:rFonts w:ascii="Garamond" w:hAnsi="Garamond"/>
          <w:color w:val="000000" w:themeColor="text1"/>
        </w:rPr>
        <w:t xml:space="preserve"> </w:t>
      </w:r>
      <w:r w:rsidR="00E301A4" w:rsidRPr="00243C62">
        <w:rPr>
          <w:rFonts w:ascii="Garamond" w:hAnsi="Garamond"/>
        </w:rPr>
        <w:t>Model tanımlanmasında</w:t>
      </w:r>
      <w:r w:rsidR="003C2A6A" w:rsidRPr="00243C62">
        <w:rPr>
          <w:rFonts w:ascii="Garamond" w:hAnsi="Garamond"/>
        </w:rPr>
        <w:t xml:space="preserve"> modelin </w:t>
      </w:r>
      <w:r w:rsidR="00E301A4" w:rsidRPr="00243C62">
        <w:rPr>
          <w:rFonts w:ascii="Garamond" w:hAnsi="Garamond"/>
        </w:rPr>
        <w:t>12 maddeden oluşan tek faktör ile temsil edileceği denencesi sınanmıştır. Bu kapsamda ilgili ölçme modelinin de genel uyum katsayıları incelenmiş olup CMIN/DF değeri 3.211, RMR değeri .038, GFI değeri .893, AGFI değeri .846, TLI değeri .816, CFI değeri .850, NFI değeri .798, RMSEA değeri .093, p&lt;0.01, olarak elde edilmiştir. Ki-kare değerinin 5’in altında olması kabul edilebilir uyumu, GFI değerinin .85’den büyük olmasının kabul edilebilir uyumu göstermesine (Hu ve Bentler, 1999) rağmen RMSEA, CFI, TLI değerlerinin uyum indekslerin</w:t>
      </w:r>
      <w:r w:rsidR="004D54CD" w:rsidRPr="00243C62">
        <w:rPr>
          <w:rFonts w:ascii="Garamond" w:hAnsi="Garamond"/>
        </w:rPr>
        <w:t xml:space="preserve">in </w:t>
      </w:r>
      <w:r w:rsidR="00E301A4" w:rsidRPr="00243C62">
        <w:rPr>
          <w:rFonts w:ascii="Garamond" w:hAnsi="Garamond"/>
        </w:rPr>
        <w:t>uygun olmaması nedeniyle model uyum indekslerini iyileştirmek amacıyla modifikasyon indeksleri değerlendirilmiştir. Byrne (20</w:t>
      </w:r>
      <w:r w:rsidR="00353B56" w:rsidRPr="00243C62">
        <w:rPr>
          <w:rFonts w:ascii="Garamond" w:hAnsi="Garamond"/>
        </w:rPr>
        <w:t>13</w:t>
      </w:r>
      <w:r w:rsidR="00E301A4" w:rsidRPr="00243C62">
        <w:rPr>
          <w:rFonts w:ascii="Garamond" w:hAnsi="Garamond"/>
        </w:rPr>
        <w:t xml:space="preserve">) madde içeriğinde var olan örtüşmelerin hata kovaryanslarına yol açabileceğini </w:t>
      </w:r>
      <w:r w:rsidRPr="00243C62">
        <w:rPr>
          <w:rFonts w:ascii="Garamond" w:hAnsi="Garamond"/>
        </w:rPr>
        <w:t>belirtmektedir.</w:t>
      </w:r>
      <w:r w:rsidR="00046D2A" w:rsidRPr="00243C62">
        <w:rPr>
          <w:rFonts w:ascii="Garamond" w:hAnsi="Garamond"/>
        </w:rPr>
        <w:t xml:space="preserve"> </w:t>
      </w:r>
      <w:r w:rsidR="00E301A4" w:rsidRPr="00243C62">
        <w:rPr>
          <w:rFonts w:ascii="Garamond" w:hAnsi="Garamond"/>
        </w:rPr>
        <w:t>Bu nedenle aynı faktörü açıklayan 10. ve 11. maddeler</w:t>
      </w:r>
      <w:r w:rsidRPr="00243C62">
        <w:rPr>
          <w:rFonts w:ascii="Garamond" w:hAnsi="Garamond"/>
        </w:rPr>
        <w:t>in</w:t>
      </w:r>
      <w:r w:rsidR="00E301A4" w:rsidRPr="00243C62">
        <w:rPr>
          <w:rFonts w:ascii="Garamond" w:hAnsi="Garamond"/>
        </w:rPr>
        <w:t xml:space="preserve"> </w:t>
      </w:r>
      <w:r w:rsidRPr="00243C62">
        <w:rPr>
          <w:rFonts w:ascii="Garamond" w:hAnsi="Garamond"/>
        </w:rPr>
        <w:t>anlamlarının da</w:t>
      </w:r>
      <w:r w:rsidR="00E301A4" w:rsidRPr="00243C62">
        <w:rPr>
          <w:rFonts w:ascii="Garamond" w:hAnsi="Garamond"/>
        </w:rPr>
        <w:t xml:space="preserve"> birbirine yakın olduğu </w:t>
      </w:r>
      <w:r w:rsidR="00EE2D3B" w:rsidRPr="00243C62">
        <w:rPr>
          <w:rFonts w:ascii="Garamond" w:hAnsi="Garamond"/>
        </w:rPr>
        <w:t xml:space="preserve">görüldüğünden </w:t>
      </w:r>
      <w:r w:rsidR="00E301A4" w:rsidRPr="00243C62">
        <w:rPr>
          <w:rFonts w:ascii="Garamond" w:hAnsi="Garamond"/>
        </w:rPr>
        <w:t xml:space="preserve">gerekli modifikasyonlar yapılmış </w:t>
      </w:r>
      <w:r w:rsidR="00EE2D3B" w:rsidRPr="00243C62">
        <w:rPr>
          <w:rFonts w:ascii="Garamond" w:hAnsi="Garamond"/>
        </w:rPr>
        <w:t>ve</w:t>
      </w:r>
      <w:r w:rsidR="00E301A4" w:rsidRPr="00243C62">
        <w:rPr>
          <w:rFonts w:ascii="Garamond" w:hAnsi="Garamond"/>
        </w:rPr>
        <w:t xml:space="preserve"> analiz işlemleri yeniden </w:t>
      </w:r>
      <w:r w:rsidR="00EE2D3B" w:rsidRPr="00243C62">
        <w:rPr>
          <w:rFonts w:ascii="Garamond" w:hAnsi="Garamond"/>
        </w:rPr>
        <w:t>tekrarlanmıştır.</w:t>
      </w:r>
      <w:r w:rsidR="009C4783" w:rsidRPr="00243C62">
        <w:rPr>
          <w:rFonts w:ascii="Garamond" w:hAnsi="Garamond"/>
        </w:rPr>
        <w:t xml:space="preserve"> </w:t>
      </w:r>
      <w:r w:rsidR="00E301A4" w:rsidRPr="00243C62">
        <w:rPr>
          <w:rFonts w:ascii="Garamond" w:hAnsi="Garamond"/>
        </w:rPr>
        <w:t xml:space="preserve">Yapılan modifikasyon sonrası DFA </w:t>
      </w:r>
      <w:r w:rsidR="00EE2D3B" w:rsidRPr="00243C62">
        <w:rPr>
          <w:rFonts w:ascii="Garamond" w:hAnsi="Garamond"/>
        </w:rPr>
        <w:t>sonuçları</w:t>
      </w:r>
      <w:r w:rsidR="00E301A4" w:rsidRPr="00243C62">
        <w:rPr>
          <w:rFonts w:ascii="Garamond" w:hAnsi="Garamond"/>
        </w:rPr>
        <w:t xml:space="preserve"> genel uyum katsayılarının χ2=127,890; sd=53; p=0.00; χ2/sd= 2,413; RMSEA= .074, CFI= .906, GFI=.922 ve RMR=.035 SRMR=.060 </w:t>
      </w:r>
      <w:r w:rsidR="00EE2D3B" w:rsidRPr="00243C62">
        <w:rPr>
          <w:rFonts w:ascii="Garamond" w:hAnsi="Garamond"/>
        </w:rPr>
        <w:t>olduğunu göstermiştir.</w:t>
      </w:r>
      <w:r w:rsidR="00FF4FF1" w:rsidRPr="00243C62">
        <w:rPr>
          <w:rFonts w:ascii="Garamond" w:hAnsi="Garamond"/>
        </w:rPr>
        <w:t xml:space="preserve"> </w:t>
      </w:r>
      <w:r w:rsidR="00E91EC2" w:rsidRPr="00243C62">
        <w:rPr>
          <w:rFonts w:ascii="Garamond" w:hAnsi="Garamond"/>
        </w:rPr>
        <w:t xml:space="preserve">Bu bulgular, </w:t>
      </w:r>
      <w:r w:rsidR="00E301A4" w:rsidRPr="00243C62">
        <w:rPr>
          <w:rFonts w:ascii="Garamond" w:hAnsi="Garamond"/>
        </w:rPr>
        <w:t>Xiao ve Bowen (2018) tarafından</w:t>
      </w:r>
      <w:r w:rsidR="00E91EC2" w:rsidRPr="00243C62">
        <w:rPr>
          <w:rFonts w:ascii="Garamond" w:hAnsi="Garamond"/>
        </w:rPr>
        <w:t xml:space="preserve"> bulunan </w:t>
      </w:r>
      <w:r w:rsidR="00E301A4" w:rsidRPr="00243C62">
        <w:rPr>
          <w:rFonts w:ascii="Garamond" w:hAnsi="Garamond"/>
        </w:rPr>
        <w:t>geçerlik ve güvenirlik analizi çalışmaları (χ</w:t>
      </w:r>
      <w:r w:rsidR="00E301A4" w:rsidRPr="00243C62">
        <w:rPr>
          <w:rFonts w:ascii="Garamond" w:hAnsi="Garamond"/>
          <w:position w:val="8"/>
        </w:rPr>
        <w:t xml:space="preserve"> 2 </w:t>
      </w:r>
      <w:r w:rsidR="00E301A4" w:rsidRPr="00243C62">
        <w:rPr>
          <w:rFonts w:ascii="Garamond" w:hAnsi="Garamond"/>
        </w:rPr>
        <w:t xml:space="preserve">= 337.864, df = 222; CFI = 0.995; TLI = </w:t>
      </w:r>
      <w:r w:rsidR="00E301A4" w:rsidRPr="00243C62">
        <w:rPr>
          <w:rFonts w:ascii="Garamond" w:hAnsi="Garamond"/>
        </w:rPr>
        <w:lastRenderedPageBreak/>
        <w:t>0.995; RMSEA = 0.035) ile</w:t>
      </w:r>
      <w:r w:rsidR="00E91EC2" w:rsidRPr="00243C62">
        <w:rPr>
          <w:rFonts w:ascii="Garamond" w:hAnsi="Garamond"/>
        </w:rPr>
        <w:t xml:space="preserve"> karşılaştırıldığında,</w:t>
      </w:r>
      <w:r w:rsidR="00E301A4" w:rsidRPr="00243C62">
        <w:rPr>
          <w:rFonts w:ascii="Garamond" w:hAnsi="Garamond"/>
        </w:rPr>
        <w:t xml:space="preserve"> </w:t>
      </w:r>
      <w:r w:rsidR="00E82201" w:rsidRPr="00243C62">
        <w:rPr>
          <w:rFonts w:ascii="Garamond" w:hAnsi="Garamond"/>
        </w:rPr>
        <w:t xml:space="preserve">GOÖ için </w:t>
      </w:r>
      <w:r w:rsidR="00EE2D3B" w:rsidRPr="00243C62">
        <w:rPr>
          <w:rFonts w:ascii="Garamond" w:hAnsi="Garamond"/>
        </w:rPr>
        <w:t>ortaya çıkan</w:t>
      </w:r>
      <w:r w:rsidR="00046D2A" w:rsidRPr="00243C62">
        <w:rPr>
          <w:rFonts w:ascii="Garamond" w:hAnsi="Garamond"/>
        </w:rPr>
        <w:t xml:space="preserve"> </w:t>
      </w:r>
      <w:r w:rsidR="00E301A4" w:rsidRPr="00243C62">
        <w:rPr>
          <w:rFonts w:ascii="Garamond" w:hAnsi="Garamond"/>
        </w:rPr>
        <w:t xml:space="preserve">model uyum kriterlerinin istenilen sınırda olduğu görülmektedir (Kline, 2011). </w:t>
      </w:r>
    </w:p>
    <w:p w14:paraId="21BD62CE" w14:textId="2729A961" w:rsidR="00E301A4" w:rsidRPr="00243C62" w:rsidRDefault="00ED5F01" w:rsidP="00046D2A">
      <w:pPr>
        <w:pStyle w:val="NormalWeb"/>
        <w:spacing w:line="360" w:lineRule="auto"/>
        <w:jc w:val="both"/>
        <w:rPr>
          <w:rFonts w:ascii="Garamond" w:hAnsi="Garamond"/>
          <w:b/>
          <w:bCs/>
          <w:sz w:val="22"/>
          <w:szCs w:val="22"/>
        </w:rPr>
      </w:pPr>
      <w:r w:rsidRPr="00243C62">
        <w:rPr>
          <w:rFonts w:ascii="Garamond" w:hAnsi="Garamond"/>
          <w:b/>
          <w:bCs/>
          <w:sz w:val="22"/>
          <w:szCs w:val="22"/>
        </w:rPr>
        <w:t>Tablo 2. Gelecek Oryantasyonu Ölçeği doğrulayıcı faktör analizi sonuçları</w:t>
      </w:r>
    </w:p>
    <w:tbl>
      <w:tblPr>
        <w:tblStyle w:val="TabloKlavuzu"/>
        <w:tblpPr w:leftFromText="141" w:rightFromText="141" w:vertAnchor="text" w:horzAnchor="margin" w:tblpX="142" w:tblpY="2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1004"/>
        <w:gridCol w:w="1054"/>
        <w:gridCol w:w="1154"/>
        <w:gridCol w:w="1113"/>
        <w:gridCol w:w="1036"/>
        <w:gridCol w:w="1039"/>
        <w:gridCol w:w="946"/>
      </w:tblGrid>
      <w:tr w:rsidR="00E301A4" w:rsidRPr="00243C62" w14:paraId="4A327354" w14:textId="77777777" w:rsidTr="00046D2A">
        <w:trPr>
          <w:trHeight w:val="416"/>
        </w:trPr>
        <w:tc>
          <w:tcPr>
            <w:tcW w:w="894" w:type="dxa"/>
            <w:tcBorders>
              <w:top w:val="single" w:sz="4" w:space="0" w:color="auto"/>
              <w:bottom w:val="single" w:sz="4" w:space="0" w:color="auto"/>
            </w:tcBorders>
          </w:tcPr>
          <w:p w14:paraId="2539314A" w14:textId="77777777" w:rsidR="00E301A4" w:rsidRPr="00243C62" w:rsidRDefault="00E301A4" w:rsidP="00ED5F01">
            <w:pPr>
              <w:spacing w:line="276" w:lineRule="auto"/>
              <w:jc w:val="both"/>
              <w:rPr>
                <w:rFonts w:ascii="Garamond" w:hAnsi="Garamond"/>
                <w:b/>
                <w:bCs/>
                <w:color w:val="000000" w:themeColor="text1"/>
                <w:vertAlign w:val="superscript"/>
              </w:rPr>
            </w:pPr>
            <w:r w:rsidRPr="00243C62">
              <w:rPr>
                <w:rFonts w:ascii="Garamond" w:hAnsi="Garamond"/>
                <w:b/>
                <w:bCs/>
                <w:color w:val="000000" w:themeColor="text1"/>
              </w:rPr>
              <w:t>X</w:t>
            </w:r>
            <w:r w:rsidRPr="00243C62">
              <w:rPr>
                <w:rFonts w:ascii="Garamond" w:hAnsi="Garamond"/>
                <w:b/>
                <w:bCs/>
                <w:color w:val="000000" w:themeColor="text1"/>
                <w:vertAlign w:val="superscript"/>
              </w:rPr>
              <w:t>2</w:t>
            </w:r>
          </w:p>
        </w:tc>
        <w:tc>
          <w:tcPr>
            <w:tcW w:w="1004" w:type="dxa"/>
            <w:tcBorders>
              <w:top w:val="single" w:sz="4" w:space="0" w:color="auto"/>
              <w:bottom w:val="single" w:sz="4" w:space="0" w:color="auto"/>
            </w:tcBorders>
          </w:tcPr>
          <w:p w14:paraId="1E24AAD8" w14:textId="77777777" w:rsidR="00E301A4" w:rsidRPr="00243C62" w:rsidRDefault="00E301A4" w:rsidP="00ED5F01">
            <w:pPr>
              <w:spacing w:line="276" w:lineRule="auto"/>
              <w:jc w:val="both"/>
              <w:rPr>
                <w:rFonts w:ascii="Garamond" w:hAnsi="Garamond"/>
                <w:b/>
                <w:bCs/>
                <w:color w:val="000000" w:themeColor="text1"/>
              </w:rPr>
            </w:pPr>
            <w:r w:rsidRPr="00243C62">
              <w:rPr>
                <w:rFonts w:ascii="Garamond" w:hAnsi="Garamond"/>
                <w:b/>
                <w:bCs/>
                <w:color w:val="000000" w:themeColor="text1"/>
              </w:rPr>
              <w:t>Sd</w:t>
            </w:r>
          </w:p>
        </w:tc>
        <w:tc>
          <w:tcPr>
            <w:tcW w:w="1054" w:type="dxa"/>
            <w:tcBorders>
              <w:top w:val="single" w:sz="4" w:space="0" w:color="auto"/>
              <w:bottom w:val="single" w:sz="4" w:space="0" w:color="auto"/>
            </w:tcBorders>
          </w:tcPr>
          <w:p w14:paraId="7FBAD477" w14:textId="77777777" w:rsidR="00E301A4" w:rsidRPr="00243C62" w:rsidRDefault="00E301A4" w:rsidP="00ED5F01">
            <w:pPr>
              <w:spacing w:line="276" w:lineRule="auto"/>
              <w:jc w:val="both"/>
              <w:rPr>
                <w:rFonts w:ascii="Garamond" w:hAnsi="Garamond"/>
                <w:b/>
                <w:bCs/>
                <w:color w:val="000000" w:themeColor="text1"/>
                <w:vertAlign w:val="superscript"/>
              </w:rPr>
            </w:pPr>
            <w:r w:rsidRPr="00243C62">
              <w:rPr>
                <w:rFonts w:ascii="Garamond" w:hAnsi="Garamond"/>
                <w:b/>
                <w:bCs/>
                <w:color w:val="000000" w:themeColor="text1"/>
              </w:rPr>
              <w:t>X</w:t>
            </w:r>
            <w:r w:rsidRPr="00243C62">
              <w:rPr>
                <w:rFonts w:ascii="Garamond" w:hAnsi="Garamond"/>
                <w:b/>
                <w:bCs/>
                <w:color w:val="000000" w:themeColor="text1"/>
                <w:vertAlign w:val="superscript"/>
              </w:rPr>
              <w:t>2/sd</w:t>
            </w:r>
          </w:p>
        </w:tc>
        <w:tc>
          <w:tcPr>
            <w:tcW w:w="1154" w:type="dxa"/>
            <w:tcBorders>
              <w:top w:val="single" w:sz="4" w:space="0" w:color="auto"/>
              <w:bottom w:val="single" w:sz="4" w:space="0" w:color="auto"/>
            </w:tcBorders>
          </w:tcPr>
          <w:p w14:paraId="3D75DBAE" w14:textId="77777777" w:rsidR="00E301A4" w:rsidRPr="00243C62" w:rsidRDefault="00E301A4" w:rsidP="00ED5F01">
            <w:pPr>
              <w:spacing w:line="276" w:lineRule="auto"/>
              <w:jc w:val="both"/>
              <w:rPr>
                <w:rFonts w:ascii="Garamond" w:hAnsi="Garamond"/>
                <w:b/>
                <w:bCs/>
                <w:color w:val="000000" w:themeColor="text1"/>
              </w:rPr>
            </w:pPr>
            <w:r w:rsidRPr="00243C62">
              <w:rPr>
                <w:rFonts w:ascii="Garamond" w:hAnsi="Garamond"/>
                <w:b/>
                <w:bCs/>
                <w:color w:val="000000" w:themeColor="text1"/>
              </w:rPr>
              <w:t>RMSEA</w:t>
            </w:r>
          </w:p>
        </w:tc>
        <w:tc>
          <w:tcPr>
            <w:tcW w:w="1113" w:type="dxa"/>
            <w:tcBorders>
              <w:top w:val="single" w:sz="4" w:space="0" w:color="auto"/>
              <w:bottom w:val="single" w:sz="4" w:space="0" w:color="auto"/>
            </w:tcBorders>
          </w:tcPr>
          <w:p w14:paraId="6D798530" w14:textId="77777777" w:rsidR="00E301A4" w:rsidRPr="00243C62" w:rsidRDefault="00E301A4" w:rsidP="00ED5F01">
            <w:pPr>
              <w:spacing w:line="276" w:lineRule="auto"/>
              <w:jc w:val="both"/>
              <w:rPr>
                <w:rFonts w:ascii="Garamond" w:hAnsi="Garamond"/>
                <w:b/>
                <w:bCs/>
                <w:color w:val="000000" w:themeColor="text1"/>
              </w:rPr>
            </w:pPr>
            <w:r w:rsidRPr="00243C62">
              <w:rPr>
                <w:rFonts w:ascii="Garamond" w:hAnsi="Garamond"/>
                <w:b/>
                <w:bCs/>
                <w:color w:val="000000" w:themeColor="text1"/>
              </w:rPr>
              <w:t>SRMR</w:t>
            </w:r>
          </w:p>
        </w:tc>
        <w:tc>
          <w:tcPr>
            <w:tcW w:w="1036" w:type="dxa"/>
            <w:tcBorders>
              <w:top w:val="single" w:sz="4" w:space="0" w:color="auto"/>
              <w:bottom w:val="single" w:sz="4" w:space="0" w:color="auto"/>
            </w:tcBorders>
          </w:tcPr>
          <w:p w14:paraId="69F7809D" w14:textId="77777777" w:rsidR="00E301A4" w:rsidRPr="00243C62" w:rsidRDefault="00E301A4" w:rsidP="00ED5F01">
            <w:pPr>
              <w:spacing w:line="276" w:lineRule="auto"/>
              <w:jc w:val="both"/>
              <w:rPr>
                <w:rFonts w:ascii="Garamond" w:hAnsi="Garamond"/>
                <w:b/>
                <w:bCs/>
                <w:color w:val="000000" w:themeColor="text1"/>
              </w:rPr>
            </w:pPr>
            <w:r w:rsidRPr="00243C62">
              <w:rPr>
                <w:rFonts w:ascii="Garamond" w:hAnsi="Garamond"/>
                <w:b/>
                <w:bCs/>
                <w:color w:val="000000" w:themeColor="text1"/>
              </w:rPr>
              <w:t>CFI</w:t>
            </w:r>
          </w:p>
        </w:tc>
        <w:tc>
          <w:tcPr>
            <w:tcW w:w="1039" w:type="dxa"/>
            <w:tcBorders>
              <w:top w:val="single" w:sz="4" w:space="0" w:color="auto"/>
              <w:bottom w:val="single" w:sz="4" w:space="0" w:color="auto"/>
            </w:tcBorders>
          </w:tcPr>
          <w:p w14:paraId="570E02BE" w14:textId="77777777" w:rsidR="00E301A4" w:rsidRPr="00243C62" w:rsidRDefault="00E301A4" w:rsidP="00ED5F01">
            <w:pPr>
              <w:spacing w:line="276" w:lineRule="auto"/>
              <w:jc w:val="both"/>
              <w:rPr>
                <w:rFonts w:ascii="Garamond" w:hAnsi="Garamond"/>
                <w:b/>
                <w:bCs/>
                <w:color w:val="000000" w:themeColor="text1"/>
              </w:rPr>
            </w:pPr>
            <w:r w:rsidRPr="00243C62">
              <w:rPr>
                <w:rFonts w:ascii="Garamond" w:hAnsi="Garamond"/>
                <w:b/>
                <w:bCs/>
                <w:color w:val="000000" w:themeColor="text1"/>
              </w:rPr>
              <w:t>GFI</w:t>
            </w:r>
          </w:p>
        </w:tc>
        <w:tc>
          <w:tcPr>
            <w:tcW w:w="946" w:type="dxa"/>
            <w:tcBorders>
              <w:top w:val="single" w:sz="4" w:space="0" w:color="auto"/>
              <w:bottom w:val="single" w:sz="4" w:space="0" w:color="auto"/>
            </w:tcBorders>
          </w:tcPr>
          <w:p w14:paraId="4F8C0897" w14:textId="77777777" w:rsidR="00E301A4" w:rsidRPr="00243C62" w:rsidRDefault="00E301A4" w:rsidP="00ED5F01">
            <w:pPr>
              <w:spacing w:line="276" w:lineRule="auto"/>
              <w:jc w:val="both"/>
              <w:rPr>
                <w:rFonts w:ascii="Garamond" w:hAnsi="Garamond"/>
                <w:b/>
                <w:bCs/>
                <w:color w:val="000000" w:themeColor="text1"/>
              </w:rPr>
            </w:pPr>
            <w:r w:rsidRPr="00243C62">
              <w:rPr>
                <w:rFonts w:ascii="Garamond" w:hAnsi="Garamond"/>
                <w:b/>
                <w:bCs/>
                <w:color w:val="000000" w:themeColor="text1"/>
              </w:rPr>
              <w:t>RMR</w:t>
            </w:r>
          </w:p>
        </w:tc>
      </w:tr>
      <w:tr w:rsidR="00E301A4" w:rsidRPr="00243C62" w14:paraId="51138735" w14:textId="77777777" w:rsidTr="00046D2A">
        <w:trPr>
          <w:trHeight w:val="278"/>
        </w:trPr>
        <w:tc>
          <w:tcPr>
            <w:tcW w:w="894" w:type="dxa"/>
            <w:tcBorders>
              <w:top w:val="single" w:sz="4" w:space="0" w:color="auto"/>
              <w:bottom w:val="single" w:sz="4" w:space="0" w:color="auto"/>
            </w:tcBorders>
          </w:tcPr>
          <w:p w14:paraId="0C7F3BA1" w14:textId="0F882041" w:rsidR="00E301A4" w:rsidRPr="00243C62" w:rsidRDefault="00E301A4" w:rsidP="00ED5F01">
            <w:pPr>
              <w:spacing w:line="276" w:lineRule="auto"/>
              <w:jc w:val="both"/>
              <w:rPr>
                <w:rFonts w:ascii="Garamond" w:hAnsi="Garamond"/>
                <w:color w:val="000000" w:themeColor="text1"/>
              </w:rPr>
            </w:pPr>
            <w:r w:rsidRPr="00243C62">
              <w:rPr>
                <w:rFonts w:ascii="Garamond" w:hAnsi="Garamond"/>
                <w:color w:val="000000" w:themeColor="text1"/>
              </w:rPr>
              <w:t>127</w:t>
            </w:r>
            <w:r w:rsidR="0013495D" w:rsidRPr="00243C62">
              <w:rPr>
                <w:rFonts w:ascii="Garamond" w:hAnsi="Garamond"/>
                <w:color w:val="000000" w:themeColor="text1"/>
              </w:rPr>
              <w:t>.</w:t>
            </w:r>
            <w:r w:rsidRPr="00243C62">
              <w:rPr>
                <w:rFonts w:ascii="Garamond" w:hAnsi="Garamond"/>
                <w:color w:val="000000" w:themeColor="text1"/>
              </w:rPr>
              <w:t>890</w:t>
            </w:r>
          </w:p>
        </w:tc>
        <w:tc>
          <w:tcPr>
            <w:tcW w:w="1004" w:type="dxa"/>
            <w:tcBorders>
              <w:top w:val="single" w:sz="4" w:space="0" w:color="auto"/>
              <w:bottom w:val="single" w:sz="4" w:space="0" w:color="auto"/>
            </w:tcBorders>
          </w:tcPr>
          <w:p w14:paraId="081F485D" w14:textId="77777777" w:rsidR="00E301A4" w:rsidRPr="00243C62" w:rsidRDefault="00E301A4" w:rsidP="00ED5F01">
            <w:pPr>
              <w:spacing w:line="276" w:lineRule="auto"/>
              <w:jc w:val="both"/>
              <w:rPr>
                <w:rFonts w:ascii="Garamond" w:hAnsi="Garamond"/>
                <w:color w:val="000000" w:themeColor="text1"/>
              </w:rPr>
            </w:pPr>
            <w:r w:rsidRPr="00243C62">
              <w:rPr>
                <w:rFonts w:ascii="Garamond" w:hAnsi="Garamond"/>
                <w:color w:val="000000" w:themeColor="text1"/>
              </w:rPr>
              <w:t>53</w:t>
            </w:r>
          </w:p>
        </w:tc>
        <w:tc>
          <w:tcPr>
            <w:tcW w:w="1054" w:type="dxa"/>
            <w:tcBorders>
              <w:top w:val="single" w:sz="4" w:space="0" w:color="auto"/>
              <w:bottom w:val="single" w:sz="4" w:space="0" w:color="auto"/>
            </w:tcBorders>
          </w:tcPr>
          <w:p w14:paraId="3327C618" w14:textId="669866F7" w:rsidR="00E301A4" w:rsidRPr="00243C62" w:rsidRDefault="00E301A4" w:rsidP="00ED5F01">
            <w:pPr>
              <w:spacing w:line="276" w:lineRule="auto"/>
              <w:jc w:val="both"/>
              <w:rPr>
                <w:rFonts w:ascii="Garamond" w:hAnsi="Garamond"/>
                <w:color w:val="000000" w:themeColor="text1"/>
              </w:rPr>
            </w:pPr>
            <w:r w:rsidRPr="00243C62">
              <w:rPr>
                <w:rFonts w:ascii="Garamond" w:hAnsi="Garamond"/>
                <w:color w:val="000000" w:themeColor="text1"/>
              </w:rPr>
              <w:t>2</w:t>
            </w:r>
            <w:r w:rsidR="0013495D" w:rsidRPr="00243C62">
              <w:rPr>
                <w:rFonts w:ascii="Garamond" w:hAnsi="Garamond"/>
                <w:color w:val="000000" w:themeColor="text1"/>
              </w:rPr>
              <w:t>.</w:t>
            </w:r>
            <w:r w:rsidRPr="00243C62">
              <w:rPr>
                <w:rFonts w:ascii="Garamond" w:hAnsi="Garamond"/>
                <w:color w:val="000000" w:themeColor="text1"/>
              </w:rPr>
              <w:t>413</w:t>
            </w:r>
          </w:p>
        </w:tc>
        <w:tc>
          <w:tcPr>
            <w:tcW w:w="1154" w:type="dxa"/>
            <w:tcBorders>
              <w:top w:val="single" w:sz="4" w:space="0" w:color="auto"/>
              <w:bottom w:val="single" w:sz="4" w:space="0" w:color="auto"/>
            </w:tcBorders>
          </w:tcPr>
          <w:p w14:paraId="17E743F0" w14:textId="77777777" w:rsidR="00E301A4" w:rsidRPr="00243C62" w:rsidRDefault="00E301A4" w:rsidP="00ED5F01">
            <w:pPr>
              <w:spacing w:line="276" w:lineRule="auto"/>
              <w:jc w:val="both"/>
              <w:rPr>
                <w:rFonts w:ascii="Garamond" w:hAnsi="Garamond"/>
                <w:color w:val="000000" w:themeColor="text1"/>
              </w:rPr>
            </w:pPr>
            <w:r w:rsidRPr="00243C62">
              <w:rPr>
                <w:rFonts w:ascii="Garamond" w:hAnsi="Garamond"/>
                <w:color w:val="000000" w:themeColor="text1"/>
              </w:rPr>
              <w:t>.074</w:t>
            </w:r>
          </w:p>
        </w:tc>
        <w:tc>
          <w:tcPr>
            <w:tcW w:w="1113" w:type="dxa"/>
            <w:tcBorders>
              <w:top w:val="single" w:sz="4" w:space="0" w:color="auto"/>
              <w:bottom w:val="single" w:sz="4" w:space="0" w:color="auto"/>
            </w:tcBorders>
          </w:tcPr>
          <w:p w14:paraId="1E261107" w14:textId="77777777" w:rsidR="00E301A4" w:rsidRPr="00243C62" w:rsidRDefault="00E301A4" w:rsidP="00ED5F01">
            <w:pPr>
              <w:spacing w:line="276" w:lineRule="auto"/>
              <w:jc w:val="both"/>
              <w:rPr>
                <w:rFonts w:ascii="Garamond" w:hAnsi="Garamond"/>
                <w:color w:val="000000" w:themeColor="text1"/>
              </w:rPr>
            </w:pPr>
            <w:r w:rsidRPr="00243C62">
              <w:rPr>
                <w:rFonts w:ascii="Garamond" w:hAnsi="Garamond"/>
                <w:color w:val="000000" w:themeColor="text1"/>
              </w:rPr>
              <w:t>.060</w:t>
            </w:r>
          </w:p>
        </w:tc>
        <w:tc>
          <w:tcPr>
            <w:tcW w:w="1036" w:type="dxa"/>
            <w:tcBorders>
              <w:top w:val="single" w:sz="4" w:space="0" w:color="auto"/>
              <w:bottom w:val="single" w:sz="4" w:space="0" w:color="auto"/>
            </w:tcBorders>
          </w:tcPr>
          <w:p w14:paraId="3567EDEB" w14:textId="77777777" w:rsidR="00E301A4" w:rsidRPr="00243C62" w:rsidRDefault="00E301A4" w:rsidP="00ED5F01">
            <w:pPr>
              <w:spacing w:line="276" w:lineRule="auto"/>
              <w:jc w:val="both"/>
              <w:rPr>
                <w:rFonts w:ascii="Garamond" w:hAnsi="Garamond"/>
                <w:color w:val="000000" w:themeColor="text1"/>
              </w:rPr>
            </w:pPr>
            <w:r w:rsidRPr="00243C62">
              <w:rPr>
                <w:rFonts w:ascii="Garamond" w:hAnsi="Garamond"/>
                <w:color w:val="000000" w:themeColor="text1"/>
              </w:rPr>
              <w:t>.906</w:t>
            </w:r>
          </w:p>
        </w:tc>
        <w:tc>
          <w:tcPr>
            <w:tcW w:w="1039" w:type="dxa"/>
            <w:tcBorders>
              <w:top w:val="single" w:sz="4" w:space="0" w:color="auto"/>
              <w:bottom w:val="single" w:sz="4" w:space="0" w:color="auto"/>
            </w:tcBorders>
          </w:tcPr>
          <w:p w14:paraId="6F1F28EF" w14:textId="77777777" w:rsidR="00E301A4" w:rsidRPr="00243C62" w:rsidRDefault="00E301A4" w:rsidP="00ED5F01">
            <w:pPr>
              <w:spacing w:line="276" w:lineRule="auto"/>
              <w:jc w:val="both"/>
              <w:rPr>
                <w:rFonts w:ascii="Garamond" w:hAnsi="Garamond"/>
                <w:color w:val="000000" w:themeColor="text1"/>
              </w:rPr>
            </w:pPr>
            <w:r w:rsidRPr="00243C62">
              <w:rPr>
                <w:rFonts w:ascii="Garamond" w:hAnsi="Garamond"/>
                <w:color w:val="000000" w:themeColor="text1"/>
              </w:rPr>
              <w:t>.922</w:t>
            </w:r>
          </w:p>
        </w:tc>
        <w:tc>
          <w:tcPr>
            <w:tcW w:w="946" w:type="dxa"/>
            <w:tcBorders>
              <w:top w:val="single" w:sz="4" w:space="0" w:color="auto"/>
              <w:bottom w:val="single" w:sz="4" w:space="0" w:color="auto"/>
            </w:tcBorders>
          </w:tcPr>
          <w:p w14:paraId="19724D7E" w14:textId="77777777" w:rsidR="00E301A4" w:rsidRPr="00243C62" w:rsidRDefault="00E301A4" w:rsidP="00ED5F01">
            <w:pPr>
              <w:spacing w:line="276" w:lineRule="auto"/>
              <w:jc w:val="both"/>
              <w:rPr>
                <w:rFonts w:ascii="Garamond" w:hAnsi="Garamond"/>
                <w:color w:val="000000" w:themeColor="text1"/>
              </w:rPr>
            </w:pPr>
            <w:r w:rsidRPr="00243C62">
              <w:rPr>
                <w:rFonts w:ascii="Garamond" w:hAnsi="Garamond"/>
                <w:color w:val="000000" w:themeColor="text1"/>
              </w:rPr>
              <w:t>.035</w:t>
            </w:r>
          </w:p>
        </w:tc>
      </w:tr>
    </w:tbl>
    <w:p w14:paraId="4AC0306E" w14:textId="77777777" w:rsidR="00E301A4" w:rsidRPr="00243C62" w:rsidRDefault="00E301A4" w:rsidP="00F7775D">
      <w:pPr>
        <w:pStyle w:val="NormalWeb"/>
        <w:spacing w:line="360" w:lineRule="auto"/>
        <w:jc w:val="both"/>
        <w:rPr>
          <w:rFonts w:ascii="Garamond" w:hAnsi="Garamond"/>
          <w:sz w:val="22"/>
          <w:szCs w:val="22"/>
        </w:rPr>
      </w:pPr>
    </w:p>
    <w:p w14:paraId="2DF2750C" w14:textId="77777777" w:rsidR="008F7F14" w:rsidRPr="00243C62" w:rsidRDefault="008F7F14" w:rsidP="00C26384">
      <w:pPr>
        <w:spacing w:line="276" w:lineRule="auto"/>
        <w:jc w:val="both"/>
        <w:rPr>
          <w:rFonts w:ascii="Garamond" w:hAnsi="Garamond"/>
        </w:rPr>
      </w:pPr>
    </w:p>
    <w:p w14:paraId="16AA909C" w14:textId="77777777" w:rsidR="008F7F14" w:rsidRPr="00243C62" w:rsidRDefault="008F7F14" w:rsidP="008F7F14">
      <w:pPr>
        <w:spacing w:line="276" w:lineRule="auto"/>
        <w:ind w:firstLine="708"/>
        <w:jc w:val="both"/>
        <w:rPr>
          <w:rFonts w:ascii="Garamond" w:hAnsi="Garamond"/>
        </w:rPr>
      </w:pPr>
    </w:p>
    <w:p w14:paraId="6F315E46" w14:textId="77777777" w:rsidR="00C26384" w:rsidRPr="00243C62" w:rsidRDefault="00C26384" w:rsidP="00C26384">
      <w:pPr>
        <w:spacing w:line="276" w:lineRule="auto"/>
        <w:jc w:val="both"/>
        <w:rPr>
          <w:rFonts w:ascii="Garamond" w:hAnsi="Garamond"/>
        </w:rPr>
      </w:pPr>
    </w:p>
    <w:p w14:paraId="3FCC8F96" w14:textId="6B7466EB" w:rsidR="00AD6191" w:rsidRPr="00243C62" w:rsidRDefault="00AD6191" w:rsidP="00AD6191">
      <w:pPr>
        <w:pStyle w:val="ResimYazs"/>
        <w:rPr>
          <w:rFonts w:ascii="Garamond" w:hAnsi="Garamond"/>
          <w:i w:val="0"/>
          <w:iCs w:val="0"/>
          <w:color w:val="000000"/>
          <w:sz w:val="22"/>
          <w:szCs w:val="22"/>
        </w:rPr>
      </w:pPr>
      <w:r w:rsidRPr="00AD6191">
        <w:rPr>
          <w:rFonts w:ascii="Garamond" w:hAnsi="Garamond"/>
          <w:b/>
          <w:bCs/>
          <w:i w:val="0"/>
          <w:iCs w:val="0"/>
          <w:color w:val="000000"/>
          <w:sz w:val="22"/>
          <w:szCs w:val="22"/>
        </w:rPr>
        <w:t>Şekil 1.</w:t>
      </w:r>
      <w:r w:rsidRPr="00243C62">
        <w:rPr>
          <w:rFonts w:ascii="Garamond" w:hAnsi="Garamond"/>
          <w:i w:val="0"/>
          <w:iCs w:val="0"/>
          <w:color w:val="000000"/>
          <w:sz w:val="22"/>
          <w:szCs w:val="22"/>
        </w:rPr>
        <w:t xml:space="preserve"> Gelecek Oryantasyonu Ölçeği Birinci Düzey Doğrulayıcı Faktör Analizi</w:t>
      </w:r>
    </w:p>
    <w:p w14:paraId="53FA9AB7" w14:textId="77777777" w:rsidR="00C26384" w:rsidRPr="00243C62" w:rsidRDefault="00C26384" w:rsidP="00C26384">
      <w:pPr>
        <w:spacing w:line="276" w:lineRule="auto"/>
        <w:jc w:val="both"/>
        <w:rPr>
          <w:rFonts w:ascii="Garamond" w:hAnsi="Garamond"/>
        </w:rPr>
      </w:pPr>
    </w:p>
    <w:p w14:paraId="500E3EEA" w14:textId="4D7C072E" w:rsidR="00C26384" w:rsidRPr="00243C62" w:rsidRDefault="00D37962" w:rsidP="00C26384">
      <w:pPr>
        <w:spacing w:line="276" w:lineRule="auto"/>
        <w:jc w:val="both"/>
        <w:rPr>
          <w:rFonts w:ascii="Garamond" w:hAnsi="Garamond"/>
        </w:rPr>
      </w:pPr>
      <w:r w:rsidRPr="00243C62">
        <w:rPr>
          <w:rFonts w:ascii="Garamond" w:hAnsi="Garamond"/>
          <w:noProof/>
        </w:rPr>
        <w:drawing>
          <wp:inline distT="0" distB="0" distL="0" distR="0" wp14:anchorId="35B8D48F" wp14:editId="70141524">
            <wp:extent cx="5459095" cy="5295265"/>
            <wp:effectExtent l="0" t="0" r="8255" b="635"/>
            <wp:docPr id="1670259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9095" cy="5295265"/>
                    </a:xfrm>
                    <a:prstGeom prst="rect">
                      <a:avLst/>
                    </a:prstGeom>
                    <a:noFill/>
                    <a:ln>
                      <a:noFill/>
                    </a:ln>
                  </pic:spPr>
                </pic:pic>
              </a:graphicData>
            </a:graphic>
          </wp:inline>
        </w:drawing>
      </w:r>
    </w:p>
    <w:p w14:paraId="4D906814" w14:textId="77777777" w:rsidR="00C26384" w:rsidRPr="00243C62" w:rsidRDefault="00C26384" w:rsidP="00C26384">
      <w:pPr>
        <w:spacing w:line="276" w:lineRule="auto"/>
        <w:jc w:val="both"/>
        <w:rPr>
          <w:rFonts w:ascii="Garamond" w:hAnsi="Garamond"/>
          <w:b/>
          <w:bCs/>
        </w:rPr>
      </w:pPr>
    </w:p>
    <w:p w14:paraId="24D32307" w14:textId="77777777" w:rsidR="00E94C53" w:rsidRPr="00243C62" w:rsidRDefault="00C26384" w:rsidP="00E94C53">
      <w:pPr>
        <w:spacing w:line="276" w:lineRule="auto"/>
        <w:jc w:val="both"/>
        <w:rPr>
          <w:rFonts w:ascii="Garamond" w:hAnsi="Garamond"/>
          <w:b/>
          <w:bCs/>
        </w:rPr>
      </w:pPr>
      <w:r w:rsidRPr="00243C62">
        <w:rPr>
          <w:rFonts w:ascii="Garamond" w:hAnsi="Garamond"/>
          <w:b/>
          <w:bCs/>
        </w:rPr>
        <w:t>Gelecek Oryantasyonu Ölçeği’nin Güvenirlik Çalışmalarına İlişkin Bulgular</w:t>
      </w:r>
    </w:p>
    <w:p w14:paraId="426720BA" w14:textId="793C9954" w:rsidR="00C26384" w:rsidRPr="00243C62" w:rsidRDefault="00C26384" w:rsidP="00AD6191">
      <w:pPr>
        <w:spacing w:line="276" w:lineRule="auto"/>
        <w:jc w:val="both"/>
        <w:rPr>
          <w:rFonts w:ascii="Garamond" w:hAnsi="Garamond"/>
          <w:b/>
          <w:bCs/>
        </w:rPr>
      </w:pPr>
      <w:r w:rsidRPr="00243C62">
        <w:rPr>
          <w:rFonts w:ascii="Garamond" w:hAnsi="Garamond"/>
        </w:rPr>
        <w:t>Gelecek Oryantasyonu ölçeğinin güvenirliğine ilişkin kanıt sağlamak amacıyla iç tutarlık katsayısı hesaplanmış</w:t>
      </w:r>
      <w:r w:rsidR="00E94C53" w:rsidRPr="00243C62">
        <w:rPr>
          <w:rFonts w:ascii="Garamond" w:hAnsi="Garamond"/>
        </w:rPr>
        <w:t xml:space="preserve"> olup g</w:t>
      </w:r>
      <w:r w:rsidRPr="00243C62">
        <w:rPr>
          <w:rFonts w:ascii="Garamond" w:hAnsi="Garamond"/>
        </w:rPr>
        <w:t>elece</w:t>
      </w:r>
      <w:r w:rsidR="00E94C53" w:rsidRPr="00243C62">
        <w:rPr>
          <w:rFonts w:ascii="Garamond" w:hAnsi="Garamond"/>
        </w:rPr>
        <w:t>k</w:t>
      </w:r>
      <w:r w:rsidRPr="00243C62">
        <w:rPr>
          <w:rFonts w:ascii="Garamond" w:hAnsi="Garamond"/>
        </w:rPr>
        <w:t xml:space="preserve"> </w:t>
      </w:r>
      <w:r w:rsidR="00E94C53" w:rsidRPr="00243C62">
        <w:rPr>
          <w:rFonts w:ascii="Garamond" w:hAnsi="Garamond"/>
        </w:rPr>
        <w:t>oryantasyonu</w:t>
      </w:r>
      <w:r w:rsidRPr="00243C62">
        <w:rPr>
          <w:rFonts w:ascii="Garamond" w:hAnsi="Garamond"/>
        </w:rPr>
        <w:t xml:space="preserve"> ölçeğinin toplam puanının Cronbach Alpha iç tutarlık </w:t>
      </w:r>
      <w:r w:rsidRPr="00243C62">
        <w:rPr>
          <w:rFonts w:ascii="Garamond" w:hAnsi="Garamond"/>
        </w:rPr>
        <w:lastRenderedPageBreak/>
        <w:t>katsayısının .83 olarak hesaplandığı bulunmuştur.</w:t>
      </w:r>
      <w:r w:rsidR="00E94C53" w:rsidRPr="00243C62">
        <w:rPr>
          <w:rFonts w:ascii="Garamond" w:hAnsi="Garamond"/>
        </w:rPr>
        <w:t xml:space="preserve"> Bu değerin ölçek için iyi düzeyde güvenirlik sağladığı söylenebilir (Nunnally ve Bernstein, 1994).</w:t>
      </w:r>
    </w:p>
    <w:p w14:paraId="095F4C60" w14:textId="77777777" w:rsidR="00C26384" w:rsidRPr="00243C62" w:rsidRDefault="00C26384" w:rsidP="00C26384">
      <w:pPr>
        <w:spacing w:line="276" w:lineRule="auto"/>
        <w:jc w:val="both"/>
        <w:rPr>
          <w:rFonts w:ascii="Garamond" w:hAnsi="Garamond"/>
          <w:b/>
          <w:bCs/>
        </w:rPr>
      </w:pPr>
    </w:p>
    <w:p w14:paraId="2801B952" w14:textId="77777777" w:rsidR="00C26384" w:rsidRPr="00243C62" w:rsidRDefault="00C26384" w:rsidP="00C26384">
      <w:pPr>
        <w:spacing w:line="276" w:lineRule="auto"/>
        <w:jc w:val="both"/>
        <w:rPr>
          <w:rFonts w:ascii="Garamond" w:hAnsi="Garamond"/>
          <w:b/>
          <w:bCs/>
        </w:rPr>
      </w:pPr>
      <w:r w:rsidRPr="00243C62">
        <w:rPr>
          <w:rFonts w:ascii="Garamond" w:hAnsi="Garamond"/>
          <w:b/>
          <w:bCs/>
        </w:rPr>
        <w:t>Gelecek Oryantasyonu Ölçeği’nin Ölçüt Bağıntılı Eş Zamanlı Geçerliğine İlişkin Bulgular</w:t>
      </w:r>
    </w:p>
    <w:p w14:paraId="652F4C57" w14:textId="1D011A99" w:rsidR="00C26384" w:rsidRPr="00243C62" w:rsidRDefault="00C26384" w:rsidP="00C26384">
      <w:pPr>
        <w:spacing w:line="276" w:lineRule="auto"/>
        <w:jc w:val="both"/>
        <w:rPr>
          <w:rFonts w:ascii="Garamond" w:hAnsi="Garamond"/>
        </w:rPr>
      </w:pPr>
      <w:r w:rsidRPr="00243C62">
        <w:rPr>
          <w:rFonts w:ascii="Garamond" w:hAnsi="Garamond"/>
        </w:rPr>
        <w:t xml:space="preserve">Bu araştırmada Gelecek Oryantasyonu </w:t>
      </w:r>
      <w:r w:rsidR="00B26302" w:rsidRPr="00243C62">
        <w:rPr>
          <w:rFonts w:ascii="Garamond" w:hAnsi="Garamond"/>
        </w:rPr>
        <w:t>Ö</w:t>
      </w:r>
      <w:r w:rsidRPr="00243C62">
        <w:rPr>
          <w:rFonts w:ascii="Garamond" w:hAnsi="Garamond"/>
        </w:rPr>
        <w:t xml:space="preserve">lçeğinin bir ölçüte dayalı geçerliğine ilişkin kanıt sağlamak amacıyla </w:t>
      </w:r>
      <w:r w:rsidR="00EE2D3B" w:rsidRPr="00243C62">
        <w:rPr>
          <w:rFonts w:ascii="Garamond" w:hAnsi="Garamond"/>
        </w:rPr>
        <w:t xml:space="preserve">GOÖ ortalama puanları ile </w:t>
      </w:r>
      <w:r w:rsidRPr="00243C62">
        <w:rPr>
          <w:rFonts w:ascii="Garamond" w:hAnsi="Garamond"/>
        </w:rPr>
        <w:t>Geleceğe İlişkin Tutum Ölçeği (Güler, 2004) ve Sürekli Umut Ölçeği (Akman</w:t>
      </w:r>
      <w:r w:rsidR="003C3E92" w:rsidRPr="00243C62">
        <w:rPr>
          <w:rFonts w:ascii="Garamond" w:hAnsi="Garamond"/>
        </w:rPr>
        <w:t xml:space="preserve"> &amp; </w:t>
      </w:r>
      <w:r w:rsidRPr="00243C62">
        <w:rPr>
          <w:rFonts w:ascii="Garamond" w:hAnsi="Garamond"/>
        </w:rPr>
        <w:t xml:space="preserve">Korkut, 1993) </w:t>
      </w:r>
      <w:r w:rsidR="00EE2D3B" w:rsidRPr="00243C62">
        <w:rPr>
          <w:rFonts w:ascii="Garamond" w:hAnsi="Garamond"/>
        </w:rPr>
        <w:t>ortalama puanları</w:t>
      </w:r>
      <w:r w:rsidRPr="00243C62">
        <w:rPr>
          <w:rFonts w:ascii="Garamond" w:hAnsi="Garamond"/>
        </w:rPr>
        <w:t xml:space="preserve"> </w:t>
      </w:r>
      <w:r w:rsidR="00EE2D3B" w:rsidRPr="00243C62">
        <w:rPr>
          <w:rFonts w:ascii="Garamond" w:hAnsi="Garamond"/>
        </w:rPr>
        <w:t xml:space="preserve">arasındaki </w:t>
      </w:r>
      <w:r w:rsidRPr="00243C62">
        <w:rPr>
          <w:rFonts w:ascii="Garamond" w:hAnsi="Garamond"/>
        </w:rPr>
        <w:t xml:space="preserve">ilişkiler incelenmiştir. </w:t>
      </w:r>
      <w:r w:rsidR="009D4A42" w:rsidRPr="00243C62">
        <w:rPr>
          <w:rFonts w:ascii="Garamond" w:hAnsi="Garamond"/>
        </w:rPr>
        <w:t xml:space="preserve">Gelecek Oryantasyonu Ölçeği puanları </w:t>
      </w:r>
      <w:r w:rsidRPr="00243C62">
        <w:rPr>
          <w:rFonts w:ascii="Garamond" w:hAnsi="Garamond"/>
        </w:rPr>
        <w:t xml:space="preserve">ile </w:t>
      </w:r>
      <w:r w:rsidR="009D4A42" w:rsidRPr="00243C62">
        <w:rPr>
          <w:rFonts w:ascii="Garamond" w:hAnsi="Garamond"/>
        </w:rPr>
        <w:t>G</w:t>
      </w:r>
      <w:r w:rsidRPr="00243C62">
        <w:rPr>
          <w:rFonts w:ascii="Garamond" w:hAnsi="Garamond"/>
        </w:rPr>
        <w:t xml:space="preserve">eleceğe </w:t>
      </w:r>
      <w:r w:rsidR="00B26302" w:rsidRPr="00243C62">
        <w:rPr>
          <w:rFonts w:ascii="Garamond" w:hAnsi="Garamond"/>
        </w:rPr>
        <w:t>İ</w:t>
      </w:r>
      <w:r w:rsidRPr="00243C62">
        <w:rPr>
          <w:rFonts w:ascii="Garamond" w:hAnsi="Garamond"/>
        </w:rPr>
        <w:t xml:space="preserve">lişkin </w:t>
      </w:r>
      <w:r w:rsidR="00B26302" w:rsidRPr="00243C62">
        <w:rPr>
          <w:rFonts w:ascii="Garamond" w:hAnsi="Garamond"/>
        </w:rPr>
        <w:t>T</w:t>
      </w:r>
      <w:r w:rsidRPr="00243C62">
        <w:rPr>
          <w:rFonts w:ascii="Garamond" w:hAnsi="Garamond"/>
        </w:rPr>
        <w:t xml:space="preserve">utum ölçeği ve </w:t>
      </w:r>
      <w:r w:rsidR="009D4A42" w:rsidRPr="00243C62">
        <w:rPr>
          <w:rFonts w:ascii="Garamond" w:hAnsi="Garamond"/>
        </w:rPr>
        <w:t>S</w:t>
      </w:r>
      <w:r w:rsidRPr="00243C62">
        <w:rPr>
          <w:rFonts w:ascii="Garamond" w:hAnsi="Garamond"/>
        </w:rPr>
        <w:t xml:space="preserve">ürekli </w:t>
      </w:r>
      <w:r w:rsidR="00B26302" w:rsidRPr="00243C62">
        <w:rPr>
          <w:rFonts w:ascii="Garamond" w:hAnsi="Garamond"/>
        </w:rPr>
        <w:t>U</w:t>
      </w:r>
      <w:r w:rsidRPr="00243C62">
        <w:rPr>
          <w:rFonts w:ascii="Garamond" w:hAnsi="Garamond"/>
        </w:rPr>
        <w:t xml:space="preserve">mut </w:t>
      </w:r>
      <w:r w:rsidR="00B26302" w:rsidRPr="00243C62">
        <w:rPr>
          <w:rFonts w:ascii="Garamond" w:hAnsi="Garamond"/>
        </w:rPr>
        <w:t>Ö</w:t>
      </w:r>
      <w:r w:rsidRPr="00243C62">
        <w:rPr>
          <w:rFonts w:ascii="Garamond" w:hAnsi="Garamond"/>
        </w:rPr>
        <w:t>lçeğ</w:t>
      </w:r>
      <w:r w:rsidR="009D4A42" w:rsidRPr="00243C62">
        <w:rPr>
          <w:rFonts w:ascii="Garamond" w:hAnsi="Garamond"/>
        </w:rPr>
        <w:t>i puanları arasındaki ilişkiler</w:t>
      </w:r>
      <w:r w:rsidRPr="00243C62">
        <w:rPr>
          <w:rFonts w:ascii="Garamond" w:hAnsi="Garamond"/>
        </w:rPr>
        <w:t xml:space="preserve"> ve betimsel istatistikler</w:t>
      </w:r>
      <w:r w:rsidR="009D4A42" w:rsidRPr="00243C62">
        <w:rPr>
          <w:rFonts w:ascii="Garamond" w:hAnsi="Garamond"/>
        </w:rPr>
        <w:t xml:space="preserve"> Tablo 2</w:t>
      </w:r>
      <w:r w:rsidR="00046D2A" w:rsidRPr="00243C62">
        <w:rPr>
          <w:rFonts w:ascii="Garamond" w:hAnsi="Garamond"/>
        </w:rPr>
        <w:t>’</w:t>
      </w:r>
      <w:r w:rsidR="009D4A42" w:rsidRPr="00243C62">
        <w:rPr>
          <w:rFonts w:ascii="Garamond" w:hAnsi="Garamond"/>
        </w:rPr>
        <w:t>de sunul</w:t>
      </w:r>
      <w:r w:rsidR="00046D2A" w:rsidRPr="00243C62">
        <w:rPr>
          <w:rFonts w:ascii="Garamond" w:hAnsi="Garamond"/>
        </w:rPr>
        <w:t xml:space="preserve">muştur. </w:t>
      </w:r>
    </w:p>
    <w:p w14:paraId="62907F5E" w14:textId="77777777" w:rsidR="00C26384" w:rsidRPr="00243C62" w:rsidRDefault="00C26384" w:rsidP="00C26384">
      <w:pPr>
        <w:pStyle w:val="ResimYazs"/>
        <w:spacing w:line="276" w:lineRule="auto"/>
        <w:rPr>
          <w:rFonts w:ascii="Garamond" w:hAnsi="Garamond"/>
          <w:i w:val="0"/>
          <w:iCs w:val="0"/>
          <w:color w:val="000000"/>
          <w:sz w:val="24"/>
          <w:szCs w:val="24"/>
        </w:rPr>
      </w:pPr>
      <w:bookmarkStart w:id="3" w:name="_Toc146483117"/>
    </w:p>
    <w:p w14:paraId="49275D7E" w14:textId="7F114FD8" w:rsidR="00C26384" w:rsidRPr="00243C62" w:rsidRDefault="00C26384" w:rsidP="00C26384">
      <w:pPr>
        <w:pStyle w:val="ResimYazs"/>
        <w:spacing w:line="276" w:lineRule="auto"/>
        <w:rPr>
          <w:rFonts w:ascii="Garamond" w:hAnsi="Garamond"/>
          <w:b/>
          <w:bCs/>
          <w:i w:val="0"/>
          <w:iCs w:val="0"/>
          <w:color w:val="000000"/>
          <w:sz w:val="24"/>
          <w:szCs w:val="24"/>
        </w:rPr>
      </w:pPr>
      <w:r w:rsidRPr="00243C62">
        <w:rPr>
          <w:rFonts w:ascii="Garamond" w:hAnsi="Garamond"/>
          <w:b/>
          <w:bCs/>
          <w:i w:val="0"/>
          <w:iCs w:val="0"/>
          <w:color w:val="000000"/>
          <w:sz w:val="24"/>
          <w:szCs w:val="24"/>
        </w:rPr>
        <w:t>Tablo 3.Gelece</w:t>
      </w:r>
      <w:r w:rsidR="00E94C53" w:rsidRPr="00243C62">
        <w:rPr>
          <w:rFonts w:ascii="Garamond" w:hAnsi="Garamond"/>
          <w:b/>
          <w:bCs/>
          <w:i w:val="0"/>
          <w:iCs w:val="0"/>
          <w:color w:val="000000"/>
          <w:sz w:val="24"/>
          <w:szCs w:val="24"/>
        </w:rPr>
        <w:t xml:space="preserve">k </w:t>
      </w:r>
      <w:r w:rsidR="008F7F14" w:rsidRPr="00243C62">
        <w:rPr>
          <w:rFonts w:ascii="Garamond" w:hAnsi="Garamond"/>
          <w:b/>
          <w:bCs/>
          <w:i w:val="0"/>
          <w:iCs w:val="0"/>
          <w:color w:val="000000"/>
          <w:sz w:val="24"/>
          <w:szCs w:val="24"/>
        </w:rPr>
        <w:t>Oryantasyonu</w:t>
      </w:r>
      <w:r w:rsidRPr="00243C62">
        <w:rPr>
          <w:rFonts w:ascii="Garamond" w:hAnsi="Garamond"/>
          <w:b/>
          <w:bCs/>
          <w:i w:val="0"/>
          <w:iCs w:val="0"/>
          <w:color w:val="000000"/>
          <w:sz w:val="24"/>
          <w:szCs w:val="24"/>
        </w:rPr>
        <w:t xml:space="preserve"> Ölçeği ile Geleğe İlişkin Tutum Ölçeği ve Sürekli Umut Ölçeği Puanları Arasındaki İlişkiler ve Betimsel İstatistikler</w:t>
      </w:r>
      <w:bookmarkEnd w:id="3"/>
    </w:p>
    <w:tbl>
      <w:tblPr>
        <w:tblW w:w="0" w:type="auto"/>
        <w:jc w:val="center"/>
        <w:tblLook w:val="04A0" w:firstRow="1" w:lastRow="0" w:firstColumn="1" w:lastColumn="0" w:noHBand="0" w:noVBand="1"/>
      </w:tblPr>
      <w:tblGrid>
        <w:gridCol w:w="2563"/>
        <w:gridCol w:w="1915"/>
        <w:gridCol w:w="222"/>
        <w:gridCol w:w="1392"/>
        <w:gridCol w:w="760"/>
        <w:gridCol w:w="1059"/>
        <w:gridCol w:w="939"/>
        <w:gridCol w:w="111"/>
        <w:gridCol w:w="111"/>
      </w:tblGrid>
      <w:tr w:rsidR="00C26384" w:rsidRPr="00243C62" w14:paraId="03CF66A4" w14:textId="77777777" w:rsidTr="00E94C53">
        <w:trPr>
          <w:gridAfter w:val="1"/>
          <w:jc w:val="center"/>
        </w:trPr>
        <w:tc>
          <w:tcPr>
            <w:tcW w:w="0" w:type="auto"/>
            <w:gridSpan w:val="4"/>
            <w:tcBorders>
              <w:top w:val="single" w:sz="4" w:space="0" w:color="auto"/>
              <w:bottom w:val="single" w:sz="4" w:space="0" w:color="auto"/>
            </w:tcBorders>
            <w:shd w:val="clear" w:color="auto" w:fill="auto"/>
            <w:vAlign w:val="center"/>
          </w:tcPr>
          <w:p w14:paraId="063A78A1" w14:textId="0EB27B51" w:rsidR="00C26384" w:rsidRPr="00243C62" w:rsidRDefault="009C159A" w:rsidP="00C26384">
            <w:pPr>
              <w:spacing w:line="276" w:lineRule="auto"/>
              <w:jc w:val="both"/>
              <w:rPr>
                <w:rFonts w:ascii="Garamond" w:hAnsi="Garamond"/>
              </w:rPr>
            </w:pPr>
            <w:r>
              <w:rPr>
                <w:rFonts w:ascii="Garamond" w:hAnsi="Garamond"/>
              </w:rPr>
              <w:t xml:space="preserve">                                                           </w:t>
            </w:r>
            <w:r w:rsidR="00C26384" w:rsidRPr="00243C62">
              <w:rPr>
                <w:rFonts w:ascii="Garamond" w:hAnsi="Garamond"/>
              </w:rPr>
              <w:t>Korelasyonlar</w:t>
            </w:r>
          </w:p>
        </w:tc>
        <w:tc>
          <w:tcPr>
            <w:tcW w:w="0" w:type="auto"/>
            <w:gridSpan w:val="4"/>
            <w:tcBorders>
              <w:top w:val="single" w:sz="4" w:space="0" w:color="auto"/>
              <w:bottom w:val="single" w:sz="4" w:space="0" w:color="auto"/>
            </w:tcBorders>
            <w:shd w:val="clear" w:color="auto" w:fill="auto"/>
          </w:tcPr>
          <w:p w14:paraId="0C326167" w14:textId="2DFFFEA8" w:rsidR="00C26384" w:rsidRPr="00243C62" w:rsidRDefault="009C159A" w:rsidP="00C26384">
            <w:pPr>
              <w:spacing w:line="276" w:lineRule="auto"/>
              <w:jc w:val="both"/>
              <w:rPr>
                <w:rFonts w:ascii="Garamond" w:hAnsi="Garamond"/>
              </w:rPr>
            </w:pPr>
            <w:r>
              <w:rPr>
                <w:rFonts w:ascii="Garamond" w:hAnsi="Garamond"/>
              </w:rPr>
              <w:t xml:space="preserve">      </w:t>
            </w:r>
            <w:r w:rsidR="00C26384" w:rsidRPr="00243C62">
              <w:rPr>
                <w:rFonts w:ascii="Garamond" w:hAnsi="Garamond"/>
              </w:rPr>
              <w:t>Betimsel istatistik</w:t>
            </w:r>
          </w:p>
        </w:tc>
      </w:tr>
      <w:tr w:rsidR="00E94C53" w:rsidRPr="00243C62" w14:paraId="3C736C2C" w14:textId="77777777" w:rsidTr="00E94C53">
        <w:trPr>
          <w:jc w:val="center"/>
        </w:trPr>
        <w:tc>
          <w:tcPr>
            <w:tcW w:w="0" w:type="auto"/>
            <w:shd w:val="clear" w:color="auto" w:fill="auto"/>
            <w:vAlign w:val="center"/>
          </w:tcPr>
          <w:p w14:paraId="46A15A39" w14:textId="77777777" w:rsidR="00C26384" w:rsidRPr="00243C62" w:rsidRDefault="00C26384" w:rsidP="00C26384">
            <w:pPr>
              <w:spacing w:line="276" w:lineRule="auto"/>
              <w:jc w:val="both"/>
              <w:rPr>
                <w:rFonts w:ascii="Garamond" w:hAnsi="Garamond"/>
              </w:rPr>
            </w:pPr>
          </w:p>
        </w:tc>
        <w:tc>
          <w:tcPr>
            <w:tcW w:w="0" w:type="auto"/>
            <w:tcBorders>
              <w:bottom w:val="single" w:sz="4" w:space="0" w:color="auto"/>
            </w:tcBorders>
            <w:shd w:val="clear" w:color="auto" w:fill="auto"/>
            <w:vAlign w:val="center"/>
          </w:tcPr>
          <w:p w14:paraId="370F22D6" w14:textId="77777777" w:rsidR="00C26384" w:rsidRPr="00243C62" w:rsidRDefault="00C26384" w:rsidP="00C26384">
            <w:pPr>
              <w:spacing w:line="276" w:lineRule="auto"/>
              <w:jc w:val="both"/>
              <w:rPr>
                <w:rFonts w:ascii="Garamond" w:hAnsi="Garamond"/>
              </w:rPr>
            </w:pPr>
            <w:r w:rsidRPr="00243C62">
              <w:rPr>
                <w:rFonts w:ascii="Garamond" w:hAnsi="Garamond"/>
              </w:rPr>
              <w:t>Geleceğe İlişkin Tutum Ölçeği</w:t>
            </w:r>
          </w:p>
        </w:tc>
        <w:tc>
          <w:tcPr>
            <w:tcW w:w="0" w:type="auto"/>
            <w:tcBorders>
              <w:bottom w:val="single" w:sz="4" w:space="0" w:color="auto"/>
            </w:tcBorders>
            <w:shd w:val="clear" w:color="auto" w:fill="auto"/>
            <w:vAlign w:val="center"/>
          </w:tcPr>
          <w:p w14:paraId="5AB83552" w14:textId="77777777" w:rsidR="00C26384" w:rsidRPr="00243C62" w:rsidRDefault="00C26384" w:rsidP="00C26384">
            <w:pPr>
              <w:spacing w:line="276" w:lineRule="auto"/>
              <w:jc w:val="both"/>
              <w:rPr>
                <w:rFonts w:ascii="Garamond" w:hAnsi="Garamond"/>
              </w:rPr>
            </w:pPr>
          </w:p>
        </w:tc>
        <w:tc>
          <w:tcPr>
            <w:tcW w:w="0" w:type="auto"/>
            <w:tcBorders>
              <w:bottom w:val="single" w:sz="4" w:space="0" w:color="auto"/>
            </w:tcBorders>
            <w:shd w:val="clear" w:color="auto" w:fill="auto"/>
            <w:vAlign w:val="center"/>
          </w:tcPr>
          <w:p w14:paraId="67E272DD" w14:textId="77777777" w:rsidR="00C26384" w:rsidRPr="00243C62" w:rsidRDefault="00C26384" w:rsidP="00C26384">
            <w:pPr>
              <w:spacing w:line="276" w:lineRule="auto"/>
              <w:jc w:val="both"/>
              <w:rPr>
                <w:rFonts w:ascii="Garamond" w:hAnsi="Garamond"/>
              </w:rPr>
            </w:pPr>
            <w:r w:rsidRPr="00243C62">
              <w:rPr>
                <w:rFonts w:ascii="Garamond" w:hAnsi="Garamond"/>
              </w:rPr>
              <w:t>Sürekli Umut Ölçeği</w:t>
            </w:r>
          </w:p>
        </w:tc>
        <w:tc>
          <w:tcPr>
            <w:tcW w:w="0" w:type="auto"/>
            <w:tcBorders>
              <w:bottom w:val="single" w:sz="4" w:space="0" w:color="auto"/>
            </w:tcBorders>
            <w:shd w:val="clear" w:color="auto" w:fill="auto"/>
            <w:vAlign w:val="center"/>
          </w:tcPr>
          <w:p w14:paraId="755D6D96" w14:textId="77777777" w:rsidR="00C26384" w:rsidRPr="00243C62" w:rsidRDefault="00C26384" w:rsidP="00C26384">
            <w:pPr>
              <w:spacing w:line="276" w:lineRule="auto"/>
              <w:jc w:val="both"/>
              <w:rPr>
                <w:rFonts w:ascii="Garamond" w:hAnsi="Garamond"/>
              </w:rPr>
            </w:pPr>
            <w:r w:rsidRPr="00243C62">
              <w:rPr>
                <w:rFonts w:ascii="Garamond" w:hAnsi="Garamond"/>
                <w:color w:val="000000"/>
                <w:shd w:val="clear" w:color="auto" w:fill="FFFFFF"/>
              </w:rPr>
              <w:t>X</w:t>
            </w:r>
            <w:r w:rsidRPr="00243C62">
              <w:rPr>
                <w:color w:val="000000"/>
                <w:shd w:val="clear" w:color="auto" w:fill="FFFFFF"/>
              </w:rPr>
              <w:t>̄</w:t>
            </w:r>
            <w:r w:rsidRPr="00243C62">
              <w:rPr>
                <w:rFonts w:ascii="Garamond" w:hAnsi="Garamond"/>
              </w:rPr>
              <w:t xml:space="preserve"> (SS)</w:t>
            </w:r>
          </w:p>
        </w:tc>
        <w:tc>
          <w:tcPr>
            <w:tcW w:w="0" w:type="auto"/>
            <w:tcBorders>
              <w:bottom w:val="single" w:sz="4" w:space="0" w:color="auto"/>
            </w:tcBorders>
            <w:shd w:val="clear" w:color="auto" w:fill="auto"/>
            <w:vAlign w:val="center"/>
          </w:tcPr>
          <w:p w14:paraId="1C420383" w14:textId="77777777" w:rsidR="00C26384" w:rsidRPr="00243C62" w:rsidRDefault="00C26384" w:rsidP="00C26384">
            <w:pPr>
              <w:spacing w:line="276" w:lineRule="auto"/>
              <w:jc w:val="both"/>
              <w:rPr>
                <w:rFonts w:ascii="Garamond" w:hAnsi="Garamond"/>
              </w:rPr>
            </w:pPr>
            <w:r w:rsidRPr="00243C62">
              <w:rPr>
                <w:rFonts w:ascii="Garamond" w:hAnsi="Garamond"/>
              </w:rPr>
              <w:t>Çarpıklık</w:t>
            </w:r>
          </w:p>
        </w:tc>
        <w:tc>
          <w:tcPr>
            <w:tcW w:w="0" w:type="auto"/>
            <w:tcBorders>
              <w:bottom w:val="single" w:sz="4" w:space="0" w:color="auto"/>
            </w:tcBorders>
            <w:shd w:val="clear" w:color="auto" w:fill="auto"/>
            <w:vAlign w:val="center"/>
          </w:tcPr>
          <w:p w14:paraId="2B8D8159" w14:textId="77777777" w:rsidR="00C26384" w:rsidRPr="00243C62" w:rsidRDefault="00C26384" w:rsidP="00C26384">
            <w:pPr>
              <w:spacing w:line="276" w:lineRule="auto"/>
              <w:jc w:val="both"/>
              <w:rPr>
                <w:rFonts w:ascii="Garamond" w:hAnsi="Garamond"/>
              </w:rPr>
            </w:pPr>
            <w:r w:rsidRPr="00243C62">
              <w:rPr>
                <w:rFonts w:ascii="Garamond" w:hAnsi="Garamond"/>
              </w:rPr>
              <w:t>Basıklık</w:t>
            </w:r>
          </w:p>
        </w:tc>
        <w:tc>
          <w:tcPr>
            <w:tcW w:w="0" w:type="auto"/>
            <w:gridSpan w:val="2"/>
            <w:vMerge w:val="restart"/>
            <w:shd w:val="clear" w:color="auto" w:fill="auto"/>
          </w:tcPr>
          <w:p w14:paraId="6EA7F51E" w14:textId="77777777" w:rsidR="00C26384" w:rsidRPr="00243C62" w:rsidRDefault="00C26384" w:rsidP="00C26384">
            <w:pPr>
              <w:spacing w:line="276" w:lineRule="auto"/>
              <w:jc w:val="both"/>
              <w:rPr>
                <w:rFonts w:ascii="Garamond" w:hAnsi="Garamond"/>
              </w:rPr>
            </w:pPr>
          </w:p>
        </w:tc>
      </w:tr>
      <w:tr w:rsidR="00E94C53" w:rsidRPr="00243C62" w14:paraId="7B2BC0B5" w14:textId="77777777" w:rsidTr="00E94C53">
        <w:trPr>
          <w:jc w:val="center"/>
        </w:trPr>
        <w:tc>
          <w:tcPr>
            <w:tcW w:w="0" w:type="auto"/>
            <w:tcBorders>
              <w:top w:val="single" w:sz="4" w:space="0" w:color="auto"/>
            </w:tcBorders>
            <w:shd w:val="clear" w:color="auto" w:fill="auto"/>
          </w:tcPr>
          <w:p w14:paraId="33099998" w14:textId="77777777" w:rsidR="00C26384" w:rsidRPr="00243C62" w:rsidRDefault="00C26384" w:rsidP="00C26384">
            <w:pPr>
              <w:spacing w:line="276" w:lineRule="auto"/>
              <w:jc w:val="both"/>
              <w:rPr>
                <w:rFonts w:ascii="Garamond" w:hAnsi="Garamond"/>
              </w:rPr>
            </w:pPr>
          </w:p>
        </w:tc>
        <w:tc>
          <w:tcPr>
            <w:tcW w:w="0" w:type="auto"/>
            <w:vMerge w:val="restart"/>
            <w:tcBorders>
              <w:top w:val="single" w:sz="4" w:space="0" w:color="auto"/>
            </w:tcBorders>
            <w:shd w:val="clear" w:color="auto" w:fill="auto"/>
          </w:tcPr>
          <w:p w14:paraId="12562C3F" w14:textId="77777777" w:rsidR="00C26384" w:rsidRPr="00243C62" w:rsidRDefault="00C26384" w:rsidP="00C26384">
            <w:pPr>
              <w:spacing w:line="276" w:lineRule="auto"/>
              <w:jc w:val="both"/>
              <w:rPr>
                <w:rFonts w:ascii="Garamond" w:hAnsi="Garamond"/>
              </w:rPr>
            </w:pPr>
          </w:p>
        </w:tc>
        <w:tc>
          <w:tcPr>
            <w:tcW w:w="0" w:type="auto"/>
            <w:vMerge w:val="restart"/>
            <w:tcBorders>
              <w:top w:val="single" w:sz="4" w:space="0" w:color="auto"/>
            </w:tcBorders>
            <w:shd w:val="clear" w:color="auto" w:fill="auto"/>
          </w:tcPr>
          <w:p w14:paraId="0EEC2011" w14:textId="77777777" w:rsidR="00C26384" w:rsidRPr="00243C62" w:rsidRDefault="00C26384" w:rsidP="00C26384">
            <w:pPr>
              <w:spacing w:line="276" w:lineRule="auto"/>
              <w:jc w:val="both"/>
              <w:rPr>
                <w:rFonts w:ascii="Garamond" w:hAnsi="Garamond"/>
              </w:rPr>
            </w:pPr>
          </w:p>
        </w:tc>
        <w:tc>
          <w:tcPr>
            <w:tcW w:w="0" w:type="auto"/>
            <w:tcBorders>
              <w:top w:val="single" w:sz="4" w:space="0" w:color="auto"/>
            </w:tcBorders>
            <w:shd w:val="clear" w:color="auto" w:fill="auto"/>
            <w:vAlign w:val="center"/>
          </w:tcPr>
          <w:p w14:paraId="1396E1FA" w14:textId="77777777" w:rsidR="00C26384" w:rsidRPr="00243C62" w:rsidRDefault="00C26384" w:rsidP="00C26384">
            <w:pPr>
              <w:spacing w:line="276" w:lineRule="auto"/>
              <w:jc w:val="both"/>
              <w:rPr>
                <w:rFonts w:ascii="Garamond" w:hAnsi="Garamond"/>
              </w:rPr>
            </w:pPr>
          </w:p>
        </w:tc>
        <w:tc>
          <w:tcPr>
            <w:tcW w:w="0" w:type="auto"/>
            <w:tcBorders>
              <w:top w:val="single" w:sz="4" w:space="0" w:color="auto"/>
            </w:tcBorders>
            <w:shd w:val="clear" w:color="auto" w:fill="auto"/>
            <w:vAlign w:val="center"/>
          </w:tcPr>
          <w:p w14:paraId="1E67F755" w14:textId="77777777" w:rsidR="00C26384" w:rsidRPr="00243C62" w:rsidRDefault="00C26384" w:rsidP="00C26384">
            <w:pPr>
              <w:spacing w:line="276" w:lineRule="auto"/>
              <w:jc w:val="both"/>
              <w:rPr>
                <w:rFonts w:ascii="Garamond" w:hAnsi="Garamond"/>
              </w:rPr>
            </w:pPr>
          </w:p>
        </w:tc>
        <w:tc>
          <w:tcPr>
            <w:tcW w:w="0" w:type="auto"/>
            <w:tcBorders>
              <w:top w:val="single" w:sz="4" w:space="0" w:color="auto"/>
            </w:tcBorders>
            <w:shd w:val="clear" w:color="auto" w:fill="auto"/>
            <w:vAlign w:val="center"/>
          </w:tcPr>
          <w:p w14:paraId="1588449C" w14:textId="77777777" w:rsidR="00C26384" w:rsidRPr="00243C62" w:rsidRDefault="00C26384" w:rsidP="00C26384">
            <w:pPr>
              <w:spacing w:line="276" w:lineRule="auto"/>
              <w:jc w:val="both"/>
              <w:rPr>
                <w:rFonts w:ascii="Garamond" w:hAnsi="Garamond"/>
              </w:rPr>
            </w:pPr>
          </w:p>
        </w:tc>
        <w:tc>
          <w:tcPr>
            <w:tcW w:w="0" w:type="auto"/>
            <w:tcBorders>
              <w:top w:val="single" w:sz="4" w:space="0" w:color="auto"/>
            </w:tcBorders>
            <w:shd w:val="clear" w:color="auto" w:fill="auto"/>
            <w:vAlign w:val="center"/>
          </w:tcPr>
          <w:p w14:paraId="27BCC826" w14:textId="77777777" w:rsidR="00C26384" w:rsidRPr="00243C62" w:rsidRDefault="00C26384" w:rsidP="00C26384">
            <w:pPr>
              <w:spacing w:line="276" w:lineRule="auto"/>
              <w:jc w:val="both"/>
              <w:rPr>
                <w:rFonts w:ascii="Garamond" w:hAnsi="Garamond"/>
              </w:rPr>
            </w:pPr>
          </w:p>
        </w:tc>
        <w:tc>
          <w:tcPr>
            <w:tcW w:w="0" w:type="auto"/>
            <w:gridSpan w:val="2"/>
            <w:vMerge/>
            <w:shd w:val="clear" w:color="auto" w:fill="auto"/>
          </w:tcPr>
          <w:p w14:paraId="10572B7B" w14:textId="77777777" w:rsidR="00C26384" w:rsidRPr="00243C62" w:rsidRDefault="00C26384" w:rsidP="00C26384">
            <w:pPr>
              <w:spacing w:line="276" w:lineRule="auto"/>
              <w:jc w:val="both"/>
              <w:rPr>
                <w:rFonts w:ascii="Garamond" w:hAnsi="Garamond"/>
              </w:rPr>
            </w:pPr>
          </w:p>
        </w:tc>
      </w:tr>
      <w:tr w:rsidR="00E94C53" w:rsidRPr="00243C62" w14:paraId="49290A36" w14:textId="77777777" w:rsidTr="00E94C53">
        <w:trPr>
          <w:jc w:val="center"/>
        </w:trPr>
        <w:tc>
          <w:tcPr>
            <w:tcW w:w="0" w:type="auto"/>
            <w:vMerge w:val="restart"/>
            <w:shd w:val="clear" w:color="auto" w:fill="auto"/>
          </w:tcPr>
          <w:p w14:paraId="588CD457" w14:textId="33156A18" w:rsidR="00C26384" w:rsidRPr="00243C62" w:rsidRDefault="00C26384" w:rsidP="00C26384">
            <w:pPr>
              <w:spacing w:line="276" w:lineRule="auto"/>
              <w:jc w:val="both"/>
              <w:rPr>
                <w:rFonts w:ascii="Garamond" w:hAnsi="Garamond"/>
              </w:rPr>
            </w:pPr>
            <w:r w:rsidRPr="00243C62">
              <w:rPr>
                <w:rFonts w:ascii="Garamond" w:hAnsi="Garamond"/>
              </w:rPr>
              <w:t>ToplamGelece</w:t>
            </w:r>
            <w:r w:rsidR="008F7F14" w:rsidRPr="00243C62">
              <w:rPr>
                <w:rFonts w:ascii="Garamond" w:hAnsi="Garamond"/>
              </w:rPr>
              <w:t>k Oryantasyonu</w:t>
            </w:r>
            <w:r w:rsidRPr="00243C62">
              <w:rPr>
                <w:rFonts w:ascii="Garamond" w:hAnsi="Garamond"/>
              </w:rPr>
              <w:t xml:space="preserve"> Ölçeği</w:t>
            </w:r>
          </w:p>
        </w:tc>
        <w:tc>
          <w:tcPr>
            <w:tcW w:w="0" w:type="auto"/>
            <w:vMerge/>
            <w:shd w:val="clear" w:color="auto" w:fill="auto"/>
            <w:vAlign w:val="center"/>
          </w:tcPr>
          <w:p w14:paraId="2DBAFFB9" w14:textId="77777777" w:rsidR="00C26384" w:rsidRPr="00243C62" w:rsidRDefault="00C26384" w:rsidP="00C26384">
            <w:pPr>
              <w:spacing w:line="276" w:lineRule="auto"/>
              <w:jc w:val="both"/>
              <w:rPr>
                <w:rFonts w:ascii="Garamond" w:hAnsi="Garamond"/>
              </w:rPr>
            </w:pPr>
          </w:p>
        </w:tc>
        <w:tc>
          <w:tcPr>
            <w:tcW w:w="0" w:type="auto"/>
            <w:vMerge/>
            <w:shd w:val="clear" w:color="auto" w:fill="auto"/>
            <w:vAlign w:val="center"/>
          </w:tcPr>
          <w:p w14:paraId="79F1282E" w14:textId="77777777" w:rsidR="00C26384" w:rsidRPr="00243C62" w:rsidRDefault="00C26384" w:rsidP="00C26384">
            <w:pPr>
              <w:spacing w:line="276" w:lineRule="auto"/>
              <w:jc w:val="both"/>
              <w:rPr>
                <w:rFonts w:ascii="Garamond" w:hAnsi="Garamond"/>
              </w:rPr>
            </w:pPr>
          </w:p>
        </w:tc>
        <w:tc>
          <w:tcPr>
            <w:tcW w:w="0" w:type="auto"/>
            <w:shd w:val="clear" w:color="auto" w:fill="auto"/>
            <w:vAlign w:val="center"/>
          </w:tcPr>
          <w:p w14:paraId="339F73F5" w14:textId="77777777" w:rsidR="00C26384" w:rsidRPr="00243C62" w:rsidRDefault="00C26384" w:rsidP="00C26384">
            <w:pPr>
              <w:spacing w:line="276" w:lineRule="auto"/>
              <w:jc w:val="both"/>
              <w:rPr>
                <w:rFonts w:ascii="Garamond" w:hAnsi="Garamond"/>
              </w:rPr>
            </w:pPr>
          </w:p>
        </w:tc>
        <w:tc>
          <w:tcPr>
            <w:tcW w:w="0" w:type="auto"/>
            <w:shd w:val="clear" w:color="auto" w:fill="auto"/>
            <w:vAlign w:val="center"/>
          </w:tcPr>
          <w:p w14:paraId="0730529A" w14:textId="77777777" w:rsidR="00C26384" w:rsidRPr="00243C62" w:rsidRDefault="00C26384" w:rsidP="00C26384">
            <w:pPr>
              <w:spacing w:line="276" w:lineRule="auto"/>
              <w:jc w:val="both"/>
              <w:rPr>
                <w:rFonts w:ascii="Garamond" w:hAnsi="Garamond"/>
              </w:rPr>
            </w:pPr>
          </w:p>
        </w:tc>
        <w:tc>
          <w:tcPr>
            <w:tcW w:w="0" w:type="auto"/>
            <w:shd w:val="clear" w:color="auto" w:fill="auto"/>
            <w:vAlign w:val="center"/>
          </w:tcPr>
          <w:p w14:paraId="63DD9431" w14:textId="77777777" w:rsidR="00C26384" w:rsidRPr="00243C62" w:rsidRDefault="00C26384" w:rsidP="00C26384">
            <w:pPr>
              <w:spacing w:line="276" w:lineRule="auto"/>
              <w:jc w:val="both"/>
              <w:rPr>
                <w:rFonts w:ascii="Garamond" w:hAnsi="Garamond"/>
              </w:rPr>
            </w:pPr>
          </w:p>
        </w:tc>
        <w:tc>
          <w:tcPr>
            <w:tcW w:w="0" w:type="auto"/>
            <w:shd w:val="clear" w:color="auto" w:fill="auto"/>
            <w:vAlign w:val="center"/>
          </w:tcPr>
          <w:p w14:paraId="468B091F" w14:textId="77777777" w:rsidR="00C26384" w:rsidRPr="00243C62" w:rsidRDefault="00C26384" w:rsidP="00C26384">
            <w:pPr>
              <w:spacing w:line="276" w:lineRule="auto"/>
              <w:jc w:val="both"/>
              <w:rPr>
                <w:rFonts w:ascii="Garamond" w:hAnsi="Garamond"/>
              </w:rPr>
            </w:pPr>
          </w:p>
        </w:tc>
        <w:tc>
          <w:tcPr>
            <w:tcW w:w="0" w:type="auto"/>
            <w:gridSpan w:val="2"/>
            <w:vMerge/>
            <w:shd w:val="clear" w:color="auto" w:fill="auto"/>
            <w:vAlign w:val="center"/>
          </w:tcPr>
          <w:p w14:paraId="5EE9C4A0" w14:textId="77777777" w:rsidR="00C26384" w:rsidRPr="00243C62" w:rsidRDefault="00C26384" w:rsidP="00C26384">
            <w:pPr>
              <w:spacing w:line="276" w:lineRule="auto"/>
              <w:jc w:val="both"/>
              <w:rPr>
                <w:rFonts w:ascii="Garamond" w:hAnsi="Garamond"/>
              </w:rPr>
            </w:pPr>
          </w:p>
        </w:tc>
      </w:tr>
      <w:tr w:rsidR="00E94C53" w:rsidRPr="00243C62" w14:paraId="18531CB4" w14:textId="77777777" w:rsidTr="00E94C53">
        <w:trPr>
          <w:jc w:val="center"/>
        </w:trPr>
        <w:tc>
          <w:tcPr>
            <w:tcW w:w="0" w:type="auto"/>
            <w:vMerge/>
            <w:tcBorders>
              <w:bottom w:val="single" w:sz="4" w:space="0" w:color="auto"/>
            </w:tcBorders>
            <w:shd w:val="clear" w:color="auto" w:fill="auto"/>
          </w:tcPr>
          <w:p w14:paraId="46799C86" w14:textId="77777777" w:rsidR="00C26384" w:rsidRPr="00243C62" w:rsidRDefault="00C26384" w:rsidP="00C26384">
            <w:pPr>
              <w:spacing w:line="276" w:lineRule="auto"/>
              <w:jc w:val="both"/>
              <w:rPr>
                <w:rFonts w:ascii="Garamond" w:hAnsi="Garamond"/>
              </w:rPr>
            </w:pPr>
          </w:p>
        </w:tc>
        <w:tc>
          <w:tcPr>
            <w:tcW w:w="0" w:type="auto"/>
            <w:tcBorders>
              <w:bottom w:val="single" w:sz="4" w:space="0" w:color="auto"/>
            </w:tcBorders>
            <w:shd w:val="clear" w:color="auto" w:fill="auto"/>
            <w:vAlign w:val="center"/>
          </w:tcPr>
          <w:p w14:paraId="42769187" w14:textId="77777777" w:rsidR="00C26384" w:rsidRPr="00243C62" w:rsidRDefault="00C26384" w:rsidP="00C26384">
            <w:pPr>
              <w:spacing w:line="276" w:lineRule="auto"/>
              <w:jc w:val="both"/>
              <w:rPr>
                <w:rFonts w:ascii="Garamond" w:hAnsi="Garamond"/>
              </w:rPr>
            </w:pPr>
            <w:r w:rsidRPr="00243C62">
              <w:rPr>
                <w:rFonts w:ascii="Garamond" w:hAnsi="Garamond"/>
              </w:rPr>
              <w:t>.316</w:t>
            </w:r>
            <w:r w:rsidRPr="00243C62">
              <w:rPr>
                <w:rFonts w:ascii="Garamond" w:hAnsi="Garamond"/>
                <w:vertAlign w:val="superscript"/>
              </w:rPr>
              <w:t>**</w:t>
            </w:r>
          </w:p>
        </w:tc>
        <w:tc>
          <w:tcPr>
            <w:tcW w:w="0" w:type="auto"/>
            <w:gridSpan w:val="2"/>
            <w:tcBorders>
              <w:bottom w:val="single" w:sz="4" w:space="0" w:color="auto"/>
            </w:tcBorders>
            <w:shd w:val="clear" w:color="auto" w:fill="auto"/>
            <w:vAlign w:val="center"/>
          </w:tcPr>
          <w:p w14:paraId="59B9C182" w14:textId="54822886" w:rsidR="00C26384" w:rsidRPr="00243C62" w:rsidRDefault="00E71749" w:rsidP="00C26384">
            <w:pPr>
              <w:spacing w:line="276" w:lineRule="auto"/>
              <w:jc w:val="both"/>
              <w:rPr>
                <w:rFonts w:ascii="Garamond" w:hAnsi="Garamond"/>
              </w:rPr>
            </w:pPr>
            <w:r w:rsidRPr="00243C62">
              <w:rPr>
                <w:rFonts w:ascii="Garamond" w:hAnsi="Garamond"/>
              </w:rPr>
              <w:t>.</w:t>
            </w:r>
            <w:r w:rsidR="00C26384" w:rsidRPr="00243C62">
              <w:rPr>
                <w:rFonts w:ascii="Garamond" w:hAnsi="Garamond"/>
              </w:rPr>
              <w:t>408</w:t>
            </w:r>
            <w:r w:rsidR="00C26384" w:rsidRPr="00243C62">
              <w:rPr>
                <w:rFonts w:ascii="Garamond" w:hAnsi="Garamond"/>
                <w:vertAlign w:val="superscript"/>
              </w:rPr>
              <w:t>**</w:t>
            </w:r>
          </w:p>
        </w:tc>
        <w:tc>
          <w:tcPr>
            <w:tcW w:w="0" w:type="auto"/>
            <w:tcBorders>
              <w:bottom w:val="single" w:sz="4" w:space="0" w:color="auto"/>
            </w:tcBorders>
            <w:shd w:val="clear" w:color="auto" w:fill="auto"/>
            <w:vAlign w:val="center"/>
          </w:tcPr>
          <w:p w14:paraId="46416D6C" w14:textId="1C1F9FC6" w:rsidR="00C26384" w:rsidRPr="00243C62" w:rsidRDefault="00C26384" w:rsidP="00C26384">
            <w:pPr>
              <w:spacing w:line="276" w:lineRule="auto"/>
              <w:jc w:val="both"/>
              <w:rPr>
                <w:rFonts w:ascii="Garamond" w:hAnsi="Garamond"/>
              </w:rPr>
            </w:pPr>
            <w:r w:rsidRPr="00243C62">
              <w:rPr>
                <w:rFonts w:ascii="Garamond" w:hAnsi="Garamond"/>
              </w:rPr>
              <w:t>16</w:t>
            </w:r>
            <w:r w:rsidR="00B26302" w:rsidRPr="00243C62">
              <w:rPr>
                <w:rFonts w:ascii="Garamond" w:hAnsi="Garamond"/>
              </w:rPr>
              <w:t>.</w:t>
            </w:r>
            <w:r w:rsidRPr="00243C62">
              <w:rPr>
                <w:rFonts w:ascii="Garamond" w:hAnsi="Garamond"/>
              </w:rPr>
              <w:t>30</w:t>
            </w:r>
          </w:p>
        </w:tc>
        <w:tc>
          <w:tcPr>
            <w:tcW w:w="0" w:type="auto"/>
            <w:tcBorders>
              <w:bottom w:val="single" w:sz="4" w:space="0" w:color="auto"/>
            </w:tcBorders>
            <w:shd w:val="clear" w:color="auto" w:fill="auto"/>
            <w:vAlign w:val="center"/>
          </w:tcPr>
          <w:p w14:paraId="570F8FDD" w14:textId="743FBF3E" w:rsidR="00C26384" w:rsidRPr="00243C62" w:rsidRDefault="00B26302" w:rsidP="00C26384">
            <w:pPr>
              <w:spacing w:line="276" w:lineRule="auto"/>
              <w:jc w:val="both"/>
              <w:rPr>
                <w:rFonts w:ascii="Garamond" w:hAnsi="Garamond"/>
              </w:rPr>
            </w:pPr>
            <w:r w:rsidRPr="00243C62">
              <w:rPr>
                <w:rFonts w:ascii="Garamond" w:hAnsi="Garamond"/>
              </w:rPr>
              <w:t xml:space="preserve">  </w:t>
            </w:r>
            <w:r w:rsidR="00C26384" w:rsidRPr="00243C62">
              <w:rPr>
                <w:rFonts w:ascii="Garamond" w:hAnsi="Garamond"/>
              </w:rPr>
              <w:t>-</w:t>
            </w:r>
            <w:r w:rsidRPr="00243C62">
              <w:rPr>
                <w:rFonts w:ascii="Garamond" w:hAnsi="Garamond"/>
              </w:rPr>
              <w:t>.</w:t>
            </w:r>
            <w:r w:rsidR="00C26384" w:rsidRPr="00243C62">
              <w:rPr>
                <w:rFonts w:ascii="Garamond" w:hAnsi="Garamond"/>
              </w:rPr>
              <w:t>563</w:t>
            </w:r>
          </w:p>
        </w:tc>
        <w:tc>
          <w:tcPr>
            <w:tcW w:w="0" w:type="auto"/>
            <w:tcBorders>
              <w:bottom w:val="single" w:sz="4" w:space="0" w:color="auto"/>
            </w:tcBorders>
            <w:shd w:val="clear" w:color="auto" w:fill="auto"/>
            <w:vAlign w:val="center"/>
          </w:tcPr>
          <w:p w14:paraId="0B0F0401" w14:textId="3707172D" w:rsidR="00C26384" w:rsidRPr="00243C62" w:rsidRDefault="00B26302" w:rsidP="00C26384">
            <w:pPr>
              <w:spacing w:line="276" w:lineRule="auto"/>
              <w:jc w:val="both"/>
              <w:rPr>
                <w:rFonts w:ascii="Garamond" w:hAnsi="Garamond"/>
              </w:rPr>
            </w:pPr>
            <w:r w:rsidRPr="00243C62">
              <w:rPr>
                <w:rFonts w:ascii="Garamond" w:hAnsi="Garamond"/>
              </w:rPr>
              <w:t xml:space="preserve">  .</w:t>
            </w:r>
            <w:r w:rsidR="00C26384" w:rsidRPr="00243C62">
              <w:rPr>
                <w:rFonts w:ascii="Garamond" w:hAnsi="Garamond"/>
              </w:rPr>
              <w:t>330</w:t>
            </w:r>
          </w:p>
        </w:tc>
        <w:tc>
          <w:tcPr>
            <w:tcW w:w="0" w:type="auto"/>
            <w:gridSpan w:val="2"/>
            <w:vMerge/>
            <w:shd w:val="clear" w:color="auto" w:fill="auto"/>
            <w:vAlign w:val="center"/>
          </w:tcPr>
          <w:p w14:paraId="5A19515C" w14:textId="77777777" w:rsidR="00C26384" w:rsidRPr="00243C62" w:rsidRDefault="00C26384" w:rsidP="00C26384">
            <w:pPr>
              <w:spacing w:line="276" w:lineRule="auto"/>
              <w:jc w:val="both"/>
              <w:rPr>
                <w:rFonts w:ascii="Garamond" w:hAnsi="Garamond"/>
              </w:rPr>
            </w:pPr>
          </w:p>
        </w:tc>
      </w:tr>
    </w:tbl>
    <w:p w14:paraId="4780D68B" w14:textId="77777777" w:rsidR="00C26384" w:rsidRPr="00243C62" w:rsidRDefault="00C26384" w:rsidP="00C26384">
      <w:pPr>
        <w:spacing w:line="276" w:lineRule="auto"/>
        <w:jc w:val="both"/>
        <w:rPr>
          <w:rFonts w:ascii="Garamond" w:hAnsi="Garamond"/>
        </w:rPr>
      </w:pPr>
      <w:r w:rsidRPr="00243C62">
        <w:rPr>
          <w:rFonts w:ascii="Garamond" w:hAnsi="Garamond"/>
        </w:rPr>
        <w:t xml:space="preserve"> </w:t>
      </w:r>
      <w:proofErr w:type="gramStart"/>
      <w:r w:rsidRPr="00243C62">
        <w:rPr>
          <w:rFonts w:ascii="Garamond" w:hAnsi="Garamond"/>
        </w:rPr>
        <w:t>p</w:t>
      </w:r>
      <w:proofErr w:type="gramEnd"/>
      <w:r w:rsidRPr="00243C62">
        <w:rPr>
          <w:rFonts w:ascii="Garamond" w:hAnsi="Garamond"/>
        </w:rPr>
        <w:t>&lt;0.01</w:t>
      </w:r>
      <w:r w:rsidRPr="00243C62">
        <w:rPr>
          <w:rFonts w:ascii="Garamond" w:hAnsi="Garamond"/>
          <w:vertAlign w:val="superscript"/>
        </w:rPr>
        <w:t>**</w:t>
      </w:r>
    </w:p>
    <w:p w14:paraId="34B37255" w14:textId="5C8DACFC" w:rsidR="00C26384" w:rsidRPr="00243C62" w:rsidRDefault="00C26384" w:rsidP="00C26384">
      <w:pPr>
        <w:spacing w:line="276" w:lineRule="auto"/>
        <w:jc w:val="both"/>
        <w:rPr>
          <w:rFonts w:ascii="Garamond" w:hAnsi="Garamond"/>
        </w:rPr>
      </w:pPr>
      <w:r w:rsidRPr="00243C62">
        <w:rPr>
          <w:rFonts w:ascii="Garamond" w:hAnsi="Garamond"/>
        </w:rPr>
        <w:t>Tablo 3 incelendiği</w:t>
      </w:r>
      <w:r w:rsidR="009D4A42" w:rsidRPr="00243C62">
        <w:rPr>
          <w:rFonts w:ascii="Garamond" w:hAnsi="Garamond"/>
        </w:rPr>
        <w:t xml:space="preserve">nde, </w:t>
      </w:r>
      <w:r w:rsidRPr="00243C62">
        <w:rPr>
          <w:rFonts w:ascii="Garamond" w:hAnsi="Garamond"/>
        </w:rPr>
        <w:t xml:space="preserve">öğrencilerin </w:t>
      </w:r>
      <w:r w:rsidR="009D4A42" w:rsidRPr="00243C62">
        <w:rPr>
          <w:rFonts w:ascii="Garamond" w:hAnsi="Garamond"/>
        </w:rPr>
        <w:t>GOÖ’nden</w:t>
      </w:r>
      <w:r w:rsidRPr="00243C62">
        <w:rPr>
          <w:rFonts w:ascii="Garamond" w:hAnsi="Garamond"/>
        </w:rPr>
        <w:t xml:space="preserve"> aldıkları puanlar ile Geleceğe İlişkin Tutum Ölçeği’nden aldıkları puanlar arasında anlamlı, pozitif ve orta düzeyde (r= .316, p&lt;0.01) ve Sürekli Umut Ölçeği’nden aldıkları puanlar arasında anlamlı, pozitif ve orta düzeyde (r=.408, p&lt;0.01) </w:t>
      </w:r>
      <w:r w:rsidR="009D4A42" w:rsidRPr="00243C62">
        <w:rPr>
          <w:rFonts w:ascii="Garamond" w:hAnsi="Garamond"/>
        </w:rPr>
        <w:t>ilişkiler bulunmuştur</w:t>
      </w:r>
      <w:r w:rsidR="00CB1E1D" w:rsidRPr="00243C62">
        <w:rPr>
          <w:rFonts w:ascii="Garamond" w:hAnsi="Garamond"/>
        </w:rPr>
        <w:t>.</w:t>
      </w:r>
      <w:r w:rsidR="008C7221" w:rsidRPr="00243C62">
        <w:rPr>
          <w:rFonts w:ascii="Garamond" w:hAnsi="Garamond"/>
        </w:rPr>
        <w:t xml:space="preserve"> </w:t>
      </w:r>
      <w:r w:rsidR="00553383" w:rsidRPr="00243C62">
        <w:rPr>
          <w:rFonts w:ascii="Garamond" w:hAnsi="Garamond"/>
        </w:rPr>
        <w:t>Araştırma b</w:t>
      </w:r>
      <w:r w:rsidR="00CB1E1D" w:rsidRPr="00243C62">
        <w:rPr>
          <w:rFonts w:ascii="Garamond" w:hAnsi="Garamond"/>
        </w:rPr>
        <w:t>ulgu</w:t>
      </w:r>
      <w:r w:rsidR="00553383" w:rsidRPr="00243C62">
        <w:rPr>
          <w:rFonts w:ascii="Garamond" w:hAnsi="Garamond"/>
        </w:rPr>
        <w:t xml:space="preserve">su </w:t>
      </w:r>
      <w:r w:rsidR="00CB1E1D" w:rsidRPr="00243C62">
        <w:rPr>
          <w:rFonts w:ascii="Garamond" w:hAnsi="Garamond"/>
        </w:rPr>
        <w:t>GOÖ’</w:t>
      </w:r>
      <w:r w:rsidR="009E6092" w:rsidRPr="00243C62">
        <w:rPr>
          <w:rFonts w:ascii="Garamond" w:hAnsi="Garamond"/>
        </w:rPr>
        <w:t xml:space="preserve"> </w:t>
      </w:r>
      <w:r w:rsidR="00CB1E1D" w:rsidRPr="00243C62">
        <w:rPr>
          <w:rFonts w:ascii="Garamond" w:hAnsi="Garamond"/>
        </w:rPr>
        <w:t>nin</w:t>
      </w:r>
      <w:r w:rsidR="0061499C" w:rsidRPr="00243C62">
        <w:rPr>
          <w:rFonts w:ascii="Garamond" w:hAnsi="Garamond"/>
        </w:rPr>
        <w:t xml:space="preserve"> </w:t>
      </w:r>
      <w:r w:rsidRPr="00243C62">
        <w:rPr>
          <w:rFonts w:ascii="Garamond" w:hAnsi="Garamond"/>
        </w:rPr>
        <w:t xml:space="preserve">eş zamanlı geçerliği için </w:t>
      </w:r>
      <w:r w:rsidR="00CB1E1D" w:rsidRPr="00243C62">
        <w:rPr>
          <w:rFonts w:ascii="Garamond" w:hAnsi="Garamond"/>
        </w:rPr>
        <w:t>kanıt sağla</w:t>
      </w:r>
      <w:r w:rsidR="00553383" w:rsidRPr="00243C62">
        <w:rPr>
          <w:rFonts w:ascii="Garamond" w:hAnsi="Garamond"/>
        </w:rPr>
        <w:t xml:space="preserve">dığını göstermektedir. </w:t>
      </w:r>
    </w:p>
    <w:p w14:paraId="6335E691" w14:textId="77777777" w:rsidR="00C26384" w:rsidRPr="00243C62" w:rsidRDefault="00C26384" w:rsidP="008F7F14">
      <w:pPr>
        <w:spacing w:line="276" w:lineRule="auto"/>
        <w:jc w:val="center"/>
        <w:rPr>
          <w:rFonts w:ascii="Garamond" w:hAnsi="Garamond"/>
        </w:rPr>
      </w:pPr>
    </w:p>
    <w:p w14:paraId="25DB31A7" w14:textId="6F3D828A" w:rsidR="00C26384" w:rsidRPr="00243C62" w:rsidRDefault="008F7F14" w:rsidP="008F7F14">
      <w:pPr>
        <w:spacing w:line="276" w:lineRule="auto"/>
        <w:jc w:val="center"/>
        <w:rPr>
          <w:rFonts w:ascii="Garamond" w:hAnsi="Garamond"/>
          <w:b/>
          <w:bCs/>
        </w:rPr>
      </w:pPr>
      <w:r w:rsidRPr="00243C62">
        <w:rPr>
          <w:rFonts w:ascii="Garamond" w:hAnsi="Garamond"/>
          <w:b/>
          <w:bCs/>
        </w:rPr>
        <w:t>SONUÇ, TARTIŞMA VE ÖNERİLER</w:t>
      </w:r>
    </w:p>
    <w:p w14:paraId="25C5D4DB" w14:textId="77777777" w:rsidR="009E6092" w:rsidRPr="00243C62" w:rsidRDefault="009E6092" w:rsidP="008F7F14">
      <w:pPr>
        <w:spacing w:line="276" w:lineRule="auto"/>
        <w:jc w:val="center"/>
        <w:rPr>
          <w:rFonts w:ascii="Garamond" w:hAnsi="Garamond"/>
          <w:b/>
          <w:bCs/>
        </w:rPr>
      </w:pPr>
    </w:p>
    <w:p w14:paraId="535A0D31" w14:textId="50D93D49" w:rsidR="008F7F14" w:rsidRPr="00243C62" w:rsidRDefault="00C26384" w:rsidP="00C26384">
      <w:pPr>
        <w:spacing w:line="276" w:lineRule="auto"/>
        <w:jc w:val="both"/>
        <w:rPr>
          <w:rFonts w:ascii="Garamond" w:hAnsi="Garamond"/>
        </w:rPr>
      </w:pPr>
      <w:r w:rsidRPr="00243C62">
        <w:rPr>
          <w:rFonts w:ascii="Garamond" w:hAnsi="Garamond"/>
        </w:rPr>
        <w:t xml:space="preserve">Bu araştırmada </w:t>
      </w:r>
      <w:r w:rsidR="00CB1E1D" w:rsidRPr="00243C62">
        <w:rPr>
          <w:rFonts w:ascii="Garamond" w:hAnsi="Garamond"/>
        </w:rPr>
        <w:t xml:space="preserve">orijinali </w:t>
      </w:r>
      <w:r w:rsidRPr="00243C62">
        <w:rPr>
          <w:rFonts w:ascii="Garamond" w:hAnsi="Garamond"/>
        </w:rPr>
        <w:t xml:space="preserve">Bowen ve Richman (2008) tarafından </w:t>
      </w:r>
      <w:r w:rsidR="00CB1E1D" w:rsidRPr="00243C62">
        <w:rPr>
          <w:rFonts w:ascii="Garamond" w:hAnsi="Garamond"/>
        </w:rPr>
        <w:t xml:space="preserve">geliştirilen </w:t>
      </w:r>
      <w:r w:rsidRPr="00243C62">
        <w:rPr>
          <w:rFonts w:ascii="Garamond" w:hAnsi="Garamond"/>
        </w:rPr>
        <w:t xml:space="preserve">Gelecek Oryantasyonu </w:t>
      </w:r>
      <w:r w:rsidR="00CB1E1D" w:rsidRPr="00243C62">
        <w:rPr>
          <w:rFonts w:ascii="Garamond" w:hAnsi="Garamond"/>
        </w:rPr>
        <w:t>Ölçeği’ni</w:t>
      </w:r>
      <w:r w:rsidR="00DF7AE0" w:rsidRPr="00243C62">
        <w:rPr>
          <w:rFonts w:ascii="Garamond" w:hAnsi="Garamond"/>
        </w:rPr>
        <w:t xml:space="preserve"> (GOÖ)</w:t>
      </w:r>
      <w:r w:rsidR="00CB1E1D" w:rsidRPr="00243C62">
        <w:rPr>
          <w:rFonts w:ascii="Garamond" w:hAnsi="Garamond"/>
        </w:rPr>
        <w:t xml:space="preserve"> Türkiye’deki</w:t>
      </w:r>
      <w:r w:rsidRPr="00243C62">
        <w:rPr>
          <w:rFonts w:ascii="Garamond" w:hAnsi="Garamond"/>
        </w:rPr>
        <w:t xml:space="preserve"> </w:t>
      </w:r>
      <w:r w:rsidR="00CB1E1D" w:rsidRPr="00243C62">
        <w:rPr>
          <w:rFonts w:ascii="Garamond" w:hAnsi="Garamond"/>
        </w:rPr>
        <w:t xml:space="preserve">lise </w:t>
      </w:r>
      <w:r w:rsidRPr="00243C62">
        <w:rPr>
          <w:rFonts w:ascii="Garamond" w:hAnsi="Garamond"/>
        </w:rPr>
        <w:t xml:space="preserve">öğrencilerine uyarlamak amaçlanmıştır. </w:t>
      </w:r>
      <w:r w:rsidR="00CB1E1D" w:rsidRPr="00243C62">
        <w:rPr>
          <w:rFonts w:ascii="Garamond" w:hAnsi="Garamond"/>
        </w:rPr>
        <w:t>Bu</w:t>
      </w:r>
      <w:r w:rsidRPr="00243C62">
        <w:rPr>
          <w:rFonts w:ascii="Garamond" w:hAnsi="Garamond"/>
        </w:rPr>
        <w:t xml:space="preserve"> amaç </w:t>
      </w:r>
      <w:r w:rsidR="00CB1E1D" w:rsidRPr="00243C62">
        <w:rPr>
          <w:rFonts w:ascii="Garamond" w:hAnsi="Garamond"/>
        </w:rPr>
        <w:t>için</w:t>
      </w:r>
      <w:r w:rsidRPr="00243C62">
        <w:rPr>
          <w:rFonts w:ascii="Garamond" w:hAnsi="Garamond"/>
        </w:rPr>
        <w:t xml:space="preserve"> </w:t>
      </w:r>
      <w:r w:rsidR="00CB1E1D" w:rsidRPr="00243C62">
        <w:rPr>
          <w:rFonts w:ascii="Garamond" w:hAnsi="Garamond"/>
        </w:rPr>
        <w:t>öncelikle GOÖ’nin Türkçe çeviri formu oluşturulmuştur.</w:t>
      </w:r>
      <w:r w:rsidR="007F156E" w:rsidRPr="00243C62">
        <w:rPr>
          <w:rFonts w:ascii="Garamond" w:hAnsi="Garamond"/>
        </w:rPr>
        <w:t xml:space="preserve"> </w:t>
      </w:r>
      <w:r w:rsidR="00CB1E1D" w:rsidRPr="00243C62">
        <w:rPr>
          <w:rFonts w:ascii="Garamond" w:hAnsi="Garamond"/>
        </w:rPr>
        <w:t xml:space="preserve">Orijinal GOÖ’nin 12 maddeli </w:t>
      </w:r>
      <w:r w:rsidR="0061043A" w:rsidRPr="00243C62">
        <w:rPr>
          <w:rFonts w:ascii="Garamond" w:hAnsi="Garamond"/>
        </w:rPr>
        <w:t>ve tek faktörlü yapısının Türkiye’deki lise öğrencilerinden</w:t>
      </w:r>
      <w:r w:rsidR="00046D2A" w:rsidRPr="00243C62">
        <w:rPr>
          <w:rFonts w:ascii="Garamond" w:hAnsi="Garamond"/>
        </w:rPr>
        <w:t xml:space="preserve"> </w:t>
      </w:r>
      <w:r w:rsidR="0061043A" w:rsidRPr="00243C62">
        <w:rPr>
          <w:rFonts w:ascii="Garamond" w:hAnsi="Garamond"/>
        </w:rPr>
        <w:t>oluşturula</w:t>
      </w:r>
      <w:r w:rsidR="00046D2A" w:rsidRPr="00243C62">
        <w:rPr>
          <w:rFonts w:ascii="Garamond" w:hAnsi="Garamond"/>
        </w:rPr>
        <w:t xml:space="preserve">n </w:t>
      </w:r>
      <w:r w:rsidR="0061043A" w:rsidRPr="00243C62">
        <w:rPr>
          <w:rFonts w:ascii="Garamond" w:hAnsi="Garamond"/>
        </w:rPr>
        <w:t xml:space="preserve">örneklem için de geçerliği verilere </w:t>
      </w:r>
      <w:r w:rsidR="00FD6BBB" w:rsidRPr="00243C62">
        <w:rPr>
          <w:rFonts w:ascii="Garamond" w:hAnsi="Garamond"/>
        </w:rPr>
        <w:t>DFA uygulanarak test edilmiştir. Öğrencilerin GOÖ puanları ile Geleceğe İlişkin Tutum Ölçeği puanları ve Sürekli Umut Ölçeğ puanları arasındaki ilişkiler GOÖ’nin ölçüt bağıntılı geçerliği</w:t>
      </w:r>
      <w:r w:rsidR="002C2DBA" w:rsidRPr="00243C62">
        <w:rPr>
          <w:rFonts w:ascii="Garamond" w:hAnsi="Garamond"/>
        </w:rPr>
        <w:t>ne</w:t>
      </w:r>
      <w:r w:rsidR="00FD6BBB" w:rsidRPr="00243C62">
        <w:rPr>
          <w:rFonts w:ascii="Garamond" w:hAnsi="Garamond"/>
        </w:rPr>
        <w:t xml:space="preserve"> </w:t>
      </w:r>
      <w:r w:rsidR="002C2DBA" w:rsidRPr="00243C62">
        <w:rPr>
          <w:rFonts w:ascii="Garamond" w:hAnsi="Garamond"/>
        </w:rPr>
        <w:t>kanıt göstermek için incelenmiştir.</w:t>
      </w:r>
      <w:r w:rsidR="00053822" w:rsidRPr="00243C62">
        <w:rPr>
          <w:rFonts w:ascii="Garamond" w:hAnsi="Garamond"/>
        </w:rPr>
        <w:t xml:space="preserve"> GOÖ’nin güvenirliğini belirlemek için Cronb</w:t>
      </w:r>
      <w:r w:rsidR="0014328D" w:rsidRPr="00243C62">
        <w:rPr>
          <w:rFonts w:ascii="Garamond" w:hAnsi="Garamond"/>
        </w:rPr>
        <w:t>ach Al</w:t>
      </w:r>
      <w:r w:rsidR="001564ED" w:rsidRPr="00243C62">
        <w:rPr>
          <w:rFonts w:ascii="Garamond" w:hAnsi="Garamond"/>
        </w:rPr>
        <w:t>pha</w:t>
      </w:r>
      <w:r w:rsidR="0014328D" w:rsidRPr="00243C62">
        <w:rPr>
          <w:rFonts w:ascii="Garamond" w:hAnsi="Garamond"/>
        </w:rPr>
        <w:t xml:space="preserve"> iç tutarlık katsayısı </w:t>
      </w:r>
      <w:r w:rsidR="00053822" w:rsidRPr="00243C62">
        <w:rPr>
          <w:rFonts w:ascii="Garamond" w:hAnsi="Garamond"/>
        </w:rPr>
        <w:t xml:space="preserve">hesaplanmıştır.  </w:t>
      </w:r>
    </w:p>
    <w:p w14:paraId="3798FEBE" w14:textId="548C51E5" w:rsidR="008F7F14" w:rsidRPr="00243C62" w:rsidRDefault="001564ED" w:rsidP="009C159A">
      <w:pPr>
        <w:spacing w:line="276" w:lineRule="auto"/>
        <w:jc w:val="both"/>
        <w:rPr>
          <w:rFonts w:ascii="Garamond" w:hAnsi="Garamond"/>
        </w:rPr>
      </w:pPr>
      <w:r w:rsidRPr="00243C62">
        <w:rPr>
          <w:rFonts w:ascii="Garamond" w:hAnsi="Garamond"/>
        </w:rPr>
        <w:t xml:space="preserve">Türkçe </w:t>
      </w:r>
      <w:r w:rsidR="00053822" w:rsidRPr="00243C62">
        <w:rPr>
          <w:rFonts w:ascii="Garamond" w:hAnsi="Garamond"/>
        </w:rPr>
        <w:t>GOÖ’nin</w:t>
      </w:r>
      <w:r w:rsidR="00FF4FF1" w:rsidRPr="00243C62">
        <w:rPr>
          <w:rFonts w:ascii="Garamond" w:hAnsi="Garamond"/>
        </w:rPr>
        <w:t xml:space="preserve"> </w:t>
      </w:r>
      <w:r w:rsidRPr="00243C62">
        <w:rPr>
          <w:rFonts w:ascii="Garamond" w:hAnsi="Garamond"/>
        </w:rPr>
        <w:t>faktör yapısını</w:t>
      </w:r>
      <w:r w:rsidR="00FF4FF1" w:rsidRPr="00243C62">
        <w:rPr>
          <w:rFonts w:ascii="Garamond" w:hAnsi="Garamond"/>
        </w:rPr>
        <w:t xml:space="preserve"> </w:t>
      </w:r>
      <w:r w:rsidR="00E06A35" w:rsidRPr="00243C62">
        <w:rPr>
          <w:rFonts w:ascii="Garamond" w:hAnsi="Garamond"/>
        </w:rPr>
        <w:t xml:space="preserve">belirlemek </w:t>
      </w:r>
      <w:r w:rsidRPr="00243C62">
        <w:rPr>
          <w:rFonts w:ascii="Garamond" w:hAnsi="Garamond"/>
        </w:rPr>
        <w:t xml:space="preserve">için lise öğrencileri verilerine </w:t>
      </w:r>
      <w:r w:rsidR="00E06A35" w:rsidRPr="00243C62">
        <w:rPr>
          <w:rFonts w:ascii="Garamond" w:hAnsi="Garamond"/>
        </w:rPr>
        <w:t xml:space="preserve">DFA </w:t>
      </w:r>
      <w:r w:rsidRPr="00243C62">
        <w:rPr>
          <w:rFonts w:ascii="Garamond" w:hAnsi="Garamond"/>
        </w:rPr>
        <w:t xml:space="preserve">uygulanmıştır. </w:t>
      </w:r>
      <w:r w:rsidR="00615F0C" w:rsidRPr="00243C62">
        <w:rPr>
          <w:rFonts w:ascii="Garamond" w:hAnsi="Garamond"/>
        </w:rPr>
        <w:t xml:space="preserve">DFA sonuçları orijinal </w:t>
      </w:r>
      <w:r w:rsidR="00E06A35" w:rsidRPr="00243C62">
        <w:rPr>
          <w:rFonts w:ascii="Garamond" w:hAnsi="Garamond"/>
        </w:rPr>
        <w:t>GOÖ’nin tek faktörlü ve 12 maddeli yapısının Türk lise öğrencileri için</w:t>
      </w:r>
      <w:r w:rsidR="00404043" w:rsidRPr="00243C62">
        <w:rPr>
          <w:rFonts w:ascii="Garamond" w:hAnsi="Garamond"/>
        </w:rPr>
        <w:t xml:space="preserve"> de</w:t>
      </w:r>
      <w:r w:rsidR="00E06A35" w:rsidRPr="00243C62">
        <w:rPr>
          <w:rFonts w:ascii="Garamond" w:hAnsi="Garamond"/>
        </w:rPr>
        <w:t xml:space="preserve"> geçerli olduğu</w:t>
      </w:r>
      <w:r w:rsidR="00404043" w:rsidRPr="00243C62">
        <w:rPr>
          <w:rFonts w:ascii="Garamond" w:hAnsi="Garamond"/>
        </w:rPr>
        <w:t>nu göstermiştir. GOÖ’nin</w:t>
      </w:r>
      <w:r w:rsidR="00C26384" w:rsidRPr="00243C62">
        <w:rPr>
          <w:rFonts w:ascii="Garamond" w:hAnsi="Garamond"/>
        </w:rPr>
        <w:t xml:space="preserve"> güvenirliğini belirlemek için Cronbach Alfa iç tutarlık katsayısı incelenmiş olup .83 olduğu görülmektedir. Elde edilen bu sonuçlar ışığında Gelecek Oryantasyonu </w:t>
      </w:r>
      <w:r w:rsidR="00553383" w:rsidRPr="00243C62">
        <w:rPr>
          <w:rFonts w:ascii="Garamond" w:hAnsi="Garamond"/>
        </w:rPr>
        <w:t>Ö</w:t>
      </w:r>
      <w:r w:rsidR="00C26384" w:rsidRPr="00243C62">
        <w:rPr>
          <w:rFonts w:ascii="Garamond" w:hAnsi="Garamond"/>
        </w:rPr>
        <w:t>lçeğinin iyi düzeyde bir güvenirlik değerine sahip olduğu görülmektedir</w:t>
      </w:r>
      <w:r w:rsidR="00DA37A9" w:rsidRPr="00243C62">
        <w:rPr>
          <w:rFonts w:ascii="Garamond" w:hAnsi="Garamond"/>
        </w:rPr>
        <w:t xml:space="preserve"> (Nunnally</w:t>
      </w:r>
      <w:r w:rsidR="003C3E92" w:rsidRPr="00243C62">
        <w:rPr>
          <w:rFonts w:ascii="Garamond" w:hAnsi="Garamond"/>
        </w:rPr>
        <w:t xml:space="preserve"> &amp; </w:t>
      </w:r>
      <w:r w:rsidR="00DA37A9" w:rsidRPr="00243C62">
        <w:rPr>
          <w:rFonts w:ascii="Garamond" w:hAnsi="Garamond"/>
        </w:rPr>
        <w:t xml:space="preserve">Bernstein, 1994). </w:t>
      </w:r>
      <w:r w:rsidR="00DA37A9" w:rsidRPr="00243C62">
        <w:rPr>
          <w:rFonts w:ascii="Garamond" w:hAnsi="Garamond"/>
          <w:b/>
          <w:bCs/>
        </w:rPr>
        <w:t> </w:t>
      </w:r>
    </w:p>
    <w:p w14:paraId="0874C7C6" w14:textId="653456A7" w:rsidR="008F7F14" w:rsidRPr="00243C62" w:rsidRDefault="00C26384" w:rsidP="009C159A">
      <w:pPr>
        <w:spacing w:line="276" w:lineRule="auto"/>
        <w:jc w:val="both"/>
        <w:rPr>
          <w:rFonts w:ascii="Garamond" w:hAnsi="Garamond"/>
        </w:rPr>
      </w:pPr>
      <w:r w:rsidRPr="00243C62">
        <w:rPr>
          <w:rFonts w:ascii="Garamond" w:hAnsi="Garamond"/>
        </w:rPr>
        <w:lastRenderedPageBreak/>
        <w:t xml:space="preserve">Türkçe Gelecek Oryantasyonu </w:t>
      </w:r>
      <w:r w:rsidR="00304091" w:rsidRPr="00243C62">
        <w:rPr>
          <w:rFonts w:ascii="Garamond" w:hAnsi="Garamond"/>
        </w:rPr>
        <w:t>Ö</w:t>
      </w:r>
      <w:r w:rsidRPr="00243C62">
        <w:rPr>
          <w:rFonts w:ascii="Garamond" w:hAnsi="Garamond"/>
        </w:rPr>
        <w:t xml:space="preserve">lçeğinin </w:t>
      </w:r>
      <w:r w:rsidR="00404043" w:rsidRPr="00243C62">
        <w:rPr>
          <w:rFonts w:ascii="Garamond" w:hAnsi="Garamond"/>
        </w:rPr>
        <w:t>ölçüt bağıntılı</w:t>
      </w:r>
      <w:r w:rsidRPr="00243C62">
        <w:rPr>
          <w:rFonts w:ascii="Garamond" w:hAnsi="Garamond"/>
        </w:rPr>
        <w:t xml:space="preserve"> geçerliği için Gelecek Oryantasyonu </w:t>
      </w:r>
      <w:r w:rsidR="00304091" w:rsidRPr="00243C62">
        <w:rPr>
          <w:rFonts w:ascii="Garamond" w:hAnsi="Garamond"/>
        </w:rPr>
        <w:t>Ö</w:t>
      </w:r>
      <w:r w:rsidRPr="00243C62">
        <w:rPr>
          <w:rFonts w:ascii="Garamond" w:hAnsi="Garamond"/>
        </w:rPr>
        <w:t>lçeğinin toplam puanları ile Sürekli Umut Ölçeği’nin ve Geleceğe İlişkin Tutum Ölçeği’nin toplam puanları arasındaki ilişki</w:t>
      </w:r>
      <w:r w:rsidR="00404043" w:rsidRPr="00243C62">
        <w:rPr>
          <w:rFonts w:ascii="Garamond" w:hAnsi="Garamond"/>
        </w:rPr>
        <w:t>ler</w:t>
      </w:r>
      <w:r w:rsidRPr="00243C62">
        <w:rPr>
          <w:rFonts w:ascii="Garamond" w:hAnsi="Garamond"/>
        </w:rPr>
        <w:t xml:space="preserve"> incelenmiştir. </w:t>
      </w:r>
      <w:r w:rsidR="00404043" w:rsidRPr="00243C62">
        <w:rPr>
          <w:rFonts w:ascii="Garamond" w:hAnsi="Garamond"/>
        </w:rPr>
        <w:t>Analiz sonuçları,</w:t>
      </w:r>
      <w:r w:rsidRPr="00243C62">
        <w:rPr>
          <w:rFonts w:ascii="Garamond" w:hAnsi="Garamond"/>
        </w:rPr>
        <w:t xml:space="preserve"> öğrencilerin </w:t>
      </w:r>
      <w:r w:rsidR="00E94C53" w:rsidRPr="00243C62">
        <w:rPr>
          <w:rFonts w:ascii="Garamond" w:hAnsi="Garamond"/>
        </w:rPr>
        <w:t xml:space="preserve">Gelecek </w:t>
      </w:r>
      <w:r w:rsidR="00304091" w:rsidRPr="00243C62">
        <w:rPr>
          <w:rFonts w:ascii="Garamond" w:hAnsi="Garamond"/>
        </w:rPr>
        <w:t>O</w:t>
      </w:r>
      <w:r w:rsidR="00E94C53" w:rsidRPr="00243C62">
        <w:rPr>
          <w:rFonts w:ascii="Garamond" w:hAnsi="Garamond"/>
        </w:rPr>
        <w:t>ryantasyonu</w:t>
      </w:r>
      <w:r w:rsidRPr="00243C62">
        <w:rPr>
          <w:rFonts w:ascii="Garamond" w:hAnsi="Garamond"/>
        </w:rPr>
        <w:t xml:space="preserve"> Ölçeği’nden aldıkları puanlar ile Geleceğe İlişkin Tutum Ölçeği’nden aldıkları puanlar arasında anlamlı, pozitif ve orta düzeyde (r= .316, p&lt;0.01) ve Sürekli Umut Ölçeği’nden aldıkları puanlar arasında anlamlı, pozitif ve orta düzeyde (r=.408, p&lt;0.01) ilişki </w:t>
      </w:r>
      <w:r w:rsidR="00404043" w:rsidRPr="00243C62">
        <w:rPr>
          <w:rFonts w:ascii="Garamond" w:hAnsi="Garamond"/>
        </w:rPr>
        <w:t>olduğunu göstermiştir.</w:t>
      </w:r>
      <w:r w:rsidRPr="00243C62">
        <w:rPr>
          <w:rFonts w:ascii="Garamond" w:hAnsi="Garamond"/>
        </w:rPr>
        <w:t xml:space="preserve"> </w:t>
      </w:r>
      <w:r w:rsidR="00404043" w:rsidRPr="00243C62">
        <w:rPr>
          <w:rFonts w:ascii="Garamond" w:hAnsi="Garamond"/>
        </w:rPr>
        <w:t>Bu bulgular da</w:t>
      </w:r>
      <w:r w:rsidRPr="00243C62">
        <w:rPr>
          <w:rFonts w:ascii="Garamond" w:hAnsi="Garamond"/>
        </w:rPr>
        <w:t xml:space="preserve"> Gelecek Oryantasyonu </w:t>
      </w:r>
      <w:r w:rsidR="00F6718C" w:rsidRPr="00243C62">
        <w:rPr>
          <w:rFonts w:ascii="Garamond" w:hAnsi="Garamond"/>
        </w:rPr>
        <w:t>Ö</w:t>
      </w:r>
      <w:r w:rsidRPr="00243C62">
        <w:rPr>
          <w:rFonts w:ascii="Garamond" w:hAnsi="Garamond"/>
        </w:rPr>
        <w:t xml:space="preserve">lçeğinin </w:t>
      </w:r>
      <w:r w:rsidR="00404043" w:rsidRPr="00243C62">
        <w:rPr>
          <w:rFonts w:ascii="Garamond" w:hAnsi="Garamond"/>
        </w:rPr>
        <w:t xml:space="preserve">ölçüt bağıntılı </w:t>
      </w:r>
      <w:r w:rsidRPr="00243C62">
        <w:rPr>
          <w:rFonts w:ascii="Garamond" w:hAnsi="Garamond"/>
        </w:rPr>
        <w:t>geçerliği için destek sağla</w:t>
      </w:r>
      <w:r w:rsidR="00404043" w:rsidRPr="00243C62">
        <w:rPr>
          <w:rFonts w:ascii="Garamond" w:hAnsi="Garamond"/>
        </w:rPr>
        <w:t>mıştır.</w:t>
      </w:r>
    </w:p>
    <w:p w14:paraId="22180792" w14:textId="23ED3882" w:rsidR="00860837" w:rsidRPr="00243C62" w:rsidRDefault="00860837" w:rsidP="009C159A">
      <w:pPr>
        <w:spacing w:line="276" w:lineRule="auto"/>
        <w:jc w:val="both"/>
        <w:rPr>
          <w:rFonts w:ascii="Garamond" w:hAnsi="Garamond"/>
        </w:rPr>
      </w:pPr>
      <w:r w:rsidRPr="00243C62">
        <w:rPr>
          <w:rFonts w:ascii="Garamond" w:hAnsi="Garamond"/>
        </w:rPr>
        <w:t xml:space="preserve">Türkçe </w:t>
      </w:r>
      <w:r w:rsidR="00C26384" w:rsidRPr="00243C62">
        <w:rPr>
          <w:rFonts w:ascii="Garamond" w:hAnsi="Garamond"/>
        </w:rPr>
        <w:t xml:space="preserve">Gelecek Oryantasyonu Ölçeği’nin geçerliği ve güvenirliği için </w:t>
      </w:r>
      <w:r w:rsidR="00404043" w:rsidRPr="00243C62">
        <w:rPr>
          <w:rFonts w:ascii="Garamond" w:hAnsi="Garamond"/>
        </w:rPr>
        <w:t xml:space="preserve">yapılan çalışmaların </w:t>
      </w:r>
      <w:r w:rsidR="00C26384" w:rsidRPr="00243C62">
        <w:rPr>
          <w:rFonts w:ascii="Garamond" w:hAnsi="Garamond"/>
        </w:rPr>
        <w:t>sonuçları genel olarak değerlendirildiği</w:t>
      </w:r>
      <w:r w:rsidR="00404043" w:rsidRPr="00243C62">
        <w:rPr>
          <w:rFonts w:ascii="Garamond" w:hAnsi="Garamond"/>
        </w:rPr>
        <w:t xml:space="preserve">nde, </w:t>
      </w:r>
      <w:r w:rsidR="00C26384" w:rsidRPr="00243C62">
        <w:rPr>
          <w:rFonts w:ascii="Garamond" w:hAnsi="Garamond"/>
        </w:rPr>
        <w:t>bu ölçeğin Türk</w:t>
      </w:r>
      <w:r w:rsidR="00404043" w:rsidRPr="00243C62">
        <w:rPr>
          <w:rFonts w:ascii="Garamond" w:hAnsi="Garamond"/>
        </w:rPr>
        <w:t xml:space="preserve"> </w:t>
      </w:r>
      <w:r w:rsidR="00C26384" w:rsidRPr="00243C62">
        <w:rPr>
          <w:rFonts w:ascii="Garamond" w:hAnsi="Garamond"/>
        </w:rPr>
        <w:t xml:space="preserve">lise öğrencilerinin gelecek </w:t>
      </w:r>
      <w:r w:rsidRPr="00243C62">
        <w:rPr>
          <w:rFonts w:ascii="Garamond" w:hAnsi="Garamond"/>
        </w:rPr>
        <w:t>oryantasyonlarını</w:t>
      </w:r>
      <w:r w:rsidR="00C26384" w:rsidRPr="00243C62">
        <w:rPr>
          <w:rFonts w:ascii="Garamond" w:hAnsi="Garamond"/>
        </w:rPr>
        <w:t xml:space="preserve"> ölçmek amacıyla kullanılabilecek </w:t>
      </w:r>
      <w:r w:rsidRPr="00243C62">
        <w:rPr>
          <w:rFonts w:ascii="Garamond" w:hAnsi="Garamond"/>
        </w:rPr>
        <w:t xml:space="preserve">oldukça iyi </w:t>
      </w:r>
      <w:r w:rsidR="00C26384" w:rsidRPr="00243C62">
        <w:rPr>
          <w:rFonts w:ascii="Garamond" w:hAnsi="Garamond"/>
        </w:rPr>
        <w:t>psikometrik özelliklere sahip bir ölçme aracı olduğu söylenebilir.</w:t>
      </w:r>
      <w:r w:rsidR="00101E09" w:rsidRPr="00243C62">
        <w:rPr>
          <w:rFonts w:ascii="Garamond" w:hAnsi="Garamond"/>
        </w:rPr>
        <w:t xml:space="preserve"> </w:t>
      </w:r>
      <w:r w:rsidRPr="00243C62">
        <w:rPr>
          <w:rFonts w:ascii="Garamond" w:hAnsi="Garamond"/>
        </w:rPr>
        <w:t xml:space="preserve">Ayrıca bu araştırmada uyarlanan </w:t>
      </w:r>
      <w:r w:rsidR="00B36D70" w:rsidRPr="00243C62">
        <w:rPr>
          <w:rFonts w:ascii="Garamond" w:hAnsi="Garamond"/>
        </w:rPr>
        <w:t xml:space="preserve">Gelecek Oryantasyonu Ölçeği Türkiye’deki benzer amaçlı diğer ölçeklerden </w:t>
      </w:r>
      <w:r w:rsidR="00B36D70" w:rsidRPr="00243C62">
        <w:rPr>
          <w:rFonts w:ascii="Garamond" w:hAnsi="Garamond"/>
          <w:i/>
        </w:rPr>
        <w:t>başarılı olmaya ilişkin inançları</w:t>
      </w:r>
      <w:r w:rsidR="00B36D70" w:rsidRPr="00243C62">
        <w:rPr>
          <w:rFonts w:ascii="Garamond" w:hAnsi="Garamond"/>
        </w:rPr>
        <w:t xml:space="preserve"> da ölçmesi bakımından farklıdır. Bu fark</w:t>
      </w:r>
      <w:r w:rsidR="002A4573" w:rsidRPr="00243C62">
        <w:rPr>
          <w:rFonts w:ascii="Garamond" w:hAnsi="Garamond"/>
        </w:rPr>
        <w:t>ın</w:t>
      </w:r>
      <w:r w:rsidR="00B36D70" w:rsidRPr="00243C62">
        <w:rPr>
          <w:rFonts w:ascii="Garamond" w:hAnsi="Garamond"/>
        </w:rPr>
        <w:t xml:space="preserve"> bir bakıma Gelecek Oryantasyonu Ölçeği’ne önceki </w:t>
      </w:r>
      <w:r w:rsidR="002A4573" w:rsidRPr="00243C62">
        <w:rPr>
          <w:rFonts w:ascii="Garamond" w:hAnsi="Garamond"/>
        </w:rPr>
        <w:t xml:space="preserve">benzer amaçlı </w:t>
      </w:r>
      <w:r w:rsidR="00B36D70" w:rsidRPr="00243C62">
        <w:rPr>
          <w:rFonts w:ascii="Garamond" w:hAnsi="Garamond"/>
        </w:rPr>
        <w:t>ölçeklere göre bir üstünlük kat</w:t>
      </w:r>
      <w:r w:rsidR="002A4573" w:rsidRPr="00243C62">
        <w:rPr>
          <w:rFonts w:ascii="Garamond" w:hAnsi="Garamond"/>
        </w:rPr>
        <w:t>tığı düşünülebilir.</w:t>
      </w:r>
      <w:r w:rsidR="00B36D70" w:rsidRPr="00243C62">
        <w:rPr>
          <w:rFonts w:ascii="Garamond" w:hAnsi="Garamond"/>
        </w:rPr>
        <w:t xml:space="preserve"> </w:t>
      </w:r>
      <w:r w:rsidR="00A63D36" w:rsidRPr="00243C62">
        <w:rPr>
          <w:rFonts w:ascii="Garamond" w:hAnsi="Garamond"/>
        </w:rPr>
        <w:t>Ölçeğin bu özelliklerine dayanarak Gelecek Oryantasyonu Ölçeğinin gelecekte yapılacak teorik ve uygulamalı araştırmalarda</w:t>
      </w:r>
      <w:r w:rsidR="00343D8F" w:rsidRPr="00243C62">
        <w:rPr>
          <w:rFonts w:ascii="Garamond" w:hAnsi="Garamond"/>
        </w:rPr>
        <w:t xml:space="preserve"> </w:t>
      </w:r>
      <w:r w:rsidR="00A63D36" w:rsidRPr="00243C62">
        <w:rPr>
          <w:rFonts w:ascii="Garamond" w:hAnsi="Garamond"/>
        </w:rPr>
        <w:t>lise öğrencilerinin gelecek</w:t>
      </w:r>
      <w:r w:rsidR="00C238ED" w:rsidRPr="00243C62">
        <w:rPr>
          <w:rFonts w:ascii="Garamond" w:hAnsi="Garamond"/>
        </w:rPr>
        <w:t xml:space="preserve"> oryantasyonlarını </w:t>
      </w:r>
      <w:r w:rsidR="00A63D36" w:rsidRPr="00243C62">
        <w:rPr>
          <w:rFonts w:ascii="Garamond" w:hAnsi="Garamond"/>
        </w:rPr>
        <w:t>ölçmek için kullanılması öneri</w:t>
      </w:r>
      <w:r w:rsidR="00C238ED" w:rsidRPr="00243C62">
        <w:rPr>
          <w:rFonts w:ascii="Garamond" w:hAnsi="Garamond"/>
        </w:rPr>
        <w:t>l</w:t>
      </w:r>
      <w:r w:rsidR="00A63D36" w:rsidRPr="00243C62">
        <w:rPr>
          <w:rFonts w:ascii="Garamond" w:hAnsi="Garamond"/>
        </w:rPr>
        <w:t xml:space="preserve">mektedir. </w:t>
      </w:r>
      <w:r w:rsidR="007C6859" w:rsidRPr="00243C62">
        <w:rPr>
          <w:rFonts w:ascii="Garamond" w:hAnsi="Garamond"/>
        </w:rPr>
        <w:t xml:space="preserve">Gelecek </w:t>
      </w:r>
      <w:r w:rsidR="00D84C2A" w:rsidRPr="00243C62">
        <w:rPr>
          <w:rFonts w:ascii="Garamond" w:hAnsi="Garamond"/>
        </w:rPr>
        <w:t>O</w:t>
      </w:r>
      <w:r w:rsidR="007C6859" w:rsidRPr="00243C62">
        <w:rPr>
          <w:rFonts w:ascii="Garamond" w:hAnsi="Garamond"/>
        </w:rPr>
        <w:t>rya</w:t>
      </w:r>
      <w:r w:rsidR="00D84C2A" w:rsidRPr="00243C62">
        <w:rPr>
          <w:rFonts w:ascii="Garamond" w:hAnsi="Garamond"/>
        </w:rPr>
        <w:t>ntasyonu Ölçeğini psikolojik danışmanlar</w:t>
      </w:r>
      <w:r w:rsidR="00A63D36" w:rsidRPr="00243C62">
        <w:rPr>
          <w:rFonts w:ascii="Garamond" w:hAnsi="Garamond"/>
        </w:rPr>
        <w:t>ının</w:t>
      </w:r>
      <w:r w:rsidR="00D84C2A" w:rsidRPr="00243C62">
        <w:rPr>
          <w:rFonts w:ascii="Garamond" w:hAnsi="Garamond"/>
        </w:rPr>
        <w:t xml:space="preserve"> </w:t>
      </w:r>
      <w:r w:rsidR="004C401A" w:rsidRPr="00243C62">
        <w:rPr>
          <w:rFonts w:ascii="Garamond" w:hAnsi="Garamond"/>
        </w:rPr>
        <w:t xml:space="preserve">lise </w:t>
      </w:r>
      <w:r w:rsidR="00D84C2A" w:rsidRPr="00243C62">
        <w:rPr>
          <w:rFonts w:ascii="Garamond" w:hAnsi="Garamond"/>
        </w:rPr>
        <w:t>öğrencilerinin gelecek oryantasyonlarının ölçümün</w:t>
      </w:r>
      <w:r w:rsidR="004C401A" w:rsidRPr="00243C62">
        <w:rPr>
          <w:rFonts w:ascii="Garamond" w:hAnsi="Garamond"/>
        </w:rPr>
        <w:t xml:space="preserve">e gereksinim </w:t>
      </w:r>
      <w:r w:rsidRPr="00243C62">
        <w:rPr>
          <w:rFonts w:ascii="Garamond" w:hAnsi="Garamond"/>
        </w:rPr>
        <w:t>duyulacak</w:t>
      </w:r>
      <w:r w:rsidR="004C401A" w:rsidRPr="00243C62">
        <w:rPr>
          <w:rFonts w:ascii="Garamond" w:hAnsi="Garamond"/>
        </w:rPr>
        <w:t xml:space="preserve"> </w:t>
      </w:r>
      <w:r w:rsidR="00D84C2A" w:rsidRPr="00243C62">
        <w:rPr>
          <w:rFonts w:ascii="Garamond" w:hAnsi="Garamond"/>
        </w:rPr>
        <w:t>bireyle</w:t>
      </w:r>
      <w:r w:rsidR="004C401A" w:rsidRPr="00243C62">
        <w:rPr>
          <w:rFonts w:ascii="Garamond" w:hAnsi="Garamond"/>
        </w:rPr>
        <w:t xml:space="preserve"> ve </w:t>
      </w:r>
      <w:r w:rsidR="00D84C2A" w:rsidRPr="00243C62">
        <w:rPr>
          <w:rFonts w:ascii="Garamond" w:hAnsi="Garamond"/>
        </w:rPr>
        <w:t>grupla psikolojik danışma</w:t>
      </w:r>
      <w:r w:rsidR="004C401A" w:rsidRPr="00243C62">
        <w:rPr>
          <w:rFonts w:ascii="Garamond" w:hAnsi="Garamond"/>
        </w:rPr>
        <w:t xml:space="preserve"> yapma,</w:t>
      </w:r>
      <w:r w:rsidR="00D84C2A" w:rsidRPr="00243C62">
        <w:rPr>
          <w:rFonts w:ascii="Garamond" w:hAnsi="Garamond"/>
        </w:rPr>
        <w:t xml:space="preserve"> </w:t>
      </w:r>
      <w:r w:rsidR="004C401A" w:rsidRPr="00243C62">
        <w:rPr>
          <w:rFonts w:ascii="Garamond" w:hAnsi="Garamond"/>
        </w:rPr>
        <w:t>psikoeğitim programlarını uygulama çalışmalarında kullan</w:t>
      </w:r>
      <w:r w:rsidR="00A63D36" w:rsidRPr="00243C62">
        <w:rPr>
          <w:rFonts w:ascii="Garamond" w:hAnsi="Garamond"/>
        </w:rPr>
        <w:t>abilecekleri önerilmektedir.</w:t>
      </w:r>
    </w:p>
    <w:p w14:paraId="2FFE4D58" w14:textId="1580B23A" w:rsidR="003A1230" w:rsidRPr="00243C62" w:rsidRDefault="00A63D36" w:rsidP="009C159A">
      <w:pPr>
        <w:spacing w:line="276" w:lineRule="auto"/>
        <w:jc w:val="both"/>
        <w:rPr>
          <w:rFonts w:ascii="Garamond" w:hAnsi="Garamond"/>
        </w:rPr>
      </w:pPr>
      <w:r w:rsidRPr="00243C62">
        <w:rPr>
          <w:rFonts w:ascii="Garamond" w:hAnsi="Garamond"/>
        </w:rPr>
        <w:t>Bu sunulan araştırmanın yukardada da anlatıldığı gibi ilgili literatüre önemli katkılarına rağmen bazı sınırlılıkları v</w:t>
      </w:r>
      <w:r w:rsidR="009E010F" w:rsidRPr="00243C62">
        <w:rPr>
          <w:rFonts w:ascii="Garamond" w:hAnsi="Garamond"/>
        </w:rPr>
        <w:t>ardır. Birincisi, bu araştırmada çalışma grubu</w:t>
      </w:r>
      <w:r w:rsidR="008867DA" w:rsidRPr="00243C62">
        <w:rPr>
          <w:rFonts w:ascii="Garamond" w:hAnsi="Garamond"/>
        </w:rPr>
        <w:t xml:space="preserve"> </w:t>
      </w:r>
      <w:r w:rsidR="00C26384" w:rsidRPr="00243C62">
        <w:rPr>
          <w:rFonts w:ascii="Garamond" w:hAnsi="Garamond"/>
        </w:rPr>
        <w:t>kolay</w:t>
      </w:r>
      <w:r w:rsidR="00EC40CA" w:rsidRPr="00243C62">
        <w:rPr>
          <w:rFonts w:ascii="Garamond" w:hAnsi="Garamond"/>
        </w:rPr>
        <w:t xml:space="preserve"> </w:t>
      </w:r>
      <w:r w:rsidR="00C26384" w:rsidRPr="00243C62">
        <w:rPr>
          <w:rFonts w:ascii="Garamond" w:hAnsi="Garamond"/>
        </w:rPr>
        <w:t>erişilebil</w:t>
      </w:r>
      <w:r w:rsidR="00EC40CA" w:rsidRPr="00243C62">
        <w:rPr>
          <w:rFonts w:ascii="Garamond" w:hAnsi="Garamond"/>
        </w:rPr>
        <w:t>en</w:t>
      </w:r>
      <w:r w:rsidR="00F6718C" w:rsidRPr="00243C62">
        <w:rPr>
          <w:rFonts w:ascii="Garamond" w:hAnsi="Garamond"/>
        </w:rPr>
        <w:t xml:space="preserve"> </w:t>
      </w:r>
      <w:r w:rsidR="00C26384" w:rsidRPr="00243C62">
        <w:rPr>
          <w:rFonts w:ascii="Garamond" w:hAnsi="Garamond"/>
        </w:rPr>
        <w:t>örnekleme yöntemi kullanıl</w:t>
      </w:r>
      <w:r w:rsidR="009E010F" w:rsidRPr="00243C62">
        <w:rPr>
          <w:rFonts w:ascii="Garamond" w:hAnsi="Garamond"/>
        </w:rPr>
        <w:t>arak oluşturulmuştur.</w:t>
      </w:r>
      <w:r w:rsidR="008867DA" w:rsidRPr="00243C62">
        <w:rPr>
          <w:rFonts w:ascii="Garamond" w:hAnsi="Garamond"/>
        </w:rPr>
        <w:t xml:space="preserve"> </w:t>
      </w:r>
      <w:r w:rsidR="009E010F" w:rsidRPr="00243C62">
        <w:rPr>
          <w:rFonts w:ascii="Garamond" w:hAnsi="Garamond"/>
        </w:rPr>
        <w:t xml:space="preserve">Gelecek </w:t>
      </w:r>
      <w:r w:rsidR="008867DA" w:rsidRPr="00243C62">
        <w:rPr>
          <w:rFonts w:ascii="Garamond" w:hAnsi="Garamond"/>
        </w:rPr>
        <w:t>a</w:t>
      </w:r>
      <w:r w:rsidR="00C26384" w:rsidRPr="00243C62">
        <w:rPr>
          <w:rFonts w:ascii="Garamond" w:hAnsi="Garamond"/>
        </w:rPr>
        <w:t>raştırma</w:t>
      </w:r>
      <w:r w:rsidR="009E010F" w:rsidRPr="00243C62">
        <w:rPr>
          <w:rFonts w:ascii="Garamond" w:hAnsi="Garamond"/>
        </w:rPr>
        <w:t>larda</w:t>
      </w:r>
      <w:r w:rsidR="00C26384" w:rsidRPr="00243C62">
        <w:rPr>
          <w:rFonts w:ascii="Garamond" w:hAnsi="Garamond"/>
        </w:rPr>
        <w:t xml:space="preserve"> örneklemin</w:t>
      </w:r>
      <w:r w:rsidR="00F6718C" w:rsidRPr="00243C62">
        <w:rPr>
          <w:rFonts w:ascii="Garamond" w:hAnsi="Garamond"/>
        </w:rPr>
        <w:t xml:space="preserve"> </w:t>
      </w:r>
      <w:r w:rsidR="00C26384" w:rsidRPr="00243C62">
        <w:rPr>
          <w:rFonts w:ascii="Garamond" w:hAnsi="Garamond"/>
        </w:rPr>
        <w:t xml:space="preserve">evreni temsil etme gücünü artırmak </w:t>
      </w:r>
      <w:r w:rsidR="009E010F" w:rsidRPr="00243C62">
        <w:rPr>
          <w:rFonts w:ascii="Garamond" w:hAnsi="Garamond"/>
        </w:rPr>
        <w:t>için</w:t>
      </w:r>
      <w:r w:rsidR="00C26384" w:rsidRPr="00243C62">
        <w:rPr>
          <w:rFonts w:ascii="Garamond" w:hAnsi="Garamond"/>
        </w:rPr>
        <w:t xml:space="preserve"> seçkisiz örnekleme yönteminden yararlanılabilir.</w:t>
      </w:r>
      <w:r w:rsidR="00F6718C" w:rsidRPr="00243C62">
        <w:rPr>
          <w:rFonts w:ascii="Garamond" w:hAnsi="Garamond"/>
        </w:rPr>
        <w:t xml:space="preserve"> </w:t>
      </w:r>
      <w:r w:rsidR="009E010F" w:rsidRPr="00243C62">
        <w:rPr>
          <w:rFonts w:ascii="Garamond" w:hAnsi="Garamond"/>
        </w:rPr>
        <w:t>İ</w:t>
      </w:r>
      <w:r w:rsidR="008121BD" w:rsidRPr="00243C62">
        <w:rPr>
          <w:rFonts w:ascii="Garamond" w:hAnsi="Garamond"/>
        </w:rPr>
        <w:t>kincisi,</w:t>
      </w:r>
      <w:r w:rsidR="00714F62" w:rsidRPr="00243C62">
        <w:rPr>
          <w:rFonts w:ascii="Garamond" w:hAnsi="Garamond"/>
        </w:rPr>
        <w:t xml:space="preserve"> </w:t>
      </w:r>
      <w:r w:rsidR="009E010F" w:rsidRPr="00243C62">
        <w:rPr>
          <w:rFonts w:ascii="Garamond" w:hAnsi="Garamond"/>
        </w:rPr>
        <w:t>Gelecek Oryantasyonu Ölçeğinin</w:t>
      </w:r>
      <w:r w:rsidR="008121BD" w:rsidRPr="00243C62">
        <w:rPr>
          <w:rFonts w:ascii="Garamond" w:hAnsi="Garamond"/>
        </w:rPr>
        <w:t xml:space="preserve"> </w:t>
      </w:r>
      <w:r w:rsidR="009E010F" w:rsidRPr="00243C62">
        <w:rPr>
          <w:rFonts w:ascii="Garamond" w:hAnsi="Garamond"/>
        </w:rPr>
        <w:t>güvenirliği</w:t>
      </w:r>
      <w:r w:rsidR="008121BD" w:rsidRPr="00243C62">
        <w:rPr>
          <w:rFonts w:ascii="Garamond" w:hAnsi="Garamond"/>
        </w:rPr>
        <w:t>nin güçlendirilmesi için gelecekte yapılacak araştırmalarda testin tekrarı yöntemi ile ölçeğin kararlılığının belirlenmesi çalışmasının yapılması önerilmektedir.</w:t>
      </w:r>
    </w:p>
    <w:p w14:paraId="7A224236" w14:textId="3F09C7A4" w:rsidR="00E94C53" w:rsidRPr="00243C62" w:rsidRDefault="003A1230" w:rsidP="009C159A">
      <w:pPr>
        <w:spacing w:line="276" w:lineRule="auto"/>
        <w:jc w:val="both"/>
        <w:rPr>
          <w:rFonts w:ascii="Garamond" w:hAnsi="Garamond"/>
        </w:rPr>
      </w:pPr>
      <w:r w:rsidRPr="00243C62">
        <w:rPr>
          <w:rFonts w:ascii="Garamond" w:hAnsi="Garamond"/>
        </w:rPr>
        <w:t>Yurt dışında g</w:t>
      </w:r>
      <w:r w:rsidR="008867DA" w:rsidRPr="00243C62">
        <w:rPr>
          <w:rFonts w:ascii="Garamond" w:hAnsi="Garamond"/>
        </w:rPr>
        <w:t>elecek oryantasyonun</w:t>
      </w:r>
      <w:r w:rsidR="00F504C1" w:rsidRPr="00243C62">
        <w:rPr>
          <w:rFonts w:ascii="Garamond" w:hAnsi="Garamond"/>
        </w:rPr>
        <w:t>un</w:t>
      </w:r>
      <w:r w:rsidRPr="00243C62">
        <w:rPr>
          <w:rFonts w:ascii="Garamond" w:hAnsi="Garamond"/>
        </w:rPr>
        <w:t xml:space="preserve"> </w:t>
      </w:r>
      <w:r w:rsidR="008867DA" w:rsidRPr="00243C62">
        <w:rPr>
          <w:rFonts w:ascii="Garamond" w:hAnsi="Garamond"/>
        </w:rPr>
        <w:t>umut (Barnett, 2014</w:t>
      </w:r>
      <w:r w:rsidR="003C3E92" w:rsidRPr="00243C62">
        <w:rPr>
          <w:rFonts w:ascii="Garamond" w:hAnsi="Garamond"/>
        </w:rPr>
        <w:t xml:space="preserve">; </w:t>
      </w:r>
      <w:r w:rsidR="008867DA" w:rsidRPr="00243C62">
        <w:rPr>
          <w:rFonts w:ascii="Garamond" w:hAnsi="Garamond"/>
        </w:rPr>
        <w:t>Miao</w:t>
      </w:r>
      <w:r w:rsidR="003C3E92" w:rsidRPr="00243C62">
        <w:rPr>
          <w:rFonts w:ascii="Garamond" w:hAnsi="Garamond"/>
        </w:rPr>
        <w:t xml:space="preserve"> vd., </w:t>
      </w:r>
      <w:r w:rsidR="008867DA" w:rsidRPr="00243C62">
        <w:rPr>
          <w:rFonts w:ascii="Garamond" w:hAnsi="Garamond"/>
        </w:rPr>
        <w:t>2021), öz</w:t>
      </w:r>
      <w:r w:rsidR="00BC4AAC" w:rsidRPr="00243C62">
        <w:rPr>
          <w:rFonts w:ascii="Garamond" w:hAnsi="Garamond"/>
        </w:rPr>
        <w:t>-</w:t>
      </w:r>
      <w:r w:rsidR="008867DA" w:rsidRPr="00243C62">
        <w:rPr>
          <w:rFonts w:ascii="Garamond" w:hAnsi="Garamond"/>
        </w:rPr>
        <w:t>güven (Jac</w:t>
      </w:r>
      <w:r w:rsidR="00353B56" w:rsidRPr="00243C62">
        <w:rPr>
          <w:rFonts w:ascii="Garamond" w:hAnsi="Garamond"/>
        </w:rPr>
        <w:t>k</w:t>
      </w:r>
      <w:r w:rsidR="008867DA" w:rsidRPr="00243C62">
        <w:rPr>
          <w:rFonts w:ascii="Garamond" w:hAnsi="Garamond"/>
        </w:rPr>
        <w:t>man</w:t>
      </w:r>
      <w:r w:rsidR="003C3E92" w:rsidRPr="00243C62">
        <w:rPr>
          <w:rFonts w:ascii="Garamond" w:hAnsi="Garamond"/>
        </w:rPr>
        <w:t xml:space="preserve"> &amp; </w:t>
      </w:r>
      <w:r w:rsidR="008867DA" w:rsidRPr="00243C62">
        <w:rPr>
          <w:rFonts w:ascii="Garamond" w:hAnsi="Garamond"/>
        </w:rPr>
        <w:t>MacPhee, 2017; Khampirat, 2020), öz</w:t>
      </w:r>
      <w:r w:rsidR="00BC4AAC" w:rsidRPr="00243C62">
        <w:rPr>
          <w:rFonts w:ascii="Garamond" w:hAnsi="Garamond"/>
        </w:rPr>
        <w:t>-</w:t>
      </w:r>
      <w:r w:rsidR="008867DA" w:rsidRPr="00243C62">
        <w:rPr>
          <w:rFonts w:ascii="Garamond" w:hAnsi="Garamond"/>
        </w:rPr>
        <w:t xml:space="preserve"> yetkinlik (Kerpelman</w:t>
      </w:r>
      <w:r w:rsidR="003C3E92" w:rsidRPr="00243C62">
        <w:rPr>
          <w:rFonts w:ascii="Garamond" w:hAnsi="Garamond"/>
        </w:rPr>
        <w:t xml:space="preserve"> &amp; </w:t>
      </w:r>
      <w:r w:rsidR="008867DA" w:rsidRPr="00243C62">
        <w:rPr>
          <w:rFonts w:ascii="Garamond" w:hAnsi="Garamond"/>
        </w:rPr>
        <w:t>Mosher, 2004; Kim</w:t>
      </w:r>
      <w:r w:rsidR="003C3E92" w:rsidRPr="00243C62">
        <w:rPr>
          <w:rFonts w:ascii="Garamond" w:hAnsi="Garamond"/>
        </w:rPr>
        <w:t xml:space="preserve"> vd.</w:t>
      </w:r>
      <w:r w:rsidR="008867DA" w:rsidRPr="00243C62">
        <w:rPr>
          <w:rFonts w:ascii="Garamond" w:hAnsi="Garamond"/>
        </w:rPr>
        <w:t xml:space="preserve">, 2019) gibi </w:t>
      </w:r>
      <w:r w:rsidRPr="00243C62">
        <w:rPr>
          <w:rFonts w:ascii="Garamond" w:hAnsi="Garamond"/>
        </w:rPr>
        <w:t xml:space="preserve">kişilikle ilgili değişkenlerle </w:t>
      </w:r>
      <w:r w:rsidR="008867DA" w:rsidRPr="00243C62">
        <w:rPr>
          <w:rFonts w:ascii="Garamond" w:hAnsi="Garamond"/>
        </w:rPr>
        <w:t>ilişki</w:t>
      </w:r>
      <w:r w:rsidRPr="00243C62">
        <w:rPr>
          <w:rFonts w:ascii="Garamond" w:hAnsi="Garamond"/>
        </w:rPr>
        <w:t>ler</w:t>
      </w:r>
      <w:r w:rsidR="00612786" w:rsidRPr="00243C62">
        <w:rPr>
          <w:rFonts w:ascii="Garamond" w:hAnsi="Garamond"/>
        </w:rPr>
        <w:t xml:space="preserve"> gösterdiği ve bu değişkenlerin gelecek oryantasyonunda önemli roller oynadıkları belirlenmiştir.</w:t>
      </w:r>
      <w:r w:rsidR="00714F62" w:rsidRPr="00243C62">
        <w:rPr>
          <w:rFonts w:ascii="Garamond" w:hAnsi="Garamond"/>
        </w:rPr>
        <w:t xml:space="preserve"> </w:t>
      </w:r>
      <w:r w:rsidR="0025386C" w:rsidRPr="00243C62">
        <w:rPr>
          <w:rFonts w:ascii="Garamond" w:hAnsi="Garamond"/>
        </w:rPr>
        <w:t>Türkiye’de de benzer</w:t>
      </w:r>
      <w:r w:rsidR="00714F62" w:rsidRPr="00243C62">
        <w:rPr>
          <w:rFonts w:ascii="Garamond" w:hAnsi="Garamond"/>
        </w:rPr>
        <w:t xml:space="preserve"> </w:t>
      </w:r>
      <w:r w:rsidR="0025386C" w:rsidRPr="00243C62">
        <w:rPr>
          <w:rFonts w:ascii="Garamond" w:hAnsi="Garamond"/>
        </w:rPr>
        <w:t>araştırmaların yapılması</w:t>
      </w:r>
      <w:r w:rsidR="000E7C14" w:rsidRPr="00243C62">
        <w:rPr>
          <w:rFonts w:ascii="Garamond" w:hAnsi="Garamond"/>
        </w:rPr>
        <w:t xml:space="preserve"> önerilmektedi</w:t>
      </w:r>
      <w:r w:rsidR="008867DA" w:rsidRPr="00243C62">
        <w:rPr>
          <w:rFonts w:ascii="Garamond" w:hAnsi="Garamond"/>
        </w:rPr>
        <w:t xml:space="preserve">r. Gelecek </w:t>
      </w:r>
      <w:r w:rsidR="00F554AF" w:rsidRPr="00243C62">
        <w:rPr>
          <w:rFonts w:ascii="Garamond" w:hAnsi="Garamond"/>
        </w:rPr>
        <w:t>O</w:t>
      </w:r>
      <w:r w:rsidR="008867DA" w:rsidRPr="00243C62">
        <w:rPr>
          <w:rFonts w:ascii="Garamond" w:hAnsi="Garamond"/>
        </w:rPr>
        <w:t xml:space="preserve">ryantasyonu </w:t>
      </w:r>
      <w:r w:rsidR="0025386C" w:rsidRPr="00243C62">
        <w:rPr>
          <w:rFonts w:ascii="Garamond" w:hAnsi="Garamond"/>
        </w:rPr>
        <w:t>Ö</w:t>
      </w:r>
      <w:r w:rsidR="008867DA" w:rsidRPr="00243C62">
        <w:rPr>
          <w:rFonts w:ascii="Garamond" w:hAnsi="Garamond"/>
        </w:rPr>
        <w:t>lçeği</w:t>
      </w:r>
      <w:r w:rsidR="00F554AF" w:rsidRPr="00243C62">
        <w:rPr>
          <w:rFonts w:ascii="Garamond" w:hAnsi="Garamond"/>
        </w:rPr>
        <w:t>’nin</w:t>
      </w:r>
      <w:r w:rsidR="00BC4AAC" w:rsidRPr="00243C62">
        <w:rPr>
          <w:rFonts w:ascii="Garamond" w:hAnsi="Garamond"/>
        </w:rPr>
        <w:t>,</w:t>
      </w:r>
      <w:r w:rsidR="00714F62" w:rsidRPr="00243C62">
        <w:rPr>
          <w:rFonts w:ascii="Garamond" w:hAnsi="Garamond"/>
        </w:rPr>
        <w:t xml:space="preserve"> </w:t>
      </w:r>
      <w:r w:rsidR="00BC4AAC" w:rsidRPr="00243C62">
        <w:rPr>
          <w:rFonts w:ascii="Garamond" w:hAnsi="Garamond"/>
        </w:rPr>
        <w:t>bağlamsal (ebeveyn,</w:t>
      </w:r>
      <w:r w:rsidR="00F554AF" w:rsidRPr="00243C62">
        <w:rPr>
          <w:rFonts w:ascii="Garamond" w:hAnsi="Garamond"/>
        </w:rPr>
        <w:t xml:space="preserve"> </w:t>
      </w:r>
      <w:r w:rsidR="00BC4AAC" w:rsidRPr="00243C62">
        <w:rPr>
          <w:rFonts w:ascii="Garamond" w:hAnsi="Garamond"/>
        </w:rPr>
        <w:t>arkadaş</w:t>
      </w:r>
      <w:r w:rsidR="00714F62" w:rsidRPr="00243C62">
        <w:rPr>
          <w:rFonts w:ascii="Garamond" w:hAnsi="Garamond"/>
        </w:rPr>
        <w:t>,</w:t>
      </w:r>
      <w:r w:rsidR="00F554AF" w:rsidRPr="00243C62">
        <w:rPr>
          <w:rFonts w:ascii="Garamond" w:hAnsi="Garamond"/>
        </w:rPr>
        <w:t xml:space="preserve"> </w:t>
      </w:r>
      <w:r w:rsidR="00714F62" w:rsidRPr="00243C62">
        <w:rPr>
          <w:rFonts w:ascii="Garamond" w:hAnsi="Garamond"/>
        </w:rPr>
        <w:t>s</w:t>
      </w:r>
      <w:r w:rsidR="00BC4AAC" w:rsidRPr="00243C62">
        <w:rPr>
          <w:rFonts w:ascii="Garamond" w:hAnsi="Garamond"/>
        </w:rPr>
        <w:t>o</w:t>
      </w:r>
      <w:r w:rsidR="00714F62" w:rsidRPr="00243C62">
        <w:rPr>
          <w:rFonts w:ascii="Garamond" w:hAnsi="Garamond"/>
        </w:rPr>
        <w:t>s</w:t>
      </w:r>
      <w:r w:rsidR="00BC4AAC" w:rsidRPr="00243C62">
        <w:rPr>
          <w:rFonts w:ascii="Garamond" w:hAnsi="Garamond"/>
        </w:rPr>
        <w:t>yal destekleri, ebeveyn tutumları vb.), demografik ve durumsal</w:t>
      </w:r>
      <w:r w:rsidR="00F554AF" w:rsidRPr="00243C62">
        <w:rPr>
          <w:rFonts w:ascii="Garamond" w:hAnsi="Garamond"/>
        </w:rPr>
        <w:t xml:space="preserve"> </w:t>
      </w:r>
      <w:r w:rsidR="00BC4AAC" w:rsidRPr="00243C62">
        <w:rPr>
          <w:rFonts w:ascii="Garamond" w:hAnsi="Garamond"/>
        </w:rPr>
        <w:t>(cinsiyet, yaş,</w:t>
      </w:r>
      <w:r w:rsidR="00F554AF" w:rsidRPr="00243C62">
        <w:rPr>
          <w:rFonts w:ascii="Garamond" w:hAnsi="Garamond"/>
        </w:rPr>
        <w:t xml:space="preserve"> </w:t>
      </w:r>
      <w:r w:rsidR="00BC4AAC" w:rsidRPr="00243C62">
        <w:rPr>
          <w:rFonts w:ascii="Garamond" w:hAnsi="Garamond"/>
        </w:rPr>
        <w:t>sosyo-ekonomik düzey,</w:t>
      </w:r>
      <w:r w:rsidR="00F554AF" w:rsidRPr="00243C62">
        <w:rPr>
          <w:rFonts w:ascii="Garamond" w:hAnsi="Garamond"/>
        </w:rPr>
        <w:t xml:space="preserve"> </w:t>
      </w:r>
      <w:r w:rsidR="00BC4AAC" w:rsidRPr="00243C62">
        <w:rPr>
          <w:rFonts w:ascii="Garamond" w:hAnsi="Garamond"/>
        </w:rPr>
        <w:t>karar verme durumları vb.) değişke</w:t>
      </w:r>
      <w:r w:rsidR="00253EEA" w:rsidRPr="00243C62">
        <w:rPr>
          <w:rFonts w:ascii="Garamond" w:hAnsi="Garamond"/>
        </w:rPr>
        <w:t>n</w:t>
      </w:r>
      <w:r w:rsidR="00BC4AAC" w:rsidRPr="00243C62">
        <w:rPr>
          <w:rFonts w:ascii="Garamond" w:hAnsi="Garamond"/>
        </w:rPr>
        <w:t xml:space="preserve">lerle ilişkilerini inceleyecek gelecek araştırmaların yapılması </w:t>
      </w:r>
      <w:r w:rsidR="00253EEA" w:rsidRPr="00243C62">
        <w:rPr>
          <w:rFonts w:ascii="Garamond" w:hAnsi="Garamond"/>
        </w:rPr>
        <w:t xml:space="preserve">da </w:t>
      </w:r>
      <w:r w:rsidR="00BC4AAC" w:rsidRPr="00243C62">
        <w:rPr>
          <w:rFonts w:ascii="Garamond" w:hAnsi="Garamond"/>
        </w:rPr>
        <w:t>önerilmektedir.</w:t>
      </w:r>
      <w:r w:rsidR="00253EEA" w:rsidRPr="00243C62">
        <w:rPr>
          <w:rFonts w:ascii="Garamond" w:hAnsi="Garamond"/>
        </w:rPr>
        <w:t xml:space="preserve"> Söz konusu önerilen bu teorik araştırmaların sonuçları lise öğrencisi ergenlerin gelecek oryantasyonlarıyla ilişkiler gösteren ve etkileyen değişkenlerin belirlenmesini sağlayacaktır.</w:t>
      </w:r>
      <w:r w:rsidR="004D3125" w:rsidRPr="00243C62">
        <w:rPr>
          <w:rFonts w:ascii="Garamond" w:hAnsi="Garamond"/>
        </w:rPr>
        <w:t xml:space="preserve"> </w:t>
      </w:r>
      <w:r w:rsidR="00253EEA" w:rsidRPr="00243C62">
        <w:rPr>
          <w:rFonts w:ascii="Garamond" w:hAnsi="Garamond"/>
        </w:rPr>
        <w:t>Belirlenen bu değişkenler</w:t>
      </w:r>
      <w:r w:rsidR="004D3125" w:rsidRPr="00243C62">
        <w:rPr>
          <w:rFonts w:ascii="Garamond" w:hAnsi="Garamond"/>
        </w:rPr>
        <w:t xml:space="preserve"> lise öğrencilerinin gelecek oryantasyonlarını geliştirmeyi amaçlayan grup rehberliği, grupla psikolojik danışma, psikoeğitim ve benzerleri müdahale programlarının amaç ve içeriklerinin belirlenmesine kaynaklık edece</w:t>
      </w:r>
      <w:r w:rsidR="002A02EB" w:rsidRPr="00243C62">
        <w:rPr>
          <w:rFonts w:ascii="Garamond" w:hAnsi="Garamond"/>
        </w:rPr>
        <w:t>ği düşünülmektedir.</w:t>
      </w:r>
    </w:p>
    <w:p w14:paraId="033DDE01" w14:textId="4B106213" w:rsidR="008F7F14" w:rsidRPr="00243C62" w:rsidRDefault="00F504C1" w:rsidP="00F504C1">
      <w:pPr>
        <w:spacing w:line="276" w:lineRule="auto"/>
        <w:ind w:firstLine="708"/>
        <w:rPr>
          <w:rFonts w:ascii="Garamond" w:hAnsi="Garamond"/>
        </w:rPr>
      </w:pPr>
      <w:r w:rsidRPr="00243C62">
        <w:rPr>
          <w:rFonts w:ascii="Garamond" w:hAnsi="Garamond"/>
          <w:b/>
        </w:rPr>
        <w:t xml:space="preserve">                                                   </w:t>
      </w:r>
      <w:r w:rsidR="008F7F14" w:rsidRPr="00243C62">
        <w:rPr>
          <w:rFonts w:ascii="Garamond" w:hAnsi="Garamond"/>
          <w:b/>
        </w:rPr>
        <w:t>KAYNAKÇA</w:t>
      </w:r>
    </w:p>
    <w:p w14:paraId="537260E8" w14:textId="5180EDF8" w:rsidR="008F7F14" w:rsidRPr="00243C62" w:rsidRDefault="00C26384" w:rsidP="00DE46C5">
      <w:pPr>
        <w:spacing w:before="120" w:after="120"/>
        <w:ind w:hanging="709"/>
        <w:jc w:val="both"/>
        <w:rPr>
          <w:rFonts w:ascii="Garamond" w:hAnsi="Garamond"/>
          <w:sz w:val="22"/>
          <w:szCs w:val="22"/>
        </w:rPr>
      </w:pPr>
      <w:r w:rsidRPr="00243C62">
        <w:rPr>
          <w:rFonts w:ascii="Garamond" w:hAnsi="Garamond"/>
          <w:sz w:val="22"/>
          <w:szCs w:val="22"/>
        </w:rPr>
        <w:t xml:space="preserve">Akça, M. Ş., Korkmaz, O. ve Alkal, A. (2018). Gelecek Vizyonları Ölçeği Türkçe Formu Geçerlik ve Güvenirlik Çalışması. </w:t>
      </w:r>
      <w:r w:rsidRPr="00243C62">
        <w:rPr>
          <w:rFonts w:ascii="Garamond" w:hAnsi="Garamond"/>
          <w:i/>
          <w:sz w:val="22"/>
          <w:szCs w:val="22"/>
        </w:rPr>
        <w:t>Kariyer Psikolojik Danışmanlığı Dergisi</w:t>
      </w:r>
      <w:r w:rsidRPr="00243C62">
        <w:rPr>
          <w:rFonts w:ascii="Garamond" w:hAnsi="Garamond"/>
          <w:sz w:val="22"/>
          <w:szCs w:val="22"/>
        </w:rPr>
        <w:t xml:space="preserve">, </w:t>
      </w:r>
      <w:r w:rsidRPr="00243C62">
        <w:rPr>
          <w:rFonts w:ascii="Garamond" w:hAnsi="Garamond"/>
          <w:i/>
          <w:sz w:val="22"/>
          <w:szCs w:val="22"/>
        </w:rPr>
        <w:t>1</w:t>
      </w:r>
      <w:r w:rsidRPr="00243C62">
        <w:rPr>
          <w:rFonts w:ascii="Garamond" w:hAnsi="Garamond"/>
          <w:sz w:val="22"/>
          <w:szCs w:val="22"/>
        </w:rPr>
        <w:t>(1), 1-21.</w:t>
      </w:r>
    </w:p>
    <w:p w14:paraId="61C7A4CB" w14:textId="77777777" w:rsidR="000758F8" w:rsidRPr="00243C62" w:rsidRDefault="00353B56" w:rsidP="00DE46C5">
      <w:pPr>
        <w:spacing w:before="120" w:line="276" w:lineRule="auto"/>
        <w:ind w:hanging="709"/>
        <w:jc w:val="both"/>
        <w:rPr>
          <w:rFonts w:ascii="Garamond" w:hAnsi="Garamond"/>
          <w:sz w:val="22"/>
          <w:szCs w:val="22"/>
        </w:rPr>
      </w:pPr>
      <w:r w:rsidRPr="00243C62">
        <w:rPr>
          <w:rFonts w:ascii="Garamond" w:hAnsi="Garamond"/>
          <w:sz w:val="22"/>
          <w:szCs w:val="22"/>
        </w:rPr>
        <w:t xml:space="preserve">Akman, Y. &amp; Korkut, F. (1993). Umut ölçeği üzerine bir çalışma. </w:t>
      </w:r>
      <w:r w:rsidRPr="00243C62">
        <w:rPr>
          <w:rFonts w:ascii="Garamond" w:hAnsi="Garamond"/>
          <w:i/>
          <w:iCs/>
          <w:sz w:val="22"/>
          <w:szCs w:val="22"/>
        </w:rPr>
        <w:t>Hacettepe Üniversitesi Eğitim Fakültesi Dergisi, 9,</w:t>
      </w:r>
      <w:r w:rsidRPr="00243C62">
        <w:rPr>
          <w:rFonts w:ascii="Garamond" w:hAnsi="Garamond"/>
          <w:sz w:val="22"/>
          <w:szCs w:val="22"/>
        </w:rPr>
        <w:t xml:space="preserve"> 193-202.</w:t>
      </w:r>
    </w:p>
    <w:p w14:paraId="369F49BE" w14:textId="77777777" w:rsidR="00537246" w:rsidRPr="00243C62" w:rsidRDefault="00C26384" w:rsidP="00DE46C5">
      <w:pPr>
        <w:spacing w:before="120" w:line="276" w:lineRule="auto"/>
        <w:ind w:hanging="709"/>
        <w:jc w:val="both"/>
        <w:rPr>
          <w:rFonts w:ascii="Garamond" w:hAnsi="Garamond"/>
          <w:color w:val="000000" w:themeColor="text1"/>
          <w:sz w:val="22"/>
          <w:szCs w:val="22"/>
        </w:rPr>
      </w:pPr>
      <w:r w:rsidRPr="00243C62">
        <w:rPr>
          <w:rFonts w:ascii="Garamond" w:hAnsi="Garamond"/>
          <w:color w:val="000000" w:themeColor="text1"/>
          <w:sz w:val="22"/>
          <w:szCs w:val="22"/>
        </w:rPr>
        <w:lastRenderedPageBreak/>
        <w:t xml:space="preserve">Atance, C. M., &amp; Meltzoff, A. N. (2005). My future self: Young children’s ability to anticipate and explain future states. </w:t>
      </w:r>
      <w:r w:rsidRPr="00243C62">
        <w:rPr>
          <w:rFonts w:ascii="Garamond" w:hAnsi="Garamond"/>
          <w:i/>
          <w:iCs/>
          <w:color w:val="000000" w:themeColor="text1"/>
          <w:sz w:val="22"/>
          <w:szCs w:val="22"/>
        </w:rPr>
        <w:t>Cognitive Development, 20</w:t>
      </w:r>
      <w:r w:rsidRPr="00243C62">
        <w:rPr>
          <w:rFonts w:ascii="Garamond" w:hAnsi="Garamond"/>
          <w:color w:val="000000" w:themeColor="text1"/>
          <w:sz w:val="22"/>
          <w:szCs w:val="22"/>
        </w:rPr>
        <w:t>(3), 341–361.</w:t>
      </w:r>
      <w:r w:rsidR="000758F8" w:rsidRPr="00243C62">
        <w:rPr>
          <w:rFonts w:ascii="Garamond" w:hAnsi="Garamond"/>
          <w:color w:val="000000" w:themeColor="text1"/>
          <w:sz w:val="22"/>
          <w:szCs w:val="22"/>
          <w:shd w:val="clear" w:color="auto" w:fill="FFFFFF"/>
        </w:rPr>
        <w:t xml:space="preserve"> </w:t>
      </w:r>
      <w:hyperlink r:id="rId11" w:tgtFrame="_blank" w:history="1">
        <w:r w:rsidR="000758F8" w:rsidRPr="00243C62">
          <w:rPr>
            <w:rStyle w:val="Kpr"/>
            <w:rFonts w:ascii="Garamond" w:hAnsi="Garamond" w:cs="Arial"/>
            <w:color w:val="000000" w:themeColor="text1"/>
            <w:sz w:val="22"/>
            <w:szCs w:val="22"/>
            <w:shd w:val="clear" w:color="auto" w:fill="FFFFFF"/>
          </w:rPr>
          <w:t>https://doi.org/10.1016/j.cogdev.2005.05.001</w:t>
        </w:r>
      </w:hyperlink>
    </w:p>
    <w:p w14:paraId="4B6A7F70" w14:textId="7711F174" w:rsidR="00537246" w:rsidRPr="00243C62" w:rsidRDefault="008867DA" w:rsidP="00DE46C5">
      <w:pPr>
        <w:spacing w:before="120" w:line="276" w:lineRule="auto"/>
        <w:ind w:hanging="709"/>
        <w:jc w:val="both"/>
        <w:rPr>
          <w:rFonts w:ascii="Garamond" w:hAnsi="Garamond"/>
          <w:color w:val="000000" w:themeColor="text1"/>
          <w:sz w:val="22"/>
          <w:szCs w:val="22"/>
        </w:rPr>
      </w:pPr>
      <w:r w:rsidRPr="00243C62">
        <w:rPr>
          <w:rFonts w:ascii="Garamond" w:hAnsi="Garamond" w:cs="Arial"/>
          <w:color w:val="000000" w:themeColor="text1"/>
          <w:sz w:val="22"/>
          <w:szCs w:val="22"/>
          <w:shd w:val="clear" w:color="auto" w:fill="FFFFFF"/>
        </w:rPr>
        <w:t>Barnett, M. D. (2014). Future orientation and health among older adults: The importance of hope. </w:t>
      </w:r>
      <w:r w:rsidRPr="00243C62">
        <w:rPr>
          <w:rFonts w:ascii="Garamond" w:hAnsi="Garamond" w:cs="Arial"/>
          <w:i/>
          <w:iCs/>
          <w:color w:val="000000" w:themeColor="text1"/>
          <w:sz w:val="22"/>
          <w:szCs w:val="22"/>
          <w:shd w:val="clear" w:color="auto" w:fill="FFFFFF"/>
        </w:rPr>
        <w:t xml:space="preserve">Educational </w:t>
      </w:r>
      <w:r w:rsidR="0084003F" w:rsidRPr="00243C62">
        <w:rPr>
          <w:rFonts w:ascii="Garamond" w:hAnsi="Garamond" w:cs="Arial"/>
          <w:i/>
          <w:iCs/>
          <w:color w:val="000000" w:themeColor="text1"/>
          <w:sz w:val="22"/>
          <w:szCs w:val="22"/>
          <w:shd w:val="clear" w:color="auto" w:fill="FFFFFF"/>
        </w:rPr>
        <w:t>G</w:t>
      </w:r>
      <w:r w:rsidRPr="00243C62">
        <w:rPr>
          <w:rFonts w:ascii="Garamond" w:hAnsi="Garamond" w:cs="Arial"/>
          <w:i/>
          <w:iCs/>
          <w:color w:val="000000" w:themeColor="text1"/>
          <w:sz w:val="22"/>
          <w:szCs w:val="22"/>
          <w:shd w:val="clear" w:color="auto" w:fill="FFFFFF"/>
        </w:rPr>
        <w:t>erontology</w:t>
      </w:r>
      <w:r w:rsidRPr="00243C62">
        <w:rPr>
          <w:rFonts w:ascii="Garamond" w:hAnsi="Garamond" w:cs="Arial"/>
          <w:color w:val="000000" w:themeColor="text1"/>
          <w:sz w:val="22"/>
          <w:szCs w:val="22"/>
          <w:shd w:val="clear" w:color="auto" w:fill="FFFFFF"/>
        </w:rPr>
        <w:t>, </w:t>
      </w:r>
      <w:r w:rsidRPr="00243C62">
        <w:rPr>
          <w:rFonts w:ascii="Garamond" w:hAnsi="Garamond" w:cs="Arial"/>
          <w:i/>
          <w:iCs/>
          <w:color w:val="000000" w:themeColor="text1"/>
          <w:sz w:val="22"/>
          <w:szCs w:val="22"/>
          <w:shd w:val="clear" w:color="auto" w:fill="FFFFFF"/>
        </w:rPr>
        <w:t>40</w:t>
      </w:r>
      <w:r w:rsidRPr="00243C62">
        <w:rPr>
          <w:rFonts w:ascii="Garamond" w:hAnsi="Garamond" w:cs="Arial"/>
          <w:color w:val="000000" w:themeColor="text1"/>
          <w:sz w:val="22"/>
          <w:szCs w:val="22"/>
          <w:shd w:val="clear" w:color="auto" w:fill="FFFFFF"/>
        </w:rPr>
        <w:t>(10), 745-755.</w:t>
      </w:r>
      <w:r w:rsidR="00537246" w:rsidRPr="00243C62">
        <w:rPr>
          <w:rFonts w:ascii="Garamond" w:hAnsi="Garamond" w:cs="Arial"/>
          <w:color w:val="000000" w:themeColor="text1"/>
          <w:sz w:val="22"/>
          <w:szCs w:val="22"/>
          <w:shd w:val="clear" w:color="auto" w:fill="FFFFFF"/>
        </w:rPr>
        <w:t xml:space="preserve"> </w:t>
      </w:r>
      <w:hyperlink r:id="rId12" w:tgtFrame="_blank" w:history="1">
        <w:r w:rsidR="00537246" w:rsidRPr="00243C62">
          <w:rPr>
            <w:rStyle w:val="Kpr"/>
            <w:rFonts w:ascii="Garamond" w:hAnsi="Garamond" w:cs="Arial"/>
            <w:color w:val="000000" w:themeColor="text1"/>
            <w:sz w:val="22"/>
            <w:szCs w:val="22"/>
            <w:shd w:val="clear" w:color="auto" w:fill="FFFFFF"/>
          </w:rPr>
          <w:t>https://doi.org/10.1080/03601277.2014.898496</w:t>
        </w:r>
      </w:hyperlink>
    </w:p>
    <w:p w14:paraId="60C8165F" w14:textId="329D8C07" w:rsidR="00881176" w:rsidRPr="00243C62" w:rsidRDefault="00C26384" w:rsidP="00DE46C5">
      <w:pPr>
        <w:spacing w:before="120" w:line="276" w:lineRule="auto"/>
        <w:ind w:hanging="709"/>
        <w:jc w:val="both"/>
        <w:rPr>
          <w:rFonts w:ascii="Garamond" w:hAnsi="Garamond"/>
          <w:color w:val="000000" w:themeColor="text1"/>
          <w:sz w:val="22"/>
          <w:szCs w:val="22"/>
        </w:rPr>
      </w:pPr>
      <w:r w:rsidRPr="00243C62">
        <w:rPr>
          <w:rFonts w:ascii="Garamond" w:hAnsi="Garamond"/>
          <w:sz w:val="22"/>
          <w:szCs w:val="22"/>
        </w:rPr>
        <w:t xml:space="preserve">Bi, X.; Wang, S., &amp; Ji, Y. (2022). Parental autonomy granting and adolescents’ life staisfaction: the mediating roles of emotional self-efficacy and future orientation. </w:t>
      </w:r>
      <w:r w:rsidRPr="00243C62">
        <w:rPr>
          <w:rFonts w:ascii="Garamond" w:hAnsi="Garamond"/>
          <w:i/>
          <w:iCs/>
          <w:sz w:val="22"/>
          <w:szCs w:val="22"/>
        </w:rPr>
        <w:t>Journal of Happiness Studies, 23</w:t>
      </w:r>
      <w:r w:rsidRPr="00243C62">
        <w:rPr>
          <w:rFonts w:ascii="Garamond" w:hAnsi="Garamond"/>
          <w:sz w:val="22"/>
          <w:szCs w:val="22"/>
        </w:rPr>
        <w:t xml:space="preserve"> (5), 2113-2135.</w:t>
      </w:r>
      <w:r w:rsidR="00537246" w:rsidRPr="00243C62">
        <w:rPr>
          <w:rFonts w:ascii="Garamond" w:hAnsi="Garamond"/>
          <w:sz w:val="22"/>
          <w:szCs w:val="22"/>
        </w:rPr>
        <w:t xml:space="preserve"> </w:t>
      </w:r>
      <w:hyperlink r:id="rId13" w:history="1">
        <w:r w:rsidR="00881176" w:rsidRPr="00243C62">
          <w:rPr>
            <w:rStyle w:val="Kpr"/>
            <w:rFonts w:ascii="Garamond" w:hAnsi="Garamond"/>
            <w:color w:val="000000" w:themeColor="text1"/>
            <w:sz w:val="22"/>
            <w:szCs w:val="22"/>
            <w:shd w:val="clear" w:color="auto" w:fill="FFFFFF"/>
          </w:rPr>
          <w:t>https://doi.org/10.1007/s10902-021-00486-y</w:t>
        </w:r>
      </w:hyperlink>
    </w:p>
    <w:p w14:paraId="4C65A228" w14:textId="5B1C1E6D" w:rsidR="00E06A35" w:rsidRPr="00243C62" w:rsidRDefault="00E06A35" w:rsidP="00DE46C5">
      <w:pPr>
        <w:spacing w:before="120" w:line="276" w:lineRule="auto"/>
        <w:ind w:hanging="709"/>
        <w:jc w:val="both"/>
        <w:rPr>
          <w:rFonts w:ascii="Garamond" w:hAnsi="Garamond"/>
          <w:color w:val="000000" w:themeColor="text1"/>
          <w:sz w:val="22"/>
          <w:szCs w:val="22"/>
        </w:rPr>
      </w:pPr>
      <w:r w:rsidRPr="00243C62">
        <w:rPr>
          <w:rFonts w:ascii="Garamond" w:hAnsi="Garamond" w:cs="Arial"/>
          <w:color w:val="000000" w:themeColor="text1"/>
          <w:sz w:val="22"/>
          <w:szCs w:val="22"/>
          <w:shd w:val="clear" w:color="auto" w:fill="FFFFFF"/>
        </w:rPr>
        <w:t>Bluedorn, A. C. (2002). </w:t>
      </w:r>
      <w:r w:rsidRPr="00243C62">
        <w:rPr>
          <w:rStyle w:val="Vurgu"/>
          <w:rFonts w:ascii="Garamond" w:hAnsi="Garamond" w:cs="Arial"/>
          <w:color w:val="000000" w:themeColor="text1"/>
          <w:sz w:val="22"/>
          <w:szCs w:val="22"/>
          <w:shd w:val="clear" w:color="auto" w:fill="FFFFFF"/>
        </w:rPr>
        <w:t>The human organization of time: Temporal realities and experience.</w:t>
      </w:r>
      <w:r w:rsidRPr="00243C62">
        <w:rPr>
          <w:rFonts w:ascii="Garamond" w:hAnsi="Garamond" w:cs="Arial"/>
          <w:color w:val="000000" w:themeColor="text1"/>
          <w:sz w:val="22"/>
          <w:szCs w:val="22"/>
          <w:shd w:val="clear" w:color="auto" w:fill="FFFFFF"/>
        </w:rPr>
        <w:t> Stanford University Press.</w:t>
      </w:r>
    </w:p>
    <w:p w14:paraId="0C1AB887" w14:textId="2791CA6A" w:rsidR="00E06A35" w:rsidRPr="00243C62" w:rsidRDefault="00E06A35" w:rsidP="00DE46C5">
      <w:pPr>
        <w:spacing w:before="120" w:after="120" w:line="276" w:lineRule="auto"/>
        <w:ind w:hanging="709"/>
        <w:jc w:val="both"/>
        <w:rPr>
          <w:rFonts w:ascii="Garamond" w:hAnsi="Garamond"/>
          <w:sz w:val="22"/>
          <w:szCs w:val="22"/>
        </w:rPr>
      </w:pPr>
      <w:r w:rsidRPr="00243C62">
        <w:rPr>
          <w:rFonts w:ascii="Garamond" w:hAnsi="Garamond"/>
          <w:sz w:val="22"/>
          <w:szCs w:val="22"/>
        </w:rPr>
        <w:t xml:space="preserve">Bowen, G. L. &amp; Richman, J. M. (2008). </w:t>
      </w:r>
      <w:r w:rsidRPr="00243C62">
        <w:rPr>
          <w:rFonts w:ascii="Garamond" w:hAnsi="Garamond"/>
          <w:i/>
          <w:iCs/>
          <w:sz w:val="22"/>
          <w:szCs w:val="22"/>
        </w:rPr>
        <w:t xml:space="preserve">School success profile. </w:t>
      </w:r>
      <w:r w:rsidRPr="00243C62">
        <w:rPr>
          <w:rFonts w:ascii="Garamond" w:hAnsi="Garamond"/>
          <w:sz w:val="22"/>
          <w:szCs w:val="22"/>
        </w:rPr>
        <w:t>Chapel Hill, NC: Jordan Institute for Families, School of Social Work, University of North Carolina at Chapel Hill.</w:t>
      </w:r>
    </w:p>
    <w:p w14:paraId="002A3057" w14:textId="77777777" w:rsidR="009B2033" w:rsidRPr="00243C62" w:rsidRDefault="00353B56" w:rsidP="00DE46C5">
      <w:pPr>
        <w:spacing w:before="120" w:line="276" w:lineRule="auto"/>
        <w:ind w:hanging="709"/>
        <w:jc w:val="both"/>
        <w:rPr>
          <w:rFonts w:ascii="Garamond" w:hAnsi="Garamond"/>
          <w:sz w:val="22"/>
          <w:szCs w:val="22"/>
        </w:rPr>
      </w:pPr>
      <w:r w:rsidRPr="00243C62">
        <w:rPr>
          <w:rFonts w:ascii="Garamond" w:hAnsi="Garamond"/>
          <w:sz w:val="22"/>
          <w:szCs w:val="22"/>
        </w:rPr>
        <w:t xml:space="preserve">Byrne, B. M. (2013). Structural equation modeling with LISREL, PRELIS, and SIMPLIS: Basic concepts, applications, and programming. Psychology. </w:t>
      </w:r>
    </w:p>
    <w:p w14:paraId="782F8866" w14:textId="77777777" w:rsidR="007B3A87" w:rsidRPr="00243C62" w:rsidRDefault="00C26384" w:rsidP="00DE46C5">
      <w:pPr>
        <w:spacing w:before="120" w:line="276" w:lineRule="auto"/>
        <w:ind w:hanging="709"/>
        <w:jc w:val="both"/>
        <w:rPr>
          <w:rFonts w:ascii="Garamond" w:hAnsi="Garamond"/>
          <w:color w:val="000000" w:themeColor="text1"/>
          <w:sz w:val="22"/>
          <w:szCs w:val="22"/>
        </w:rPr>
      </w:pPr>
      <w:r w:rsidRPr="00243C62">
        <w:rPr>
          <w:rFonts w:ascii="Garamond" w:hAnsi="Garamond"/>
          <w:color w:val="000000" w:themeColor="text1"/>
          <w:sz w:val="22"/>
          <w:szCs w:val="22"/>
          <w:shd w:val="clear" w:color="auto" w:fill="FFFFFF"/>
        </w:rPr>
        <w:t>Chen, J. J., Jiang, T. N., &amp; Liu, M. F. (2021). Family socioeconomic status and learning engagement in Chinese adolescents: the multiple mediating roles of resilience and future orientation. </w:t>
      </w:r>
      <w:r w:rsidRPr="00243C62">
        <w:rPr>
          <w:rFonts w:ascii="Garamond" w:hAnsi="Garamond"/>
          <w:i/>
          <w:iCs/>
          <w:color w:val="000000" w:themeColor="text1"/>
          <w:sz w:val="22"/>
          <w:szCs w:val="22"/>
          <w:shd w:val="clear" w:color="auto" w:fill="FFFFFF"/>
        </w:rPr>
        <w:t>Frontiers in Psychology</w:t>
      </w:r>
      <w:r w:rsidRPr="00243C62">
        <w:rPr>
          <w:rFonts w:ascii="Garamond" w:hAnsi="Garamond"/>
          <w:color w:val="000000" w:themeColor="text1"/>
          <w:sz w:val="22"/>
          <w:szCs w:val="22"/>
          <w:shd w:val="clear" w:color="auto" w:fill="FFFFFF"/>
        </w:rPr>
        <w:t>, </w:t>
      </w:r>
      <w:r w:rsidRPr="00243C62">
        <w:rPr>
          <w:rFonts w:ascii="Garamond" w:hAnsi="Garamond"/>
          <w:i/>
          <w:iCs/>
          <w:color w:val="000000" w:themeColor="text1"/>
          <w:sz w:val="22"/>
          <w:szCs w:val="22"/>
          <w:shd w:val="clear" w:color="auto" w:fill="FFFFFF"/>
        </w:rPr>
        <w:t>12</w:t>
      </w:r>
      <w:r w:rsidRPr="00243C62">
        <w:rPr>
          <w:rFonts w:ascii="Garamond" w:hAnsi="Garamond"/>
          <w:color w:val="000000" w:themeColor="text1"/>
          <w:sz w:val="22"/>
          <w:szCs w:val="22"/>
          <w:shd w:val="clear" w:color="auto" w:fill="FFFFFF"/>
        </w:rPr>
        <w:t>, 714346.</w:t>
      </w:r>
      <w:r w:rsidR="009B2033" w:rsidRPr="00243C62">
        <w:rPr>
          <w:rFonts w:ascii="Garamond" w:hAnsi="Garamond"/>
          <w:color w:val="000000" w:themeColor="text1"/>
          <w:sz w:val="22"/>
          <w:szCs w:val="22"/>
          <w:shd w:val="clear" w:color="auto" w:fill="FFFFFF"/>
        </w:rPr>
        <w:t xml:space="preserve"> doi: 10.3389/fpsyg.2021.714346</w:t>
      </w:r>
    </w:p>
    <w:p w14:paraId="0DFE6EA4" w14:textId="44547C40" w:rsidR="007B3A87" w:rsidRPr="00243C62" w:rsidRDefault="008F7F14" w:rsidP="00DE46C5">
      <w:pPr>
        <w:spacing w:before="120" w:line="276" w:lineRule="auto"/>
        <w:ind w:hanging="709"/>
        <w:jc w:val="both"/>
        <w:rPr>
          <w:rFonts w:ascii="Garamond" w:hAnsi="Garamond"/>
          <w:color w:val="000000" w:themeColor="text1"/>
          <w:sz w:val="22"/>
          <w:szCs w:val="22"/>
        </w:rPr>
      </w:pPr>
      <w:r w:rsidRPr="00243C62">
        <w:rPr>
          <w:rFonts w:ascii="Garamond" w:hAnsi="Garamond"/>
          <w:color w:val="000000" w:themeColor="text1"/>
          <w:sz w:val="22"/>
          <w:szCs w:val="22"/>
          <w:shd w:val="clear" w:color="auto" w:fill="FFFFFF"/>
        </w:rPr>
        <w:t xml:space="preserve">Chodkiewicz, A. R., &amp; Boyle, C. (2017). Positive psychology school-based interventions: A reflection on current success and future directions. </w:t>
      </w:r>
      <w:r w:rsidRPr="00243C62">
        <w:rPr>
          <w:rFonts w:ascii="Garamond" w:hAnsi="Garamond"/>
          <w:i/>
          <w:iCs/>
          <w:color w:val="000000" w:themeColor="text1"/>
          <w:sz w:val="22"/>
          <w:szCs w:val="22"/>
          <w:shd w:val="clear" w:color="auto" w:fill="FFFFFF"/>
        </w:rPr>
        <w:t>Review of Education Oxford, 5</w:t>
      </w:r>
      <w:r w:rsidRPr="00243C62">
        <w:rPr>
          <w:rFonts w:ascii="Garamond" w:hAnsi="Garamond"/>
          <w:color w:val="000000" w:themeColor="text1"/>
          <w:sz w:val="22"/>
          <w:szCs w:val="22"/>
          <w:shd w:val="clear" w:color="auto" w:fill="FFFFFF"/>
        </w:rPr>
        <w:t xml:space="preserve">(1), 60-86. </w:t>
      </w:r>
      <w:hyperlink r:id="rId14" w:history="1">
        <w:r w:rsidR="007B3A87" w:rsidRPr="00243C62">
          <w:rPr>
            <w:rStyle w:val="Kpr"/>
            <w:rFonts w:ascii="Garamond" w:hAnsi="Garamond"/>
            <w:color w:val="000000" w:themeColor="text1"/>
            <w:sz w:val="22"/>
            <w:szCs w:val="22"/>
            <w:shd w:val="clear" w:color="auto" w:fill="FFFFFF"/>
          </w:rPr>
          <w:t>https://doi.org/10.1002/rev3.3080</w:t>
        </w:r>
      </w:hyperlink>
    </w:p>
    <w:p w14:paraId="554C8C65" w14:textId="77777777" w:rsidR="00EC3B46" w:rsidRPr="00243C62" w:rsidRDefault="00353B56" w:rsidP="00DE46C5">
      <w:pPr>
        <w:spacing w:before="120" w:after="120" w:line="276" w:lineRule="auto"/>
        <w:ind w:hanging="709"/>
        <w:jc w:val="both"/>
        <w:rPr>
          <w:rFonts w:ascii="Garamond" w:hAnsi="Garamond"/>
          <w:color w:val="222222"/>
          <w:sz w:val="22"/>
          <w:szCs w:val="22"/>
          <w:shd w:val="clear" w:color="auto" w:fill="FFFFFF"/>
        </w:rPr>
      </w:pPr>
      <w:r w:rsidRPr="00243C62">
        <w:rPr>
          <w:rFonts w:ascii="Garamond" w:hAnsi="Garamond" w:cs="Arial"/>
          <w:color w:val="222222"/>
          <w:sz w:val="22"/>
          <w:szCs w:val="22"/>
          <w:shd w:val="clear" w:color="auto" w:fill="FFFFFF"/>
        </w:rPr>
        <w:t>Chou, C. P., &amp; Bentler, P. M. (1995). Estimates and tests in structural equation modeling.</w:t>
      </w:r>
    </w:p>
    <w:p w14:paraId="58AACCA0" w14:textId="29792DE3" w:rsidR="00EC3B46" w:rsidRPr="00243C62" w:rsidRDefault="00353B56" w:rsidP="00DE46C5">
      <w:pPr>
        <w:spacing w:before="120" w:after="120" w:line="276" w:lineRule="auto"/>
        <w:ind w:hanging="709"/>
        <w:jc w:val="both"/>
        <w:rPr>
          <w:rFonts w:ascii="Garamond" w:hAnsi="Garamond"/>
          <w:color w:val="222222"/>
          <w:sz w:val="22"/>
          <w:szCs w:val="22"/>
          <w:shd w:val="clear" w:color="auto" w:fill="FFFFFF"/>
        </w:rPr>
      </w:pPr>
      <w:r w:rsidRPr="00243C62">
        <w:rPr>
          <w:rFonts w:ascii="Garamond" w:hAnsi="Garamond" w:cs="Arial"/>
          <w:color w:val="222222"/>
          <w:sz w:val="22"/>
          <w:szCs w:val="22"/>
          <w:shd w:val="clear" w:color="auto" w:fill="FFFFFF"/>
        </w:rPr>
        <w:t>Coulter, K., Delgado, M. Y., Nair, R. L., McClelland, D. J., Thomas, R., Nuno, V. L., &amp; Carvajal, S. (2023). Future orientation and Latinx adolescent development: A scoping review. </w:t>
      </w:r>
      <w:r w:rsidRPr="00243C62">
        <w:rPr>
          <w:rFonts w:ascii="Garamond" w:hAnsi="Garamond" w:cs="Arial"/>
          <w:i/>
          <w:iCs/>
          <w:color w:val="222222"/>
          <w:sz w:val="22"/>
          <w:szCs w:val="22"/>
          <w:shd w:val="clear" w:color="auto" w:fill="FFFFFF"/>
        </w:rPr>
        <w:t>Adolescent Research Review</w:t>
      </w:r>
      <w:r w:rsidRPr="00243C62">
        <w:rPr>
          <w:rFonts w:ascii="Garamond" w:hAnsi="Garamond" w:cs="Arial"/>
          <w:color w:val="222222"/>
          <w:sz w:val="22"/>
          <w:szCs w:val="22"/>
          <w:shd w:val="clear" w:color="auto" w:fill="FFFFFF"/>
        </w:rPr>
        <w:t>, </w:t>
      </w:r>
      <w:r w:rsidRPr="00243C62">
        <w:rPr>
          <w:rFonts w:ascii="Garamond" w:hAnsi="Garamond" w:cs="Arial"/>
          <w:i/>
          <w:iCs/>
          <w:color w:val="222222"/>
          <w:sz w:val="22"/>
          <w:szCs w:val="22"/>
          <w:shd w:val="clear" w:color="auto" w:fill="FFFFFF"/>
        </w:rPr>
        <w:t>8</w:t>
      </w:r>
      <w:r w:rsidRPr="00243C62">
        <w:rPr>
          <w:rFonts w:ascii="Garamond" w:hAnsi="Garamond" w:cs="Arial"/>
          <w:color w:val="222222"/>
          <w:sz w:val="22"/>
          <w:szCs w:val="22"/>
          <w:shd w:val="clear" w:color="auto" w:fill="FFFFFF"/>
        </w:rPr>
        <w:t>(2), 195-218.</w:t>
      </w:r>
      <w:r w:rsidR="00EC3B46" w:rsidRPr="00243C62">
        <w:rPr>
          <w:rFonts w:ascii="Garamond" w:hAnsi="Garamond" w:cs="Arial"/>
          <w:color w:val="222222"/>
          <w:sz w:val="22"/>
          <w:szCs w:val="22"/>
          <w:shd w:val="clear" w:color="auto" w:fill="FFFFFF"/>
        </w:rPr>
        <w:t xml:space="preserve"> </w:t>
      </w:r>
      <w:hyperlink r:id="rId15" w:history="1">
        <w:r w:rsidR="00EC3B46" w:rsidRPr="00243C62">
          <w:rPr>
            <w:rStyle w:val="Kpr"/>
            <w:rFonts w:ascii="Garamond" w:hAnsi="Garamond"/>
            <w:color w:val="000000" w:themeColor="text1"/>
            <w:sz w:val="22"/>
            <w:szCs w:val="22"/>
            <w:shd w:val="clear" w:color="auto" w:fill="FFFFFF"/>
          </w:rPr>
          <w:t>https://doi.org/10.1007/s40894-022-00190-9</w:t>
        </w:r>
      </w:hyperlink>
    </w:p>
    <w:p w14:paraId="359F6C0B" w14:textId="77777777" w:rsidR="001E51A0" w:rsidRPr="00243C62" w:rsidRDefault="00353B56" w:rsidP="00DE46C5">
      <w:pPr>
        <w:spacing w:before="120" w:after="120" w:line="276" w:lineRule="auto"/>
        <w:ind w:hanging="709"/>
        <w:jc w:val="both"/>
        <w:rPr>
          <w:rFonts w:ascii="Garamond" w:hAnsi="Garamond"/>
          <w:color w:val="222222"/>
          <w:sz w:val="22"/>
          <w:szCs w:val="22"/>
          <w:shd w:val="clear" w:color="auto" w:fill="FFFFFF"/>
        </w:rPr>
      </w:pPr>
      <w:r w:rsidRPr="00243C62">
        <w:rPr>
          <w:rFonts w:ascii="Garamond" w:hAnsi="Garamond"/>
          <w:color w:val="232323"/>
          <w:sz w:val="22"/>
          <w:szCs w:val="22"/>
          <w:shd w:val="clear" w:color="auto" w:fill="FFFFFF"/>
        </w:rPr>
        <w:t xml:space="preserve">Field, A.P. (2005) </w:t>
      </w:r>
      <w:r w:rsidRPr="00243C62">
        <w:rPr>
          <w:rFonts w:ascii="Garamond" w:hAnsi="Garamond"/>
          <w:i/>
          <w:iCs/>
          <w:color w:val="232323"/>
          <w:sz w:val="22"/>
          <w:szCs w:val="22"/>
          <w:shd w:val="clear" w:color="auto" w:fill="FFFFFF"/>
        </w:rPr>
        <w:t>Discovering Statistics Using SPSS</w:t>
      </w:r>
      <w:r w:rsidRPr="00243C62">
        <w:rPr>
          <w:rFonts w:ascii="Garamond" w:hAnsi="Garamond"/>
          <w:color w:val="232323"/>
          <w:sz w:val="22"/>
          <w:szCs w:val="22"/>
          <w:shd w:val="clear" w:color="auto" w:fill="FFFFFF"/>
        </w:rPr>
        <w:t>. London: Sage Publications.</w:t>
      </w:r>
    </w:p>
    <w:p w14:paraId="0A26EC93" w14:textId="77777777" w:rsidR="001E51A0" w:rsidRPr="00243C62" w:rsidRDefault="00C26384" w:rsidP="00DE46C5">
      <w:pPr>
        <w:spacing w:before="120" w:after="120" w:line="276" w:lineRule="auto"/>
        <w:ind w:hanging="709"/>
        <w:jc w:val="both"/>
        <w:rPr>
          <w:rFonts w:ascii="Garamond" w:hAnsi="Garamond"/>
          <w:color w:val="000000" w:themeColor="text1"/>
          <w:sz w:val="22"/>
          <w:szCs w:val="22"/>
          <w:shd w:val="clear" w:color="auto" w:fill="FFFFFF"/>
        </w:rPr>
      </w:pPr>
      <w:r w:rsidRPr="00243C62">
        <w:rPr>
          <w:rFonts w:ascii="Garamond" w:hAnsi="Garamond"/>
          <w:color w:val="000000" w:themeColor="text1"/>
          <w:sz w:val="22"/>
          <w:szCs w:val="22"/>
          <w:shd w:val="clear" w:color="auto" w:fill="FFFFFF"/>
        </w:rPr>
        <w:t>Fusco, L., Sica, L. S., Boiano, A., Esposito, S., &amp; Aleni Sestito, L. (2019). Future orientation, resilience and vocational identity in southern Italian adolescents. </w:t>
      </w:r>
      <w:r w:rsidRPr="00243C62">
        <w:rPr>
          <w:rFonts w:ascii="Garamond" w:hAnsi="Garamond"/>
          <w:i/>
          <w:iCs/>
          <w:color w:val="000000" w:themeColor="text1"/>
          <w:sz w:val="22"/>
          <w:szCs w:val="22"/>
          <w:shd w:val="clear" w:color="auto" w:fill="FFFFFF"/>
        </w:rPr>
        <w:t>International Journal for Educational and Vocational Guidance</w:t>
      </w:r>
      <w:r w:rsidRPr="00243C62">
        <w:rPr>
          <w:rFonts w:ascii="Garamond" w:hAnsi="Garamond"/>
          <w:color w:val="000000" w:themeColor="text1"/>
          <w:sz w:val="22"/>
          <w:szCs w:val="22"/>
          <w:shd w:val="clear" w:color="auto" w:fill="FFFFFF"/>
        </w:rPr>
        <w:t>, </w:t>
      </w:r>
      <w:r w:rsidRPr="00243C62">
        <w:rPr>
          <w:rFonts w:ascii="Garamond" w:hAnsi="Garamond"/>
          <w:i/>
          <w:iCs/>
          <w:color w:val="000000" w:themeColor="text1"/>
          <w:sz w:val="22"/>
          <w:szCs w:val="22"/>
          <w:shd w:val="clear" w:color="auto" w:fill="FFFFFF"/>
        </w:rPr>
        <w:t>19</w:t>
      </w:r>
      <w:r w:rsidRPr="00243C62">
        <w:rPr>
          <w:rFonts w:ascii="Garamond" w:hAnsi="Garamond"/>
          <w:color w:val="000000" w:themeColor="text1"/>
          <w:sz w:val="22"/>
          <w:szCs w:val="22"/>
          <w:shd w:val="clear" w:color="auto" w:fill="FFFFFF"/>
        </w:rPr>
        <w:t>, 63-83.</w:t>
      </w:r>
      <w:r w:rsidR="001E51A0" w:rsidRPr="00243C62">
        <w:rPr>
          <w:rFonts w:ascii="Garamond" w:hAnsi="Garamond"/>
          <w:color w:val="000000" w:themeColor="text1"/>
          <w:sz w:val="22"/>
          <w:szCs w:val="22"/>
          <w:shd w:val="clear" w:color="auto" w:fill="FFFFFF"/>
        </w:rPr>
        <w:t xml:space="preserve"> </w:t>
      </w:r>
      <w:hyperlink r:id="rId16" w:history="1">
        <w:r w:rsidR="001E51A0" w:rsidRPr="00243C62">
          <w:rPr>
            <w:rStyle w:val="Kpr"/>
            <w:rFonts w:ascii="Garamond" w:hAnsi="Garamond"/>
            <w:color w:val="000000" w:themeColor="text1"/>
            <w:sz w:val="22"/>
            <w:szCs w:val="22"/>
            <w:shd w:val="clear" w:color="auto" w:fill="FFFFFF"/>
          </w:rPr>
          <w:t>https://doi.org/10.1007/s10775-018-9369-2</w:t>
        </w:r>
      </w:hyperlink>
      <w:r w:rsidR="001E51A0" w:rsidRPr="00243C62">
        <w:rPr>
          <w:rFonts w:ascii="Garamond" w:hAnsi="Garamond"/>
          <w:color w:val="000000" w:themeColor="text1"/>
          <w:sz w:val="22"/>
          <w:szCs w:val="22"/>
          <w:shd w:val="clear" w:color="auto" w:fill="FFFFFF"/>
        </w:rPr>
        <w:t>.</w:t>
      </w:r>
    </w:p>
    <w:p w14:paraId="74D551F2" w14:textId="77777777" w:rsidR="001E51A0" w:rsidRPr="00243C62" w:rsidRDefault="00C26384" w:rsidP="00DE46C5">
      <w:pPr>
        <w:spacing w:before="120" w:after="120" w:line="276" w:lineRule="auto"/>
        <w:ind w:hanging="709"/>
        <w:jc w:val="both"/>
        <w:rPr>
          <w:rFonts w:ascii="Garamond" w:hAnsi="Garamond"/>
          <w:color w:val="000000" w:themeColor="text1"/>
          <w:sz w:val="22"/>
          <w:szCs w:val="22"/>
          <w:shd w:val="clear" w:color="auto" w:fill="FFFFFF"/>
        </w:rPr>
      </w:pPr>
      <w:r w:rsidRPr="00243C62">
        <w:rPr>
          <w:rFonts w:ascii="Garamond" w:hAnsi="Garamond"/>
          <w:color w:val="000000" w:themeColor="text1"/>
          <w:sz w:val="22"/>
          <w:szCs w:val="22"/>
          <w:shd w:val="clear" w:color="auto" w:fill="FFFFFF"/>
        </w:rPr>
        <w:t>Ginevra, M. C., Pallini, S., Vecchio, G. M., Nota, L., &amp; Soresi, S. (2016). Future orientation and attitudes mediate career adaptability and decidedness. </w:t>
      </w:r>
      <w:r w:rsidRPr="00243C62">
        <w:rPr>
          <w:rFonts w:ascii="Garamond" w:hAnsi="Garamond"/>
          <w:i/>
          <w:iCs/>
          <w:color w:val="000000" w:themeColor="text1"/>
          <w:sz w:val="22"/>
          <w:szCs w:val="22"/>
          <w:shd w:val="clear" w:color="auto" w:fill="FFFFFF"/>
        </w:rPr>
        <w:t>Journal of Vocational Behavior</w:t>
      </w:r>
      <w:r w:rsidRPr="00243C62">
        <w:rPr>
          <w:rFonts w:ascii="Garamond" w:hAnsi="Garamond"/>
          <w:color w:val="000000" w:themeColor="text1"/>
          <w:sz w:val="22"/>
          <w:szCs w:val="22"/>
          <w:shd w:val="clear" w:color="auto" w:fill="FFFFFF"/>
        </w:rPr>
        <w:t>, </w:t>
      </w:r>
      <w:r w:rsidRPr="00243C62">
        <w:rPr>
          <w:rFonts w:ascii="Garamond" w:hAnsi="Garamond"/>
          <w:i/>
          <w:iCs/>
          <w:color w:val="000000" w:themeColor="text1"/>
          <w:sz w:val="22"/>
          <w:szCs w:val="22"/>
          <w:shd w:val="clear" w:color="auto" w:fill="FFFFFF"/>
        </w:rPr>
        <w:t>95</w:t>
      </w:r>
      <w:r w:rsidRPr="00243C62">
        <w:rPr>
          <w:rFonts w:ascii="Garamond" w:hAnsi="Garamond"/>
          <w:color w:val="000000" w:themeColor="text1"/>
          <w:sz w:val="22"/>
          <w:szCs w:val="22"/>
          <w:shd w:val="clear" w:color="auto" w:fill="FFFFFF"/>
        </w:rPr>
        <w:t>, 102-110.</w:t>
      </w:r>
      <w:r w:rsidR="001E51A0" w:rsidRPr="00243C62">
        <w:rPr>
          <w:rFonts w:ascii="Garamond" w:hAnsi="Garamond"/>
          <w:color w:val="000000" w:themeColor="text1"/>
          <w:sz w:val="22"/>
          <w:szCs w:val="22"/>
          <w:shd w:val="clear" w:color="auto" w:fill="FFFFFF"/>
        </w:rPr>
        <w:t xml:space="preserve"> </w:t>
      </w:r>
      <w:hyperlink r:id="rId17" w:tgtFrame="_blank" w:tooltip="Persistent link using digital object identifier" w:history="1">
        <w:r w:rsidR="001E51A0" w:rsidRPr="00243C62">
          <w:rPr>
            <w:rFonts w:ascii="Garamond" w:hAnsi="Garamond" w:cs="Arial"/>
            <w:color w:val="000000" w:themeColor="text1"/>
            <w:sz w:val="22"/>
            <w:szCs w:val="22"/>
          </w:rPr>
          <w:t>https://doi.org/10.1016/j.jvb.2016.08.003</w:t>
        </w:r>
      </w:hyperlink>
    </w:p>
    <w:p w14:paraId="2B1FEDA1" w14:textId="691C116C" w:rsidR="00353B56" w:rsidRPr="00243C62" w:rsidRDefault="00353B56" w:rsidP="00DE46C5">
      <w:pPr>
        <w:spacing w:before="120" w:after="120" w:line="276" w:lineRule="auto"/>
        <w:ind w:hanging="709"/>
        <w:jc w:val="both"/>
        <w:rPr>
          <w:rFonts w:ascii="Garamond" w:hAnsi="Garamond"/>
          <w:color w:val="000000" w:themeColor="text1"/>
          <w:sz w:val="22"/>
          <w:szCs w:val="22"/>
          <w:shd w:val="clear" w:color="auto" w:fill="FFFFFF"/>
        </w:rPr>
      </w:pPr>
      <w:r w:rsidRPr="00243C62">
        <w:rPr>
          <w:rFonts w:ascii="Garamond" w:hAnsi="Garamond" w:cs="Arial"/>
          <w:color w:val="222222"/>
          <w:sz w:val="22"/>
          <w:szCs w:val="22"/>
          <w:shd w:val="clear" w:color="auto" w:fill="FFFFFF"/>
        </w:rPr>
        <w:t>Grover, R., &amp; O'Flaherty, K. (2016). </w:t>
      </w:r>
      <w:r w:rsidRPr="00243C62">
        <w:rPr>
          <w:rFonts w:ascii="Garamond" w:hAnsi="Garamond" w:cs="Arial"/>
          <w:i/>
          <w:iCs/>
          <w:color w:val="222222"/>
          <w:sz w:val="22"/>
          <w:szCs w:val="22"/>
          <w:shd w:val="clear" w:color="auto" w:fill="FFFFFF"/>
        </w:rPr>
        <w:t>Present Successes and Future Challenges in Honors Education</w:t>
      </w:r>
      <w:r w:rsidRPr="00243C62">
        <w:rPr>
          <w:rFonts w:ascii="Garamond" w:hAnsi="Garamond" w:cs="Arial"/>
          <w:color w:val="222222"/>
          <w:sz w:val="22"/>
          <w:szCs w:val="22"/>
          <w:shd w:val="clear" w:color="auto" w:fill="FFFFFF"/>
        </w:rPr>
        <w:t>. Rowman &amp; Littlefield.</w:t>
      </w:r>
    </w:p>
    <w:p w14:paraId="30C01DD8" w14:textId="77777777" w:rsidR="005677A0" w:rsidRPr="00243C62" w:rsidRDefault="00353B56" w:rsidP="00DE46C5">
      <w:pPr>
        <w:spacing w:before="120" w:after="120" w:line="276" w:lineRule="auto"/>
        <w:ind w:hanging="709"/>
        <w:jc w:val="both"/>
        <w:rPr>
          <w:rFonts w:ascii="Garamond" w:hAnsi="Garamond"/>
          <w:sz w:val="22"/>
          <w:szCs w:val="22"/>
        </w:rPr>
      </w:pPr>
      <w:r w:rsidRPr="00243C62">
        <w:rPr>
          <w:rFonts w:ascii="Garamond" w:hAnsi="Garamond"/>
          <w:sz w:val="22"/>
          <w:szCs w:val="22"/>
        </w:rPr>
        <w:t xml:space="preserve">Güler, A. (2004). </w:t>
      </w:r>
      <w:r w:rsidRPr="00243C62">
        <w:rPr>
          <w:rFonts w:ascii="Garamond" w:hAnsi="Garamond"/>
          <w:i/>
          <w:iCs/>
          <w:sz w:val="22"/>
          <w:szCs w:val="22"/>
        </w:rPr>
        <w:t>Relationship between self-construals and future time orientations</w:t>
      </w:r>
      <w:r w:rsidRPr="00243C62">
        <w:rPr>
          <w:rFonts w:ascii="Garamond" w:hAnsi="Garamond"/>
          <w:sz w:val="22"/>
          <w:szCs w:val="22"/>
        </w:rPr>
        <w:t xml:space="preserve">. Yüksek Lisans Tezi, Orta Doğu Teknik Üniversitesi Sosyal Bilimler Enstitüsü, Ankara. </w:t>
      </w:r>
    </w:p>
    <w:p w14:paraId="0A9EC4B1" w14:textId="77777777" w:rsidR="005677A0" w:rsidRPr="00243C62" w:rsidRDefault="00353B56" w:rsidP="00DE46C5">
      <w:pPr>
        <w:spacing w:before="120" w:after="120" w:line="276" w:lineRule="auto"/>
        <w:ind w:hanging="709"/>
        <w:jc w:val="both"/>
        <w:rPr>
          <w:rFonts w:ascii="Garamond" w:hAnsi="Garamond"/>
          <w:sz w:val="22"/>
          <w:szCs w:val="22"/>
        </w:rPr>
      </w:pPr>
      <w:r w:rsidRPr="00243C62">
        <w:rPr>
          <w:rFonts w:ascii="Garamond" w:hAnsi="Garamond"/>
          <w:color w:val="000000" w:themeColor="text1"/>
          <w:sz w:val="22"/>
          <w:szCs w:val="22"/>
          <w:shd w:val="clear" w:color="auto" w:fill="FFFFFF"/>
        </w:rPr>
        <w:t xml:space="preserve">Hu, L. T., &amp; Bentler, P. M. (1999). Cutoff criteria for fit indexes in covariance structure analysis: Conventional criteria versus new alternatives. </w:t>
      </w:r>
      <w:r w:rsidRPr="00243C62">
        <w:rPr>
          <w:rFonts w:ascii="Garamond" w:hAnsi="Garamond"/>
          <w:i/>
          <w:iCs/>
          <w:color w:val="000000" w:themeColor="text1"/>
          <w:sz w:val="22"/>
          <w:szCs w:val="22"/>
          <w:shd w:val="clear" w:color="auto" w:fill="FFFFFF"/>
        </w:rPr>
        <w:t>Structural Equation Modeling: A Multidisciplinary Journal, 6</w:t>
      </w:r>
      <w:r w:rsidRPr="00243C62">
        <w:rPr>
          <w:rFonts w:ascii="Garamond" w:hAnsi="Garamond"/>
          <w:color w:val="000000" w:themeColor="text1"/>
          <w:sz w:val="22"/>
          <w:szCs w:val="22"/>
          <w:shd w:val="clear" w:color="auto" w:fill="FFFFFF"/>
        </w:rPr>
        <w:t xml:space="preserve">(1), 1-55. </w:t>
      </w:r>
      <w:hyperlink r:id="rId18" w:history="1">
        <w:r w:rsidR="005677A0" w:rsidRPr="00243C62">
          <w:rPr>
            <w:rStyle w:val="Kpr"/>
            <w:rFonts w:ascii="Garamond" w:hAnsi="Garamond" w:cs="Open Sans"/>
            <w:color w:val="000000" w:themeColor="text1"/>
            <w:sz w:val="22"/>
            <w:szCs w:val="22"/>
          </w:rPr>
          <w:t>https://doi.org/10.1080/10705519909540118</w:t>
        </w:r>
      </w:hyperlink>
    </w:p>
    <w:p w14:paraId="0E32F50F" w14:textId="77777777" w:rsidR="005677A0" w:rsidRPr="00243C62" w:rsidRDefault="00C86992" w:rsidP="00DE46C5">
      <w:pPr>
        <w:spacing w:before="120" w:after="120" w:line="276" w:lineRule="auto"/>
        <w:ind w:hanging="709"/>
        <w:jc w:val="both"/>
        <w:rPr>
          <w:rFonts w:ascii="Garamond" w:hAnsi="Garamond"/>
          <w:sz w:val="22"/>
          <w:szCs w:val="22"/>
        </w:rPr>
      </w:pPr>
      <w:r w:rsidRPr="00243C62">
        <w:rPr>
          <w:rFonts w:ascii="Garamond" w:hAnsi="Garamond"/>
          <w:sz w:val="22"/>
          <w:szCs w:val="22"/>
        </w:rPr>
        <w:t xml:space="preserve">Husman, J., Shell, D. F. (2008). Beliefs and perceptions about the future: a measurement of future time perspective. </w:t>
      </w:r>
      <w:r w:rsidRPr="00243C62">
        <w:rPr>
          <w:rFonts w:ascii="Garamond" w:hAnsi="Garamond"/>
          <w:i/>
          <w:iCs/>
          <w:sz w:val="22"/>
          <w:szCs w:val="22"/>
        </w:rPr>
        <w:t>Learning and Individual Differences 18</w:t>
      </w:r>
      <w:r w:rsidRPr="00243C62">
        <w:rPr>
          <w:rFonts w:ascii="Garamond" w:hAnsi="Garamond"/>
          <w:sz w:val="22"/>
          <w:szCs w:val="22"/>
        </w:rPr>
        <w:t>(2), 166-175.</w:t>
      </w:r>
      <w:r w:rsidR="005677A0" w:rsidRPr="00243C62">
        <w:rPr>
          <w:rFonts w:ascii="Garamond" w:hAnsi="Garamond"/>
          <w:sz w:val="22"/>
          <w:szCs w:val="22"/>
        </w:rPr>
        <w:t xml:space="preserve"> </w:t>
      </w:r>
      <w:hyperlink r:id="rId19" w:tgtFrame="_blank" w:tooltip="Persistent link using digital object identifier" w:history="1">
        <w:r w:rsidR="005677A0" w:rsidRPr="00243C62">
          <w:rPr>
            <w:rFonts w:ascii="Garamond" w:hAnsi="Garamond" w:cs="Arial"/>
            <w:color w:val="1F1F1F"/>
            <w:sz w:val="22"/>
            <w:szCs w:val="22"/>
          </w:rPr>
          <w:t>https://doi.org/10.1016/j.lindif.2007.08.001</w:t>
        </w:r>
      </w:hyperlink>
    </w:p>
    <w:p w14:paraId="29878FA5" w14:textId="77777777" w:rsidR="00D33463" w:rsidRPr="00243C62" w:rsidRDefault="008867DA" w:rsidP="00DE46C5">
      <w:pPr>
        <w:spacing w:before="120" w:after="120" w:line="276" w:lineRule="auto"/>
        <w:ind w:hanging="709"/>
        <w:jc w:val="both"/>
        <w:rPr>
          <w:rFonts w:ascii="Garamond" w:hAnsi="Garamond"/>
          <w:color w:val="000000" w:themeColor="text1"/>
          <w:sz w:val="22"/>
          <w:szCs w:val="22"/>
        </w:rPr>
      </w:pPr>
      <w:r w:rsidRPr="00243C62">
        <w:rPr>
          <w:rFonts w:ascii="Garamond" w:hAnsi="Garamond" w:cs="Arial"/>
          <w:color w:val="000000" w:themeColor="text1"/>
          <w:sz w:val="22"/>
          <w:szCs w:val="22"/>
          <w:shd w:val="clear" w:color="auto" w:fill="FFFFFF"/>
        </w:rPr>
        <w:t>Jackman, D. M., &amp; MacPhee, D. (2017). Self-esteem and future orientation predict adolescents’ risk engagement. </w:t>
      </w:r>
      <w:r w:rsidRPr="00243C62">
        <w:rPr>
          <w:rFonts w:ascii="Garamond" w:hAnsi="Garamond" w:cs="Arial"/>
          <w:i/>
          <w:iCs/>
          <w:color w:val="000000" w:themeColor="text1"/>
          <w:sz w:val="22"/>
          <w:szCs w:val="22"/>
          <w:shd w:val="clear" w:color="auto" w:fill="FFFFFF"/>
        </w:rPr>
        <w:t>The Journal of Early Adolescence</w:t>
      </w:r>
      <w:r w:rsidRPr="00243C62">
        <w:rPr>
          <w:rFonts w:ascii="Garamond" w:hAnsi="Garamond" w:cs="Arial"/>
          <w:color w:val="000000" w:themeColor="text1"/>
          <w:sz w:val="22"/>
          <w:szCs w:val="22"/>
          <w:shd w:val="clear" w:color="auto" w:fill="FFFFFF"/>
        </w:rPr>
        <w:t>, </w:t>
      </w:r>
      <w:r w:rsidRPr="00243C62">
        <w:rPr>
          <w:rFonts w:ascii="Garamond" w:hAnsi="Garamond" w:cs="Arial"/>
          <w:i/>
          <w:iCs/>
          <w:color w:val="000000" w:themeColor="text1"/>
          <w:sz w:val="22"/>
          <w:szCs w:val="22"/>
          <w:shd w:val="clear" w:color="auto" w:fill="FFFFFF"/>
        </w:rPr>
        <w:t>37</w:t>
      </w:r>
      <w:r w:rsidRPr="00243C62">
        <w:rPr>
          <w:rFonts w:ascii="Garamond" w:hAnsi="Garamond" w:cs="Arial"/>
          <w:color w:val="000000" w:themeColor="text1"/>
          <w:sz w:val="22"/>
          <w:szCs w:val="22"/>
          <w:shd w:val="clear" w:color="auto" w:fill="FFFFFF"/>
        </w:rPr>
        <w:t>(3), 339-366.</w:t>
      </w:r>
      <w:r w:rsidR="005677A0" w:rsidRPr="00243C62">
        <w:rPr>
          <w:rFonts w:ascii="Garamond" w:hAnsi="Garamond" w:cs="Arial"/>
          <w:color w:val="000000" w:themeColor="text1"/>
          <w:sz w:val="22"/>
          <w:szCs w:val="22"/>
          <w:shd w:val="clear" w:color="auto" w:fill="FFFFFF"/>
        </w:rPr>
        <w:t xml:space="preserve"> </w:t>
      </w:r>
      <w:hyperlink r:id="rId20" w:history="1">
        <w:r w:rsidR="005677A0" w:rsidRPr="00243C62">
          <w:rPr>
            <w:rStyle w:val="Kpr"/>
            <w:rFonts w:ascii="Garamond" w:hAnsi="Garamond" w:cs="Open Sans"/>
            <w:color w:val="000000" w:themeColor="text1"/>
            <w:sz w:val="22"/>
            <w:szCs w:val="22"/>
            <w:shd w:val="clear" w:color="auto" w:fill="FFFFFF"/>
          </w:rPr>
          <w:t>https://doi.org/10.1177/0272431615602756</w:t>
        </w:r>
      </w:hyperlink>
    </w:p>
    <w:p w14:paraId="3556E81F" w14:textId="77777777" w:rsidR="0084003F" w:rsidRPr="00243C62" w:rsidRDefault="00353B56" w:rsidP="00DE46C5">
      <w:pPr>
        <w:spacing w:before="120" w:after="120" w:line="276" w:lineRule="auto"/>
        <w:ind w:hanging="709"/>
        <w:jc w:val="both"/>
        <w:rPr>
          <w:rFonts w:ascii="Garamond" w:hAnsi="Garamond"/>
          <w:color w:val="000000" w:themeColor="text1"/>
          <w:sz w:val="22"/>
          <w:szCs w:val="22"/>
        </w:rPr>
      </w:pPr>
      <w:r w:rsidRPr="00243C62">
        <w:rPr>
          <w:rFonts w:ascii="Garamond" w:hAnsi="Garamond" w:cs="Arial"/>
          <w:color w:val="000000" w:themeColor="text1"/>
          <w:sz w:val="22"/>
          <w:szCs w:val="22"/>
          <w:shd w:val="clear" w:color="auto" w:fill="FFFFFF"/>
        </w:rPr>
        <w:lastRenderedPageBreak/>
        <w:t>Johnson, S. R. L., Blum, R. W., &amp; Cheng, T. L. (2014). Future orientation: A construct with implications for adolescent health and wellbeing. </w:t>
      </w:r>
      <w:r w:rsidRPr="00243C62">
        <w:rPr>
          <w:rFonts w:ascii="Garamond" w:hAnsi="Garamond" w:cs="Arial"/>
          <w:i/>
          <w:iCs/>
          <w:color w:val="000000" w:themeColor="text1"/>
          <w:sz w:val="22"/>
          <w:szCs w:val="22"/>
          <w:shd w:val="clear" w:color="auto" w:fill="FFFFFF"/>
        </w:rPr>
        <w:t>International journal of adolescent medicine and health</w:t>
      </w:r>
      <w:r w:rsidRPr="00243C62">
        <w:rPr>
          <w:rFonts w:ascii="Garamond" w:hAnsi="Garamond" w:cs="Arial"/>
          <w:color w:val="000000" w:themeColor="text1"/>
          <w:sz w:val="22"/>
          <w:szCs w:val="22"/>
          <w:shd w:val="clear" w:color="auto" w:fill="FFFFFF"/>
        </w:rPr>
        <w:t>, </w:t>
      </w:r>
      <w:r w:rsidRPr="00243C62">
        <w:rPr>
          <w:rFonts w:ascii="Garamond" w:hAnsi="Garamond" w:cs="Arial"/>
          <w:i/>
          <w:iCs/>
          <w:color w:val="000000" w:themeColor="text1"/>
          <w:sz w:val="22"/>
          <w:szCs w:val="22"/>
          <w:shd w:val="clear" w:color="auto" w:fill="FFFFFF"/>
        </w:rPr>
        <w:t>26</w:t>
      </w:r>
      <w:r w:rsidRPr="00243C62">
        <w:rPr>
          <w:rFonts w:ascii="Garamond" w:hAnsi="Garamond" w:cs="Arial"/>
          <w:color w:val="000000" w:themeColor="text1"/>
          <w:sz w:val="22"/>
          <w:szCs w:val="22"/>
          <w:shd w:val="clear" w:color="auto" w:fill="FFFFFF"/>
        </w:rPr>
        <w:t>(4), 459-468.</w:t>
      </w:r>
      <w:r w:rsidR="00D33463" w:rsidRPr="00243C62">
        <w:rPr>
          <w:rFonts w:ascii="Garamond" w:hAnsi="Garamond" w:cs="Arial"/>
          <w:color w:val="000000" w:themeColor="text1"/>
          <w:sz w:val="22"/>
          <w:szCs w:val="22"/>
          <w:shd w:val="clear" w:color="auto" w:fill="FFFFFF"/>
        </w:rPr>
        <w:t xml:space="preserve"> </w:t>
      </w:r>
      <w:r w:rsidR="00D33463" w:rsidRPr="00243C62">
        <w:rPr>
          <w:rFonts w:ascii="Garamond" w:hAnsi="Garamond"/>
          <w:color w:val="000000" w:themeColor="text1"/>
          <w:sz w:val="22"/>
          <w:szCs w:val="22"/>
          <w:shd w:val="clear" w:color="auto" w:fill="FFFFFF"/>
        </w:rPr>
        <w:t>doi: </w:t>
      </w:r>
      <w:hyperlink r:id="rId21" w:tgtFrame="_blank" w:history="1">
        <w:r w:rsidR="00D33463" w:rsidRPr="00243C62">
          <w:rPr>
            <w:rStyle w:val="Kpr"/>
            <w:rFonts w:ascii="Garamond" w:hAnsi="Garamond"/>
            <w:color w:val="000000" w:themeColor="text1"/>
            <w:sz w:val="22"/>
            <w:szCs w:val="22"/>
            <w:u w:val="none"/>
            <w:shd w:val="clear" w:color="auto" w:fill="FFFFFF"/>
          </w:rPr>
          <w:t>10.1515/ijamh-2013-0333</w:t>
        </w:r>
      </w:hyperlink>
    </w:p>
    <w:p w14:paraId="16EE59BC" w14:textId="025C9899" w:rsidR="00D819BA" w:rsidRPr="00243C62" w:rsidRDefault="00C26384" w:rsidP="00DE46C5">
      <w:pPr>
        <w:spacing w:before="120" w:after="120" w:line="276" w:lineRule="auto"/>
        <w:ind w:hanging="709"/>
        <w:jc w:val="both"/>
        <w:rPr>
          <w:rFonts w:ascii="Garamond" w:hAnsi="Garamond"/>
          <w:color w:val="000000" w:themeColor="text1"/>
          <w:sz w:val="22"/>
          <w:szCs w:val="22"/>
        </w:rPr>
      </w:pPr>
      <w:r w:rsidRPr="00243C62">
        <w:rPr>
          <w:rFonts w:ascii="Garamond" w:hAnsi="Garamond"/>
          <w:sz w:val="22"/>
          <w:szCs w:val="22"/>
        </w:rPr>
        <w:t>İmamoğl</w:t>
      </w:r>
      <w:r w:rsidR="00353B56" w:rsidRPr="00243C62">
        <w:rPr>
          <w:rFonts w:ascii="Garamond" w:hAnsi="Garamond"/>
          <w:sz w:val="22"/>
          <w:szCs w:val="22"/>
        </w:rPr>
        <w:t xml:space="preserve">u, </w:t>
      </w:r>
      <w:r w:rsidRPr="00243C62">
        <w:rPr>
          <w:rFonts w:ascii="Garamond" w:hAnsi="Garamond"/>
          <w:sz w:val="22"/>
          <w:szCs w:val="22"/>
        </w:rPr>
        <w:t>E.</w:t>
      </w:r>
      <w:r w:rsidR="00353B56" w:rsidRPr="00243C62">
        <w:rPr>
          <w:rFonts w:ascii="Garamond" w:hAnsi="Garamond"/>
          <w:sz w:val="22"/>
          <w:szCs w:val="22"/>
        </w:rPr>
        <w:t xml:space="preserve"> </w:t>
      </w:r>
      <w:r w:rsidRPr="00243C62">
        <w:rPr>
          <w:rFonts w:ascii="Garamond" w:hAnsi="Garamond"/>
          <w:sz w:val="22"/>
          <w:szCs w:val="22"/>
        </w:rPr>
        <w:t>O. (2001). Need for Cognition Versus Recognition: Self and Family Related Correlates. Yayımlanmamış Makale. Orta Doğu Teknik Üniversitesi, Ankara.</w:t>
      </w:r>
    </w:p>
    <w:p w14:paraId="60146999" w14:textId="77777777" w:rsidR="00D819BA" w:rsidRPr="00243C62" w:rsidRDefault="008867DA" w:rsidP="00DE46C5">
      <w:pPr>
        <w:spacing w:before="120" w:after="120" w:line="276" w:lineRule="auto"/>
        <w:ind w:hanging="709"/>
        <w:jc w:val="both"/>
        <w:rPr>
          <w:rFonts w:ascii="Garamond" w:hAnsi="Garamond" w:cs="Arial"/>
          <w:color w:val="000000" w:themeColor="text1"/>
          <w:sz w:val="22"/>
          <w:szCs w:val="22"/>
          <w:shd w:val="clear" w:color="auto" w:fill="FFFFFF"/>
        </w:rPr>
      </w:pPr>
      <w:r w:rsidRPr="00243C62">
        <w:rPr>
          <w:rFonts w:ascii="Garamond" w:hAnsi="Garamond" w:cs="Arial"/>
          <w:color w:val="000000" w:themeColor="text1"/>
          <w:sz w:val="22"/>
          <w:szCs w:val="22"/>
          <w:shd w:val="clear" w:color="auto" w:fill="FFFFFF"/>
        </w:rPr>
        <w:t>Kerpelman, J. L., &amp; Mosher, L. S. (2004). Rural African American adolescents' future orientation: The importance of self-efficacy, control and responsibility, and identity development. </w:t>
      </w:r>
      <w:r w:rsidRPr="00243C62">
        <w:rPr>
          <w:rFonts w:ascii="Garamond" w:hAnsi="Garamond" w:cs="Arial"/>
          <w:i/>
          <w:iCs/>
          <w:color w:val="000000" w:themeColor="text1"/>
          <w:sz w:val="22"/>
          <w:szCs w:val="22"/>
          <w:shd w:val="clear" w:color="auto" w:fill="FFFFFF"/>
        </w:rPr>
        <w:t>Identity</w:t>
      </w:r>
      <w:r w:rsidRPr="00243C62">
        <w:rPr>
          <w:rFonts w:ascii="Garamond" w:hAnsi="Garamond" w:cs="Arial"/>
          <w:color w:val="000000" w:themeColor="text1"/>
          <w:sz w:val="22"/>
          <w:szCs w:val="22"/>
          <w:shd w:val="clear" w:color="auto" w:fill="FFFFFF"/>
        </w:rPr>
        <w:t>, </w:t>
      </w:r>
      <w:r w:rsidRPr="00243C62">
        <w:rPr>
          <w:rFonts w:ascii="Garamond" w:hAnsi="Garamond" w:cs="Arial"/>
          <w:i/>
          <w:iCs/>
          <w:color w:val="000000" w:themeColor="text1"/>
          <w:sz w:val="22"/>
          <w:szCs w:val="22"/>
          <w:shd w:val="clear" w:color="auto" w:fill="FFFFFF"/>
        </w:rPr>
        <w:t>4</w:t>
      </w:r>
      <w:r w:rsidRPr="00243C62">
        <w:rPr>
          <w:rFonts w:ascii="Garamond" w:hAnsi="Garamond" w:cs="Arial"/>
          <w:color w:val="000000" w:themeColor="text1"/>
          <w:sz w:val="22"/>
          <w:szCs w:val="22"/>
          <w:shd w:val="clear" w:color="auto" w:fill="FFFFFF"/>
        </w:rPr>
        <w:t>(2), 187-208.</w:t>
      </w:r>
      <w:r w:rsidR="00D819BA" w:rsidRPr="00243C62">
        <w:rPr>
          <w:rFonts w:ascii="Garamond" w:hAnsi="Garamond" w:cs="Arial"/>
          <w:color w:val="000000" w:themeColor="text1"/>
          <w:sz w:val="22"/>
          <w:szCs w:val="22"/>
          <w:shd w:val="clear" w:color="auto" w:fill="FFFFFF"/>
        </w:rPr>
        <w:t xml:space="preserve"> </w:t>
      </w:r>
      <w:hyperlink r:id="rId22" w:history="1">
        <w:r w:rsidR="00D819BA" w:rsidRPr="00243C62">
          <w:rPr>
            <w:rStyle w:val="Kpr"/>
            <w:rFonts w:ascii="Garamond" w:hAnsi="Garamond" w:cs="Open Sans"/>
            <w:color w:val="000000" w:themeColor="text1"/>
            <w:sz w:val="22"/>
            <w:szCs w:val="22"/>
          </w:rPr>
          <w:t>https://doi.org/10.1207/s1532706xid0402_5</w:t>
        </w:r>
      </w:hyperlink>
    </w:p>
    <w:p w14:paraId="054D2C19" w14:textId="64893AAC" w:rsidR="00D819BA" w:rsidRPr="00243C62" w:rsidRDefault="00C26384" w:rsidP="00DE46C5">
      <w:pPr>
        <w:spacing w:before="120" w:after="120" w:line="276" w:lineRule="auto"/>
        <w:ind w:hanging="709"/>
        <w:jc w:val="both"/>
        <w:rPr>
          <w:rFonts w:ascii="Garamond" w:hAnsi="Garamond" w:cs="Arial"/>
          <w:color w:val="000000" w:themeColor="text1"/>
          <w:sz w:val="22"/>
          <w:szCs w:val="22"/>
          <w:shd w:val="clear" w:color="auto" w:fill="FFFFFF"/>
        </w:rPr>
      </w:pPr>
      <w:r w:rsidRPr="00243C62">
        <w:rPr>
          <w:rFonts w:ascii="Garamond" w:hAnsi="Garamond"/>
          <w:color w:val="222222"/>
          <w:sz w:val="22"/>
          <w:szCs w:val="22"/>
          <w:shd w:val="clear" w:color="auto" w:fill="FFFFFF"/>
        </w:rPr>
        <w:t>Kerpelman, J. L., Eryigit, S., &amp; Stephens, C. J. (2008). African American adolescents’ future education orientation: Associations with self-efficacy, ethnic identity, and perceived parental support. </w:t>
      </w:r>
      <w:r w:rsidRPr="00243C62">
        <w:rPr>
          <w:rFonts w:ascii="Garamond" w:hAnsi="Garamond"/>
          <w:i/>
          <w:iCs/>
          <w:color w:val="222222"/>
          <w:sz w:val="22"/>
          <w:szCs w:val="22"/>
          <w:shd w:val="clear" w:color="auto" w:fill="FFFFFF"/>
        </w:rPr>
        <w:t>Journal of Youth and Adolescence</w:t>
      </w:r>
      <w:r w:rsidRPr="00243C62">
        <w:rPr>
          <w:rFonts w:ascii="Garamond" w:hAnsi="Garamond"/>
          <w:color w:val="222222"/>
          <w:sz w:val="22"/>
          <w:szCs w:val="22"/>
          <w:shd w:val="clear" w:color="auto" w:fill="FFFFFF"/>
        </w:rPr>
        <w:t>, </w:t>
      </w:r>
      <w:r w:rsidRPr="00243C62">
        <w:rPr>
          <w:rFonts w:ascii="Garamond" w:hAnsi="Garamond"/>
          <w:i/>
          <w:iCs/>
          <w:color w:val="222222"/>
          <w:sz w:val="22"/>
          <w:szCs w:val="22"/>
          <w:shd w:val="clear" w:color="auto" w:fill="FFFFFF"/>
        </w:rPr>
        <w:t>37</w:t>
      </w:r>
      <w:r w:rsidRPr="00243C62">
        <w:rPr>
          <w:rFonts w:ascii="Garamond" w:hAnsi="Garamond"/>
          <w:color w:val="222222"/>
          <w:sz w:val="22"/>
          <w:szCs w:val="22"/>
          <w:shd w:val="clear" w:color="auto" w:fill="FFFFFF"/>
        </w:rPr>
        <w:t>, 997-1008</w:t>
      </w:r>
      <w:r w:rsidRPr="00243C62">
        <w:rPr>
          <w:rFonts w:ascii="Garamond" w:hAnsi="Garamond"/>
          <w:color w:val="000000" w:themeColor="text1"/>
          <w:sz w:val="22"/>
          <w:szCs w:val="22"/>
          <w:shd w:val="clear" w:color="auto" w:fill="FFFFFF"/>
        </w:rPr>
        <w:t>.</w:t>
      </w:r>
      <w:r w:rsidR="00D819BA" w:rsidRPr="00243C62">
        <w:rPr>
          <w:rFonts w:ascii="Garamond" w:hAnsi="Garamond"/>
          <w:color w:val="000000" w:themeColor="text1"/>
          <w:sz w:val="22"/>
          <w:szCs w:val="22"/>
          <w:shd w:val="clear" w:color="auto" w:fill="FFFFFF"/>
        </w:rPr>
        <w:t xml:space="preserve"> </w:t>
      </w:r>
      <w:hyperlink r:id="rId23" w:history="1">
        <w:r w:rsidR="00D819BA" w:rsidRPr="00243C62">
          <w:rPr>
            <w:rStyle w:val="Kpr"/>
            <w:rFonts w:ascii="Garamond" w:hAnsi="Garamond"/>
            <w:color w:val="000000" w:themeColor="text1"/>
            <w:sz w:val="22"/>
            <w:szCs w:val="22"/>
            <w:shd w:val="clear" w:color="auto" w:fill="FFFFFF"/>
          </w:rPr>
          <w:t>https://doi.org/10.1007/s10964-007-9201-7</w:t>
        </w:r>
      </w:hyperlink>
    </w:p>
    <w:p w14:paraId="59DC5E14" w14:textId="77777777" w:rsidR="00D819BA" w:rsidRPr="00243C62" w:rsidRDefault="00353B56" w:rsidP="00DE46C5">
      <w:pPr>
        <w:spacing w:before="120" w:after="120" w:line="276" w:lineRule="auto"/>
        <w:ind w:hanging="709"/>
        <w:jc w:val="both"/>
        <w:rPr>
          <w:rFonts w:ascii="Garamond" w:hAnsi="Garamond" w:cs="Arial"/>
          <w:color w:val="000000" w:themeColor="text1"/>
          <w:sz w:val="22"/>
          <w:szCs w:val="22"/>
          <w:shd w:val="clear" w:color="auto" w:fill="FFFFFF"/>
        </w:rPr>
      </w:pPr>
      <w:r w:rsidRPr="00243C62">
        <w:rPr>
          <w:rFonts w:ascii="Garamond" w:hAnsi="Garamond" w:cs="Arial"/>
          <w:color w:val="222222"/>
          <w:sz w:val="22"/>
          <w:szCs w:val="22"/>
          <w:shd w:val="clear" w:color="auto" w:fill="FFFFFF"/>
        </w:rPr>
        <w:t>Khampirat, B. (2020). The relationship between paternal education, self-esteem, resilience, future orientation, and career aspirations. </w:t>
      </w:r>
      <w:r w:rsidRPr="00243C62">
        <w:rPr>
          <w:rFonts w:ascii="Garamond" w:hAnsi="Garamond" w:cs="Arial"/>
          <w:i/>
          <w:iCs/>
          <w:color w:val="222222"/>
          <w:sz w:val="22"/>
          <w:szCs w:val="22"/>
          <w:shd w:val="clear" w:color="auto" w:fill="FFFFFF"/>
        </w:rPr>
        <w:t>Plos one</w:t>
      </w:r>
      <w:r w:rsidRPr="00243C62">
        <w:rPr>
          <w:rFonts w:ascii="Garamond" w:hAnsi="Garamond" w:cs="Arial"/>
          <w:color w:val="222222"/>
          <w:sz w:val="22"/>
          <w:szCs w:val="22"/>
          <w:shd w:val="clear" w:color="auto" w:fill="FFFFFF"/>
        </w:rPr>
        <w:t>, </w:t>
      </w:r>
      <w:r w:rsidRPr="00243C62">
        <w:rPr>
          <w:rFonts w:ascii="Garamond" w:hAnsi="Garamond" w:cs="Arial"/>
          <w:i/>
          <w:iCs/>
          <w:color w:val="222222"/>
          <w:sz w:val="22"/>
          <w:szCs w:val="22"/>
          <w:shd w:val="clear" w:color="auto" w:fill="FFFFFF"/>
        </w:rPr>
        <w:t>15</w:t>
      </w:r>
      <w:r w:rsidRPr="00243C62">
        <w:rPr>
          <w:rFonts w:ascii="Garamond" w:hAnsi="Garamond" w:cs="Arial"/>
          <w:color w:val="222222"/>
          <w:sz w:val="22"/>
          <w:szCs w:val="22"/>
          <w:shd w:val="clear" w:color="auto" w:fill="FFFFFF"/>
        </w:rPr>
        <w:t xml:space="preserve">(12). </w:t>
      </w:r>
      <w:proofErr w:type="gramStart"/>
      <w:r w:rsidR="00D819BA" w:rsidRPr="00243C62">
        <w:rPr>
          <w:rFonts w:ascii="Garamond" w:hAnsi="Garamond"/>
          <w:color w:val="212121"/>
          <w:sz w:val="22"/>
          <w:szCs w:val="22"/>
          <w:shd w:val="clear" w:color="auto" w:fill="FFFFFF"/>
        </w:rPr>
        <w:t>doi</w:t>
      </w:r>
      <w:proofErr w:type="gramEnd"/>
      <w:r w:rsidR="00D819BA" w:rsidRPr="00243C62">
        <w:rPr>
          <w:rFonts w:ascii="Garamond" w:hAnsi="Garamond"/>
          <w:color w:val="212121"/>
          <w:sz w:val="22"/>
          <w:szCs w:val="22"/>
          <w:shd w:val="clear" w:color="auto" w:fill="FFFFFF"/>
        </w:rPr>
        <w:t>: 10.1371/journal.pone.0243283</w:t>
      </w:r>
    </w:p>
    <w:p w14:paraId="5B4C538B" w14:textId="3DAABB33" w:rsidR="00353B56" w:rsidRPr="00243C62" w:rsidRDefault="00353B56" w:rsidP="00DE46C5">
      <w:pPr>
        <w:spacing w:before="120" w:after="120" w:line="276" w:lineRule="auto"/>
        <w:ind w:hanging="709"/>
        <w:jc w:val="both"/>
        <w:rPr>
          <w:rFonts w:ascii="Garamond" w:hAnsi="Garamond" w:cs="Arial"/>
          <w:color w:val="000000" w:themeColor="text1"/>
          <w:sz w:val="22"/>
          <w:szCs w:val="22"/>
          <w:shd w:val="clear" w:color="auto" w:fill="FFFFFF"/>
        </w:rPr>
      </w:pPr>
      <w:r w:rsidRPr="00243C62">
        <w:rPr>
          <w:rFonts w:ascii="Garamond" w:hAnsi="Garamond" w:cs="Arial"/>
          <w:color w:val="222222"/>
          <w:sz w:val="22"/>
          <w:szCs w:val="22"/>
          <w:shd w:val="clear" w:color="auto" w:fill="FFFFFF"/>
        </w:rPr>
        <w:t>Kline, T. J. (2005). </w:t>
      </w:r>
      <w:r w:rsidRPr="00243C62">
        <w:rPr>
          <w:rFonts w:ascii="Garamond" w:hAnsi="Garamond" w:cs="Arial"/>
          <w:i/>
          <w:iCs/>
          <w:color w:val="222222"/>
          <w:sz w:val="22"/>
          <w:szCs w:val="22"/>
          <w:shd w:val="clear" w:color="auto" w:fill="FFFFFF"/>
        </w:rPr>
        <w:t>Psychological testing: A practical approach to design and evaluation</w:t>
      </w:r>
      <w:r w:rsidRPr="00243C62">
        <w:rPr>
          <w:rFonts w:ascii="Garamond" w:hAnsi="Garamond" w:cs="Arial"/>
          <w:color w:val="222222"/>
          <w:sz w:val="22"/>
          <w:szCs w:val="22"/>
          <w:shd w:val="clear" w:color="auto" w:fill="FFFFFF"/>
        </w:rPr>
        <w:t>. Sage publications.</w:t>
      </w:r>
    </w:p>
    <w:p w14:paraId="5D798E1F" w14:textId="77777777" w:rsidR="00796646" w:rsidRPr="00243C62" w:rsidRDefault="00353B56" w:rsidP="00DE46C5">
      <w:pPr>
        <w:spacing w:before="120" w:line="276" w:lineRule="auto"/>
        <w:ind w:hanging="709"/>
        <w:jc w:val="both"/>
        <w:rPr>
          <w:rFonts w:ascii="Garamond" w:hAnsi="Garamond"/>
          <w:color w:val="000000"/>
          <w:sz w:val="22"/>
          <w:szCs w:val="22"/>
          <w:shd w:val="clear" w:color="auto" w:fill="FFFFFF"/>
        </w:rPr>
      </w:pPr>
      <w:r w:rsidRPr="00243C62">
        <w:rPr>
          <w:rFonts w:ascii="Garamond" w:hAnsi="Garamond"/>
          <w:color w:val="000000"/>
          <w:sz w:val="22"/>
          <w:szCs w:val="22"/>
          <w:shd w:val="clear" w:color="auto" w:fill="FFFFFF"/>
        </w:rPr>
        <w:t>Kline, R. B. (2011). </w:t>
      </w:r>
      <w:r w:rsidRPr="00243C62">
        <w:rPr>
          <w:rFonts w:ascii="Garamond" w:hAnsi="Garamond"/>
          <w:i/>
          <w:iCs/>
          <w:color w:val="000000"/>
          <w:sz w:val="22"/>
          <w:szCs w:val="22"/>
          <w:shd w:val="clear" w:color="auto" w:fill="FFFFFF"/>
        </w:rPr>
        <w:t>Principles and practice of structural equation modeling</w:t>
      </w:r>
      <w:r w:rsidRPr="00243C62">
        <w:rPr>
          <w:rFonts w:ascii="Garamond" w:hAnsi="Garamond"/>
          <w:color w:val="000000"/>
          <w:sz w:val="22"/>
          <w:szCs w:val="22"/>
          <w:shd w:val="clear" w:color="auto" w:fill="FFFFFF"/>
        </w:rPr>
        <w:t>. New York: Guilford Press.</w:t>
      </w:r>
    </w:p>
    <w:p w14:paraId="4A85318F" w14:textId="632354D0" w:rsidR="00796646" w:rsidRPr="00243C62" w:rsidRDefault="008867DA" w:rsidP="00DE46C5">
      <w:pPr>
        <w:spacing w:before="120" w:line="276" w:lineRule="auto"/>
        <w:ind w:hanging="709"/>
        <w:jc w:val="both"/>
        <w:rPr>
          <w:rFonts w:ascii="Garamond" w:hAnsi="Garamond"/>
          <w:color w:val="000000"/>
          <w:sz w:val="22"/>
          <w:szCs w:val="22"/>
          <w:shd w:val="clear" w:color="auto" w:fill="FFFFFF"/>
        </w:rPr>
      </w:pPr>
      <w:r w:rsidRPr="00243C62">
        <w:rPr>
          <w:rFonts w:ascii="Garamond" w:hAnsi="Garamond"/>
          <w:color w:val="222222"/>
          <w:sz w:val="22"/>
          <w:szCs w:val="22"/>
          <w:shd w:val="clear" w:color="auto" w:fill="FFFFFF"/>
        </w:rPr>
        <w:t>Kim, D. H., Bassett, S. M., So, S., &amp; Voisin, D. R. (2019). Family stress and youth mental health problems: Self-efficacy and future orientation mediation. </w:t>
      </w:r>
      <w:r w:rsidRPr="00243C62">
        <w:rPr>
          <w:rFonts w:ascii="Garamond" w:hAnsi="Garamond"/>
          <w:i/>
          <w:iCs/>
          <w:color w:val="222222"/>
          <w:sz w:val="22"/>
          <w:szCs w:val="22"/>
          <w:shd w:val="clear" w:color="auto" w:fill="FFFFFF"/>
        </w:rPr>
        <w:t>American Journal of Orthopsychiatry</w:t>
      </w:r>
      <w:r w:rsidRPr="00243C62">
        <w:rPr>
          <w:rFonts w:ascii="Garamond" w:hAnsi="Garamond"/>
          <w:color w:val="222222"/>
          <w:sz w:val="22"/>
          <w:szCs w:val="22"/>
          <w:shd w:val="clear" w:color="auto" w:fill="FFFFFF"/>
        </w:rPr>
        <w:t>, </w:t>
      </w:r>
      <w:r w:rsidRPr="00243C62">
        <w:rPr>
          <w:rFonts w:ascii="Garamond" w:hAnsi="Garamond"/>
          <w:i/>
          <w:iCs/>
          <w:color w:val="222222"/>
          <w:sz w:val="22"/>
          <w:szCs w:val="22"/>
          <w:shd w:val="clear" w:color="auto" w:fill="FFFFFF"/>
        </w:rPr>
        <w:t>89</w:t>
      </w:r>
      <w:r w:rsidRPr="00243C62">
        <w:rPr>
          <w:rFonts w:ascii="Garamond" w:hAnsi="Garamond"/>
          <w:color w:val="222222"/>
          <w:sz w:val="22"/>
          <w:szCs w:val="22"/>
          <w:shd w:val="clear" w:color="auto" w:fill="FFFFFF"/>
        </w:rPr>
        <w:t>(2), 125.</w:t>
      </w:r>
      <w:r w:rsidR="00796646" w:rsidRPr="00243C62">
        <w:rPr>
          <w:rFonts w:ascii="Garamond" w:hAnsi="Garamond"/>
          <w:color w:val="212121"/>
          <w:sz w:val="22"/>
          <w:szCs w:val="22"/>
          <w:shd w:val="clear" w:color="auto" w:fill="FFFFFF"/>
        </w:rPr>
        <w:t xml:space="preserve">  https://doi.org/10.1037/ort0000371</w:t>
      </w:r>
    </w:p>
    <w:p w14:paraId="008526A4" w14:textId="77777777" w:rsidR="00B57537" w:rsidRPr="00243C62" w:rsidRDefault="00353B56" w:rsidP="00DE46C5">
      <w:pPr>
        <w:spacing w:before="120" w:after="120" w:line="276" w:lineRule="auto"/>
        <w:ind w:hanging="709"/>
        <w:jc w:val="both"/>
        <w:rPr>
          <w:rFonts w:ascii="Garamond" w:hAnsi="Garamond" w:cs="Arial"/>
          <w:color w:val="222222"/>
          <w:sz w:val="22"/>
          <w:szCs w:val="22"/>
          <w:shd w:val="clear" w:color="auto" w:fill="FFFFFF"/>
        </w:rPr>
      </w:pPr>
      <w:r w:rsidRPr="00243C62">
        <w:rPr>
          <w:rFonts w:ascii="Garamond" w:hAnsi="Garamond" w:cs="Arial"/>
          <w:color w:val="222222"/>
          <w:sz w:val="22"/>
          <w:szCs w:val="22"/>
          <w:shd w:val="clear" w:color="auto" w:fill="FFFFFF"/>
        </w:rPr>
        <w:t>Lin, S., Longobardi, C., &amp; Bozzato, P. (2022). The Impact of Academic Self-efficacy on Academic Motivation: The Mediating and Moderating Role of Future Orientation Among Italian Undergraduate Students. In </w:t>
      </w:r>
      <w:r w:rsidRPr="00243C62">
        <w:rPr>
          <w:rFonts w:ascii="Garamond" w:hAnsi="Garamond" w:cs="Arial"/>
          <w:i/>
          <w:iCs/>
          <w:color w:val="222222"/>
          <w:sz w:val="22"/>
          <w:szCs w:val="22"/>
          <w:shd w:val="clear" w:color="auto" w:fill="FFFFFF"/>
        </w:rPr>
        <w:t>Academic Self-efficacy in Education: Nature, Assessment, and Research</w:t>
      </w:r>
      <w:r w:rsidRPr="00243C62">
        <w:rPr>
          <w:rFonts w:ascii="Garamond" w:hAnsi="Garamond" w:cs="Arial"/>
          <w:color w:val="222222"/>
          <w:sz w:val="22"/>
          <w:szCs w:val="22"/>
          <w:shd w:val="clear" w:color="auto" w:fill="FFFFFF"/>
        </w:rPr>
        <w:t> (pp. 191-209). Singapore: Springer Singapore.</w:t>
      </w:r>
    </w:p>
    <w:p w14:paraId="34CAD380" w14:textId="4DF4A01A" w:rsidR="00B57537" w:rsidRPr="00243C62" w:rsidRDefault="00353B56" w:rsidP="00DE46C5">
      <w:pPr>
        <w:spacing w:before="120" w:after="120" w:line="276" w:lineRule="auto"/>
        <w:ind w:hanging="709"/>
        <w:jc w:val="both"/>
        <w:rPr>
          <w:rFonts w:ascii="Garamond" w:hAnsi="Garamond" w:cs="Arial"/>
          <w:color w:val="000000" w:themeColor="text1"/>
          <w:sz w:val="22"/>
          <w:szCs w:val="22"/>
          <w:shd w:val="clear" w:color="auto" w:fill="FFFFFF"/>
        </w:rPr>
      </w:pPr>
      <w:r w:rsidRPr="00243C62">
        <w:rPr>
          <w:rFonts w:ascii="Garamond" w:hAnsi="Garamond" w:cs="Arial"/>
          <w:color w:val="222222"/>
          <w:sz w:val="22"/>
          <w:szCs w:val="22"/>
          <w:shd w:val="clear" w:color="auto" w:fill="FFFFFF"/>
        </w:rPr>
        <w:t>Lindstrom Johnson, S., Pas, E., &amp; Bradshaw, C. P. (2016). Understanding the association between school climate and future orientation. </w:t>
      </w:r>
      <w:r w:rsidRPr="00243C62">
        <w:rPr>
          <w:rFonts w:ascii="Garamond" w:hAnsi="Garamond" w:cs="Arial"/>
          <w:i/>
          <w:iCs/>
          <w:color w:val="222222"/>
          <w:sz w:val="22"/>
          <w:szCs w:val="22"/>
          <w:shd w:val="clear" w:color="auto" w:fill="FFFFFF"/>
        </w:rPr>
        <w:t xml:space="preserve">Journal of </w:t>
      </w:r>
      <w:r w:rsidR="00022637" w:rsidRPr="00243C62">
        <w:rPr>
          <w:rFonts w:ascii="Garamond" w:hAnsi="Garamond" w:cs="Arial"/>
          <w:i/>
          <w:iCs/>
          <w:color w:val="222222"/>
          <w:sz w:val="22"/>
          <w:szCs w:val="22"/>
          <w:shd w:val="clear" w:color="auto" w:fill="FFFFFF"/>
        </w:rPr>
        <w:t>Y</w:t>
      </w:r>
      <w:r w:rsidRPr="00243C62">
        <w:rPr>
          <w:rFonts w:ascii="Garamond" w:hAnsi="Garamond" w:cs="Arial"/>
          <w:i/>
          <w:iCs/>
          <w:color w:val="222222"/>
          <w:sz w:val="22"/>
          <w:szCs w:val="22"/>
          <w:shd w:val="clear" w:color="auto" w:fill="FFFFFF"/>
        </w:rPr>
        <w:t xml:space="preserve">outh and </w:t>
      </w:r>
      <w:r w:rsidR="00022637" w:rsidRPr="00243C62">
        <w:rPr>
          <w:rFonts w:ascii="Garamond" w:hAnsi="Garamond" w:cs="Arial"/>
          <w:i/>
          <w:iCs/>
          <w:color w:val="222222"/>
          <w:sz w:val="22"/>
          <w:szCs w:val="22"/>
          <w:shd w:val="clear" w:color="auto" w:fill="FFFFFF"/>
        </w:rPr>
        <w:t>A</w:t>
      </w:r>
      <w:r w:rsidRPr="00243C62">
        <w:rPr>
          <w:rFonts w:ascii="Garamond" w:hAnsi="Garamond" w:cs="Arial"/>
          <w:i/>
          <w:iCs/>
          <w:color w:val="222222"/>
          <w:sz w:val="22"/>
          <w:szCs w:val="22"/>
          <w:shd w:val="clear" w:color="auto" w:fill="FFFFFF"/>
        </w:rPr>
        <w:t>dolescence</w:t>
      </w:r>
      <w:r w:rsidRPr="00243C62">
        <w:rPr>
          <w:rFonts w:ascii="Garamond" w:hAnsi="Garamond" w:cs="Arial"/>
          <w:color w:val="222222"/>
          <w:sz w:val="22"/>
          <w:szCs w:val="22"/>
          <w:shd w:val="clear" w:color="auto" w:fill="FFFFFF"/>
        </w:rPr>
        <w:t>, </w:t>
      </w:r>
      <w:r w:rsidRPr="00243C62">
        <w:rPr>
          <w:rFonts w:ascii="Garamond" w:hAnsi="Garamond" w:cs="Arial"/>
          <w:i/>
          <w:iCs/>
          <w:color w:val="222222"/>
          <w:sz w:val="22"/>
          <w:szCs w:val="22"/>
          <w:shd w:val="clear" w:color="auto" w:fill="FFFFFF"/>
        </w:rPr>
        <w:t>45</w:t>
      </w:r>
      <w:r w:rsidRPr="00243C62">
        <w:rPr>
          <w:rFonts w:ascii="Garamond" w:hAnsi="Garamond" w:cs="Arial"/>
          <w:color w:val="222222"/>
          <w:sz w:val="22"/>
          <w:szCs w:val="22"/>
          <w:shd w:val="clear" w:color="auto" w:fill="FFFFFF"/>
        </w:rPr>
        <w:t xml:space="preserve">, </w:t>
      </w:r>
      <w:r w:rsidRPr="00243C62">
        <w:rPr>
          <w:rFonts w:ascii="Garamond" w:hAnsi="Garamond" w:cs="Arial"/>
          <w:color w:val="000000" w:themeColor="text1"/>
          <w:sz w:val="22"/>
          <w:szCs w:val="22"/>
          <w:shd w:val="clear" w:color="auto" w:fill="FFFFFF"/>
        </w:rPr>
        <w:t>1575-1586.</w:t>
      </w:r>
      <w:r w:rsidR="00B57537" w:rsidRPr="00243C62">
        <w:rPr>
          <w:rFonts w:ascii="Garamond" w:hAnsi="Garamond" w:cs="Arial"/>
          <w:color w:val="000000" w:themeColor="text1"/>
          <w:sz w:val="22"/>
          <w:szCs w:val="22"/>
          <w:shd w:val="clear" w:color="auto" w:fill="FFFFFF"/>
        </w:rPr>
        <w:t xml:space="preserve"> </w:t>
      </w:r>
      <w:hyperlink r:id="rId24" w:history="1">
        <w:r w:rsidR="00B57537" w:rsidRPr="00243C62">
          <w:rPr>
            <w:rStyle w:val="Kpr"/>
            <w:rFonts w:ascii="Garamond" w:hAnsi="Garamond" w:cs="Segoe UI"/>
            <w:color w:val="000000" w:themeColor="text1"/>
            <w:sz w:val="22"/>
            <w:szCs w:val="22"/>
            <w:shd w:val="clear" w:color="auto" w:fill="FFFFFF"/>
          </w:rPr>
          <w:t>https://doi.org/10.1007/s10964-015-0321-1</w:t>
        </w:r>
      </w:hyperlink>
    </w:p>
    <w:p w14:paraId="3A149B21" w14:textId="77777777" w:rsidR="00B57537" w:rsidRPr="00243C62" w:rsidRDefault="00C26384" w:rsidP="00DE46C5">
      <w:pPr>
        <w:spacing w:before="120" w:after="120" w:line="276" w:lineRule="auto"/>
        <w:ind w:hanging="709"/>
        <w:jc w:val="both"/>
        <w:rPr>
          <w:rFonts w:ascii="Garamond" w:hAnsi="Garamond" w:cs="Arial"/>
          <w:color w:val="000000" w:themeColor="text1"/>
          <w:sz w:val="22"/>
          <w:szCs w:val="22"/>
          <w:shd w:val="clear" w:color="auto" w:fill="FFFFFF"/>
        </w:rPr>
      </w:pPr>
      <w:r w:rsidRPr="00243C62">
        <w:rPr>
          <w:rFonts w:ascii="Garamond" w:hAnsi="Garamond"/>
          <w:color w:val="000000" w:themeColor="text1"/>
          <w:sz w:val="22"/>
          <w:szCs w:val="22"/>
          <w:shd w:val="clear" w:color="auto" w:fill="FFFFFF"/>
        </w:rPr>
        <w:t>Mazzetti, G., Paolucci, A., Guglielmi, D., &amp; Vannini, I. (2020). The impact of learning strategies and future orientation on academic success: The moderating role of academic self-efficacy among Italian undergraduate students. </w:t>
      </w:r>
      <w:r w:rsidRPr="00243C62">
        <w:rPr>
          <w:rFonts w:ascii="Garamond" w:hAnsi="Garamond"/>
          <w:i/>
          <w:iCs/>
          <w:color w:val="000000" w:themeColor="text1"/>
          <w:sz w:val="22"/>
          <w:szCs w:val="22"/>
          <w:shd w:val="clear" w:color="auto" w:fill="FFFFFF"/>
        </w:rPr>
        <w:t>Education Sciences</w:t>
      </w:r>
      <w:r w:rsidRPr="00243C62">
        <w:rPr>
          <w:rFonts w:ascii="Garamond" w:hAnsi="Garamond"/>
          <w:color w:val="000000" w:themeColor="text1"/>
          <w:sz w:val="22"/>
          <w:szCs w:val="22"/>
          <w:shd w:val="clear" w:color="auto" w:fill="FFFFFF"/>
        </w:rPr>
        <w:t>, </w:t>
      </w:r>
      <w:r w:rsidRPr="00243C62">
        <w:rPr>
          <w:rFonts w:ascii="Garamond" w:hAnsi="Garamond"/>
          <w:i/>
          <w:iCs/>
          <w:color w:val="000000" w:themeColor="text1"/>
          <w:sz w:val="22"/>
          <w:szCs w:val="22"/>
          <w:shd w:val="clear" w:color="auto" w:fill="FFFFFF"/>
        </w:rPr>
        <w:t>10</w:t>
      </w:r>
      <w:r w:rsidRPr="00243C62">
        <w:rPr>
          <w:rFonts w:ascii="Garamond" w:hAnsi="Garamond"/>
          <w:color w:val="000000" w:themeColor="text1"/>
          <w:sz w:val="22"/>
          <w:szCs w:val="22"/>
          <w:shd w:val="clear" w:color="auto" w:fill="FFFFFF"/>
        </w:rPr>
        <w:t>(5), 134.</w:t>
      </w:r>
      <w:r w:rsidR="00B57537" w:rsidRPr="00243C62">
        <w:rPr>
          <w:rFonts w:ascii="Garamond" w:hAnsi="Garamond"/>
          <w:color w:val="000000" w:themeColor="text1"/>
          <w:sz w:val="22"/>
          <w:szCs w:val="22"/>
          <w:shd w:val="clear" w:color="auto" w:fill="FFFFFF"/>
        </w:rPr>
        <w:t xml:space="preserve"> </w:t>
      </w:r>
      <w:hyperlink r:id="rId25" w:history="1">
        <w:r w:rsidR="00B57537" w:rsidRPr="00243C62">
          <w:rPr>
            <w:rStyle w:val="Kpr"/>
            <w:rFonts w:ascii="Garamond" w:hAnsi="Garamond" w:cs="Arial"/>
            <w:color w:val="000000" w:themeColor="text1"/>
            <w:sz w:val="22"/>
            <w:szCs w:val="22"/>
            <w:shd w:val="clear" w:color="auto" w:fill="FFFFFF"/>
          </w:rPr>
          <w:t>https://doi.org/10.3390/educsci10050134</w:t>
        </w:r>
      </w:hyperlink>
    </w:p>
    <w:p w14:paraId="51FD9296" w14:textId="484C8199" w:rsidR="00B57537" w:rsidRPr="00243C62" w:rsidRDefault="008867DA" w:rsidP="00DE46C5">
      <w:pPr>
        <w:spacing w:before="120" w:after="120" w:line="276" w:lineRule="auto"/>
        <w:ind w:hanging="709"/>
        <w:jc w:val="both"/>
        <w:rPr>
          <w:rFonts w:ascii="Garamond" w:hAnsi="Garamond" w:cs="Arial"/>
          <w:color w:val="000000" w:themeColor="text1"/>
          <w:sz w:val="22"/>
          <w:szCs w:val="22"/>
          <w:shd w:val="clear" w:color="auto" w:fill="FFFFFF"/>
        </w:rPr>
      </w:pPr>
      <w:r w:rsidRPr="00243C62">
        <w:rPr>
          <w:rFonts w:ascii="Garamond" w:hAnsi="Garamond" w:cs="Arial"/>
          <w:color w:val="000000" w:themeColor="text1"/>
          <w:sz w:val="22"/>
          <w:szCs w:val="22"/>
          <w:shd w:val="clear" w:color="auto" w:fill="FFFFFF"/>
        </w:rPr>
        <w:t>Miao, M., Zheng, L., &amp; Gan, Y. (2021). Future-oriented function of meaning in life: Promoting hope via future temporal focus. </w:t>
      </w:r>
      <w:r w:rsidRPr="00243C62">
        <w:rPr>
          <w:rFonts w:ascii="Garamond" w:hAnsi="Garamond" w:cs="Arial"/>
          <w:i/>
          <w:iCs/>
          <w:color w:val="000000" w:themeColor="text1"/>
          <w:sz w:val="22"/>
          <w:szCs w:val="22"/>
          <w:shd w:val="clear" w:color="auto" w:fill="FFFFFF"/>
        </w:rPr>
        <w:t>Personality and Individual Differences</w:t>
      </w:r>
      <w:r w:rsidRPr="00243C62">
        <w:rPr>
          <w:rFonts w:ascii="Garamond" w:hAnsi="Garamond" w:cs="Arial"/>
          <w:color w:val="000000" w:themeColor="text1"/>
          <w:sz w:val="22"/>
          <w:szCs w:val="22"/>
          <w:shd w:val="clear" w:color="auto" w:fill="FFFFFF"/>
        </w:rPr>
        <w:t>, </w:t>
      </w:r>
      <w:r w:rsidRPr="00243C62">
        <w:rPr>
          <w:rFonts w:ascii="Garamond" w:hAnsi="Garamond" w:cs="Arial"/>
          <w:i/>
          <w:iCs/>
          <w:color w:val="000000" w:themeColor="text1"/>
          <w:sz w:val="22"/>
          <w:szCs w:val="22"/>
          <w:shd w:val="clear" w:color="auto" w:fill="FFFFFF"/>
        </w:rPr>
        <w:t>179</w:t>
      </w:r>
      <w:r w:rsidRPr="00243C62">
        <w:rPr>
          <w:rFonts w:ascii="Garamond" w:hAnsi="Garamond" w:cs="Arial"/>
          <w:color w:val="000000" w:themeColor="text1"/>
          <w:sz w:val="22"/>
          <w:szCs w:val="22"/>
          <w:shd w:val="clear" w:color="auto" w:fill="FFFFFF"/>
        </w:rPr>
        <w:t>, 110897</w:t>
      </w:r>
      <w:r w:rsidR="00C86992" w:rsidRPr="00243C62">
        <w:rPr>
          <w:rFonts w:ascii="Garamond" w:hAnsi="Garamond" w:cs="Arial"/>
          <w:color w:val="000000" w:themeColor="text1"/>
          <w:sz w:val="22"/>
          <w:szCs w:val="22"/>
          <w:shd w:val="clear" w:color="auto" w:fill="FFFFFF"/>
        </w:rPr>
        <w:t>.</w:t>
      </w:r>
      <w:r w:rsidR="00B57537" w:rsidRPr="00243C62">
        <w:rPr>
          <w:rFonts w:ascii="Garamond" w:hAnsi="Garamond" w:cs="Arial"/>
          <w:color w:val="000000" w:themeColor="text1"/>
          <w:sz w:val="22"/>
          <w:szCs w:val="22"/>
          <w:shd w:val="clear" w:color="auto" w:fill="FFFFFF"/>
        </w:rPr>
        <w:t xml:space="preserve"> </w:t>
      </w:r>
      <w:hyperlink r:id="rId26" w:tgtFrame="_blank" w:tooltip="Persistent link using digital object identifier" w:history="1">
        <w:r w:rsidR="00B57537" w:rsidRPr="00243C62">
          <w:rPr>
            <w:rFonts w:ascii="Garamond" w:hAnsi="Garamond" w:cs="Arial"/>
            <w:color w:val="000000" w:themeColor="text1"/>
            <w:sz w:val="22"/>
            <w:szCs w:val="22"/>
          </w:rPr>
          <w:t>https://doi.org/10.1016/j.paid.2021.110897</w:t>
        </w:r>
      </w:hyperlink>
    </w:p>
    <w:p w14:paraId="443EEA08" w14:textId="77777777" w:rsidR="0013005C" w:rsidRPr="00243C62" w:rsidRDefault="00353B56" w:rsidP="00DE46C5">
      <w:pPr>
        <w:spacing w:before="120" w:after="120" w:line="276" w:lineRule="auto"/>
        <w:ind w:hanging="709"/>
        <w:jc w:val="both"/>
        <w:rPr>
          <w:rFonts w:ascii="Garamond" w:hAnsi="Garamond"/>
          <w:sz w:val="22"/>
          <w:szCs w:val="22"/>
        </w:rPr>
      </w:pPr>
      <w:r w:rsidRPr="00243C62">
        <w:rPr>
          <w:rFonts w:ascii="Garamond" w:hAnsi="Garamond"/>
          <w:sz w:val="22"/>
          <w:szCs w:val="22"/>
        </w:rPr>
        <w:t>Nunnally, J. C., &amp; Bernstein, I. H. (1994). Psychometric theory. New York: McGraw-Hill.</w:t>
      </w:r>
    </w:p>
    <w:p w14:paraId="46E56582" w14:textId="77777777" w:rsidR="0013005C" w:rsidRPr="00243C62" w:rsidRDefault="00353B56" w:rsidP="00DE46C5">
      <w:pPr>
        <w:spacing w:before="120" w:after="120" w:line="276" w:lineRule="auto"/>
        <w:ind w:hanging="709"/>
        <w:jc w:val="both"/>
        <w:rPr>
          <w:rFonts w:ascii="Garamond" w:hAnsi="Garamond" w:cs="Arial"/>
          <w:color w:val="000000" w:themeColor="text1"/>
          <w:sz w:val="22"/>
          <w:szCs w:val="22"/>
          <w:shd w:val="clear" w:color="auto" w:fill="FFFFFF"/>
        </w:rPr>
      </w:pPr>
      <w:r w:rsidRPr="00243C62">
        <w:rPr>
          <w:rFonts w:ascii="Garamond" w:hAnsi="Garamond" w:cs="Arial"/>
          <w:color w:val="000000" w:themeColor="text1"/>
          <w:sz w:val="22"/>
          <w:szCs w:val="22"/>
          <w:shd w:val="clear" w:color="auto" w:fill="FFFFFF"/>
        </w:rPr>
        <w:t>Nurmi, J. E. (1989). Development of orientation to the future during early adolescence: a four</w:t>
      </w:r>
      <w:r w:rsidRPr="00243C62">
        <w:rPr>
          <w:rFonts w:ascii="Cambria Math" w:hAnsi="Cambria Math" w:cs="Cambria Math"/>
          <w:color w:val="000000" w:themeColor="text1"/>
          <w:sz w:val="22"/>
          <w:szCs w:val="22"/>
          <w:shd w:val="clear" w:color="auto" w:fill="FFFFFF"/>
        </w:rPr>
        <w:t>‐</w:t>
      </w:r>
      <w:r w:rsidRPr="00243C62">
        <w:rPr>
          <w:rFonts w:ascii="Garamond" w:hAnsi="Garamond" w:cs="Arial"/>
          <w:color w:val="000000" w:themeColor="text1"/>
          <w:sz w:val="22"/>
          <w:szCs w:val="22"/>
          <w:shd w:val="clear" w:color="auto" w:fill="FFFFFF"/>
        </w:rPr>
        <w:t>year longitudinal study and two cross</w:t>
      </w:r>
      <w:r w:rsidRPr="00243C62">
        <w:rPr>
          <w:rFonts w:ascii="Cambria Math" w:hAnsi="Cambria Math" w:cs="Cambria Math"/>
          <w:color w:val="000000" w:themeColor="text1"/>
          <w:sz w:val="22"/>
          <w:szCs w:val="22"/>
          <w:shd w:val="clear" w:color="auto" w:fill="FFFFFF"/>
        </w:rPr>
        <w:t>‐</w:t>
      </w:r>
      <w:r w:rsidRPr="00243C62">
        <w:rPr>
          <w:rFonts w:ascii="Garamond" w:hAnsi="Garamond" w:cs="Arial"/>
          <w:color w:val="000000" w:themeColor="text1"/>
          <w:sz w:val="22"/>
          <w:szCs w:val="22"/>
          <w:shd w:val="clear" w:color="auto" w:fill="FFFFFF"/>
        </w:rPr>
        <w:t>sectional comparisons. </w:t>
      </w:r>
      <w:r w:rsidRPr="00243C62">
        <w:rPr>
          <w:rFonts w:ascii="Garamond" w:hAnsi="Garamond" w:cs="Arial"/>
          <w:i/>
          <w:iCs/>
          <w:color w:val="000000" w:themeColor="text1"/>
          <w:sz w:val="22"/>
          <w:szCs w:val="22"/>
          <w:shd w:val="clear" w:color="auto" w:fill="FFFFFF"/>
        </w:rPr>
        <w:t>International Journal of Psychology</w:t>
      </w:r>
      <w:r w:rsidRPr="00243C62">
        <w:rPr>
          <w:rFonts w:ascii="Garamond" w:hAnsi="Garamond" w:cs="Arial"/>
          <w:color w:val="000000" w:themeColor="text1"/>
          <w:sz w:val="22"/>
          <w:szCs w:val="22"/>
          <w:shd w:val="clear" w:color="auto" w:fill="FFFFFF"/>
        </w:rPr>
        <w:t>, </w:t>
      </w:r>
      <w:r w:rsidRPr="00243C62">
        <w:rPr>
          <w:rFonts w:ascii="Garamond" w:hAnsi="Garamond" w:cs="Arial"/>
          <w:i/>
          <w:iCs/>
          <w:color w:val="000000" w:themeColor="text1"/>
          <w:sz w:val="22"/>
          <w:szCs w:val="22"/>
          <w:shd w:val="clear" w:color="auto" w:fill="FFFFFF"/>
        </w:rPr>
        <w:t>24</w:t>
      </w:r>
      <w:r w:rsidRPr="00243C62">
        <w:rPr>
          <w:rFonts w:ascii="Garamond" w:hAnsi="Garamond" w:cs="Arial"/>
          <w:color w:val="000000" w:themeColor="text1"/>
          <w:sz w:val="22"/>
          <w:szCs w:val="22"/>
          <w:shd w:val="clear" w:color="auto" w:fill="FFFFFF"/>
        </w:rPr>
        <w:t>(1-5), 195-214.</w:t>
      </w:r>
      <w:r w:rsidR="0013005C" w:rsidRPr="00243C62">
        <w:rPr>
          <w:rFonts w:ascii="Garamond" w:hAnsi="Garamond" w:cs="Arial"/>
          <w:color w:val="000000" w:themeColor="text1"/>
          <w:sz w:val="22"/>
          <w:szCs w:val="22"/>
          <w:shd w:val="clear" w:color="auto" w:fill="FFFFFF"/>
        </w:rPr>
        <w:t xml:space="preserve"> </w:t>
      </w:r>
      <w:hyperlink r:id="rId27" w:history="1">
        <w:r w:rsidR="0013005C" w:rsidRPr="00243C62">
          <w:rPr>
            <w:rStyle w:val="Kpr"/>
            <w:rFonts w:ascii="Garamond" w:hAnsi="Garamond" w:cs="Open Sans"/>
            <w:color w:val="000000" w:themeColor="text1"/>
            <w:sz w:val="22"/>
            <w:szCs w:val="22"/>
          </w:rPr>
          <w:t>https://doi.org/10.1080/00207594.1989.10600042</w:t>
        </w:r>
      </w:hyperlink>
    </w:p>
    <w:p w14:paraId="6BC79D8A" w14:textId="77777777" w:rsidR="003101B0" w:rsidRPr="00243C62" w:rsidRDefault="00353B56" w:rsidP="00DE46C5">
      <w:pPr>
        <w:spacing w:before="120" w:after="120" w:line="276" w:lineRule="auto"/>
        <w:ind w:hanging="709"/>
        <w:jc w:val="both"/>
        <w:rPr>
          <w:rFonts w:ascii="Garamond" w:hAnsi="Garamond" w:cs="Arial"/>
          <w:color w:val="000000" w:themeColor="text1"/>
          <w:sz w:val="22"/>
          <w:szCs w:val="22"/>
          <w:shd w:val="clear" w:color="auto" w:fill="FFFFFF"/>
        </w:rPr>
      </w:pPr>
      <w:r w:rsidRPr="00243C62">
        <w:rPr>
          <w:rFonts w:ascii="Garamond" w:hAnsi="Garamond"/>
          <w:color w:val="000000" w:themeColor="text1"/>
          <w:sz w:val="22"/>
          <w:szCs w:val="22"/>
          <w:shd w:val="clear" w:color="auto" w:fill="FFFFFF"/>
        </w:rPr>
        <w:t>Nurmi, J. E., Poole, M. E., &amp; Seginer, R. (1995). Tracks and transitions-a comparison of adolescent future-oriented goals, explorations, and commitments in Australia, Israel, and Finland. </w:t>
      </w:r>
      <w:r w:rsidRPr="00243C62">
        <w:rPr>
          <w:rFonts w:ascii="Garamond" w:hAnsi="Garamond"/>
          <w:i/>
          <w:iCs/>
          <w:color w:val="000000" w:themeColor="text1"/>
          <w:sz w:val="22"/>
          <w:szCs w:val="22"/>
          <w:shd w:val="clear" w:color="auto" w:fill="FFFFFF"/>
        </w:rPr>
        <w:t>International Journal of Psychology</w:t>
      </w:r>
      <w:r w:rsidRPr="00243C62">
        <w:rPr>
          <w:rFonts w:ascii="Garamond" w:hAnsi="Garamond"/>
          <w:color w:val="000000" w:themeColor="text1"/>
          <w:sz w:val="22"/>
          <w:szCs w:val="22"/>
          <w:shd w:val="clear" w:color="auto" w:fill="FFFFFF"/>
        </w:rPr>
        <w:t>, </w:t>
      </w:r>
      <w:r w:rsidRPr="00243C62">
        <w:rPr>
          <w:rFonts w:ascii="Garamond" w:hAnsi="Garamond"/>
          <w:i/>
          <w:iCs/>
          <w:color w:val="000000" w:themeColor="text1"/>
          <w:sz w:val="22"/>
          <w:szCs w:val="22"/>
          <w:shd w:val="clear" w:color="auto" w:fill="FFFFFF"/>
        </w:rPr>
        <w:t>30</w:t>
      </w:r>
      <w:r w:rsidRPr="00243C62">
        <w:rPr>
          <w:rFonts w:ascii="Garamond" w:hAnsi="Garamond"/>
          <w:color w:val="000000" w:themeColor="text1"/>
          <w:sz w:val="22"/>
          <w:szCs w:val="22"/>
          <w:shd w:val="clear" w:color="auto" w:fill="FFFFFF"/>
        </w:rPr>
        <w:t>(3), 355-375.</w:t>
      </w:r>
      <w:r w:rsidR="0013005C" w:rsidRPr="00243C62">
        <w:rPr>
          <w:rFonts w:ascii="Garamond" w:hAnsi="Garamond"/>
          <w:color w:val="000000" w:themeColor="text1"/>
          <w:sz w:val="22"/>
          <w:szCs w:val="22"/>
          <w:shd w:val="clear" w:color="auto" w:fill="FFFFFF"/>
        </w:rPr>
        <w:t xml:space="preserve"> </w:t>
      </w:r>
      <w:hyperlink r:id="rId28" w:history="1">
        <w:r w:rsidR="0013005C" w:rsidRPr="00243C62">
          <w:rPr>
            <w:rStyle w:val="Kpr"/>
            <w:rFonts w:ascii="Garamond" w:hAnsi="Garamond"/>
            <w:color w:val="000000" w:themeColor="text1"/>
            <w:sz w:val="22"/>
            <w:szCs w:val="22"/>
            <w:shd w:val="clear" w:color="auto" w:fill="FFFFFF"/>
          </w:rPr>
          <w:t>https://doi.org/10.1080/00207599508246575</w:t>
        </w:r>
      </w:hyperlink>
    </w:p>
    <w:p w14:paraId="17A321BE" w14:textId="743336BB" w:rsidR="009907B6" w:rsidRPr="00243C62" w:rsidRDefault="00C86992" w:rsidP="00DE46C5">
      <w:pPr>
        <w:spacing w:before="120" w:after="120" w:line="276" w:lineRule="auto"/>
        <w:ind w:hanging="709"/>
        <w:jc w:val="both"/>
        <w:rPr>
          <w:rFonts w:ascii="Garamond" w:hAnsi="Garamond" w:cs="Arial"/>
          <w:color w:val="000000" w:themeColor="text1"/>
          <w:sz w:val="22"/>
          <w:szCs w:val="22"/>
          <w:shd w:val="clear" w:color="auto" w:fill="FFFFFF"/>
        </w:rPr>
      </w:pPr>
      <w:r w:rsidRPr="00243C62">
        <w:rPr>
          <w:rFonts w:ascii="Garamond" w:hAnsi="Garamond" w:cs="Arial"/>
          <w:color w:val="000000" w:themeColor="text1"/>
          <w:sz w:val="22"/>
          <w:szCs w:val="22"/>
          <w:shd w:val="clear" w:color="auto" w:fill="FFFFFF"/>
        </w:rPr>
        <w:t>Peetz, J., &amp; Wohl, M. J. (2019). Perceiving time through group</w:t>
      </w:r>
      <w:r w:rsidRPr="00243C62">
        <w:rPr>
          <w:rFonts w:ascii="Cambria Math" w:hAnsi="Cambria Math" w:cs="Cambria Math"/>
          <w:color w:val="000000" w:themeColor="text1"/>
          <w:sz w:val="22"/>
          <w:szCs w:val="22"/>
          <w:shd w:val="clear" w:color="auto" w:fill="FFFFFF"/>
        </w:rPr>
        <w:t>‐</w:t>
      </w:r>
      <w:r w:rsidRPr="00243C62">
        <w:rPr>
          <w:rFonts w:ascii="Garamond" w:hAnsi="Garamond" w:cs="Arial"/>
          <w:color w:val="000000" w:themeColor="text1"/>
          <w:sz w:val="22"/>
          <w:szCs w:val="22"/>
          <w:shd w:val="clear" w:color="auto" w:fill="FFFFFF"/>
        </w:rPr>
        <w:t>based glasses: Collective temporal orientation. </w:t>
      </w:r>
      <w:r w:rsidRPr="00243C62">
        <w:rPr>
          <w:rFonts w:ascii="Garamond" w:hAnsi="Garamond" w:cs="Arial"/>
          <w:i/>
          <w:iCs/>
          <w:color w:val="000000" w:themeColor="text1"/>
          <w:sz w:val="22"/>
          <w:szCs w:val="22"/>
          <w:shd w:val="clear" w:color="auto" w:fill="FFFFFF"/>
        </w:rPr>
        <w:t>British Journal of Social Psychology</w:t>
      </w:r>
      <w:r w:rsidRPr="00243C62">
        <w:rPr>
          <w:rFonts w:ascii="Garamond" w:hAnsi="Garamond" w:cs="Arial"/>
          <w:color w:val="000000" w:themeColor="text1"/>
          <w:sz w:val="22"/>
          <w:szCs w:val="22"/>
          <w:shd w:val="clear" w:color="auto" w:fill="FFFFFF"/>
        </w:rPr>
        <w:t>, </w:t>
      </w:r>
      <w:r w:rsidRPr="00243C62">
        <w:rPr>
          <w:rFonts w:ascii="Garamond" w:hAnsi="Garamond" w:cs="Arial"/>
          <w:i/>
          <w:iCs/>
          <w:color w:val="000000" w:themeColor="text1"/>
          <w:sz w:val="22"/>
          <w:szCs w:val="22"/>
          <w:shd w:val="clear" w:color="auto" w:fill="FFFFFF"/>
        </w:rPr>
        <w:t>58</w:t>
      </w:r>
      <w:r w:rsidRPr="00243C62">
        <w:rPr>
          <w:rFonts w:ascii="Garamond" w:hAnsi="Garamond" w:cs="Arial"/>
          <w:color w:val="000000" w:themeColor="text1"/>
          <w:sz w:val="22"/>
          <w:szCs w:val="22"/>
          <w:shd w:val="clear" w:color="auto" w:fill="FFFFFF"/>
        </w:rPr>
        <w:t>(3), 609-629.</w:t>
      </w:r>
      <w:r w:rsidR="009907B6" w:rsidRPr="00243C62">
        <w:rPr>
          <w:rFonts w:ascii="Garamond" w:hAnsi="Garamond" w:cs="Arial"/>
          <w:color w:val="000000" w:themeColor="text1"/>
          <w:sz w:val="22"/>
          <w:szCs w:val="22"/>
          <w:shd w:val="clear" w:color="auto" w:fill="FFFFFF"/>
        </w:rPr>
        <w:t xml:space="preserve"> </w:t>
      </w:r>
      <w:hyperlink r:id="rId29" w:history="1">
        <w:r w:rsidR="009907B6" w:rsidRPr="00243C62">
          <w:rPr>
            <w:rStyle w:val="Kpr"/>
            <w:rFonts w:ascii="Garamond" w:hAnsi="Garamond" w:cs="Open Sans"/>
            <w:color w:val="000000" w:themeColor="text1"/>
            <w:sz w:val="22"/>
            <w:szCs w:val="22"/>
            <w:shd w:val="clear" w:color="auto" w:fill="FFFFFF"/>
          </w:rPr>
          <w:t>https://doi.org/10.1111/bjso.12291</w:t>
        </w:r>
      </w:hyperlink>
    </w:p>
    <w:p w14:paraId="50898538" w14:textId="77777777" w:rsidR="00CC0C75" w:rsidRPr="00243C62" w:rsidRDefault="00E06A35" w:rsidP="00DE46C5">
      <w:pPr>
        <w:spacing w:before="120" w:after="120" w:line="276" w:lineRule="auto"/>
        <w:ind w:hanging="709"/>
        <w:jc w:val="both"/>
        <w:rPr>
          <w:rFonts w:ascii="Garamond" w:hAnsi="Garamond"/>
          <w:sz w:val="22"/>
          <w:szCs w:val="22"/>
        </w:rPr>
      </w:pPr>
      <w:r w:rsidRPr="00243C62">
        <w:rPr>
          <w:rFonts w:ascii="Garamond" w:hAnsi="Garamond"/>
          <w:sz w:val="22"/>
          <w:szCs w:val="22"/>
        </w:rPr>
        <w:t xml:space="preserve">Seginer, R. (2009). </w:t>
      </w:r>
      <w:r w:rsidRPr="00243C62">
        <w:rPr>
          <w:rFonts w:ascii="Garamond" w:hAnsi="Garamond"/>
          <w:i/>
          <w:iCs/>
          <w:sz w:val="22"/>
          <w:szCs w:val="22"/>
        </w:rPr>
        <w:t xml:space="preserve">Future orientation: Developmental and ecological perspectives. </w:t>
      </w:r>
      <w:r w:rsidRPr="00243C62">
        <w:rPr>
          <w:rFonts w:ascii="Garamond" w:hAnsi="Garamond"/>
          <w:sz w:val="22"/>
          <w:szCs w:val="22"/>
        </w:rPr>
        <w:t>New York: Springer.</w:t>
      </w:r>
    </w:p>
    <w:p w14:paraId="557BA230" w14:textId="1A099898" w:rsidR="00CC0C75" w:rsidRPr="00243C62" w:rsidRDefault="00353B56" w:rsidP="00DE46C5">
      <w:pPr>
        <w:spacing w:before="120" w:after="120" w:line="276" w:lineRule="auto"/>
        <w:ind w:hanging="709"/>
        <w:jc w:val="both"/>
        <w:rPr>
          <w:rFonts w:ascii="Garamond" w:hAnsi="Garamond"/>
          <w:color w:val="000000" w:themeColor="text1"/>
          <w:sz w:val="22"/>
          <w:szCs w:val="22"/>
        </w:rPr>
      </w:pPr>
      <w:r w:rsidRPr="00243C62">
        <w:rPr>
          <w:rFonts w:ascii="Garamond" w:hAnsi="Garamond" w:cs="Arial"/>
          <w:color w:val="000000" w:themeColor="text1"/>
          <w:sz w:val="22"/>
          <w:szCs w:val="22"/>
          <w:shd w:val="clear" w:color="auto" w:fill="FFFFFF"/>
        </w:rPr>
        <w:lastRenderedPageBreak/>
        <w:t>Steinberg, L., Graham, S., O’brien, L., Woolard, J., Cauffman, E., &amp; Banich, M. (2009). Age differences in future orientation and delay discounting. </w:t>
      </w:r>
      <w:r w:rsidRPr="00243C62">
        <w:rPr>
          <w:rFonts w:ascii="Garamond" w:hAnsi="Garamond" w:cs="Arial"/>
          <w:i/>
          <w:iCs/>
          <w:color w:val="000000" w:themeColor="text1"/>
          <w:sz w:val="22"/>
          <w:szCs w:val="22"/>
          <w:shd w:val="clear" w:color="auto" w:fill="FFFFFF"/>
        </w:rPr>
        <w:t xml:space="preserve">Child </w:t>
      </w:r>
      <w:r w:rsidR="00022637" w:rsidRPr="00243C62">
        <w:rPr>
          <w:rFonts w:ascii="Garamond" w:hAnsi="Garamond" w:cs="Arial"/>
          <w:i/>
          <w:iCs/>
          <w:color w:val="000000" w:themeColor="text1"/>
          <w:sz w:val="22"/>
          <w:szCs w:val="22"/>
          <w:shd w:val="clear" w:color="auto" w:fill="FFFFFF"/>
        </w:rPr>
        <w:t>D</w:t>
      </w:r>
      <w:r w:rsidRPr="00243C62">
        <w:rPr>
          <w:rFonts w:ascii="Garamond" w:hAnsi="Garamond" w:cs="Arial"/>
          <w:i/>
          <w:iCs/>
          <w:color w:val="000000" w:themeColor="text1"/>
          <w:sz w:val="22"/>
          <w:szCs w:val="22"/>
          <w:shd w:val="clear" w:color="auto" w:fill="FFFFFF"/>
        </w:rPr>
        <w:t>evelopment</w:t>
      </w:r>
      <w:r w:rsidRPr="00243C62">
        <w:rPr>
          <w:rFonts w:ascii="Garamond" w:hAnsi="Garamond" w:cs="Arial"/>
          <w:color w:val="000000" w:themeColor="text1"/>
          <w:sz w:val="22"/>
          <w:szCs w:val="22"/>
          <w:shd w:val="clear" w:color="auto" w:fill="FFFFFF"/>
        </w:rPr>
        <w:t>, </w:t>
      </w:r>
      <w:r w:rsidRPr="00243C62">
        <w:rPr>
          <w:rFonts w:ascii="Garamond" w:hAnsi="Garamond" w:cs="Arial"/>
          <w:i/>
          <w:iCs/>
          <w:color w:val="000000" w:themeColor="text1"/>
          <w:sz w:val="22"/>
          <w:szCs w:val="22"/>
          <w:shd w:val="clear" w:color="auto" w:fill="FFFFFF"/>
        </w:rPr>
        <w:t>80</w:t>
      </w:r>
      <w:r w:rsidRPr="00243C62">
        <w:rPr>
          <w:rFonts w:ascii="Garamond" w:hAnsi="Garamond" w:cs="Arial"/>
          <w:color w:val="000000" w:themeColor="text1"/>
          <w:sz w:val="22"/>
          <w:szCs w:val="22"/>
          <w:shd w:val="clear" w:color="auto" w:fill="FFFFFF"/>
        </w:rPr>
        <w:t>(1), 28-44.</w:t>
      </w:r>
      <w:r w:rsidR="00CC0C75" w:rsidRPr="00243C62">
        <w:rPr>
          <w:rFonts w:ascii="Garamond" w:hAnsi="Garamond" w:cs="Arial"/>
          <w:color w:val="000000" w:themeColor="text1"/>
          <w:sz w:val="22"/>
          <w:szCs w:val="22"/>
          <w:shd w:val="clear" w:color="auto" w:fill="FFFFFF"/>
        </w:rPr>
        <w:t xml:space="preserve"> </w:t>
      </w:r>
      <w:hyperlink r:id="rId30" w:history="1">
        <w:r w:rsidR="00CC0C75" w:rsidRPr="00243C62">
          <w:rPr>
            <w:rStyle w:val="Kpr"/>
            <w:rFonts w:ascii="Garamond" w:hAnsi="Garamond" w:cs="Segoe UI"/>
            <w:color w:val="000000" w:themeColor="text1"/>
            <w:sz w:val="22"/>
            <w:szCs w:val="22"/>
            <w:shd w:val="clear" w:color="auto" w:fill="FFFFFF"/>
          </w:rPr>
          <w:t>https://doi.org/10.1111/j.1467-8624.2008.01244.x</w:t>
        </w:r>
      </w:hyperlink>
    </w:p>
    <w:p w14:paraId="5C22CE7D" w14:textId="5F623442" w:rsidR="00CC0C75" w:rsidRPr="00243C62" w:rsidRDefault="00C86992" w:rsidP="00DE46C5">
      <w:pPr>
        <w:spacing w:before="120" w:after="120" w:line="276" w:lineRule="auto"/>
        <w:ind w:hanging="709"/>
        <w:jc w:val="both"/>
        <w:rPr>
          <w:rFonts w:ascii="Garamond" w:hAnsi="Garamond"/>
          <w:sz w:val="22"/>
          <w:szCs w:val="22"/>
        </w:rPr>
      </w:pPr>
      <w:r w:rsidRPr="00243C62">
        <w:rPr>
          <w:rFonts w:ascii="Garamond" w:hAnsi="Garamond"/>
          <w:sz w:val="22"/>
          <w:szCs w:val="22"/>
        </w:rPr>
        <w:t xml:space="preserve">Super, D. (1980). A life-span, life-space approach to career development. </w:t>
      </w:r>
      <w:r w:rsidRPr="00243C62">
        <w:rPr>
          <w:rFonts w:ascii="Garamond" w:hAnsi="Garamond"/>
          <w:i/>
          <w:iCs/>
          <w:sz w:val="22"/>
          <w:szCs w:val="22"/>
        </w:rPr>
        <w:t>Journal of Vocational Behavior, 16</w:t>
      </w:r>
      <w:r w:rsidRPr="00243C62">
        <w:rPr>
          <w:rFonts w:ascii="Garamond" w:hAnsi="Garamond"/>
          <w:sz w:val="22"/>
          <w:szCs w:val="22"/>
        </w:rPr>
        <w:t xml:space="preserve">(3), 282-298. </w:t>
      </w:r>
      <w:hyperlink r:id="rId31" w:tgtFrame="_blank" w:tooltip="Persistent link using digital object identifier" w:history="1">
        <w:r w:rsidR="00CC0C75" w:rsidRPr="00243C62">
          <w:rPr>
            <w:rFonts w:ascii="Garamond" w:hAnsi="Garamond" w:cs="Arial"/>
            <w:color w:val="1F1F1F"/>
            <w:sz w:val="22"/>
            <w:szCs w:val="22"/>
          </w:rPr>
          <w:t>https://doi.org/10.1016/0001-8791(80)90056-1</w:t>
        </w:r>
      </w:hyperlink>
    </w:p>
    <w:p w14:paraId="52A51E96" w14:textId="30F0918B" w:rsidR="00353B56" w:rsidRPr="00243C62" w:rsidRDefault="00353B56" w:rsidP="00DE46C5">
      <w:pPr>
        <w:spacing w:before="120" w:after="120" w:line="276" w:lineRule="auto"/>
        <w:ind w:hanging="709"/>
        <w:jc w:val="both"/>
        <w:rPr>
          <w:rFonts w:ascii="Garamond" w:hAnsi="Garamond"/>
          <w:sz w:val="22"/>
          <w:szCs w:val="22"/>
        </w:rPr>
      </w:pPr>
      <w:r w:rsidRPr="00243C62">
        <w:rPr>
          <w:rFonts w:ascii="Garamond" w:hAnsi="Garamond"/>
          <w:sz w:val="22"/>
          <w:szCs w:val="22"/>
        </w:rPr>
        <w:t xml:space="preserve">Şimşek, H. (2012). Future expectations of high school students in southeastern Turkey: Factors behind future expectations. </w:t>
      </w:r>
      <w:r w:rsidRPr="00243C62">
        <w:rPr>
          <w:rFonts w:ascii="Garamond" w:hAnsi="Garamond"/>
          <w:i/>
          <w:iCs/>
          <w:sz w:val="22"/>
          <w:szCs w:val="22"/>
        </w:rPr>
        <w:t>Journal of Theoretical Educational Science, 5</w:t>
      </w:r>
      <w:r w:rsidRPr="00243C62">
        <w:rPr>
          <w:rFonts w:ascii="Garamond" w:hAnsi="Garamond"/>
          <w:sz w:val="22"/>
          <w:szCs w:val="22"/>
        </w:rPr>
        <w:t xml:space="preserve">(1), 90-109. </w:t>
      </w:r>
    </w:p>
    <w:p w14:paraId="1590E730" w14:textId="77777777" w:rsidR="00F106AA" w:rsidRPr="00243C62" w:rsidRDefault="00353B56" w:rsidP="00DE46C5">
      <w:pPr>
        <w:spacing w:before="120" w:line="276" w:lineRule="auto"/>
        <w:ind w:hanging="709"/>
        <w:jc w:val="both"/>
        <w:rPr>
          <w:rFonts w:ascii="Garamond" w:hAnsi="Garamond"/>
          <w:color w:val="000000"/>
          <w:sz w:val="22"/>
          <w:szCs w:val="22"/>
          <w:shd w:val="clear" w:color="auto" w:fill="FFFFFF"/>
        </w:rPr>
      </w:pPr>
      <w:r w:rsidRPr="00243C62">
        <w:rPr>
          <w:rFonts w:ascii="Garamond" w:hAnsi="Garamond"/>
          <w:sz w:val="22"/>
          <w:szCs w:val="22"/>
        </w:rPr>
        <w:t>T</w:t>
      </w:r>
      <w:r w:rsidRPr="00243C62">
        <w:rPr>
          <w:rFonts w:ascii="Garamond" w:hAnsi="Garamond"/>
          <w:color w:val="000000"/>
          <w:sz w:val="22"/>
          <w:szCs w:val="22"/>
          <w:shd w:val="clear" w:color="auto" w:fill="FFFFFF"/>
        </w:rPr>
        <w:t xml:space="preserve">abachnick, B. G., &amp; Fidell, L. S. (2013). </w:t>
      </w:r>
      <w:r w:rsidRPr="00243C62">
        <w:rPr>
          <w:rFonts w:ascii="Garamond" w:hAnsi="Garamond"/>
          <w:i/>
          <w:color w:val="000000"/>
          <w:sz w:val="22"/>
          <w:szCs w:val="22"/>
          <w:shd w:val="clear" w:color="auto" w:fill="FFFFFF"/>
        </w:rPr>
        <w:t>Using multivariate statistics</w:t>
      </w:r>
      <w:r w:rsidRPr="00243C62">
        <w:rPr>
          <w:rFonts w:ascii="Garamond" w:hAnsi="Garamond"/>
          <w:color w:val="000000"/>
          <w:sz w:val="22"/>
          <w:szCs w:val="22"/>
          <w:shd w:val="clear" w:color="auto" w:fill="FFFFFF"/>
        </w:rPr>
        <w:t>. Boston: Pearson.</w:t>
      </w:r>
    </w:p>
    <w:p w14:paraId="41DFE3D1" w14:textId="60115FB1" w:rsidR="00F106AA" w:rsidRPr="00243C62" w:rsidRDefault="00353B56" w:rsidP="00DE46C5">
      <w:pPr>
        <w:spacing w:before="120" w:line="276" w:lineRule="auto"/>
        <w:ind w:hanging="709"/>
        <w:jc w:val="both"/>
        <w:rPr>
          <w:rFonts w:ascii="Garamond" w:hAnsi="Garamond"/>
          <w:sz w:val="22"/>
          <w:szCs w:val="22"/>
        </w:rPr>
      </w:pPr>
      <w:r w:rsidRPr="00243C62">
        <w:rPr>
          <w:rFonts w:ascii="Garamond" w:hAnsi="Garamond" w:cs="Arial"/>
          <w:color w:val="000000" w:themeColor="text1"/>
          <w:sz w:val="22"/>
          <w:szCs w:val="22"/>
          <w:shd w:val="clear" w:color="auto" w:fill="FFFFFF"/>
        </w:rPr>
        <w:t>Tuncer, M. (2011). Ergen Gelecek Beklentileri Ölçeğinin Türkçeye Uyarlanması. </w:t>
      </w:r>
      <w:r w:rsidRPr="00243C62">
        <w:rPr>
          <w:rFonts w:ascii="Garamond" w:hAnsi="Garamond" w:cs="Arial"/>
          <w:i/>
          <w:iCs/>
          <w:color w:val="000000" w:themeColor="text1"/>
          <w:sz w:val="22"/>
          <w:szCs w:val="22"/>
          <w:shd w:val="clear" w:color="auto" w:fill="FFFFFF"/>
        </w:rPr>
        <w:t>Electronic Turkish Studies</w:t>
      </w:r>
      <w:r w:rsidRPr="00243C62">
        <w:rPr>
          <w:rFonts w:ascii="Garamond" w:hAnsi="Garamond" w:cs="Arial"/>
          <w:color w:val="000000" w:themeColor="text1"/>
          <w:sz w:val="22"/>
          <w:szCs w:val="22"/>
          <w:shd w:val="clear" w:color="auto" w:fill="FFFFFF"/>
        </w:rPr>
        <w:t>, </w:t>
      </w:r>
      <w:r w:rsidRPr="00243C62">
        <w:rPr>
          <w:rFonts w:ascii="Garamond" w:hAnsi="Garamond" w:cs="Arial"/>
          <w:i/>
          <w:iCs/>
          <w:color w:val="000000" w:themeColor="text1"/>
          <w:sz w:val="22"/>
          <w:szCs w:val="22"/>
          <w:shd w:val="clear" w:color="auto" w:fill="FFFFFF"/>
        </w:rPr>
        <w:t>6</w:t>
      </w:r>
      <w:r w:rsidRPr="00243C62">
        <w:rPr>
          <w:rFonts w:ascii="Garamond" w:hAnsi="Garamond" w:cs="Arial"/>
          <w:color w:val="000000" w:themeColor="text1"/>
          <w:sz w:val="22"/>
          <w:szCs w:val="22"/>
          <w:shd w:val="clear" w:color="auto" w:fill="FFFFFF"/>
        </w:rPr>
        <w:t>(3).</w:t>
      </w:r>
      <w:r w:rsidR="00F106AA" w:rsidRPr="00243C62">
        <w:rPr>
          <w:rFonts w:ascii="Garamond" w:hAnsi="Garamond" w:cs="Arial"/>
          <w:color w:val="000000" w:themeColor="text1"/>
          <w:sz w:val="22"/>
          <w:szCs w:val="22"/>
          <w:shd w:val="clear" w:color="auto" w:fill="FFFFFF"/>
        </w:rPr>
        <w:t xml:space="preserve"> </w:t>
      </w:r>
      <w:r w:rsidR="00F106AA" w:rsidRPr="00243C62">
        <w:rPr>
          <w:rFonts w:ascii="Garamond" w:hAnsi="Garamond" w:cs="Open Sans"/>
          <w:color w:val="000000" w:themeColor="text1"/>
          <w:sz w:val="22"/>
          <w:szCs w:val="22"/>
        </w:rPr>
        <w:t>DOI:</w:t>
      </w:r>
    </w:p>
    <w:p w14:paraId="67456B3B" w14:textId="77777777" w:rsidR="003615E5" w:rsidRPr="00243C62" w:rsidRDefault="003D7713" w:rsidP="00DE46C5">
      <w:pPr>
        <w:spacing w:line="276" w:lineRule="auto"/>
        <w:jc w:val="both"/>
        <w:rPr>
          <w:rFonts w:ascii="Garamond" w:hAnsi="Garamond"/>
          <w:color w:val="000000" w:themeColor="text1"/>
          <w:sz w:val="22"/>
          <w:szCs w:val="22"/>
        </w:rPr>
      </w:pPr>
      <w:hyperlink r:id="rId32" w:tgtFrame="_blank" w:history="1">
        <w:r w:rsidR="00F106AA" w:rsidRPr="00243C62">
          <w:rPr>
            <w:rStyle w:val="Kpr"/>
            <w:rFonts w:ascii="Garamond" w:hAnsi="Garamond" w:cs="Open Sans"/>
            <w:color w:val="000000" w:themeColor="text1"/>
            <w:sz w:val="22"/>
            <w:szCs w:val="22"/>
            <w:shd w:val="clear" w:color="auto" w:fill="FFFFFF"/>
          </w:rPr>
          <w:t>http://dx.doi.org/10.7827/TurkishStudies.2335</w:t>
        </w:r>
      </w:hyperlink>
      <w:r w:rsidR="00F106AA" w:rsidRPr="00243C62">
        <w:rPr>
          <w:rFonts w:ascii="Garamond" w:hAnsi="Garamond"/>
          <w:color w:val="000000" w:themeColor="text1"/>
          <w:sz w:val="22"/>
          <w:szCs w:val="22"/>
        </w:rPr>
        <w:t>.</w:t>
      </w:r>
    </w:p>
    <w:p w14:paraId="4DDF95C5" w14:textId="6D2FA194" w:rsidR="003615E5" w:rsidRPr="00243C62" w:rsidRDefault="00E06A35" w:rsidP="00DE46C5">
      <w:pPr>
        <w:spacing w:before="120" w:line="276" w:lineRule="auto"/>
        <w:ind w:left="-709"/>
        <w:jc w:val="both"/>
        <w:rPr>
          <w:rFonts w:ascii="Garamond" w:hAnsi="Garamond"/>
          <w:color w:val="000000" w:themeColor="text1"/>
          <w:sz w:val="22"/>
          <w:szCs w:val="22"/>
        </w:rPr>
      </w:pPr>
      <w:r w:rsidRPr="00243C62">
        <w:rPr>
          <w:rFonts w:ascii="Garamond" w:hAnsi="Garamond"/>
          <w:color w:val="000000"/>
          <w:spacing w:val="-12"/>
          <w:sz w:val="22"/>
          <w:szCs w:val="22"/>
        </w:rPr>
        <w:t xml:space="preserve">Zimbardo, P. G. (1994). </w:t>
      </w:r>
      <w:r w:rsidRPr="00243C62">
        <w:rPr>
          <w:rStyle w:val="ff2"/>
          <w:rFonts w:ascii="Garamond" w:hAnsi="Garamond"/>
          <w:color w:val="000000"/>
          <w:spacing w:val="1"/>
          <w:sz w:val="22"/>
          <w:szCs w:val="22"/>
        </w:rPr>
        <w:t>Transforming Ca</w:t>
      </w:r>
      <w:r w:rsidRPr="00243C62">
        <w:rPr>
          <w:rStyle w:val="ls582"/>
          <w:rFonts w:ascii="Garamond" w:hAnsi="Garamond"/>
          <w:color w:val="000000"/>
          <w:spacing w:val="-2"/>
          <w:sz w:val="22"/>
          <w:szCs w:val="22"/>
        </w:rPr>
        <w:t xml:space="preserve">lifornia's prisons into expensive old age homes for </w:t>
      </w:r>
      <w:r w:rsidRPr="00243C62">
        <w:rPr>
          <w:rFonts w:ascii="Garamond" w:hAnsi="Garamond"/>
          <w:color w:val="000000"/>
          <w:spacing w:val="-1"/>
          <w:sz w:val="22"/>
          <w:szCs w:val="22"/>
        </w:rPr>
        <w:t>felons: Enormous hidden costs and consequences for California's taxpayers</w:t>
      </w:r>
      <w:r w:rsidRPr="00243C62">
        <w:rPr>
          <w:rStyle w:val="ff1"/>
          <w:rFonts w:ascii="Garamond" w:hAnsi="Garamond"/>
          <w:color w:val="000000"/>
          <w:spacing w:val="-11"/>
          <w:sz w:val="22"/>
          <w:szCs w:val="22"/>
        </w:rPr>
        <w:t xml:space="preserve">. San </w:t>
      </w:r>
      <w:r w:rsidRPr="00243C62">
        <w:rPr>
          <w:rFonts w:ascii="Garamond" w:hAnsi="Garamond"/>
          <w:color w:val="000000"/>
          <w:spacing w:val="-24"/>
          <w:sz w:val="22"/>
          <w:szCs w:val="22"/>
        </w:rPr>
        <w:t xml:space="preserve">Francisco, </w:t>
      </w:r>
      <w:proofErr w:type="gramStart"/>
      <w:r w:rsidRPr="00243C62">
        <w:rPr>
          <w:rFonts w:ascii="Garamond" w:hAnsi="Garamond"/>
          <w:color w:val="000000"/>
          <w:spacing w:val="-24"/>
          <w:sz w:val="22"/>
          <w:szCs w:val="22"/>
        </w:rPr>
        <w:t xml:space="preserve">CA: </w:t>
      </w:r>
      <w:r w:rsidR="00353B56" w:rsidRPr="00243C62">
        <w:rPr>
          <w:rFonts w:ascii="Garamond" w:hAnsi="Garamond"/>
          <w:color w:val="000000"/>
          <w:spacing w:val="-24"/>
          <w:sz w:val="22"/>
          <w:szCs w:val="22"/>
        </w:rPr>
        <w:t xml:space="preserve"> </w:t>
      </w:r>
      <w:r w:rsidRPr="00243C62">
        <w:rPr>
          <w:rFonts w:ascii="Garamond" w:hAnsi="Garamond"/>
          <w:color w:val="000000"/>
          <w:spacing w:val="-24"/>
          <w:sz w:val="22"/>
          <w:szCs w:val="22"/>
        </w:rPr>
        <w:t>Center</w:t>
      </w:r>
      <w:proofErr w:type="gramEnd"/>
      <w:r w:rsidRPr="00243C62">
        <w:rPr>
          <w:rFonts w:ascii="Garamond" w:hAnsi="Garamond"/>
          <w:color w:val="000000"/>
          <w:spacing w:val="-24"/>
          <w:sz w:val="22"/>
          <w:szCs w:val="22"/>
        </w:rPr>
        <w:t xml:space="preserve">  for  Juvenile  and Criminal Justice.</w:t>
      </w:r>
    </w:p>
    <w:p w14:paraId="097AF037" w14:textId="28B22FF5" w:rsidR="003615E5" w:rsidRPr="00243C62" w:rsidRDefault="00C26384" w:rsidP="00DE46C5">
      <w:pPr>
        <w:spacing w:before="120" w:line="276" w:lineRule="auto"/>
        <w:ind w:left="-709"/>
        <w:jc w:val="both"/>
        <w:rPr>
          <w:rFonts w:ascii="Garamond" w:hAnsi="Garamond"/>
          <w:color w:val="000000" w:themeColor="text1"/>
          <w:sz w:val="22"/>
          <w:szCs w:val="22"/>
        </w:rPr>
      </w:pPr>
      <w:r w:rsidRPr="00243C62">
        <w:rPr>
          <w:rFonts w:ascii="Garamond" w:hAnsi="Garamond"/>
          <w:color w:val="000000" w:themeColor="text1"/>
          <w:sz w:val="22"/>
          <w:szCs w:val="22"/>
        </w:rPr>
        <w:t xml:space="preserve">Zimbardo, P. G., &amp; Boyd, J. N. (1999). Putting time in perspective: A valid, reliable, individual diferences metric. </w:t>
      </w:r>
      <w:r w:rsidRPr="00243C62">
        <w:rPr>
          <w:rFonts w:ascii="Garamond" w:hAnsi="Garamond"/>
          <w:i/>
          <w:iCs/>
          <w:color w:val="000000" w:themeColor="text1"/>
          <w:sz w:val="22"/>
          <w:szCs w:val="22"/>
        </w:rPr>
        <w:t>Journal of Personality and Social Psychology, 77</w:t>
      </w:r>
      <w:r w:rsidRPr="00243C62">
        <w:rPr>
          <w:rFonts w:ascii="Garamond" w:hAnsi="Garamond"/>
          <w:color w:val="000000" w:themeColor="text1"/>
          <w:sz w:val="22"/>
          <w:szCs w:val="22"/>
        </w:rPr>
        <w:t>(6), 1271–1288.</w:t>
      </w:r>
      <w:r w:rsidR="003615E5" w:rsidRPr="00243C62">
        <w:rPr>
          <w:rFonts w:ascii="Garamond" w:hAnsi="Garamond"/>
          <w:color w:val="000000" w:themeColor="text1"/>
          <w:sz w:val="22"/>
          <w:szCs w:val="22"/>
        </w:rPr>
        <w:t xml:space="preserve"> </w:t>
      </w:r>
      <w:r w:rsidR="003615E5" w:rsidRPr="00243C62">
        <w:rPr>
          <w:rFonts w:ascii="Garamond" w:hAnsi="Garamond" w:cs="Arial"/>
          <w:color w:val="000000" w:themeColor="text1"/>
          <w:sz w:val="22"/>
          <w:szCs w:val="22"/>
          <w:shd w:val="clear" w:color="auto" w:fill="FFFFFF"/>
        </w:rPr>
        <w:t> </w:t>
      </w:r>
      <w:hyperlink r:id="rId33" w:tgtFrame="_blank" w:history="1">
        <w:r w:rsidR="003615E5" w:rsidRPr="00243C62">
          <w:rPr>
            <w:rStyle w:val="Kpr"/>
            <w:rFonts w:ascii="Garamond" w:hAnsi="Garamond" w:cs="Arial"/>
            <w:color w:val="000000" w:themeColor="text1"/>
            <w:sz w:val="22"/>
            <w:szCs w:val="22"/>
            <w:shd w:val="clear" w:color="auto" w:fill="FFFFFF"/>
          </w:rPr>
          <w:t>https://doi.org/10.1037/0022-3514.77.6.1271</w:t>
        </w:r>
      </w:hyperlink>
    </w:p>
    <w:p w14:paraId="02E236D4" w14:textId="4C5E15EB" w:rsidR="00C26384" w:rsidRPr="00243C62" w:rsidRDefault="00C26384" w:rsidP="004A688D">
      <w:pPr>
        <w:spacing w:before="120" w:after="120" w:line="276" w:lineRule="auto"/>
        <w:ind w:hanging="709"/>
        <w:jc w:val="both"/>
        <w:rPr>
          <w:rFonts w:ascii="Garamond" w:hAnsi="Garamond"/>
          <w:sz w:val="22"/>
          <w:szCs w:val="22"/>
        </w:rPr>
      </w:pPr>
    </w:p>
    <w:p w14:paraId="48A6C67B" w14:textId="62D88175" w:rsidR="008F7F14" w:rsidRPr="00243C62" w:rsidRDefault="008F7F14" w:rsidP="008F7F14">
      <w:pPr>
        <w:ind w:right="-113"/>
        <w:rPr>
          <w:rFonts w:ascii="Garamond" w:hAnsi="Garamond"/>
          <w:color w:val="111111"/>
          <w:shd w:val="clear" w:color="auto" w:fill="FFFFFF"/>
        </w:rPr>
      </w:pPr>
    </w:p>
    <w:p w14:paraId="5B7C1DA9" w14:textId="77777777" w:rsidR="008F7F14" w:rsidRPr="00243C62" w:rsidRDefault="008F7F14" w:rsidP="008F7F14">
      <w:pPr>
        <w:spacing w:before="120" w:after="120" w:line="276" w:lineRule="auto"/>
        <w:ind w:hanging="709"/>
        <w:jc w:val="both"/>
        <w:rPr>
          <w:rFonts w:ascii="Garamond" w:hAnsi="Garamond"/>
          <w:b/>
        </w:rPr>
      </w:pPr>
    </w:p>
    <w:p w14:paraId="024FE5E8" w14:textId="77777777" w:rsidR="008F7F14" w:rsidRPr="00243C62" w:rsidRDefault="008F7F14" w:rsidP="008F7F14">
      <w:pPr>
        <w:spacing w:before="120" w:after="120" w:line="276" w:lineRule="auto"/>
        <w:ind w:firstLine="567"/>
        <w:jc w:val="center"/>
        <w:rPr>
          <w:rFonts w:ascii="Garamond" w:hAnsi="Garamond"/>
          <w:b/>
        </w:rPr>
      </w:pPr>
      <w:r w:rsidRPr="00243C62">
        <w:rPr>
          <w:rFonts w:ascii="Garamond" w:hAnsi="Garamond"/>
          <w:b/>
        </w:rPr>
        <w:t>Extended Abstract</w:t>
      </w:r>
    </w:p>
    <w:p w14:paraId="4ED1BA0A" w14:textId="77777777" w:rsidR="00353B56" w:rsidRPr="00243C62" w:rsidRDefault="00353B56" w:rsidP="00353B56">
      <w:pPr>
        <w:jc w:val="both"/>
        <w:rPr>
          <w:rFonts w:ascii="Garamond" w:hAnsi="Garamond"/>
        </w:rPr>
      </w:pPr>
      <w:r w:rsidRPr="00243C62">
        <w:rPr>
          <w:rFonts w:ascii="Garamond" w:hAnsi="Garamond"/>
          <w:b/>
        </w:rPr>
        <w:t>Introduction</w:t>
      </w:r>
      <w:r w:rsidRPr="00243C62">
        <w:rPr>
          <w:rFonts w:ascii="Garamond" w:hAnsi="Garamond"/>
        </w:rPr>
        <w:t>: Future orientation is defined as the conscious representation and self-restructuring of future images (Seginer, 2009). Time perception is one of the most important characteristics a person has. Future orientation is not only related to the individual development of cognitive abilities, but is also closely related to motivation, which is one of the future representatives of the self (Fusco et al., 2019). The perception of future time regulates a person's behavior and creates goals and expectations.</w:t>
      </w:r>
    </w:p>
    <w:p w14:paraId="716E4007" w14:textId="208721F8" w:rsidR="00353B56" w:rsidRPr="00243C62" w:rsidRDefault="00353B56" w:rsidP="00353B56">
      <w:pPr>
        <w:ind w:firstLine="708"/>
        <w:jc w:val="both"/>
        <w:rPr>
          <w:rFonts w:ascii="Garamond" w:hAnsi="Garamond"/>
        </w:rPr>
      </w:pPr>
      <w:r w:rsidRPr="00243C62">
        <w:rPr>
          <w:rFonts w:ascii="Garamond" w:hAnsi="Garamond"/>
        </w:rPr>
        <w:t xml:space="preserve">It is known that the ability to plan the future begins at a very early age in human life and gains momentum in adolescence. The individual in adolescence thinks about the educational opportunities he will have in the future, his career goals, and the impact of his family's future goals. For this reason, future orientation emerges as a concept that increasingly maintains its importance, especially for the young population in our country. It is known that adolescents with positive expectations for the future are less likely to be affected by situations that may create momentary pleasure and negative experiences in the past (Zimbardo </w:t>
      </w:r>
      <w:r w:rsidR="003C3E92" w:rsidRPr="00243C62">
        <w:rPr>
          <w:rFonts w:ascii="Garamond" w:hAnsi="Garamond"/>
        </w:rPr>
        <w:t xml:space="preserve">&amp; </w:t>
      </w:r>
      <w:r w:rsidRPr="00243C62">
        <w:rPr>
          <w:rFonts w:ascii="Garamond" w:hAnsi="Garamond"/>
        </w:rPr>
        <w:t>Boyd, 1999). Imbellone and Laghi (2016) also study the different opportunities and obstacles that adolescents with high future orientation will encounter in advance. They state that they think that this situation positively affects their career-related competencies and career adaptability.</w:t>
      </w:r>
    </w:p>
    <w:p w14:paraId="2D9B4BC6" w14:textId="289E297E" w:rsidR="00353B56" w:rsidRPr="00243C62" w:rsidRDefault="00353B56" w:rsidP="00353B56">
      <w:pPr>
        <w:ind w:firstLine="708"/>
        <w:jc w:val="both"/>
        <w:rPr>
          <w:rFonts w:ascii="Garamond" w:hAnsi="Garamond"/>
        </w:rPr>
      </w:pPr>
      <w:r w:rsidRPr="00243C62">
        <w:rPr>
          <w:rFonts w:ascii="Garamond" w:hAnsi="Garamond"/>
        </w:rPr>
        <w:t>To measure future orientation in Turkey, the Future Attitude Scale (Güler-Edwards, 2004), Future Visions Scale (Akça</w:t>
      </w:r>
      <w:r w:rsidR="003C3E92" w:rsidRPr="00243C62">
        <w:rPr>
          <w:rFonts w:ascii="Garamond" w:hAnsi="Garamond"/>
        </w:rPr>
        <w:t xml:space="preserve"> et al., </w:t>
      </w:r>
      <w:r w:rsidRPr="00243C62">
        <w:rPr>
          <w:rFonts w:ascii="Garamond" w:hAnsi="Garamond"/>
        </w:rPr>
        <w:t xml:space="preserve">2008), Positive Future Expectation Scale (İmamoğlu, 2001), Future Expectation Scale (Şimşek, 2012) and Adolescent Future Expectations Scale (Tuncer, 2011) studies were conducted. Nurmi (1989) suggests that the concept of future orientation includes concepts such as motivation, hope and optimism. Based on this view, it can be said that adaptation measurement tools developed in Turkey to measure future orientation are limitedly effective in measuring the concept of success. However, it is known that the concept of success is of great importance when making a decision for the future (Chodkiewicz </w:t>
      </w:r>
      <w:r w:rsidR="003C3E92" w:rsidRPr="00243C62">
        <w:rPr>
          <w:rFonts w:ascii="Garamond" w:hAnsi="Garamond"/>
        </w:rPr>
        <w:t xml:space="preserve">&amp; </w:t>
      </w:r>
      <w:r w:rsidRPr="00243C62">
        <w:rPr>
          <w:rFonts w:ascii="Garamond" w:hAnsi="Garamond"/>
        </w:rPr>
        <w:t>Boyle, 2017; Grover</w:t>
      </w:r>
      <w:r w:rsidR="003C3E92" w:rsidRPr="00243C62">
        <w:rPr>
          <w:rFonts w:ascii="Garamond" w:hAnsi="Garamond"/>
        </w:rPr>
        <w:t xml:space="preserve"> &amp; </w:t>
      </w:r>
      <w:r w:rsidRPr="00243C62">
        <w:rPr>
          <w:rFonts w:ascii="Garamond" w:hAnsi="Garamond"/>
        </w:rPr>
        <w:t xml:space="preserve">O'Flaherty, 2016). The Adolescent Future Expectations Scale (Tuncer, 2011), which is used to </w:t>
      </w:r>
      <w:r w:rsidRPr="00243C62">
        <w:rPr>
          <w:rFonts w:ascii="Garamond" w:hAnsi="Garamond"/>
        </w:rPr>
        <w:lastRenderedPageBreak/>
        <w:t>measure the future orientation of adolescents in Turkey, has a It does not include the concept of success, which is important when making decisions. For this reason, this study aimed to adapt the Future Orientation Scale (FOS) developed by Bowen and Richman (2008), which includes the concept of success, to high school students in Turkey.</w:t>
      </w:r>
    </w:p>
    <w:p w14:paraId="6DB82F5F" w14:textId="77777777" w:rsidR="00353B56" w:rsidRPr="00243C62" w:rsidRDefault="00353B56" w:rsidP="00353B56">
      <w:pPr>
        <w:jc w:val="both"/>
        <w:rPr>
          <w:rFonts w:ascii="Garamond" w:hAnsi="Garamond"/>
          <w:b/>
        </w:rPr>
      </w:pPr>
    </w:p>
    <w:p w14:paraId="39B6AEE4" w14:textId="0641A7C3" w:rsidR="00353B56" w:rsidRPr="00243C62" w:rsidRDefault="00353B56" w:rsidP="00353B56">
      <w:pPr>
        <w:jc w:val="both"/>
        <w:rPr>
          <w:rFonts w:ascii="Garamond" w:hAnsi="Garamond"/>
        </w:rPr>
      </w:pPr>
      <w:r w:rsidRPr="00243C62">
        <w:rPr>
          <w:rFonts w:ascii="Garamond" w:hAnsi="Garamond"/>
          <w:b/>
        </w:rPr>
        <w:t>Method:</w:t>
      </w:r>
      <w:r w:rsidRPr="00243C62">
        <w:rPr>
          <w:rFonts w:ascii="Garamond" w:hAnsi="Garamond"/>
        </w:rPr>
        <w:t xml:space="preserve"> The study group consists of a total of 253 high school students enrolled in Anatolian High School, Social Sciences High School, Science High School of which 151 (59.2%) are female and 102 (40%) male students. The study group was formed using the easily accessible sampling method. The ages of the students in the study group vary between 15 and 18, and the average age is X</w:t>
      </w:r>
      <w:r w:rsidRPr="00243C62">
        <w:t>̄</w:t>
      </w:r>
      <w:r w:rsidRPr="00243C62">
        <w:rPr>
          <w:rFonts w:ascii="Garamond" w:hAnsi="Garamond"/>
        </w:rPr>
        <w:t xml:space="preserve"> = 14.57 (SD = 1.90). Personal Information Form, Future Orientation Scale,</w:t>
      </w:r>
      <w:r w:rsidR="00F35B08" w:rsidRPr="00243C62">
        <w:rPr>
          <w:rFonts w:ascii="Garamond" w:hAnsi="Garamond"/>
        </w:rPr>
        <w:t xml:space="preserve"> </w:t>
      </w:r>
      <w:r w:rsidR="00F35B08" w:rsidRPr="00243C62">
        <w:rPr>
          <w:rFonts w:ascii="Garamond" w:hAnsi="Garamond"/>
          <w:color w:val="000000" w:themeColor="text1"/>
          <w:sz w:val="22"/>
          <w:szCs w:val="22"/>
        </w:rPr>
        <w:t>Dispositional Hope Scale and the Attitudes Towards the Future Scale</w:t>
      </w:r>
      <w:r w:rsidRPr="00243C62">
        <w:rPr>
          <w:rFonts w:ascii="Garamond" w:hAnsi="Garamond"/>
        </w:rPr>
        <w:t xml:space="preserve"> were used to collect data in this study. Descriptive statistics and Cronbach's α coefficient were calculated in the analysis of the data. The data were analyzed using SPSS 26.0, AMOS 26.0 to test the factor structure and measurement invariance of the </w:t>
      </w:r>
      <w:r w:rsidR="00F35B08" w:rsidRPr="00243C62">
        <w:rPr>
          <w:rFonts w:ascii="Garamond" w:hAnsi="Garamond"/>
        </w:rPr>
        <w:t>F</w:t>
      </w:r>
      <w:r w:rsidRPr="00243C62">
        <w:rPr>
          <w:rFonts w:ascii="Garamond" w:hAnsi="Garamond"/>
        </w:rPr>
        <w:t xml:space="preserve">OS. </w:t>
      </w:r>
    </w:p>
    <w:p w14:paraId="2FC39720" w14:textId="77777777" w:rsidR="00353B56" w:rsidRPr="00243C62" w:rsidRDefault="00353B56" w:rsidP="00353B56">
      <w:pPr>
        <w:jc w:val="both"/>
        <w:rPr>
          <w:rFonts w:ascii="Garamond" w:hAnsi="Garamond"/>
          <w:b/>
        </w:rPr>
      </w:pPr>
    </w:p>
    <w:p w14:paraId="30603101" w14:textId="224056C2" w:rsidR="00353B56" w:rsidRPr="00243C62" w:rsidRDefault="00353B56" w:rsidP="00353B56">
      <w:pPr>
        <w:jc w:val="both"/>
        <w:rPr>
          <w:rFonts w:ascii="Garamond" w:hAnsi="Garamond"/>
        </w:rPr>
      </w:pPr>
      <w:r w:rsidRPr="00243C62">
        <w:rPr>
          <w:rFonts w:ascii="Garamond" w:hAnsi="Garamond"/>
          <w:b/>
        </w:rPr>
        <w:t>Results:</w:t>
      </w:r>
      <w:r w:rsidRPr="00243C62">
        <w:rPr>
          <w:rFonts w:ascii="Garamond" w:hAnsi="Garamond"/>
        </w:rPr>
        <w:t xml:space="preserve"> CFA results applied to the data to determine the factor structure of the Turkish F</w:t>
      </w:r>
      <w:r w:rsidR="00F35B08" w:rsidRPr="00243C62">
        <w:rPr>
          <w:rFonts w:ascii="Garamond" w:hAnsi="Garamond"/>
        </w:rPr>
        <w:t>OS</w:t>
      </w:r>
      <w:r w:rsidRPr="00243C62">
        <w:rPr>
          <w:rFonts w:ascii="Garamond" w:hAnsi="Garamond"/>
        </w:rPr>
        <w:t xml:space="preserve"> showed that the model had a good fit χ2=127,890; sd=53; p=0.00; χ2/sd= 2,413; RMSEA= .074, CFI= .906, GFI=.922 ve RMR=.035 SRMR=.060. When evaluated together with, it is seen that the resulting model fit criteria are within the desired limit (Kline, 2011). CFA results conducted for the validity of the Turkish </w:t>
      </w:r>
      <w:r w:rsidR="00F35B08" w:rsidRPr="00243C62">
        <w:rPr>
          <w:rFonts w:ascii="Garamond" w:hAnsi="Garamond"/>
        </w:rPr>
        <w:t>FOS</w:t>
      </w:r>
      <w:r w:rsidRPr="00243C62">
        <w:rPr>
          <w:rFonts w:ascii="Garamond" w:hAnsi="Garamond"/>
        </w:rPr>
        <w:t xml:space="preserve"> showed that the Turkish </w:t>
      </w:r>
      <w:r w:rsidR="00F35B08" w:rsidRPr="00243C62">
        <w:rPr>
          <w:rFonts w:ascii="Garamond" w:hAnsi="Garamond"/>
        </w:rPr>
        <w:t>FOS</w:t>
      </w:r>
      <w:r w:rsidRPr="00243C62">
        <w:rPr>
          <w:rFonts w:ascii="Garamond" w:hAnsi="Garamond"/>
        </w:rPr>
        <w:t xml:space="preserve"> has a 12-item and single-factor structure, like the original scale. The Cronbach Alpha internal consistency coefficient calculated for the reliability of the FOS was found to </w:t>
      </w:r>
      <w:proofErr w:type="gramStart"/>
      <w:r w:rsidRPr="00243C62">
        <w:rPr>
          <w:rFonts w:ascii="Garamond" w:hAnsi="Garamond"/>
        </w:rPr>
        <w:t>be .</w:t>
      </w:r>
      <w:proofErr w:type="gramEnd"/>
      <w:r w:rsidRPr="00243C62">
        <w:rPr>
          <w:rFonts w:ascii="Garamond" w:hAnsi="Garamond"/>
        </w:rPr>
        <w:t>83. There is a significant, positive and moderate difference between the scores obtained from FOS and the scores obtained from the</w:t>
      </w:r>
      <w:r w:rsidR="00F35B08" w:rsidRPr="00243C62">
        <w:rPr>
          <w:rFonts w:ascii="Garamond" w:hAnsi="Garamond"/>
        </w:rPr>
        <w:t xml:space="preserve"> </w:t>
      </w:r>
      <w:r w:rsidR="00F35B08" w:rsidRPr="00243C62">
        <w:rPr>
          <w:rFonts w:ascii="Garamond" w:hAnsi="Garamond"/>
          <w:color w:val="000000" w:themeColor="text1"/>
          <w:sz w:val="22"/>
          <w:szCs w:val="22"/>
        </w:rPr>
        <w:t>Attitudes Towards the Future Scale</w:t>
      </w:r>
      <w:r w:rsidRPr="00243C62">
        <w:rPr>
          <w:rFonts w:ascii="Garamond" w:hAnsi="Garamond"/>
        </w:rPr>
        <w:t xml:space="preserve"> (r = .316, p &lt; 0.01) and the scores obtained from </w:t>
      </w:r>
      <w:r w:rsidR="00F35B08" w:rsidRPr="00243C62">
        <w:rPr>
          <w:rFonts w:ascii="Garamond" w:hAnsi="Garamond"/>
          <w:color w:val="000000" w:themeColor="text1"/>
          <w:sz w:val="22"/>
          <w:szCs w:val="22"/>
        </w:rPr>
        <w:t xml:space="preserve">Dispositional Hope Scale </w:t>
      </w:r>
      <w:r w:rsidRPr="00243C62">
        <w:rPr>
          <w:rFonts w:ascii="Garamond" w:hAnsi="Garamond"/>
        </w:rPr>
        <w:t>(r = .408, p &lt; 0.01) relationships have been found. These findings provided evidence for the criterion-related concurrent validity of the GAS.</w:t>
      </w:r>
    </w:p>
    <w:p w14:paraId="1A637CD5" w14:textId="77777777" w:rsidR="00353B56" w:rsidRPr="00243C62" w:rsidRDefault="00353B56" w:rsidP="00353B56">
      <w:pPr>
        <w:jc w:val="both"/>
        <w:rPr>
          <w:rFonts w:ascii="Garamond" w:hAnsi="Garamond"/>
          <w:b/>
        </w:rPr>
      </w:pPr>
    </w:p>
    <w:p w14:paraId="7544B479" w14:textId="7D896137" w:rsidR="00353B56" w:rsidRPr="00243C62" w:rsidRDefault="00353B56" w:rsidP="00353B56">
      <w:pPr>
        <w:jc w:val="both"/>
        <w:rPr>
          <w:rFonts w:ascii="Garamond" w:hAnsi="Garamond"/>
        </w:rPr>
      </w:pPr>
      <w:r w:rsidRPr="00243C62">
        <w:rPr>
          <w:rFonts w:ascii="Garamond" w:hAnsi="Garamond"/>
          <w:b/>
        </w:rPr>
        <w:t>Discussion &amp; Conclusion:</w:t>
      </w:r>
      <w:r w:rsidRPr="00243C62">
        <w:rPr>
          <w:rFonts w:ascii="Garamond" w:hAnsi="Garamond"/>
        </w:rPr>
        <w:t xml:space="preserve"> Studies conducted to determine the validity and reliability of the Turkish FOS have shown sufficient evidence that the Turkish FOS is a valid and reliable measurement tool to measure the future orientation of high school students in Turkey. Therefore, the Turkish FOS is a valid and reliable measurement tool to measure the future orientation of high school students. It is suggested that it can be used in theoretical and applied research on future orientations.</w:t>
      </w:r>
    </w:p>
    <w:p w14:paraId="67CC803D" w14:textId="77777777" w:rsidR="00353B56" w:rsidRPr="00A61CB4" w:rsidRDefault="00353B56" w:rsidP="00353B56">
      <w:pPr>
        <w:jc w:val="both"/>
        <w:rPr>
          <w:rFonts w:ascii="Garamond" w:hAnsi="Garamond"/>
        </w:rPr>
      </w:pPr>
      <w:r w:rsidRPr="00243C62">
        <w:t>​</w:t>
      </w:r>
    </w:p>
    <w:p w14:paraId="48DC676B" w14:textId="77777777" w:rsidR="009C159A" w:rsidRPr="009C159A" w:rsidRDefault="009C159A" w:rsidP="009C159A">
      <w:pPr>
        <w:spacing w:before="100" w:beforeAutospacing="1" w:after="100" w:afterAutospacing="1"/>
      </w:pPr>
      <w:r w:rsidRPr="009C159A">
        <w:rPr>
          <w:rFonts w:ascii="Garamond" w:hAnsi="Garamond"/>
          <w:b/>
          <w:bCs/>
          <w:color w:val="BF0000"/>
        </w:rPr>
        <w:t xml:space="preserve">Yazarlar Hakkında </w:t>
      </w:r>
    </w:p>
    <w:p w14:paraId="181B2EFD" w14:textId="747FCF81" w:rsidR="009C159A" w:rsidRDefault="009C159A" w:rsidP="009C159A">
      <w:pPr>
        <w:spacing w:before="100" w:beforeAutospacing="1" w:after="100" w:afterAutospacing="1"/>
        <w:rPr>
          <w:rFonts w:ascii="Garamond" w:hAnsi="Garamond"/>
          <w:color w:val="0260BF"/>
        </w:rPr>
      </w:pPr>
      <w:r w:rsidRPr="009C159A">
        <w:rPr>
          <w:rFonts w:ascii="Garamond" w:hAnsi="Garamond"/>
          <w:b/>
          <w:bCs/>
        </w:rPr>
        <w:t xml:space="preserve">Beyza Bulut. </w:t>
      </w:r>
      <w:r w:rsidRPr="009C159A">
        <w:rPr>
          <w:rFonts w:ascii="Garamond" w:hAnsi="Garamond"/>
        </w:rPr>
        <w:t>Dr. Psk. Dan., Milli Eg</w:t>
      </w:r>
      <w:r w:rsidRPr="009C159A">
        <w:t>̆</w:t>
      </w:r>
      <w:r w:rsidRPr="009C159A">
        <w:rPr>
          <w:rFonts w:ascii="Garamond" w:hAnsi="Garamond"/>
        </w:rPr>
        <w:t>itim Bakanlıg</w:t>
      </w:r>
      <w:r w:rsidRPr="009C159A">
        <w:t>̆</w:t>
      </w:r>
      <w:r w:rsidRPr="009C159A">
        <w:rPr>
          <w:rFonts w:ascii="Garamond" w:hAnsi="Garamond"/>
        </w:rPr>
        <w:t xml:space="preserve">ı, e-mail: </w:t>
      </w:r>
      <w:hyperlink r:id="rId34" w:history="1">
        <w:r w:rsidRPr="009C159A">
          <w:rPr>
            <w:rStyle w:val="Kpr"/>
            <w:rFonts w:ascii="Garamond" w:hAnsi="Garamond"/>
          </w:rPr>
          <w:t>beyzakincal@gmail.com</w:t>
        </w:r>
      </w:hyperlink>
      <w:r w:rsidRPr="009C159A">
        <w:rPr>
          <w:rFonts w:ascii="Garamond" w:hAnsi="Garamond"/>
          <w:color w:val="0260BF"/>
        </w:rPr>
        <w:t xml:space="preserve"> </w:t>
      </w:r>
    </w:p>
    <w:p w14:paraId="7881A350" w14:textId="20632F52" w:rsidR="009C159A" w:rsidRDefault="009C159A" w:rsidP="009C159A">
      <w:pPr>
        <w:spacing w:before="100" w:beforeAutospacing="1" w:after="100" w:afterAutospacing="1"/>
        <w:rPr>
          <w:rFonts w:ascii="Garamond" w:hAnsi="Garamond"/>
          <w:color w:val="0260BF"/>
        </w:rPr>
      </w:pPr>
      <w:r w:rsidRPr="009C159A">
        <w:rPr>
          <w:rFonts w:ascii="Garamond" w:hAnsi="Garamond"/>
          <w:b/>
          <w:bCs/>
        </w:rPr>
        <w:t xml:space="preserve">Feride Bacanlı. </w:t>
      </w:r>
      <w:r w:rsidRPr="009C159A">
        <w:rPr>
          <w:rFonts w:ascii="Garamond" w:hAnsi="Garamond"/>
        </w:rPr>
        <w:t>Prof. Dr., Gazi Eg</w:t>
      </w:r>
      <w:r w:rsidRPr="009C159A">
        <w:t>̆</w:t>
      </w:r>
      <w:r w:rsidRPr="009C159A">
        <w:rPr>
          <w:rFonts w:ascii="Garamond" w:hAnsi="Garamond"/>
        </w:rPr>
        <w:t>itim Faku</w:t>
      </w:r>
      <w:r w:rsidRPr="009C159A">
        <w:t>̈</w:t>
      </w:r>
      <w:r w:rsidRPr="009C159A">
        <w:rPr>
          <w:rFonts w:ascii="Garamond" w:hAnsi="Garamond"/>
        </w:rPr>
        <w:t xml:space="preserve">ltesi, e-mail: </w:t>
      </w:r>
      <w:r w:rsidRPr="009C159A">
        <w:rPr>
          <w:rFonts w:ascii="Garamond" w:hAnsi="Garamond"/>
          <w:color w:val="0260BF"/>
        </w:rPr>
        <w:t xml:space="preserve">ferbacanli@gamil.com </w:t>
      </w:r>
    </w:p>
    <w:p w14:paraId="4A783E59" w14:textId="4CF89BE6" w:rsidR="009C159A" w:rsidRPr="009C159A" w:rsidRDefault="009C159A" w:rsidP="009C159A">
      <w:pPr>
        <w:spacing w:before="100" w:beforeAutospacing="1" w:after="100" w:afterAutospacing="1"/>
      </w:pPr>
      <w:r w:rsidRPr="009C159A">
        <w:rPr>
          <w:rFonts w:ascii="Garamond" w:hAnsi="Garamond"/>
          <w:b/>
          <w:bCs/>
          <w:color w:val="BF0000"/>
        </w:rPr>
        <w:t>Yazar Katkıları</w:t>
      </w:r>
      <w:r w:rsidRPr="009C159A">
        <w:rPr>
          <w:rFonts w:ascii="Garamond" w:hAnsi="Garamond"/>
          <w:b/>
          <w:bCs/>
          <w:color w:val="BF0000"/>
        </w:rPr>
        <w:br/>
      </w:r>
      <w:r w:rsidRPr="009C159A">
        <w:rPr>
          <w:rFonts w:ascii="Garamond" w:hAnsi="Garamond"/>
        </w:rPr>
        <w:t xml:space="preserve">Yazarların araştırma sürecine katkıları eşit düzeydedir. </w:t>
      </w:r>
    </w:p>
    <w:p w14:paraId="01FCCB4E" w14:textId="1561CB50" w:rsidR="009C159A" w:rsidRPr="009C159A" w:rsidRDefault="009C159A" w:rsidP="009C159A">
      <w:pPr>
        <w:spacing w:before="100" w:beforeAutospacing="1" w:after="100" w:afterAutospacing="1"/>
      </w:pPr>
      <w:r>
        <w:rPr>
          <w:rFonts w:ascii="Garamond" w:hAnsi="Garamond"/>
          <w:b/>
          <w:bCs/>
          <w:color w:val="BF0000"/>
        </w:rPr>
        <w:t>Çı</w:t>
      </w:r>
      <w:r w:rsidRPr="009C159A">
        <w:rPr>
          <w:rFonts w:ascii="Garamond" w:hAnsi="Garamond"/>
          <w:b/>
          <w:bCs/>
          <w:color w:val="BF0000"/>
        </w:rPr>
        <w:t xml:space="preserve">kar </w:t>
      </w:r>
      <w:r w:rsidR="00277095">
        <w:rPr>
          <w:rFonts w:ascii="Garamond" w:hAnsi="Garamond"/>
          <w:b/>
          <w:bCs/>
          <w:color w:val="BF0000"/>
        </w:rPr>
        <w:t>Ç</w:t>
      </w:r>
      <w:r w:rsidRPr="009C159A">
        <w:rPr>
          <w:rFonts w:ascii="Garamond" w:hAnsi="Garamond"/>
          <w:b/>
          <w:bCs/>
          <w:color w:val="BF0000"/>
        </w:rPr>
        <w:t>atı</w:t>
      </w:r>
      <w:r w:rsidR="00277095">
        <w:rPr>
          <w:rFonts w:ascii="Garamond" w:hAnsi="Garamond"/>
          <w:b/>
          <w:bCs/>
          <w:color w:val="BF0000"/>
        </w:rPr>
        <w:t>ş</w:t>
      </w:r>
      <w:r w:rsidRPr="009C159A">
        <w:rPr>
          <w:rFonts w:ascii="Garamond" w:hAnsi="Garamond"/>
          <w:b/>
          <w:bCs/>
          <w:color w:val="BF0000"/>
        </w:rPr>
        <w:t xml:space="preserve">ması </w:t>
      </w:r>
    </w:p>
    <w:p w14:paraId="5A10232F" w14:textId="77777777" w:rsidR="009C159A" w:rsidRPr="009C159A" w:rsidRDefault="009C159A" w:rsidP="009C159A">
      <w:pPr>
        <w:spacing w:before="100" w:beforeAutospacing="1" w:after="100" w:afterAutospacing="1"/>
      </w:pPr>
      <w:r w:rsidRPr="009C159A">
        <w:rPr>
          <w:rFonts w:ascii="Garamond" w:hAnsi="Garamond"/>
        </w:rPr>
        <w:t xml:space="preserve">Yazarlar tarafından herhangi bir çıkar çatışması olmadığı rapor edilmiştir. </w:t>
      </w:r>
    </w:p>
    <w:p w14:paraId="3822B697" w14:textId="77777777" w:rsidR="009C159A" w:rsidRPr="009C159A" w:rsidRDefault="009C159A" w:rsidP="009C159A">
      <w:pPr>
        <w:spacing w:before="100" w:beforeAutospacing="1" w:after="100" w:afterAutospacing="1"/>
      </w:pPr>
      <w:r w:rsidRPr="009C159A">
        <w:rPr>
          <w:rFonts w:ascii="Garamond" w:hAnsi="Garamond"/>
          <w:b/>
          <w:bCs/>
          <w:color w:val="BF0000"/>
        </w:rPr>
        <w:t xml:space="preserve">Fonlama </w:t>
      </w:r>
    </w:p>
    <w:p w14:paraId="26C39AA5" w14:textId="77777777" w:rsidR="009C159A" w:rsidRPr="009C159A" w:rsidRDefault="009C159A" w:rsidP="009C159A">
      <w:pPr>
        <w:spacing w:before="100" w:beforeAutospacing="1" w:after="100" w:afterAutospacing="1"/>
      </w:pPr>
      <w:r w:rsidRPr="009C159A">
        <w:rPr>
          <w:rFonts w:ascii="Garamond" w:hAnsi="Garamond"/>
        </w:rPr>
        <w:lastRenderedPageBreak/>
        <w:t>Herhangi bir fon desteg</w:t>
      </w:r>
      <w:r w:rsidRPr="009C159A">
        <w:t>̆</w:t>
      </w:r>
      <w:r w:rsidRPr="009C159A">
        <w:rPr>
          <w:rFonts w:ascii="Garamond" w:hAnsi="Garamond"/>
        </w:rPr>
        <w:t>i alınmamıs</w:t>
      </w:r>
      <w:r w:rsidRPr="009C159A">
        <w:t>̧</w:t>
      </w:r>
      <w:r w:rsidRPr="009C159A">
        <w:rPr>
          <w:rFonts w:ascii="Garamond" w:hAnsi="Garamond"/>
        </w:rPr>
        <w:t xml:space="preserve">tır. </w:t>
      </w:r>
    </w:p>
    <w:p w14:paraId="391072F9" w14:textId="77777777" w:rsidR="009C159A" w:rsidRPr="009C159A" w:rsidRDefault="009C159A" w:rsidP="009C159A">
      <w:pPr>
        <w:spacing w:before="100" w:beforeAutospacing="1" w:after="100" w:afterAutospacing="1"/>
      </w:pPr>
      <w:r w:rsidRPr="009C159A">
        <w:rPr>
          <w:rFonts w:ascii="Garamond" w:hAnsi="Garamond"/>
          <w:b/>
          <w:bCs/>
          <w:color w:val="BF0000"/>
        </w:rPr>
        <w:t xml:space="preserve">Not </w:t>
      </w:r>
    </w:p>
    <w:p w14:paraId="47179BCA" w14:textId="77777777" w:rsidR="009C159A" w:rsidRPr="009C159A" w:rsidRDefault="009C159A" w:rsidP="00277095">
      <w:pPr>
        <w:spacing w:before="100" w:beforeAutospacing="1" w:after="100" w:afterAutospacing="1"/>
        <w:jc w:val="both"/>
      </w:pPr>
      <w:r w:rsidRPr="009C159A">
        <w:rPr>
          <w:rFonts w:ascii="Garamond" w:hAnsi="Garamond"/>
        </w:rPr>
        <w:t xml:space="preserve">Bu makale birinci yazarın doktora tezinden üretilmiştir. Aynı zamanda bu araştırma 16-17 Kasım 2023 tarihlerinde Uluslararası Türk Dünyası Eğitim Bilimleri Kongresinde özet bildiri olarak sunulmuştur. </w:t>
      </w:r>
    </w:p>
    <w:p w14:paraId="6FC06C59" w14:textId="77777777" w:rsidR="009C159A" w:rsidRPr="009C159A" w:rsidRDefault="009C159A" w:rsidP="009C159A">
      <w:pPr>
        <w:spacing w:before="100" w:beforeAutospacing="1" w:after="100" w:afterAutospacing="1"/>
      </w:pPr>
      <w:r w:rsidRPr="009C159A">
        <w:rPr>
          <w:rFonts w:ascii="Garamond" w:hAnsi="Garamond"/>
          <w:b/>
          <w:bCs/>
          <w:color w:val="BF0000"/>
        </w:rPr>
        <w:t xml:space="preserve">Etik Bildirim </w:t>
      </w:r>
    </w:p>
    <w:p w14:paraId="7153F9B0" w14:textId="77777777" w:rsidR="009C159A" w:rsidRDefault="009C159A" w:rsidP="009C159A">
      <w:pPr>
        <w:spacing w:before="100" w:beforeAutospacing="1" w:after="100" w:afterAutospacing="1"/>
        <w:rPr>
          <w:rFonts w:ascii="Garamond" w:hAnsi="Garamond"/>
        </w:rPr>
      </w:pPr>
      <w:r w:rsidRPr="009C159A">
        <w:rPr>
          <w:rFonts w:ascii="Garamond" w:hAnsi="Garamond"/>
        </w:rPr>
        <w:t>Bu c</w:t>
      </w:r>
      <w:r w:rsidRPr="009C159A">
        <w:t>̧</w:t>
      </w:r>
      <w:r w:rsidRPr="009C159A">
        <w:rPr>
          <w:rFonts w:ascii="Garamond" w:hAnsi="Garamond"/>
        </w:rPr>
        <w:t>alıs</w:t>
      </w:r>
      <w:r w:rsidRPr="009C159A">
        <w:t>̧</w:t>
      </w:r>
      <w:r w:rsidRPr="009C159A">
        <w:rPr>
          <w:rFonts w:ascii="Garamond" w:hAnsi="Garamond"/>
        </w:rPr>
        <w:t>ma ic</w:t>
      </w:r>
      <w:r w:rsidRPr="009C159A">
        <w:t>̧</w:t>
      </w:r>
      <w:r w:rsidRPr="009C159A">
        <w:rPr>
          <w:rFonts w:ascii="Garamond" w:hAnsi="Garamond"/>
        </w:rPr>
        <w:t>in etik onayı alınmıs</w:t>
      </w:r>
      <w:r w:rsidRPr="009C159A">
        <w:t>̧</w:t>
      </w:r>
      <w:r w:rsidRPr="009C159A">
        <w:rPr>
          <w:rFonts w:ascii="Garamond" w:hAnsi="Garamond"/>
        </w:rPr>
        <w:t>tır.</w:t>
      </w:r>
      <w:r w:rsidRPr="009C159A">
        <w:rPr>
          <w:rFonts w:ascii="Garamond" w:hAnsi="Garamond"/>
        </w:rPr>
        <w:br/>
      </w:r>
      <w:r w:rsidRPr="009C159A">
        <w:rPr>
          <w:rFonts w:ascii="Garamond" w:hAnsi="Garamond"/>
          <w:b/>
          <w:bCs/>
        </w:rPr>
        <w:t xml:space="preserve">Etik Kurul Adı: </w:t>
      </w:r>
      <w:r w:rsidRPr="009C159A">
        <w:rPr>
          <w:rFonts w:ascii="Garamond" w:hAnsi="Garamond"/>
        </w:rPr>
        <w:t xml:space="preserve">Gazi </w:t>
      </w:r>
      <w:r>
        <w:rPr>
          <w:rFonts w:ascii="Garamond" w:hAnsi="Garamond"/>
        </w:rPr>
        <w:t>Ü</w:t>
      </w:r>
      <w:r w:rsidRPr="009C159A">
        <w:rPr>
          <w:rFonts w:ascii="Garamond" w:hAnsi="Garamond"/>
        </w:rPr>
        <w:t>niversitesi Etik Komisyonu</w:t>
      </w:r>
      <w:r>
        <w:rPr>
          <w:rFonts w:ascii="Garamond" w:hAnsi="Garamond"/>
        </w:rPr>
        <w:t xml:space="preserve"> </w:t>
      </w:r>
    </w:p>
    <w:p w14:paraId="4409759D" w14:textId="41BAD462" w:rsidR="009C159A" w:rsidRPr="009C159A" w:rsidRDefault="009C159A" w:rsidP="009C159A">
      <w:pPr>
        <w:spacing w:before="100" w:beforeAutospacing="1" w:after="100" w:afterAutospacing="1"/>
        <w:rPr>
          <w:rFonts w:ascii="Garamond" w:hAnsi="Garamond"/>
        </w:rPr>
      </w:pPr>
      <w:r w:rsidRPr="009C159A">
        <w:rPr>
          <w:rFonts w:ascii="Garamond" w:hAnsi="Garamond"/>
          <w:b/>
          <w:bCs/>
        </w:rPr>
        <w:t xml:space="preserve">Onay Tarihi: </w:t>
      </w:r>
      <w:r w:rsidRPr="009C159A">
        <w:rPr>
          <w:rFonts w:ascii="Garamond" w:hAnsi="Garamond"/>
        </w:rPr>
        <w:t>04.11.2021</w:t>
      </w:r>
      <w:r w:rsidRPr="009C159A">
        <w:rPr>
          <w:rFonts w:ascii="Garamond" w:hAnsi="Garamond"/>
        </w:rPr>
        <w:br/>
      </w:r>
      <w:r w:rsidRPr="009C159A">
        <w:rPr>
          <w:rFonts w:ascii="Garamond" w:hAnsi="Garamond"/>
          <w:b/>
          <w:bCs/>
        </w:rPr>
        <w:t>Onay Belge Num</w:t>
      </w:r>
      <w:r>
        <w:rPr>
          <w:rFonts w:ascii="Garamond" w:hAnsi="Garamond"/>
          <w:b/>
          <w:bCs/>
        </w:rPr>
        <w:t>a</w:t>
      </w:r>
      <w:r w:rsidRPr="009C159A">
        <w:rPr>
          <w:rFonts w:ascii="Garamond" w:hAnsi="Garamond"/>
          <w:b/>
          <w:bCs/>
        </w:rPr>
        <w:t>rası</w:t>
      </w:r>
      <w:r w:rsidRPr="009C159A">
        <w:rPr>
          <w:rFonts w:ascii="Garamond" w:hAnsi="Garamond"/>
        </w:rPr>
        <w:t xml:space="preserve">: 2021-981 </w:t>
      </w:r>
    </w:p>
    <w:p w14:paraId="3B5E0542" w14:textId="77777777" w:rsidR="00C26384" w:rsidRPr="008F7F14" w:rsidRDefault="00C26384" w:rsidP="008F7F14">
      <w:pPr>
        <w:spacing w:line="276" w:lineRule="auto"/>
        <w:ind w:hanging="709"/>
        <w:jc w:val="both"/>
        <w:rPr>
          <w:rFonts w:ascii="Garamond" w:hAnsi="Garamond"/>
          <w:color w:val="222222"/>
          <w:shd w:val="clear" w:color="auto" w:fill="FFFFFF"/>
        </w:rPr>
      </w:pPr>
    </w:p>
    <w:p w14:paraId="68A98BD4" w14:textId="77777777" w:rsidR="00C26384" w:rsidRPr="00C26384" w:rsidRDefault="00C26384" w:rsidP="00C26384">
      <w:pPr>
        <w:spacing w:line="276" w:lineRule="auto"/>
        <w:jc w:val="both"/>
        <w:rPr>
          <w:rFonts w:ascii="Garamond" w:hAnsi="Garamond"/>
        </w:rPr>
      </w:pPr>
    </w:p>
    <w:p w14:paraId="370CE42E" w14:textId="77777777" w:rsidR="00CB2B2C" w:rsidRDefault="00CB2B2C" w:rsidP="00CB2B2C">
      <w:pPr>
        <w:spacing w:after="60"/>
        <w:ind w:left="567" w:hanging="567"/>
        <w:jc w:val="both"/>
        <w:rPr>
          <w:rFonts w:ascii="Garamond" w:hAnsi="Garamond"/>
          <w:color w:val="111111"/>
          <w:shd w:val="clear" w:color="auto" w:fill="FFFFFF"/>
        </w:rPr>
      </w:pPr>
    </w:p>
    <w:sectPr w:rsidR="00CB2B2C" w:rsidSect="00C26384">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8C77A" w14:textId="77777777" w:rsidR="003D7713" w:rsidRDefault="003D7713" w:rsidP="00EA0873">
      <w:r>
        <w:separator/>
      </w:r>
    </w:p>
  </w:endnote>
  <w:endnote w:type="continuationSeparator" w:id="0">
    <w:p w14:paraId="5AA84E1A" w14:textId="77777777" w:rsidR="003D7713" w:rsidRDefault="003D7713" w:rsidP="00EA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Garamond">
    <w:altName w:val="Garamond"/>
    <w:panose1 w:val="02020404030301010803"/>
    <w:charset w:val="A2"/>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mbria Math">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2332124"/>
      <w:docPartObj>
        <w:docPartGallery w:val="Page Numbers (Bottom of Page)"/>
        <w:docPartUnique/>
      </w:docPartObj>
    </w:sdtPr>
    <w:sdtEndPr>
      <w:rPr>
        <w:rFonts w:ascii="Garamond" w:hAnsi="Garamond"/>
        <w:sz w:val="24"/>
      </w:rPr>
    </w:sdtEndPr>
    <w:sdtContent>
      <w:p w14:paraId="09E44D29" w14:textId="29942B05" w:rsidR="0012739C" w:rsidRPr="00DF1602" w:rsidRDefault="0012739C">
        <w:pPr>
          <w:pStyle w:val="AltBilgi"/>
          <w:rPr>
            <w:rFonts w:ascii="Garamond" w:hAnsi="Garamond"/>
            <w:sz w:val="24"/>
          </w:rPr>
        </w:pPr>
        <w:r w:rsidRPr="00DF1602">
          <w:rPr>
            <w:rFonts w:ascii="Garamond" w:hAnsi="Garamond"/>
            <w:sz w:val="24"/>
          </w:rPr>
          <w:fldChar w:fldCharType="begin"/>
        </w:r>
        <w:r w:rsidRPr="00DF1602">
          <w:rPr>
            <w:rFonts w:ascii="Garamond" w:hAnsi="Garamond"/>
            <w:sz w:val="24"/>
          </w:rPr>
          <w:instrText>PAGE   \* MERGEFORMAT</w:instrText>
        </w:r>
        <w:r w:rsidRPr="00DF1602">
          <w:rPr>
            <w:rFonts w:ascii="Garamond" w:hAnsi="Garamond"/>
            <w:sz w:val="24"/>
          </w:rPr>
          <w:fldChar w:fldCharType="separate"/>
        </w:r>
        <w:r w:rsidR="004D3125">
          <w:rPr>
            <w:rFonts w:ascii="Garamond" w:hAnsi="Garamond"/>
            <w:noProof/>
            <w:sz w:val="24"/>
          </w:rPr>
          <w:t>8</w:t>
        </w:r>
        <w:r w:rsidRPr="00DF1602">
          <w:rPr>
            <w:rFonts w:ascii="Garamond" w:hAnsi="Garamond"/>
            <w:sz w:val="24"/>
          </w:rPr>
          <w:fldChar w:fldCharType="end"/>
        </w:r>
      </w:p>
    </w:sdtContent>
  </w:sdt>
  <w:p w14:paraId="1670E11C" w14:textId="77777777" w:rsidR="0012739C" w:rsidRDefault="0012739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112834"/>
      <w:docPartObj>
        <w:docPartGallery w:val="Page Numbers (Bottom of Page)"/>
        <w:docPartUnique/>
      </w:docPartObj>
    </w:sdtPr>
    <w:sdtEndPr>
      <w:rPr>
        <w:rFonts w:ascii="Garamond" w:hAnsi="Garamond"/>
        <w:sz w:val="24"/>
      </w:rPr>
    </w:sdtEndPr>
    <w:sdtContent>
      <w:p w14:paraId="47592CA7" w14:textId="683FF1A6" w:rsidR="0012739C" w:rsidRPr="00DF1602" w:rsidRDefault="0012739C">
        <w:pPr>
          <w:pStyle w:val="AltBilgi"/>
          <w:jc w:val="right"/>
          <w:rPr>
            <w:rFonts w:ascii="Garamond" w:hAnsi="Garamond"/>
            <w:sz w:val="24"/>
          </w:rPr>
        </w:pPr>
        <w:r w:rsidRPr="00DF1602">
          <w:rPr>
            <w:rFonts w:ascii="Garamond" w:hAnsi="Garamond"/>
            <w:sz w:val="24"/>
          </w:rPr>
          <w:fldChar w:fldCharType="begin"/>
        </w:r>
        <w:r w:rsidRPr="00DF1602">
          <w:rPr>
            <w:rFonts w:ascii="Garamond" w:hAnsi="Garamond"/>
            <w:sz w:val="24"/>
          </w:rPr>
          <w:instrText>PAGE   \* MERGEFORMAT</w:instrText>
        </w:r>
        <w:r w:rsidRPr="00DF1602">
          <w:rPr>
            <w:rFonts w:ascii="Garamond" w:hAnsi="Garamond"/>
            <w:sz w:val="24"/>
          </w:rPr>
          <w:fldChar w:fldCharType="separate"/>
        </w:r>
        <w:r w:rsidR="004D3125">
          <w:rPr>
            <w:rFonts w:ascii="Garamond" w:hAnsi="Garamond"/>
            <w:noProof/>
            <w:sz w:val="24"/>
          </w:rPr>
          <w:t>9</w:t>
        </w:r>
        <w:r w:rsidRPr="00DF1602">
          <w:rPr>
            <w:rFonts w:ascii="Garamond" w:hAnsi="Garamond"/>
            <w:sz w:val="24"/>
          </w:rPr>
          <w:fldChar w:fldCharType="end"/>
        </w:r>
      </w:p>
    </w:sdtContent>
  </w:sdt>
  <w:p w14:paraId="4312D341" w14:textId="77777777" w:rsidR="0012739C" w:rsidRDefault="0012739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8A353" w14:textId="77777777" w:rsidR="0012739C" w:rsidRDefault="0012739C" w:rsidP="00CB49A8">
    <w:pPr>
      <w:pStyle w:val="AltBilgi"/>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89A92" w14:textId="77777777" w:rsidR="003D7713" w:rsidRDefault="003D7713" w:rsidP="00EA0873">
      <w:r>
        <w:separator/>
      </w:r>
    </w:p>
  </w:footnote>
  <w:footnote w:type="continuationSeparator" w:id="0">
    <w:p w14:paraId="03FB60C3" w14:textId="77777777" w:rsidR="003D7713" w:rsidRDefault="003D7713" w:rsidP="00EA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156" w:type="dxa"/>
      <w:tblInd w:w="-737" w:type="dxa"/>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10156"/>
    </w:tblGrid>
    <w:tr w:rsidR="0012739C" w14:paraId="0997FCBB" w14:textId="77777777" w:rsidTr="006229B4">
      <w:trPr>
        <w:trHeight w:val="769"/>
      </w:trPr>
      <w:tc>
        <w:tcPr>
          <w:tcW w:w="10156" w:type="dxa"/>
          <w:tcBorders>
            <w:bottom w:val="single" w:sz="24" w:space="0" w:color="16C3CC"/>
          </w:tcBorders>
        </w:tcPr>
        <w:p w14:paraId="46AE0100" w14:textId="1F670DBF" w:rsidR="0012739C" w:rsidRPr="00BA4375" w:rsidRDefault="00633CBE" w:rsidP="00337FB0">
          <w:pPr>
            <w:jc w:val="both"/>
            <w:rPr>
              <w:rFonts w:ascii="Garamond" w:hAnsi="Garamond"/>
              <w:b/>
              <w:bCs/>
              <w:color w:val="C00000"/>
              <w:sz w:val="20"/>
              <w:szCs w:val="18"/>
            </w:rPr>
          </w:pPr>
          <w:r>
            <w:rPr>
              <w:rFonts w:ascii="Garamond" w:hAnsi="Garamond"/>
              <w:bCs/>
              <w:sz w:val="20"/>
              <w:szCs w:val="18"/>
            </w:rPr>
            <w:t>Bulut</w:t>
          </w:r>
          <w:r w:rsidR="0012739C">
            <w:rPr>
              <w:rFonts w:ascii="Garamond" w:hAnsi="Garamond"/>
              <w:bCs/>
              <w:sz w:val="20"/>
              <w:szCs w:val="18"/>
            </w:rPr>
            <w:t xml:space="preserve"> ve </w:t>
          </w:r>
          <w:r>
            <w:rPr>
              <w:rFonts w:ascii="Garamond" w:hAnsi="Garamond"/>
              <w:bCs/>
              <w:sz w:val="20"/>
              <w:szCs w:val="18"/>
            </w:rPr>
            <w:t>Bacanlı</w:t>
          </w:r>
        </w:p>
        <w:p w14:paraId="1C692AB4" w14:textId="77777777" w:rsidR="0012739C" w:rsidRPr="00276B79" w:rsidRDefault="0012739C" w:rsidP="00BA4375">
          <w:pPr>
            <w:rPr>
              <w:rFonts w:ascii="Palatino Linotype" w:hAnsi="Palatino Linotype"/>
              <w:bCs/>
              <w:i/>
              <w:sz w:val="18"/>
              <w:szCs w:val="18"/>
            </w:rPr>
          </w:pPr>
          <w:r>
            <w:rPr>
              <w:rFonts w:ascii="Garamond" w:hAnsi="Garamond"/>
              <w:bCs/>
              <w:i/>
              <w:sz w:val="20"/>
              <w:szCs w:val="18"/>
            </w:rPr>
            <w:t>Kariyer Psikolojik Danışmanlığı Dergisi</w:t>
          </w:r>
        </w:p>
      </w:tc>
    </w:tr>
    <w:tr w:rsidR="0012739C" w14:paraId="47FD84F3" w14:textId="77777777" w:rsidTr="006229B4">
      <w:trPr>
        <w:trHeight w:val="140"/>
      </w:trPr>
      <w:tc>
        <w:tcPr>
          <w:tcW w:w="10156" w:type="dxa"/>
          <w:tcBorders>
            <w:top w:val="single" w:sz="24" w:space="0" w:color="16C3CC"/>
            <w:bottom w:val="nil"/>
          </w:tcBorders>
        </w:tcPr>
        <w:p w14:paraId="26C75466" w14:textId="77777777" w:rsidR="0012739C" w:rsidRPr="00474A00" w:rsidRDefault="0012739C" w:rsidP="00BA4375">
          <w:pPr>
            <w:rPr>
              <w:rFonts w:ascii="Palatino Linotype" w:hAnsi="Palatino Linotype"/>
              <w:bCs/>
              <w:sz w:val="10"/>
              <w:szCs w:val="18"/>
            </w:rPr>
          </w:pPr>
        </w:p>
      </w:tc>
    </w:tr>
  </w:tbl>
  <w:p w14:paraId="63E24B72" w14:textId="77777777" w:rsidR="0012739C" w:rsidRDefault="0012739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231" w:type="dxa"/>
      <w:tblInd w:w="-801" w:type="dxa"/>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10231"/>
    </w:tblGrid>
    <w:tr w:rsidR="0012739C" w14:paraId="41741E43" w14:textId="77777777" w:rsidTr="00E81B32">
      <w:trPr>
        <w:trHeight w:val="709"/>
      </w:trPr>
      <w:tc>
        <w:tcPr>
          <w:tcW w:w="10205" w:type="dxa"/>
          <w:tcBorders>
            <w:bottom w:val="single" w:sz="24" w:space="0" w:color="16C3CC"/>
          </w:tcBorders>
        </w:tcPr>
        <w:p w14:paraId="5D397A38" w14:textId="48676717" w:rsidR="0012739C" w:rsidRPr="00BA4375" w:rsidRDefault="00633CBE" w:rsidP="000B3E5F">
          <w:pPr>
            <w:jc w:val="both"/>
            <w:rPr>
              <w:rFonts w:ascii="Garamond" w:hAnsi="Garamond"/>
              <w:b/>
              <w:bCs/>
              <w:color w:val="C00000"/>
              <w:sz w:val="20"/>
              <w:szCs w:val="18"/>
            </w:rPr>
          </w:pPr>
          <w:r>
            <w:rPr>
              <w:rFonts w:ascii="Garamond" w:hAnsi="Garamond"/>
              <w:bCs/>
              <w:sz w:val="20"/>
              <w:szCs w:val="18"/>
            </w:rPr>
            <w:t>Bulut</w:t>
          </w:r>
          <w:r w:rsidR="0012739C">
            <w:rPr>
              <w:rFonts w:ascii="Garamond" w:hAnsi="Garamond"/>
              <w:bCs/>
              <w:sz w:val="20"/>
              <w:szCs w:val="18"/>
            </w:rPr>
            <w:t xml:space="preserve"> ve </w:t>
          </w:r>
          <w:r>
            <w:rPr>
              <w:rFonts w:ascii="Garamond" w:hAnsi="Garamond"/>
              <w:bCs/>
              <w:sz w:val="20"/>
              <w:szCs w:val="18"/>
            </w:rPr>
            <w:t>Bacanlı</w:t>
          </w:r>
        </w:p>
        <w:p w14:paraId="01129894" w14:textId="77777777" w:rsidR="0012739C" w:rsidRPr="00276B79" w:rsidRDefault="0012739C" w:rsidP="000B3E5F">
          <w:pPr>
            <w:rPr>
              <w:rFonts w:ascii="Palatino Linotype" w:hAnsi="Palatino Linotype"/>
              <w:bCs/>
              <w:i/>
              <w:sz w:val="18"/>
              <w:szCs w:val="18"/>
            </w:rPr>
          </w:pPr>
          <w:r>
            <w:rPr>
              <w:rFonts w:ascii="Garamond" w:hAnsi="Garamond"/>
              <w:bCs/>
              <w:i/>
              <w:sz w:val="20"/>
              <w:szCs w:val="18"/>
            </w:rPr>
            <w:t>Kariyer Psikolojik Danışmanlığı Dergisi</w:t>
          </w:r>
        </w:p>
      </w:tc>
    </w:tr>
    <w:tr w:rsidR="0012739C" w14:paraId="584EE6B1" w14:textId="77777777" w:rsidTr="00E81B32">
      <w:trPr>
        <w:trHeight w:val="130"/>
      </w:trPr>
      <w:tc>
        <w:tcPr>
          <w:tcW w:w="10231" w:type="dxa"/>
          <w:tcBorders>
            <w:top w:val="single" w:sz="24" w:space="0" w:color="16C3CC"/>
            <w:bottom w:val="nil"/>
          </w:tcBorders>
        </w:tcPr>
        <w:p w14:paraId="1EB9C889" w14:textId="77777777" w:rsidR="0012739C" w:rsidRPr="00474A00" w:rsidRDefault="0012739C" w:rsidP="00BA4375">
          <w:pPr>
            <w:rPr>
              <w:rFonts w:ascii="Palatino Linotype" w:hAnsi="Palatino Linotype"/>
              <w:bCs/>
              <w:sz w:val="10"/>
              <w:szCs w:val="18"/>
            </w:rPr>
          </w:pPr>
        </w:p>
      </w:tc>
    </w:tr>
  </w:tbl>
  <w:p w14:paraId="65F4F39C" w14:textId="77777777" w:rsidR="0012739C" w:rsidRDefault="0012739C" w:rsidP="00EA0873">
    <w:pPr>
      <w:pStyle w:val="stBilgi"/>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42383" w14:textId="77777777" w:rsidR="0012739C" w:rsidRDefault="0012739C" w:rsidP="002C3154">
    <w:pPr>
      <w:pStyle w:val="stBilgi"/>
      <w:rPr>
        <w:rFonts w:ascii="Garamond" w:hAnsi="Garamond"/>
      </w:rPr>
    </w:pPr>
  </w:p>
  <w:p w14:paraId="2A833427" w14:textId="77777777" w:rsidR="0012739C" w:rsidRDefault="0012739C" w:rsidP="002C3154">
    <w:pPr>
      <w:pStyle w:val="stBilgi"/>
      <w:ind w:left="-567"/>
      <w:jc w:val="center"/>
      <w:rPr>
        <w:rFonts w:ascii="Garamond" w:hAnsi="Garamond"/>
        <w:sz w:val="19"/>
        <w:szCs w:val="19"/>
      </w:rPr>
    </w:pPr>
  </w:p>
  <w:p w14:paraId="067494AA" w14:textId="77777777" w:rsidR="0012739C" w:rsidRDefault="0012739C" w:rsidP="002C3154">
    <w:pPr>
      <w:pStyle w:val="stBilgi"/>
      <w:ind w:left="-567"/>
      <w:jc w:val="center"/>
      <w:rPr>
        <w:rFonts w:ascii="Garamond" w:hAnsi="Garamond"/>
        <w:sz w:val="19"/>
        <w:szCs w:val="19"/>
      </w:rPr>
    </w:pPr>
    <w:r w:rsidRPr="00EA0873">
      <w:rPr>
        <w:rFonts w:ascii="Garamond" w:hAnsi="Garamond"/>
        <w:noProof/>
        <w:lang w:eastAsia="tr-TR"/>
      </w:rPr>
      <w:drawing>
        <wp:anchor distT="0" distB="0" distL="114300" distR="114300" simplePos="0" relativeHeight="251663360" behindDoc="1" locked="0" layoutInCell="1" allowOverlap="1" wp14:anchorId="5DE65001" wp14:editId="67980F87">
          <wp:simplePos x="0" y="0"/>
          <wp:positionH relativeFrom="margin">
            <wp:posOffset>2433320</wp:posOffset>
          </wp:positionH>
          <wp:positionV relativeFrom="paragraph">
            <wp:posOffset>10160</wp:posOffset>
          </wp:positionV>
          <wp:extent cx="733425" cy="676275"/>
          <wp:effectExtent l="0" t="0" r="9525" b="9525"/>
          <wp:wrapTight wrapText="bothSides">
            <wp:wrapPolygon edited="0">
              <wp:start x="0" y="0"/>
              <wp:lineTo x="0" y="21296"/>
              <wp:lineTo x="21319" y="21296"/>
              <wp:lineTo x="21319" y="0"/>
              <wp:lineTo x="0" y="0"/>
            </wp:wrapPolygon>
          </wp:wrapTight>
          <wp:docPr id="5" name="Resim 5" descr="D:\ÖMER FARUK\PDR KONGRE 2020\pdr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ÖMER FARUK\PDR KONGRE 2020\pdr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7DEBA" w14:textId="5330BE64" w:rsidR="0012739C" w:rsidRPr="00EF063F" w:rsidRDefault="0012739C" w:rsidP="002C3154">
    <w:pPr>
      <w:pStyle w:val="stBilgi"/>
      <w:ind w:left="-567"/>
      <w:jc w:val="center"/>
      <w:rPr>
        <w:rFonts w:ascii="Garamond" w:hAnsi="Garamond"/>
        <w:sz w:val="18"/>
        <w:szCs w:val="18"/>
      </w:rPr>
    </w:pPr>
    <w:r w:rsidRPr="00EF063F">
      <w:rPr>
        <w:rFonts w:ascii="Garamond" w:hAnsi="Garamond"/>
        <w:noProof/>
        <w:sz w:val="18"/>
        <w:szCs w:val="18"/>
        <w:lang w:eastAsia="tr-TR"/>
      </w:rPr>
      <mc:AlternateContent>
        <mc:Choice Requires="wps">
          <w:drawing>
            <wp:anchor distT="0" distB="0" distL="114300" distR="114300" simplePos="0" relativeHeight="251662336" behindDoc="0" locked="0" layoutInCell="1" allowOverlap="1" wp14:anchorId="4F988DBA" wp14:editId="2A81F0B0">
              <wp:simplePos x="0" y="0"/>
              <wp:positionH relativeFrom="column">
                <wp:posOffset>-452120</wp:posOffset>
              </wp:positionH>
              <wp:positionV relativeFrom="paragraph">
                <wp:posOffset>203200</wp:posOffset>
              </wp:positionV>
              <wp:extent cx="6429375" cy="0"/>
              <wp:effectExtent l="0" t="0" r="28575" b="19050"/>
              <wp:wrapNone/>
              <wp:docPr id="17" name="Düz Bağlayıcı 17"/>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11256CCD" id="Düz Bağlayıcı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6pt,16pt" to="47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" strokecolor="#5b9bd5 [3204]" strokeweight=".5pt">
              <v:stroke joinstyle="miter"/>
            </v:line>
          </w:pict>
        </mc:Fallback>
      </mc:AlternateContent>
    </w:r>
    <w:r>
      <w:rPr>
        <w:rFonts w:ascii="Garamond" w:hAnsi="Garamond"/>
        <w:sz w:val="18"/>
        <w:szCs w:val="18"/>
      </w:rPr>
      <w:t xml:space="preserve">                Kariyer Psikolojik Danışmanlığı Dergisi</w:t>
    </w:r>
    <w:r w:rsidRPr="00EF063F">
      <w:rPr>
        <w:rFonts w:ascii="Garamond" w:hAnsi="Garamond"/>
        <w:sz w:val="18"/>
        <w:szCs w:val="18"/>
      </w:rPr>
      <w:tab/>
      <w:t xml:space="preserve">                                        </w:t>
    </w:r>
    <w:r w:rsidR="00633CBE">
      <w:rPr>
        <w:rFonts w:ascii="Garamond" w:hAnsi="Garamond"/>
        <w:sz w:val="18"/>
        <w:szCs w:val="18"/>
      </w:rPr>
      <w:t>Bulut</w:t>
    </w:r>
    <w:r>
      <w:rPr>
        <w:rFonts w:ascii="Garamond" w:hAnsi="Garamond"/>
        <w:sz w:val="18"/>
        <w:szCs w:val="18"/>
      </w:rPr>
      <w:t xml:space="preserve"> ve</w:t>
    </w:r>
    <w:r w:rsidRPr="00EF063F">
      <w:rPr>
        <w:rFonts w:ascii="Garamond" w:hAnsi="Garamond"/>
        <w:sz w:val="18"/>
        <w:szCs w:val="18"/>
      </w:rPr>
      <w:t xml:space="preserve"> </w:t>
    </w:r>
    <w:r w:rsidR="00633CBE">
      <w:rPr>
        <w:rFonts w:ascii="Garamond" w:hAnsi="Garamond"/>
        <w:sz w:val="18"/>
        <w:szCs w:val="18"/>
      </w:rPr>
      <w:t>Bacanlı</w:t>
    </w:r>
    <w:r>
      <w:rPr>
        <w:rFonts w:ascii="Garamond" w:hAnsi="Garamond"/>
        <w:sz w:val="18"/>
        <w:szCs w:val="18"/>
      </w:rPr>
      <w:t xml:space="preserve"> (202</w:t>
    </w:r>
    <w:r w:rsidR="00633CBE">
      <w:rPr>
        <w:rFonts w:ascii="Garamond" w:hAnsi="Garamond"/>
        <w:sz w:val="18"/>
        <w:szCs w:val="18"/>
      </w:rPr>
      <w:t>3</w:t>
    </w:r>
    <w:r>
      <w:rPr>
        <w:rFonts w:ascii="Garamond" w:hAnsi="Garamond"/>
        <w:sz w:val="18"/>
        <w:szCs w:val="18"/>
      </w:rPr>
      <w:t>)</w:t>
    </w:r>
  </w:p>
  <w:p w14:paraId="2EA85C6A" w14:textId="77777777" w:rsidR="0012739C" w:rsidRPr="00EF063F" w:rsidRDefault="0012739C" w:rsidP="002C3154">
    <w:pPr>
      <w:pStyle w:val="stBilgi"/>
      <w:ind w:left="-567"/>
      <w:jc w:val="center"/>
      <w:rPr>
        <w:rFonts w:ascii="Garamond" w:hAnsi="Garamond"/>
        <w:sz w:val="18"/>
        <w:szCs w:val="18"/>
      </w:rPr>
    </w:pPr>
  </w:p>
  <w:p w14:paraId="0BEE15FE" w14:textId="2287D148" w:rsidR="0012739C" w:rsidRPr="00EF063F" w:rsidRDefault="0012739C" w:rsidP="002C3154">
    <w:pPr>
      <w:pStyle w:val="stBilgi"/>
      <w:ind w:left="-567"/>
      <w:jc w:val="center"/>
      <w:rPr>
        <w:rFonts w:ascii="Garamond" w:hAnsi="Garamond"/>
        <w:sz w:val="18"/>
        <w:szCs w:val="18"/>
      </w:rPr>
    </w:pPr>
    <w:r>
      <w:rPr>
        <w:rFonts w:ascii="Garamond" w:hAnsi="Garamond"/>
        <w:sz w:val="18"/>
        <w:szCs w:val="18"/>
      </w:rPr>
      <w:t xml:space="preserve">Journal of Career Counseling                                                       </w:t>
    </w:r>
    <w:r w:rsidRPr="00E86805">
      <w:rPr>
        <w:rFonts w:ascii="Garamond" w:hAnsi="Garamond"/>
        <w:b/>
        <w:sz w:val="18"/>
        <w:szCs w:val="18"/>
      </w:rPr>
      <w:t>Cilt</w:t>
    </w:r>
    <w:r>
      <w:rPr>
        <w:rFonts w:ascii="Garamond" w:hAnsi="Garamond"/>
        <w:sz w:val="18"/>
        <w:szCs w:val="18"/>
      </w:rPr>
      <w:t>:</w:t>
    </w:r>
    <w:r w:rsidR="00633CBE">
      <w:rPr>
        <w:rFonts w:ascii="Garamond" w:hAnsi="Garamond"/>
        <w:sz w:val="18"/>
        <w:szCs w:val="18"/>
      </w:rPr>
      <w:t>6</w:t>
    </w:r>
    <w:r>
      <w:rPr>
        <w:rFonts w:ascii="Garamond" w:hAnsi="Garamond"/>
        <w:sz w:val="18"/>
        <w:szCs w:val="18"/>
      </w:rPr>
      <w:t xml:space="preserve"> </w:t>
    </w:r>
    <w:r w:rsidRPr="00E86805">
      <w:rPr>
        <w:rFonts w:ascii="Garamond" w:hAnsi="Garamond"/>
        <w:b/>
        <w:sz w:val="18"/>
        <w:szCs w:val="18"/>
      </w:rPr>
      <w:t>Sayı</w:t>
    </w:r>
    <w:r>
      <w:rPr>
        <w:rFonts w:ascii="Garamond" w:hAnsi="Garamond"/>
        <w:sz w:val="18"/>
        <w:szCs w:val="18"/>
      </w:rPr>
      <w:t>:</w:t>
    </w:r>
    <w:r w:rsidR="00633CBE">
      <w:rPr>
        <w:rFonts w:ascii="Garamond" w:hAnsi="Garamond"/>
        <w:sz w:val="18"/>
        <w:szCs w:val="18"/>
      </w:rPr>
      <w:t>2</w:t>
    </w:r>
    <w:r>
      <w:rPr>
        <w:rFonts w:ascii="Garamond" w:hAnsi="Garamond"/>
        <w:sz w:val="18"/>
        <w:szCs w:val="18"/>
      </w:rPr>
      <w:t xml:space="preserve"> </w:t>
    </w:r>
    <w:r w:rsidRPr="00E86805">
      <w:rPr>
        <w:rFonts w:ascii="Garamond" w:hAnsi="Garamond"/>
        <w:b/>
        <w:sz w:val="18"/>
        <w:szCs w:val="18"/>
      </w:rPr>
      <w:t>Sayfa Aralığı</w:t>
    </w:r>
    <w:r>
      <w:rPr>
        <w:rFonts w:ascii="Garamond" w:hAnsi="Garamond"/>
        <w:sz w:val="18"/>
        <w:szCs w:val="18"/>
      </w:rPr>
      <w:t>:</w:t>
    </w:r>
    <w:r w:rsidR="00633CBE">
      <w:rPr>
        <w:rFonts w:ascii="Garamond" w:hAnsi="Garamond"/>
        <w:sz w:val="18"/>
        <w:szCs w:val="18"/>
      </w:rPr>
      <w:t>101-113</w:t>
    </w:r>
    <w:r>
      <w:rPr>
        <w:rFonts w:ascii="Garamond" w:hAnsi="Garamond"/>
        <w:sz w:val="18"/>
        <w:szCs w:val="18"/>
      </w:rPr>
      <w:t xml:space="preserve"> </w:t>
    </w:r>
    <w:r w:rsidRPr="00EF063F">
      <w:rPr>
        <w:rFonts w:ascii="Garamond" w:hAnsi="Garamond"/>
        <w:b/>
        <w:sz w:val="18"/>
        <w:szCs w:val="18"/>
      </w:rPr>
      <w:t>ISSN</w:t>
    </w:r>
    <w:r w:rsidRPr="00EF063F">
      <w:rPr>
        <w:rFonts w:ascii="Garamond" w:hAnsi="Garamond"/>
        <w:sz w:val="18"/>
        <w:szCs w:val="18"/>
      </w:rPr>
      <w:t xml:space="preserve">: </w:t>
    </w:r>
    <w:r>
      <w:rPr>
        <w:rFonts w:ascii="Garamond" w:hAnsi="Garamond"/>
        <w:sz w:val="18"/>
        <w:szCs w:val="18"/>
      </w:rPr>
      <w:t>2651-5482</w:t>
    </w:r>
  </w:p>
  <w:p w14:paraId="47CE6FB0" w14:textId="77777777" w:rsidR="0012739C" w:rsidRDefault="0012739C" w:rsidP="002C3154">
    <w:pPr>
      <w:pStyle w:val="stBilgi"/>
      <w:rPr>
        <w:rFonts w:ascii="Garamond" w:hAnsi="Garamond"/>
      </w:rPr>
    </w:pPr>
  </w:p>
  <w:p w14:paraId="559F988A" w14:textId="77777777" w:rsidR="0012739C" w:rsidRPr="00EA0873" w:rsidRDefault="0012739C" w:rsidP="002C3154">
    <w:pPr>
      <w:pStyle w:val="stBilgi"/>
      <w:rPr>
        <w:rFonts w:ascii="Garamond" w:hAnsi="Garamond"/>
      </w:rPr>
    </w:pPr>
  </w:p>
  <w:p w14:paraId="66ABCBA9" w14:textId="77777777" w:rsidR="0012739C" w:rsidRDefault="001273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A2525"/>
    <w:multiLevelType w:val="multilevel"/>
    <w:tmpl w:val="8B0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D1738"/>
    <w:multiLevelType w:val="multilevel"/>
    <w:tmpl w:val="F622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E62C9D"/>
    <w:multiLevelType w:val="multilevel"/>
    <w:tmpl w:val="7F68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hideSpellingErrors/>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CD7"/>
    <w:rsid w:val="00007BE1"/>
    <w:rsid w:val="00007C77"/>
    <w:rsid w:val="000205B5"/>
    <w:rsid w:val="00022637"/>
    <w:rsid w:val="000428E3"/>
    <w:rsid w:val="00046D2A"/>
    <w:rsid w:val="00053822"/>
    <w:rsid w:val="00054FC5"/>
    <w:rsid w:val="000633B5"/>
    <w:rsid w:val="000637E1"/>
    <w:rsid w:val="0006711B"/>
    <w:rsid w:val="000727F3"/>
    <w:rsid w:val="000758F8"/>
    <w:rsid w:val="000869E6"/>
    <w:rsid w:val="000901CF"/>
    <w:rsid w:val="000924B5"/>
    <w:rsid w:val="000A4396"/>
    <w:rsid w:val="000B3E5F"/>
    <w:rsid w:val="000B601C"/>
    <w:rsid w:val="000B6C62"/>
    <w:rsid w:val="000C60FA"/>
    <w:rsid w:val="000C62E6"/>
    <w:rsid w:val="000C64E7"/>
    <w:rsid w:val="000D13F5"/>
    <w:rsid w:val="000D1652"/>
    <w:rsid w:val="000E7C14"/>
    <w:rsid w:val="000E7C80"/>
    <w:rsid w:val="000F1AB6"/>
    <w:rsid w:val="00101E09"/>
    <w:rsid w:val="001066FE"/>
    <w:rsid w:val="001172A7"/>
    <w:rsid w:val="00120DD6"/>
    <w:rsid w:val="0012739C"/>
    <w:rsid w:val="0013005C"/>
    <w:rsid w:val="0013495D"/>
    <w:rsid w:val="00140EB2"/>
    <w:rsid w:val="0014328D"/>
    <w:rsid w:val="00151E14"/>
    <w:rsid w:val="00154342"/>
    <w:rsid w:val="001564ED"/>
    <w:rsid w:val="0016056D"/>
    <w:rsid w:val="0017169A"/>
    <w:rsid w:val="00171898"/>
    <w:rsid w:val="00193BA5"/>
    <w:rsid w:val="001A74B7"/>
    <w:rsid w:val="001A762C"/>
    <w:rsid w:val="001B0F4C"/>
    <w:rsid w:val="001B6A04"/>
    <w:rsid w:val="001C2E06"/>
    <w:rsid w:val="001C79E6"/>
    <w:rsid w:val="001D138D"/>
    <w:rsid w:val="001D7483"/>
    <w:rsid w:val="001E51A0"/>
    <w:rsid w:val="001E7173"/>
    <w:rsid w:val="002065CD"/>
    <w:rsid w:val="002118F1"/>
    <w:rsid w:val="00212247"/>
    <w:rsid w:val="002132C6"/>
    <w:rsid w:val="00221E48"/>
    <w:rsid w:val="00223EB2"/>
    <w:rsid w:val="002303AC"/>
    <w:rsid w:val="00234CDE"/>
    <w:rsid w:val="00235E93"/>
    <w:rsid w:val="00237AB2"/>
    <w:rsid w:val="00237DDB"/>
    <w:rsid w:val="00243C62"/>
    <w:rsid w:val="0025386C"/>
    <w:rsid w:val="00253EEA"/>
    <w:rsid w:val="00266DE8"/>
    <w:rsid w:val="00277095"/>
    <w:rsid w:val="002778CB"/>
    <w:rsid w:val="00295448"/>
    <w:rsid w:val="002A02EB"/>
    <w:rsid w:val="002A3BD3"/>
    <w:rsid w:val="002A4573"/>
    <w:rsid w:val="002A4B4B"/>
    <w:rsid w:val="002A74EF"/>
    <w:rsid w:val="002C2DBA"/>
    <w:rsid w:val="002C3154"/>
    <w:rsid w:val="002C52AC"/>
    <w:rsid w:val="002D0CD7"/>
    <w:rsid w:val="002E58F1"/>
    <w:rsid w:val="002E77A0"/>
    <w:rsid w:val="002F119B"/>
    <w:rsid w:val="002F1B22"/>
    <w:rsid w:val="002F469F"/>
    <w:rsid w:val="002F73AD"/>
    <w:rsid w:val="00304091"/>
    <w:rsid w:val="003040FD"/>
    <w:rsid w:val="003101B0"/>
    <w:rsid w:val="003176FB"/>
    <w:rsid w:val="003243F0"/>
    <w:rsid w:val="00326836"/>
    <w:rsid w:val="00327448"/>
    <w:rsid w:val="00336B83"/>
    <w:rsid w:val="00337FB0"/>
    <w:rsid w:val="00343D25"/>
    <w:rsid w:val="00343D8F"/>
    <w:rsid w:val="003473C0"/>
    <w:rsid w:val="00353B56"/>
    <w:rsid w:val="00354390"/>
    <w:rsid w:val="00355B67"/>
    <w:rsid w:val="003569BC"/>
    <w:rsid w:val="003615E5"/>
    <w:rsid w:val="00367062"/>
    <w:rsid w:val="00377002"/>
    <w:rsid w:val="003812B4"/>
    <w:rsid w:val="0038468C"/>
    <w:rsid w:val="00390C58"/>
    <w:rsid w:val="00392965"/>
    <w:rsid w:val="0039604D"/>
    <w:rsid w:val="003A1230"/>
    <w:rsid w:val="003A5963"/>
    <w:rsid w:val="003A746E"/>
    <w:rsid w:val="003B31A3"/>
    <w:rsid w:val="003B558F"/>
    <w:rsid w:val="003B79CD"/>
    <w:rsid w:val="003C24D4"/>
    <w:rsid w:val="003C2A6A"/>
    <w:rsid w:val="003C3E92"/>
    <w:rsid w:val="003C7AEA"/>
    <w:rsid w:val="003D5152"/>
    <w:rsid w:val="003D7713"/>
    <w:rsid w:val="003E0AF5"/>
    <w:rsid w:val="003E2E79"/>
    <w:rsid w:val="003E6B60"/>
    <w:rsid w:val="003E73AB"/>
    <w:rsid w:val="003E7785"/>
    <w:rsid w:val="003F57B8"/>
    <w:rsid w:val="00404043"/>
    <w:rsid w:val="004160F6"/>
    <w:rsid w:val="00433347"/>
    <w:rsid w:val="00437C85"/>
    <w:rsid w:val="004402D5"/>
    <w:rsid w:val="0044617F"/>
    <w:rsid w:val="00451B9B"/>
    <w:rsid w:val="00463EF6"/>
    <w:rsid w:val="00466E62"/>
    <w:rsid w:val="00466F5B"/>
    <w:rsid w:val="00473C37"/>
    <w:rsid w:val="0049083C"/>
    <w:rsid w:val="004A51B3"/>
    <w:rsid w:val="004A688D"/>
    <w:rsid w:val="004A7B99"/>
    <w:rsid w:val="004C1CA4"/>
    <w:rsid w:val="004C39ED"/>
    <w:rsid w:val="004C401A"/>
    <w:rsid w:val="004D3125"/>
    <w:rsid w:val="004D54CD"/>
    <w:rsid w:val="004E160D"/>
    <w:rsid w:val="004E5F7A"/>
    <w:rsid w:val="004F0D5B"/>
    <w:rsid w:val="004F6E64"/>
    <w:rsid w:val="0052004A"/>
    <w:rsid w:val="00537110"/>
    <w:rsid w:val="00537246"/>
    <w:rsid w:val="005431CC"/>
    <w:rsid w:val="005432AD"/>
    <w:rsid w:val="00545676"/>
    <w:rsid w:val="005501FD"/>
    <w:rsid w:val="00552407"/>
    <w:rsid w:val="00553383"/>
    <w:rsid w:val="00554B4E"/>
    <w:rsid w:val="00554C90"/>
    <w:rsid w:val="005677A0"/>
    <w:rsid w:val="005877A8"/>
    <w:rsid w:val="005A1CE1"/>
    <w:rsid w:val="005A2340"/>
    <w:rsid w:val="005A3C0B"/>
    <w:rsid w:val="005B081F"/>
    <w:rsid w:val="005B6B22"/>
    <w:rsid w:val="005C2350"/>
    <w:rsid w:val="005D3E0F"/>
    <w:rsid w:val="0061043A"/>
    <w:rsid w:val="00612786"/>
    <w:rsid w:val="0061499C"/>
    <w:rsid w:val="00615F0C"/>
    <w:rsid w:val="006229B4"/>
    <w:rsid w:val="00622F50"/>
    <w:rsid w:val="00626C9E"/>
    <w:rsid w:val="00633A22"/>
    <w:rsid w:val="00633CBE"/>
    <w:rsid w:val="00642060"/>
    <w:rsid w:val="006500DF"/>
    <w:rsid w:val="00655F5F"/>
    <w:rsid w:val="0065791F"/>
    <w:rsid w:val="00662DE8"/>
    <w:rsid w:val="00666134"/>
    <w:rsid w:val="0067056D"/>
    <w:rsid w:val="00670DBE"/>
    <w:rsid w:val="00684006"/>
    <w:rsid w:val="006852B1"/>
    <w:rsid w:val="00690202"/>
    <w:rsid w:val="00691DC1"/>
    <w:rsid w:val="00692798"/>
    <w:rsid w:val="006B114B"/>
    <w:rsid w:val="006B2CED"/>
    <w:rsid w:val="006B2FED"/>
    <w:rsid w:val="006B3F4F"/>
    <w:rsid w:val="006C0CC4"/>
    <w:rsid w:val="006C46B4"/>
    <w:rsid w:val="006D45D0"/>
    <w:rsid w:val="006E05ED"/>
    <w:rsid w:val="0070025B"/>
    <w:rsid w:val="00704B37"/>
    <w:rsid w:val="00707F44"/>
    <w:rsid w:val="00714F62"/>
    <w:rsid w:val="007276DE"/>
    <w:rsid w:val="007348C4"/>
    <w:rsid w:val="00744694"/>
    <w:rsid w:val="007452D0"/>
    <w:rsid w:val="007476F8"/>
    <w:rsid w:val="00750743"/>
    <w:rsid w:val="00751D0F"/>
    <w:rsid w:val="00771973"/>
    <w:rsid w:val="00774CBD"/>
    <w:rsid w:val="00775080"/>
    <w:rsid w:val="00796646"/>
    <w:rsid w:val="00796912"/>
    <w:rsid w:val="007A5E46"/>
    <w:rsid w:val="007A7DC2"/>
    <w:rsid w:val="007B3A87"/>
    <w:rsid w:val="007C0477"/>
    <w:rsid w:val="007C51D1"/>
    <w:rsid w:val="007C6859"/>
    <w:rsid w:val="007D0507"/>
    <w:rsid w:val="007E4736"/>
    <w:rsid w:val="007E57FD"/>
    <w:rsid w:val="007F156E"/>
    <w:rsid w:val="007F2623"/>
    <w:rsid w:val="007F7055"/>
    <w:rsid w:val="00801632"/>
    <w:rsid w:val="008033EE"/>
    <w:rsid w:val="0081166E"/>
    <w:rsid w:val="00811C5E"/>
    <w:rsid w:val="008121BD"/>
    <w:rsid w:val="008258E8"/>
    <w:rsid w:val="0084003F"/>
    <w:rsid w:val="0084277C"/>
    <w:rsid w:val="00847298"/>
    <w:rsid w:val="008511B3"/>
    <w:rsid w:val="00860837"/>
    <w:rsid w:val="00881176"/>
    <w:rsid w:val="008867DA"/>
    <w:rsid w:val="0089041E"/>
    <w:rsid w:val="00892135"/>
    <w:rsid w:val="008A0904"/>
    <w:rsid w:val="008A228B"/>
    <w:rsid w:val="008B0783"/>
    <w:rsid w:val="008B377E"/>
    <w:rsid w:val="008C0636"/>
    <w:rsid w:val="008C0F2E"/>
    <w:rsid w:val="008C7221"/>
    <w:rsid w:val="008D6AD0"/>
    <w:rsid w:val="008E261B"/>
    <w:rsid w:val="008F6919"/>
    <w:rsid w:val="008F7F14"/>
    <w:rsid w:val="00901419"/>
    <w:rsid w:val="00901A1A"/>
    <w:rsid w:val="009034EE"/>
    <w:rsid w:val="00903769"/>
    <w:rsid w:val="00905577"/>
    <w:rsid w:val="009157D0"/>
    <w:rsid w:val="009176E2"/>
    <w:rsid w:val="00924F0A"/>
    <w:rsid w:val="00926C68"/>
    <w:rsid w:val="00927E99"/>
    <w:rsid w:val="00931EC5"/>
    <w:rsid w:val="00934298"/>
    <w:rsid w:val="00943248"/>
    <w:rsid w:val="00950B3C"/>
    <w:rsid w:val="0097605D"/>
    <w:rsid w:val="00983522"/>
    <w:rsid w:val="00987B61"/>
    <w:rsid w:val="009907B6"/>
    <w:rsid w:val="009928B8"/>
    <w:rsid w:val="00993F23"/>
    <w:rsid w:val="00997048"/>
    <w:rsid w:val="009A2AD9"/>
    <w:rsid w:val="009A4D80"/>
    <w:rsid w:val="009B0771"/>
    <w:rsid w:val="009B2033"/>
    <w:rsid w:val="009C159A"/>
    <w:rsid w:val="009C3157"/>
    <w:rsid w:val="009C39AB"/>
    <w:rsid w:val="009C4783"/>
    <w:rsid w:val="009D4A42"/>
    <w:rsid w:val="009E010F"/>
    <w:rsid w:val="009E6092"/>
    <w:rsid w:val="009F4A97"/>
    <w:rsid w:val="00A01744"/>
    <w:rsid w:val="00A02B6F"/>
    <w:rsid w:val="00A07B62"/>
    <w:rsid w:val="00A21F4E"/>
    <w:rsid w:val="00A23DA1"/>
    <w:rsid w:val="00A23EB7"/>
    <w:rsid w:val="00A40A3C"/>
    <w:rsid w:val="00A6268E"/>
    <w:rsid w:val="00A63D36"/>
    <w:rsid w:val="00A6605E"/>
    <w:rsid w:val="00A86F8C"/>
    <w:rsid w:val="00A92FF7"/>
    <w:rsid w:val="00A9419C"/>
    <w:rsid w:val="00AA485B"/>
    <w:rsid w:val="00AA68B4"/>
    <w:rsid w:val="00AA7F04"/>
    <w:rsid w:val="00AB03F0"/>
    <w:rsid w:val="00AB36BC"/>
    <w:rsid w:val="00AC2BF2"/>
    <w:rsid w:val="00AC3C57"/>
    <w:rsid w:val="00AC58E6"/>
    <w:rsid w:val="00AC5D81"/>
    <w:rsid w:val="00AC7EF7"/>
    <w:rsid w:val="00AD14C0"/>
    <w:rsid w:val="00AD3741"/>
    <w:rsid w:val="00AD6191"/>
    <w:rsid w:val="00AF3AAD"/>
    <w:rsid w:val="00B01FD1"/>
    <w:rsid w:val="00B025A9"/>
    <w:rsid w:val="00B103F9"/>
    <w:rsid w:val="00B10771"/>
    <w:rsid w:val="00B174A6"/>
    <w:rsid w:val="00B2102F"/>
    <w:rsid w:val="00B23683"/>
    <w:rsid w:val="00B2404B"/>
    <w:rsid w:val="00B24C9C"/>
    <w:rsid w:val="00B26302"/>
    <w:rsid w:val="00B33C72"/>
    <w:rsid w:val="00B35E7E"/>
    <w:rsid w:val="00B36ADD"/>
    <w:rsid w:val="00B36D70"/>
    <w:rsid w:val="00B552A0"/>
    <w:rsid w:val="00B57537"/>
    <w:rsid w:val="00B63B09"/>
    <w:rsid w:val="00B8187F"/>
    <w:rsid w:val="00B848FA"/>
    <w:rsid w:val="00BA1175"/>
    <w:rsid w:val="00BA16C6"/>
    <w:rsid w:val="00BA2F51"/>
    <w:rsid w:val="00BA4375"/>
    <w:rsid w:val="00BA43E4"/>
    <w:rsid w:val="00BC4AAC"/>
    <w:rsid w:val="00BE0D6E"/>
    <w:rsid w:val="00BF300E"/>
    <w:rsid w:val="00C003D7"/>
    <w:rsid w:val="00C07E44"/>
    <w:rsid w:val="00C10A63"/>
    <w:rsid w:val="00C12946"/>
    <w:rsid w:val="00C238ED"/>
    <w:rsid w:val="00C25F6B"/>
    <w:rsid w:val="00C26384"/>
    <w:rsid w:val="00C45F41"/>
    <w:rsid w:val="00C51950"/>
    <w:rsid w:val="00C577C4"/>
    <w:rsid w:val="00C60FD0"/>
    <w:rsid w:val="00C624FF"/>
    <w:rsid w:val="00C70960"/>
    <w:rsid w:val="00C80400"/>
    <w:rsid w:val="00C81C6B"/>
    <w:rsid w:val="00C86992"/>
    <w:rsid w:val="00C93C78"/>
    <w:rsid w:val="00C951E6"/>
    <w:rsid w:val="00C969D0"/>
    <w:rsid w:val="00CA363E"/>
    <w:rsid w:val="00CA683E"/>
    <w:rsid w:val="00CB1B59"/>
    <w:rsid w:val="00CB1E1D"/>
    <w:rsid w:val="00CB2B2C"/>
    <w:rsid w:val="00CB49A8"/>
    <w:rsid w:val="00CB6831"/>
    <w:rsid w:val="00CC0C75"/>
    <w:rsid w:val="00CD01F0"/>
    <w:rsid w:val="00CD02EC"/>
    <w:rsid w:val="00CD2E7A"/>
    <w:rsid w:val="00CD77D4"/>
    <w:rsid w:val="00CF6320"/>
    <w:rsid w:val="00D00DB5"/>
    <w:rsid w:val="00D12211"/>
    <w:rsid w:val="00D14D80"/>
    <w:rsid w:val="00D173BF"/>
    <w:rsid w:val="00D23A2A"/>
    <w:rsid w:val="00D33463"/>
    <w:rsid w:val="00D337B1"/>
    <w:rsid w:val="00D34834"/>
    <w:rsid w:val="00D37962"/>
    <w:rsid w:val="00D40BE8"/>
    <w:rsid w:val="00D52A7C"/>
    <w:rsid w:val="00D5548D"/>
    <w:rsid w:val="00D55721"/>
    <w:rsid w:val="00D56A90"/>
    <w:rsid w:val="00D602D5"/>
    <w:rsid w:val="00D819BA"/>
    <w:rsid w:val="00D84C2A"/>
    <w:rsid w:val="00D87081"/>
    <w:rsid w:val="00DA1FC0"/>
    <w:rsid w:val="00DA37A9"/>
    <w:rsid w:val="00DB1DD0"/>
    <w:rsid w:val="00DB4319"/>
    <w:rsid w:val="00DC0075"/>
    <w:rsid w:val="00DC0C6B"/>
    <w:rsid w:val="00DC1136"/>
    <w:rsid w:val="00DC6D1A"/>
    <w:rsid w:val="00DC70D9"/>
    <w:rsid w:val="00DD1DDB"/>
    <w:rsid w:val="00DD465C"/>
    <w:rsid w:val="00DD6F84"/>
    <w:rsid w:val="00DE46C5"/>
    <w:rsid w:val="00DF1602"/>
    <w:rsid w:val="00DF25E4"/>
    <w:rsid w:val="00DF3035"/>
    <w:rsid w:val="00DF47C4"/>
    <w:rsid w:val="00DF4CEE"/>
    <w:rsid w:val="00DF5CCD"/>
    <w:rsid w:val="00DF7AE0"/>
    <w:rsid w:val="00DF7F61"/>
    <w:rsid w:val="00E06A35"/>
    <w:rsid w:val="00E10D23"/>
    <w:rsid w:val="00E13549"/>
    <w:rsid w:val="00E14CEE"/>
    <w:rsid w:val="00E301A4"/>
    <w:rsid w:val="00E34DB2"/>
    <w:rsid w:val="00E505C1"/>
    <w:rsid w:val="00E50DBC"/>
    <w:rsid w:val="00E53104"/>
    <w:rsid w:val="00E5532C"/>
    <w:rsid w:val="00E63B17"/>
    <w:rsid w:val="00E71749"/>
    <w:rsid w:val="00E74735"/>
    <w:rsid w:val="00E81B32"/>
    <w:rsid w:val="00E82201"/>
    <w:rsid w:val="00E8256A"/>
    <w:rsid w:val="00E86805"/>
    <w:rsid w:val="00E91EC2"/>
    <w:rsid w:val="00E94C53"/>
    <w:rsid w:val="00E95DC9"/>
    <w:rsid w:val="00E96BAA"/>
    <w:rsid w:val="00EA0873"/>
    <w:rsid w:val="00EA3F19"/>
    <w:rsid w:val="00EA6D3E"/>
    <w:rsid w:val="00EB026E"/>
    <w:rsid w:val="00EB46E7"/>
    <w:rsid w:val="00EB47B0"/>
    <w:rsid w:val="00EB6B5C"/>
    <w:rsid w:val="00EC10E6"/>
    <w:rsid w:val="00EC3B46"/>
    <w:rsid w:val="00EC40CA"/>
    <w:rsid w:val="00EC5831"/>
    <w:rsid w:val="00ED009F"/>
    <w:rsid w:val="00ED26D3"/>
    <w:rsid w:val="00ED4544"/>
    <w:rsid w:val="00ED52D8"/>
    <w:rsid w:val="00ED5F01"/>
    <w:rsid w:val="00EE24FF"/>
    <w:rsid w:val="00EE2D3B"/>
    <w:rsid w:val="00EE6DB4"/>
    <w:rsid w:val="00EE770A"/>
    <w:rsid w:val="00EF063F"/>
    <w:rsid w:val="00F02245"/>
    <w:rsid w:val="00F02294"/>
    <w:rsid w:val="00F04AD4"/>
    <w:rsid w:val="00F106AA"/>
    <w:rsid w:val="00F134FF"/>
    <w:rsid w:val="00F2426C"/>
    <w:rsid w:val="00F265D7"/>
    <w:rsid w:val="00F35B08"/>
    <w:rsid w:val="00F412CA"/>
    <w:rsid w:val="00F43502"/>
    <w:rsid w:val="00F45127"/>
    <w:rsid w:val="00F461F4"/>
    <w:rsid w:val="00F504C1"/>
    <w:rsid w:val="00F554AF"/>
    <w:rsid w:val="00F650A3"/>
    <w:rsid w:val="00F6718C"/>
    <w:rsid w:val="00F730F5"/>
    <w:rsid w:val="00F7775D"/>
    <w:rsid w:val="00F8282D"/>
    <w:rsid w:val="00F844A1"/>
    <w:rsid w:val="00F85C94"/>
    <w:rsid w:val="00F96544"/>
    <w:rsid w:val="00FC28EA"/>
    <w:rsid w:val="00FD6BBB"/>
    <w:rsid w:val="00FD792E"/>
    <w:rsid w:val="00FE467F"/>
    <w:rsid w:val="00FE49C3"/>
    <w:rsid w:val="00FF0641"/>
    <w:rsid w:val="00FF4F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05982"/>
  <w15:chartTrackingRefBased/>
  <w15:docId w15:val="{38B20588-258E-4E7B-AFCC-BBAFF633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5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unhideWhenUsed/>
    <w:qFormat/>
    <w:rsid w:val="00C26384"/>
    <w:pPr>
      <w:keepNext/>
      <w:keepLines/>
      <w:spacing w:before="40"/>
      <w:outlineLvl w:val="2"/>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uiPriority w:val="9"/>
    <w:semiHidden/>
    <w:unhideWhenUsed/>
    <w:qFormat/>
    <w:rsid w:val="00F106AA"/>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0873"/>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A0873"/>
  </w:style>
  <w:style w:type="paragraph" w:styleId="AltBilgi">
    <w:name w:val="footer"/>
    <w:basedOn w:val="Normal"/>
    <w:link w:val="AltBilgiChar"/>
    <w:uiPriority w:val="99"/>
    <w:unhideWhenUsed/>
    <w:rsid w:val="00EA0873"/>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A0873"/>
  </w:style>
  <w:style w:type="character" w:styleId="Kpr">
    <w:name w:val="Hyperlink"/>
    <w:basedOn w:val="VarsaylanParagrafYazTipi"/>
    <w:uiPriority w:val="99"/>
    <w:unhideWhenUsed/>
    <w:rsid w:val="00343D25"/>
    <w:rPr>
      <w:color w:val="0563C1" w:themeColor="hyperlink"/>
      <w:u w:val="single"/>
    </w:rPr>
  </w:style>
  <w:style w:type="table" w:styleId="TabloKlavuzu">
    <w:name w:val="Table Grid"/>
    <w:basedOn w:val="NormalTablo"/>
    <w:uiPriority w:val="59"/>
    <w:rsid w:val="00BA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25F6B"/>
    <w:rPr>
      <w:sz w:val="16"/>
      <w:szCs w:val="16"/>
    </w:rPr>
  </w:style>
  <w:style w:type="paragraph" w:styleId="AklamaMetni">
    <w:name w:val="annotation text"/>
    <w:basedOn w:val="Normal"/>
    <w:link w:val="AklamaMetniChar"/>
    <w:uiPriority w:val="99"/>
    <w:semiHidden/>
    <w:unhideWhenUsed/>
    <w:rsid w:val="00C25F6B"/>
    <w:pPr>
      <w:spacing w:after="160"/>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C25F6B"/>
    <w:rPr>
      <w:sz w:val="20"/>
      <w:szCs w:val="20"/>
    </w:rPr>
  </w:style>
  <w:style w:type="paragraph" w:styleId="AklamaKonusu">
    <w:name w:val="annotation subject"/>
    <w:basedOn w:val="AklamaMetni"/>
    <w:next w:val="AklamaMetni"/>
    <w:link w:val="AklamaKonusuChar"/>
    <w:uiPriority w:val="99"/>
    <w:semiHidden/>
    <w:unhideWhenUsed/>
    <w:rsid w:val="00C25F6B"/>
    <w:rPr>
      <w:b/>
      <w:bCs/>
    </w:rPr>
  </w:style>
  <w:style w:type="character" w:customStyle="1" w:styleId="AklamaKonusuChar">
    <w:name w:val="Açıklama Konusu Char"/>
    <w:basedOn w:val="AklamaMetniChar"/>
    <w:link w:val="AklamaKonusu"/>
    <w:uiPriority w:val="99"/>
    <w:semiHidden/>
    <w:rsid w:val="00C25F6B"/>
    <w:rPr>
      <w:b/>
      <w:bCs/>
      <w:sz w:val="20"/>
      <w:szCs w:val="20"/>
    </w:rPr>
  </w:style>
  <w:style w:type="paragraph" w:styleId="BalonMetni">
    <w:name w:val="Balloon Text"/>
    <w:basedOn w:val="Normal"/>
    <w:link w:val="BalonMetniChar"/>
    <w:uiPriority w:val="99"/>
    <w:semiHidden/>
    <w:unhideWhenUsed/>
    <w:rsid w:val="00C25F6B"/>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C25F6B"/>
    <w:rPr>
      <w:rFonts w:ascii="Segoe UI" w:hAnsi="Segoe UI" w:cs="Segoe UI"/>
      <w:sz w:val="18"/>
      <w:szCs w:val="18"/>
    </w:rPr>
  </w:style>
  <w:style w:type="character" w:styleId="Vurgu">
    <w:name w:val="Emphasis"/>
    <w:basedOn w:val="VarsaylanParagrafYazTipi"/>
    <w:uiPriority w:val="20"/>
    <w:qFormat/>
    <w:rsid w:val="00CB2B2C"/>
    <w:rPr>
      <w:i/>
      <w:iCs/>
    </w:rPr>
  </w:style>
  <w:style w:type="character" w:customStyle="1" w:styleId="zmlenmeyenBahsetme1">
    <w:name w:val="Çözümlenmeyen Bahsetme1"/>
    <w:basedOn w:val="VarsaylanParagrafYazTipi"/>
    <w:uiPriority w:val="99"/>
    <w:semiHidden/>
    <w:unhideWhenUsed/>
    <w:rsid w:val="00983522"/>
    <w:rPr>
      <w:color w:val="605E5C"/>
      <w:shd w:val="clear" w:color="auto" w:fill="E1DFDD"/>
    </w:rPr>
  </w:style>
  <w:style w:type="character" w:customStyle="1" w:styleId="Balk3Char">
    <w:name w:val="Başlık 3 Char"/>
    <w:basedOn w:val="VarsaylanParagrafYazTipi"/>
    <w:link w:val="Balk3"/>
    <w:uiPriority w:val="9"/>
    <w:rsid w:val="00C26384"/>
    <w:rPr>
      <w:rFonts w:asciiTheme="majorHAnsi" w:eastAsiaTheme="majorEastAsia" w:hAnsiTheme="majorHAnsi" w:cstheme="majorBidi"/>
      <w:color w:val="1F4D78" w:themeColor="accent1" w:themeShade="7F"/>
      <w:sz w:val="24"/>
      <w:szCs w:val="24"/>
      <w:lang w:eastAsia="tr-TR"/>
    </w:rPr>
  </w:style>
  <w:style w:type="paragraph" w:styleId="ListeParagraf">
    <w:name w:val="List Paragraph"/>
    <w:basedOn w:val="Normal"/>
    <w:uiPriority w:val="34"/>
    <w:qFormat/>
    <w:rsid w:val="00C26384"/>
    <w:pPr>
      <w:ind w:left="720"/>
      <w:contextualSpacing/>
    </w:pPr>
  </w:style>
  <w:style w:type="paragraph" w:styleId="ResimYazs">
    <w:name w:val="caption"/>
    <w:basedOn w:val="Normal"/>
    <w:next w:val="Normal"/>
    <w:uiPriority w:val="35"/>
    <w:unhideWhenUsed/>
    <w:qFormat/>
    <w:rsid w:val="00C26384"/>
    <w:pPr>
      <w:spacing w:after="200"/>
      <w:jc w:val="both"/>
    </w:pPr>
    <w:rPr>
      <w:i/>
      <w:iCs/>
      <w:color w:val="44546A"/>
      <w:sz w:val="18"/>
      <w:szCs w:val="18"/>
    </w:rPr>
  </w:style>
  <w:style w:type="paragraph" w:styleId="NormalWeb">
    <w:name w:val="Normal (Web)"/>
    <w:basedOn w:val="Normal"/>
    <w:link w:val="NormalWebChar"/>
    <w:uiPriority w:val="99"/>
    <w:unhideWhenUsed/>
    <w:rsid w:val="00E301A4"/>
    <w:pPr>
      <w:spacing w:before="100" w:beforeAutospacing="1" w:after="100" w:afterAutospacing="1"/>
    </w:pPr>
  </w:style>
  <w:style w:type="character" w:customStyle="1" w:styleId="NormalWebChar">
    <w:name w:val="Normal (Web) Char"/>
    <w:link w:val="NormalWeb"/>
    <w:uiPriority w:val="99"/>
    <w:rsid w:val="00E301A4"/>
    <w:rPr>
      <w:rFonts w:ascii="Times New Roman" w:eastAsia="Times New Roman" w:hAnsi="Times New Roman" w:cs="Times New Roman"/>
      <w:sz w:val="24"/>
      <w:szCs w:val="24"/>
      <w:lang w:eastAsia="tr-TR"/>
    </w:rPr>
  </w:style>
  <w:style w:type="character" w:customStyle="1" w:styleId="a">
    <w:name w:val="_"/>
    <w:basedOn w:val="VarsaylanParagrafYazTipi"/>
    <w:rsid w:val="00E06A35"/>
  </w:style>
  <w:style w:type="character" w:customStyle="1" w:styleId="ff2">
    <w:name w:val="ff2"/>
    <w:basedOn w:val="VarsaylanParagrafYazTipi"/>
    <w:rsid w:val="00E06A35"/>
  </w:style>
  <w:style w:type="character" w:customStyle="1" w:styleId="ls582">
    <w:name w:val="ls582"/>
    <w:basedOn w:val="VarsaylanParagrafYazTipi"/>
    <w:rsid w:val="00E06A35"/>
  </w:style>
  <w:style w:type="character" w:customStyle="1" w:styleId="ff1">
    <w:name w:val="ff1"/>
    <w:basedOn w:val="VarsaylanParagrafYazTipi"/>
    <w:rsid w:val="00E06A35"/>
  </w:style>
  <w:style w:type="character" w:customStyle="1" w:styleId="zmlenmeyenBahsetme2">
    <w:name w:val="Çözümlenmeyen Bahsetme2"/>
    <w:basedOn w:val="VarsaylanParagrafYazTipi"/>
    <w:uiPriority w:val="99"/>
    <w:semiHidden/>
    <w:unhideWhenUsed/>
    <w:rsid w:val="00881176"/>
    <w:rPr>
      <w:color w:val="605E5C"/>
      <w:shd w:val="clear" w:color="auto" w:fill="E1DFDD"/>
    </w:rPr>
  </w:style>
  <w:style w:type="character" w:customStyle="1" w:styleId="anchor-text">
    <w:name w:val="anchor-text"/>
    <w:basedOn w:val="VarsaylanParagrafYazTipi"/>
    <w:rsid w:val="001E51A0"/>
  </w:style>
  <w:style w:type="paragraph" w:customStyle="1" w:styleId="dx-doi">
    <w:name w:val="dx-doi"/>
    <w:basedOn w:val="Normal"/>
    <w:rsid w:val="005677A0"/>
    <w:pPr>
      <w:spacing w:before="100" w:beforeAutospacing="1" w:after="100" w:afterAutospacing="1"/>
    </w:pPr>
  </w:style>
  <w:style w:type="character" w:customStyle="1" w:styleId="Balk6Char">
    <w:name w:val="Başlık 6 Char"/>
    <w:basedOn w:val="VarsaylanParagrafYazTipi"/>
    <w:link w:val="Balk6"/>
    <w:uiPriority w:val="9"/>
    <w:semiHidden/>
    <w:rsid w:val="00F106AA"/>
    <w:rPr>
      <w:rFonts w:asciiTheme="majorHAnsi" w:eastAsiaTheme="majorEastAsia" w:hAnsiTheme="majorHAnsi" w:cstheme="majorBidi"/>
      <w:color w:val="1F4D78" w:themeColor="accent1" w:themeShade="7F"/>
      <w:sz w:val="24"/>
      <w:szCs w:val="24"/>
      <w:lang w:eastAsia="tr-TR"/>
    </w:rPr>
  </w:style>
  <w:style w:type="character" w:styleId="zlenenKpr">
    <w:name w:val="FollowedHyperlink"/>
    <w:basedOn w:val="VarsaylanParagrafYazTipi"/>
    <w:uiPriority w:val="99"/>
    <w:semiHidden/>
    <w:unhideWhenUsed/>
    <w:rsid w:val="004A688D"/>
    <w:rPr>
      <w:color w:val="954F72" w:themeColor="followedHyperlink"/>
      <w:u w:val="single"/>
    </w:rPr>
  </w:style>
  <w:style w:type="character" w:styleId="zmlenmeyenBahsetme">
    <w:name w:val="Unresolved Mention"/>
    <w:basedOn w:val="VarsaylanParagrafYazTipi"/>
    <w:uiPriority w:val="99"/>
    <w:semiHidden/>
    <w:unhideWhenUsed/>
    <w:rsid w:val="00552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5558">
      <w:bodyDiv w:val="1"/>
      <w:marLeft w:val="0"/>
      <w:marRight w:val="0"/>
      <w:marTop w:val="0"/>
      <w:marBottom w:val="0"/>
      <w:divBdr>
        <w:top w:val="none" w:sz="0" w:space="0" w:color="auto"/>
        <w:left w:val="none" w:sz="0" w:space="0" w:color="auto"/>
        <w:bottom w:val="none" w:sz="0" w:space="0" w:color="auto"/>
        <w:right w:val="none" w:sz="0" w:space="0" w:color="auto"/>
      </w:divBdr>
    </w:div>
    <w:div w:id="64111453">
      <w:bodyDiv w:val="1"/>
      <w:marLeft w:val="0"/>
      <w:marRight w:val="0"/>
      <w:marTop w:val="0"/>
      <w:marBottom w:val="0"/>
      <w:divBdr>
        <w:top w:val="none" w:sz="0" w:space="0" w:color="auto"/>
        <w:left w:val="none" w:sz="0" w:space="0" w:color="auto"/>
        <w:bottom w:val="none" w:sz="0" w:space="0" w:color="auto"/>
        <w:right w:val="none" w:sz="0" w:space="0" w:color="auto"/>
      </w:divBdr>
    </w:div>
    <w:div w:id="121192905">
      <w:bodyDiv w:val="1"/>
      <w:marLeft w:val="0"/>
      <w:marRight w:val="0"/>
      <w:marTop w:val="0"/>
      <w:marBottom w:val="0"/>
      <w:divBdr>
        <w:top w:val="none" w:sz="0" w:space="0" w:color="auto"/>
        <w:left w:val="none" w:sz="0" w:space="0" w:color="auto"/>
        <w:bottom w:val="none" w:sz="0" w:space="0" w:color="auto"/>
        <w:right w:val="none" w:sz="0" w:space="0" w:color="auto"/>
      </w:divBdr>
    </w:div>
    <w:div w:id="135612355">
      <w:bodyDiv w:val="1"/>
      <w:marLeft w:val="0"/>
      <w:marRight w:val="0"/>
      <w:marTop w:val="0"/>
      <w:marBottom w:val="0"/>
      <w:divBdr>
        <w:top w:val="none" w:sz="0" w:space="0" w:color="auto"/>
        <w:left w:val="none" w:sz="0" w:space="0" w:color="auto"/>
        <w:bottom w:val="none" w:sz="0" w:space="0" w:color="auto"/>
        <w:right w:val="none" w:sz="0" w:space="0" w:color="auto"/>
      </w:divBdr>
      <w:divsChild>
        <w:div w:id="293216969">
          <w:marLeft w:val="0"/>
          <w:marRight w:val="0"/>
          <w:marTop w:val="0"/>
          <w:marBottom w:val="0"/>
          <w:divBdr>
            <w:top w:val="none" w:sz="0" w:space="0" w:color="auto"/>
            <w:left w:val="none" w:sz="0" w:space="0" w:color="auto"/>
            <w:bottom w:val="none" w:sz="0" w:space="0" w:color="auto"/>
            <w:right w:val="none" w:sz="0" w:space="0" w:color="auto"/>
          </w:divBdr>
          <w:divsChild>
            <w:div w:id="1420442335">
              <w:marLeft w:val="0"/>
              <w:marRight w:val="0"/>
              <w:marTop w:val="0"/>
              <w:marBottom w:val="0"/>
              <w:divBdr>
                <w:top w:val="none" w:sz="0" w:space="0" w:color="auto"/>
                <w:left w:val="none" w:sz="0" w:space="0" w:color="auto"/>
                <w:bottom w:val="none" w:sz="0" w:space="0" w:color="auto"/>
                <w:right w:val="none" w:sz="0" w:space="0" w:color="auto"/>
              </w:divBdr>
              <w:divsChild>
                <w:div w:id="1045643581">
                  <w:marLeft w:val="-240"/>
                  <w:marRight w:val="-240"/>
                  <w:marTop w:val="0"/>
                  <w:marBottom w:val="0"/>
                  <w:divBdr>
                    <w:top w:val="none" w:sz="0" w:space="0" w:color="auto"/>
                    <w:left w:val="none" w:sz="0" w:space="0" w:color="auto"/>
                    <w:bottom w:val="none" w:sz="0" w:space="0" w:color="auto"/>
                    <w:right w:val="none" w:sz="0" w:space="0" w:color="auto"/>
                  </w:divBdr>
                  <w:divsChild>
                    <w:div w:id="1823504758">
                      <w:marLeft w:val="0"/>
                      <w:marRight w:val="0"/>
                      <w:marTop w:val="0"/>
                      <w:marBottom w:val="0"/>
                      <w:divBdr>
                        <w:top w:val="none" w:sz="0" w:space="0" w:color="auto"/>
                        <w:left w:val="none" w:sz="0" w:space="0" w:color="auto"/>
                        <w:bottom w:val="none" w:sz="0" w:space="0" w:color="auto"/>
                        <w:right w:val="none" w:sz="0" w:space="0" w:color="auto"/>
                      </w:divBdr>
                      <w:divsChild>
                        <w:div w:id="1243372162">
                          <w:marLeft w:val="0"/>
                          <w:marRight w:val="0"/>
                          <w:marTop w:val="0"/>
                          <w:marBottom w:val="0"/>
                          <w:divBdr>
                            <w:top w:val="none" w:sz="0" w:space="0" w:color="auto"/>
                            <w:left w:val="none" w:sz="0" w:space="0" w:color="auto"/>
                            <w:bottom w:val="none" w:sz="0" w:space="0" w:color="auto"/>
                            <w:right w:val="none" w:sz="0" w:space="0" w:color="auto"/>
                          </w:divBdr>
                        </w:div>
                        <w:div w:id="1969235867">
                          <w:marLeft w:val="0"/>
                          <w:marRight w:val="0"/>
                          <w:marTop w:val="0"/>
                          <w:marBottom w:val="0"/>
                          <w:divBdr>
                            <w:top w:val="none" w:sz="0" w:space="0" w:color="auto"/>
                            <w:left w:val="none" w:sz="0" w:space="0" w:color="auto"/>
                            <w:bottom w:val="none" w:sz="0" w:space="0" w:color="auto"/>
                            <w:right w:val="none" w:sz="0" w:space="0" w:color="auto"/>
                          </w:divBdr>
                          <w:divsChild>
                            <w:div w:id="1962834121">
                              <w:marLeft w:val="165"/>
                              <w:marRight w:val="165"/>
                              <w:marTop w:val="0"/>
                              <w:marBottom w:val="0"/>
                              <w:divBdr>
                                <w:top w:val="none" w:sz="0" w:space="0" w:color="auto"/>
                                <w:left w:val="none" w:sz="0" w:space="0" w:color="auto"/>
                                <w:bottom w:val="none" w:sz="0" w:space="0" w:color="auto"/>
                                <w:right w:val="none" w:sz="0" w:space="0" w:color="auto"/>
                              </w:divBdr>
                              <w:divsChild>
                                <w:div w:id="1506483298">
                                  <w:marLeft w:val="0"/>
                                  <w:marRight w:val="0"/>
                                  <w:marTop w:val="0"/>
                                  <w:marBottom w:val="0"/>
                                  <w:divBdr>
                                    <w:top w:val="none" w:sz="0" w:space="0" w:color="auto"/>
                                    <w:left w:val="none" w:sz="0" w:space="0" w:color="auto"/>
                                    <w:bottom w:val="none" w:sz="0" w:space="0" w:color="auto"/>
                                    <w:right w:val="none" w:sz="0" w:space="0" w:color="auto"/>
                                  </w:divBdr>
                                  <w:divsChild>
                                    <w:div w:id="12928612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80332">
      <w:bodyDiv w:val="1"/>
      <w:marLeft w:val="0"/>
      <w:marRight w:val="0"/>
      <w:marTop w:val="0"/>
      <w:marBottom w:val="0"/>
      <w:divBdr>
        <w:top w:val="none" w:sz="0" w:space="0" w:color="auto"/>
        <w:left w:val="none" w:sz="0" w:space="0" w:color="auto"/>
        <w:bottom w:val="none" w:sz="0" w:space="0" w:color="auto"/>
        <w:right w:val="none" w:sz="0" w:space="0" w:color="auto"/>
      </w:divBdr>
    </w:div>
    <w:div w:id="214124931">
      <w:bodyDiv w:val="1"/>
      <w:marLeft w:val="0"/>
      <w:marRight w:val="0"/>
      <w:marTop w:val="0"/>
      <w:marBottom w:val="0"/>
      <w:divBdr>
        <w:top w:val="none" w:sz="0" w:space="0" w:color="auto"/>
        <w:left w:val="none" w:sz="0" w:space="0" w:color="auto"/>
        <w:bottom w:val="none" w:sz="0" w:space="0" w:color="auto"/>
        <w:right w:val="none" w:sz="0" w:space="0" w:color="auto"/>
      </w:divBdr>
    </w:div>
    <w:div w:id="244339889">
      <w:bodyDiv w:val="1"/>
      <w:marLeft w:val="0"/>
      <w:marRight w:val="0"/>
      <w:marTop w:val="0"/>
      <w:marBottom w:val="0"/>
      <w:divBdr>
        <w:top w:val="none" w:sz="0" w:space="0" w:color="auto"/>
        <w:left w:val="none" w:sz="0" w:space="0" w:color="auto"/>
        <w:bottom w:val="none" w:sz="0" w:space="0" w:color="auto"/>
        <w:right w:val="none" w:sz="0" w:space="0" w:color="auto"/>
      </w:divBdr>
      <w:divsChild>
        <w:div w:id="774247022">
          <w:marLeft w:val="0"/>
          <w:marRight w:val="0"/>
          <w:marTop w:val="0"/>
          <w:marBottom w:val="0"/>
          <w:divBdr>
            <w:top w:val="none" w:sz="0" w:space="0" w:color="auto"/>
            <w:left w:val="none" w:sz="0" w:space="0" w:color="auto"/>
            <w:bottom w:val="none" w:sz="0" w:space="0" w:color="auto"/>
            <w:right w:val="none" w:sz="0" w:space="0" w:color="auto"/>
          </w:divBdr>
          <w:divsChild>
            <w:div w:id="968587107">
              <w:marLeft w:val="0"/>
              <w:marRight w:val="0"/>
              <w:marTop w:val="0"/>
              <w:marBottom w:val="0"/>
              <w:divBdr>
                <w:top w:val="none" w:sz="0" w:space="0" w:color="auto"/>
                <w:left w:val="none" w:sz="0" w:space="0" w:color="auto"/>
                <w:bottom w:val="none" w:sz="0" w:space="0" w:color="auto"/>
                <w:right w:val="none" w:sz="0" w:space="0" w:color="auto"/>
              </w:divBdr>
              <w:divsChild>
                <w:div w:id="1232085473">
                  <w:marLeft w:val="-240"/>
                  <w:marRight w:val="-240"/>
                  <w:marTop w:val="0"/>
                  <w:marBottom w:val="0"/>
                  <w:divBdr>
                    <w:top w:val="none" w:sz="0" w:space="0" w:color="auto"/>
                    <w:left w:val="none" w:sz="0" w:space="0" w:color="auto"/>
                    <w:bottom w:val="none" w:sz="0" w:space="0" w:color="auto"/>
                    <w:right w:val="none" w:sz="0" w:space="0" w:color="auto"/>
                  </w:divBdr>
                  <w:divsChild>
                    <w:div w:id="855848992">
                      <w:marLeft w:val="0"/>
                      <w:marRight w:val="0"/>
                      <w:marTop w:val="0"/>
                      <w:marBottom w:val="0"/>
                      <w:divBdr>
                        <w:top w:val="none" w:sz="0" w:space="0" w:color="auto"/>
                        <w:left w:val="none" w:sz="0" w:space="0" w:color="auto"/>
                        <w:bottom w:val="none" w:sz="0" w:space="0" w:color="auto"/>
                        <w:right w:val="none" w:sz="0" w:space="0" w:color="auto"/>
                      </w:divBdr>
                      <w:divsChild>
                        <w:div w:id="1217857597">
                          <w:marLeft w:val="0"/>
                          <w:marRight w:val="0"/>
                          <w:marTop w:val="0"/>
                          <w:marBottom w:val="0"/>
                          <w:divBdr>
                            <w:top w:val="none" w:sz="0" w:space="0" w:color="auto"/>
                            <w:left w:val="none" w:sz="0" w:space="0" w:color="auto"/>
                            <w:bottom w:val="none" w:sz="0" w:space="0" w:color="auto"/>
                            <w:right w:val="none" w:sz="0" w:space="0" w:color="auto"/>
                          </w:divBdr>
                        </w:div>
                        <w:div w:id="972515510">
                          <w:marLeft w:val="0"/>
                          <w:marRight w:val="0"/>
                          <w:marTop w:val="0"/>
                          <w:marBottom w:val="0"/>
                          <w:divBdr>
                            <w:top w:val="none" w:sz="0" w:space="0" w:color="auto"/>
                            <w:left w:val="none" w:sz="0" w:space="0" w:color="auto"/>
                            <w:bottom w:val="none" w:sz="0" w:space="0" w:color="auto"/>
                            <w:right w:val="none" w:sz="0" w:space="0" w:color="auto"/>
                          </w:divBdr>
                          <w:divsChild>
                            <w:div w:id="183177829">
                              <w:marLeft w:val="165"/>
                              <w:marRight w:val="165"/>
                              <w:marTop w:val="0"/>
                              <w:marBottom w:val="0"/>
                              <w:divBdr>
                                <w:top w:val="none" w:sz="0" w:space="0" w:color="auto"/>
                                <w:left w:val="none" w:sz="0" w:space="0" w:color="auto"/>
                                <w:bottom w:val="none" w:sz="0" w:space="0" w:color="auto"/>
                                <w:right w:val="none" w:sz="0" w:space="0" w:color="auto"/>
                              </w:divBdr>
                              <w:divsChild>
                                <w:div w:id="834297783">
                                  <w:marLeft w:val="0"/>
                                  <w:marRight w:val="0"/>
                                  <w:marTop w:val="0"/>
                                  <w:marBottom w:val="0"/>
                                  <w:divBdr>
                                    <w:top w:val="none" w:sz="0" w:space="0" w:color="auto"/>
                                    <w:left w:val="none" w:sz="0" w:space="0" w:color="auto"/>
                                    <w:bottom w:val="none" w:sz="0" w:space="0" w:color="auto"/>
                                    <w:right w:val="none" w:sz="0" w:space="0" w:color="auto"/>
                                  </w:divBdr>
                                  <w:divsChild>
                                    <w:div w:id="663434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275603">
      <w:bodyDiv w:val="1"/>
      <w:marLeft w:val="0"/>
      <w:marRight w:val="0"/>
      <w:marTop w:val="0"/>
      <w:marBottom w:val="0"/>
      <w:divBdr>
        <w:top w:val="none" w:sz="0" w:space="0" w:color="auto"/>
        <w:left w:val="none" w:sz="0" w:space="0" w:color="auto"/>
        <w:bottom w:val="none" w:sz="0" w:space="0" w:color="auto"/>
        <w:right w:val="none" w:sz="0" w:space="0" w:color="auto"/>
      </w:divBdr>
    </w:div>
    <w:div w:id="260574598">
      <w:bodyDiv w:val="1"/>
      <w:marLeft w:val="0"/>
      <w:marRight w:val="0"/>
      <w:marTop w:val="0"/>
      <w:marBottom w:val="0"/>
      <w:divBdr>
        <w:top w:val="none" w:sz="0" w:space="0" w:color="auto"/>
        <w:left w:val="none" w:sz="0" w:space="0" w:color="auto"/>
        <w:bottom w:val="none" w:sz="0" w:space="0" w:color="auto"/>
        <w:right w:val="none" w:sz="0" w:space="0" w:color="auto"/>
      </w:divBdr>
    </w:div>
    <w:div w:id="396056240">
      <w:bodyDiv w:val="1"/>
      <w:marLeft w:val="0"/>
      <w:marRight w:val="0"/>
      <w:marTop w:val="0"/>
      <w:marBottom w:val="0"/>
      <w:divBdr>
        <w:top w:val="none" w:sz="0" w:space="0" w:color="auto"/>
        <w:left w:val="none" w:sz="0" w:space="0" w:color="auto"/>
        <w:bottom w:val="none" w:sz="0" w:space="0" w:color="auto"/>
        <w:right w:val="none" w:sz="0" w:space="0" w:color="auto"/>
      </w:divBdr>
    </w:div>
    <w:div w:id="408619794">
      <w:bodyDiv w:val="1"/>
      <w:marLeft w:val="0"/>
      <w:marRight w:val="0"/>
      <w:marTop w:val="0"/>
      <w:marBottom w:val="0"/>
      <w:divBdr>
        <w:top w:val="none" w:sz="0" w:space="0" w:color="auto"/>
        <w:left w:val="none" w:sz="0" w:space="0" w:color="auto"/>
        <w:bottom w:val="none" w:sz="0" w:space="0" w:color="auto"/>
        <w:right w:val="none" w:sz="0" w:space="0" w:color="auto"/>
      </w:divBdr>
    </w:div>
    <w:div w:id="481695645">
      <w:bodyDiv w:val="1"/>
      <w:marLeft w:val="0"/>
      <w:marRight w:val="0"/>
      <w:marTop w:val="0"/>
      <w:marBottom w:val="0"/>
      <w:divBdr>
        <w:top w:val="none" w:sz="0" w:space="0" w:color="auto"/>
        <w:left w:val="none" w:sz="0" w:space="0" w:color="auto"/>
        <w:bottom w:val="none" w:sz="0" w:space="0" w:color="auto"/>
        <w:right w:val="none" w:sz="0" w:space="0" w:color="auto"/>
      </w:divBdr>
    </w:div>
    <w:div w:id="538444423">
      <w:bodyDiv w:val="1"/>
      <w:marLeft w:val="0"/>
      <w:marRight w:val="0"/>
      <w:marTop w:val="0"/>
      <w:marBottom w:val="0"/>
      <w:divBdr>
        <w:top w:val="none" w:sz="0" w:space="0" w:color="auto"/>
        <w:left w:val="none" w:sz="0" w:space="0" w:color="auto"/>
        <w:bottom w:val="none" w:sz="0" w:space="0" w:color="auto"/>
        <w:right w:val="none" w:sz="0" w:space="0" w:color="auto"/>
      </w:divBdr>
    </w:div>
    <w:div w:id="564221430">
      <w:bodyDiv w:val="1"/>
      <w:marLeft w:val="0"/>
      <w:marRight w:val="0"/>
      <w:marTop w:val="0"/>
      <w:marBottom w:val="0"/>
      <w:divBdr>
        <w:top w:val="none" w:sz="0" w:space="0" w:color="auto"/>
        <w:left w:val="none" w:sz="0" w:space="0" w:color="auto"/>
        <w:bottom w:val="none" w:sz="0" w:space="0" w:color="auto"/>
        <w:right w:val="none" w:sz="0" w:space="0" w:color="auto"/>
      </w:divBdr>
    </w:div>
    <w:div w:id="656113003">
      <w:bodyDiv w:val="1"/>
      <w:marLeft w:val="0"/>
      <w:marRight w:val="0"/>
      <w:marTop w:val="0"/>
      <w:marBottom w:val="0"/>
      <w:divBdr>
        <w:top w:val="none" w:sz="0" w:space="0" w:color="auto"/>
        <w:left w:val="none" w:sz="0" w:space="0" w:color="auto"/>
        <w:bottom w:val="none" w:sz="0" w:space="0" w:color="auto"/>
        <w:right w:val="none" w:sz="0" w:space="0" w:color="auto"/>
      </w:divBdr>
      <w:divsChild>
        <w:div w:id="876547741">
          <w:marLeft w:val="0"/>
          <w:marRight w:val="0"/>
          <w:marTop w:val="0"/>
          <w:marBottom w:val="0"/>
          <w:divBdr>
            <w:top w:val="none" w:sz="0" w:space="0" w:color="auto"/>
            <w:left w:val="none" w:sz="0" w:space="0" w:color="auto"/>
            <w:bottom w:val="none" w:sz="0" w:space="0" w:color="auto"/>
            <w:right w:val="none" w:sz="0" w:space="0" w:color="auto"/>
          </w:divBdr>
          <w:divsChild>
            <w:div w:id="1450590848">
              <w:marLeft w:val="0"/>
              <w:marRight w:val="0"/>
              <w:marTop w:val="0"/>
              <w:marBottom w:val="0"/>
              <w:divBdr>
                <w:top w:val="none" w:sz="0" w:space="0" w:color="auto"/>
                <w:left w:val="none" w:sz="0" w:space="0" w:color="auto"/>
                <w:bottom w:val="none" w:sz="0" w:space="0" w:color="auto"/>
                <w:right w:val="none" w:sz="0" w:space="0" w:color="auto"/>
              </w:divBdr>
              <w:divsChild>
                <w:div w:id="13467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2644">
      <w:bodyDiv w:val="1"/>
      <w:marLeft w:val="0"/>
      <w:marRight w:val="0"/>
      <w:marTop w:val="0"/>
      <w:marBottom w:val="0"/>
      <w:divBdr>
        <w:top w:val="none" w:sz="0" w:space="0" w:color="auto"/>
        <w:left w:val="none" w:sz="0" w:space="0" w:color="auto"/>
        <w:bottom w:val="none" w:sz="0" w:space="0" w:color="auto"/>
        <w:right w:val="none" w:sz="0" w:space="0" w:color="auto"/>
      </w:divBdr>
      <w:divsChild>
        <w:div w:id="1723748328">
          <w:marLeft w:val="0"/>
          <w:marRight w:val="0"/>
          <w:marTop w:val="0"/>
          <w:marBottom w:val="0"/>
          <w:divBdr>
            <w:top w:val="none" w:sz="0" w:space="0" w:color="auto"/>
            <w:left w:val="none" w:sz="0" w:space="0" w:color="auto"/>
            <w:bottom w:val="none" w:sz="0" w:space="0" w:color="auto"/>
            <w:right w:val="none" w:sz="0" w:space="0" w:color="auto"/>
          </w:divBdr>
          <w:divsChild>
            <w:div w:id="734162154">
              <w:marLeft w:val="0"/>
              <w:marRight w:val="0"/>
              <w:marTop w:val="0"/>
              <w:marBottom w:val="0"/>
              <w:divBdr>
                <w:top w:val="none" w:sz="0" w:space="0" w:color="auto"/>
                <w:left w:val="none" w:sz="0" w:space="0" w:color="auto"/>
                <w:bottom w:val="none" w:sz="0" w:space="0" w:color="auto"/>
                <w:right w:val="none" w:sz="0" w:space="0" w:color="auto"/>
              </w:divBdr>
              <w:divsChild>
                <w:div w:id="1499541288">
                  <w:marLeft w:val="-240"/>
                  <w:marRight w:val="-240"/>
                  <w:marTop w:val="0"/>
                  <w:marBottom w:val="0"/>
                  <w:divBdr>
                    <w:top w:val="none" w:sz="0" w:space="0" w:color="auto"/>
                    <w:left w:val="none" w:sz="0" w:space="0" w:color="auto"/>
                    <w:bottom w:val="none" w:sz="0" w:space="0" w:color="auto"/>
                    <w:right w:val="none" w:sz="0" w:space="0" w:color="auto"/>
                  </w:divBdr>
                  <w:divsChild>
                    <w:div w:id="812908967">
                      <w:marLeft w:val="0"/>
                      <w:marRight w:val="0"/>
                      <w:marTop w:val="0"/>
                      <w:marBottom w:val="0"/>
                      <w:divBdr>
                        <w:top w:val="none" w:sz="0" w:space="0" w:color="auto"/>
                        <w:left w:val="none" w:sz="0" w:space="0" w:color="auto"/>
                        <w:bottom w:val="none" w:sz="0" w:space="0" w:color="auto"/>
                        <w:right w:val="none" w:sz="0" w:space="0" w:color="auto"/>
                      </w:divBdr>
                      <w:divsChild>
                        <w:div w:id="1179269943">
                          <w:marLeft w:val="0"/>
                          <w:marRight w:val="0"/>
                          <w:marTop w:val="0"/>
                          <w:marBottom w:val="0"/>
                          <w:divBdr>
                            <w:top w:val="none" w:sz="0" w:space="0" w:color="auto"/>
                            <w:left w:val="none" w:sz="0" w:space="0" w:color="auto"/>
                            <w:bottom w:val="none" w:sz="0" w:space="0" w:color="auto"/>
                            <w:right w:val="none" w:sz="0" w:space="0" w:color="auto"/>
                          </w:divBdr>
                        </w:div>
                        <w:div w:id="1767651466">
                          <w:marLeft w:val="0"/>
                          <w:marRight w:val="0"/>
                          <w:marTop w:val="0"/>
                          <w:marBottom w:val="0"/>
                          <w:divBdr>
                            <w:top w:val="none" w:sz="0" w:space="0" w:color="auto"/>
                            <w:left w:val="none" w:sz="0" w:space="0" w:color="auto"/>
                            <w:bottom w:val="none" w:sz="0" w:space="0" w:color="auto"/>
                            <w:right w:val="none" w:sz="0" w:space="0" w:color="auto"/>
                          </w:divBdr>
                          <w:divsChild>
                            <w:div w:id="674385151">
                              <w:marLeft w:val="165"/>
                              <w:marRight w:val="165"/>
                              <w:marTop w:val="0"/>
                              <w:marBottom w:val="0"/>
                              <w:divBdr>
                                <w:top w:val="none" w:sz="0" w:space="0" w:color="auto"/>
                                <w:left w:val="none" w:sz="0" w:space="0" w:color="auto"/>
                                <w:bottom w:val="none" w:sz="0" w:space="0" w:color="auto"/>
                                <w:right w:val="none" w:sz="0" w:space="0" w:color="auto"/>
                              </w:divBdr>
                              <w:divsChild>
                                <w:div w:id="1486900147">
                                  <w:marLeft w:val="0"/>
                                  <w:marRight w:val="0"/>
                                  <w:marTop w:val="0"/>
                                  <w:marBottom w:val="0"/>
                                  <w:divBdr>
                                    <w:top w:val="none" w:sz="0" w:space="0" w:color="auto"/>
                                    <w:left w:val="none" w:sz="0" w:space="0" w:color="auto"/>
                                    <w:bottom w:val="none" w:sz="0" w:space="0" w:color="auto"/>
                                    <w:right w:val="none" w:sz="0" w:space="0" w:color="auto"/>
                                  </w:divBdr>
                                  <w:divsChild>
                                    <w:div w:id="9917570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188655">
      <w:bodyDiv w:val="1"/>
      <w:marLeft w:val="0"/>
      <w:marRight w:val="0"/>
      <w:marTop w:val="0"/>
      <w:marBottom w:val="0"/>
      <w:divBdr>
        <w:top w:val="none" w:sz="0" w:space="0" w:color="auto"/>
        <w:left w:val="none" w:sz="0" w:space="0" w:color="auto"/>
        <w:bottom w:val="none" w:sz="0" w:space="0" w:color="auto"/>
        <w:right w:val="none" w:sz="0" w:space="0" w:color="auto"/>
      </w:divBdr>
    </w:div>
    <w:div w:id="769621224">
      <w:bodyDiv w:val="1"/>
      <w:marLeft w:val="0"/>
      <w:marRight w:val="0"/>
      <w:marTop w:val="0"/>
      <w:marBottom w:val="0"/>
      <w:divBdr>
        <w:top w:val="none" w:sz="0" w:space="0" w:color="auto"/>
        <w:left w:val="none" w:sz="0" w:space="0" w:color="auto"/>
        <w:bottom w:val="none" w:sz="0" w:space="0" w:color="auto"/>
        <w:right w:val="none" w:sz="0" w:space="0" w:color="auto"/>
      </w:divBdr>
    </w:div>
    <w:div w:id="775832811">
      <w:bodyDiv w:val="1"/>
      <w:marLeft w:val="0"/>
      <w:marRight w:val="0"/>
      <w:marTop w:val="0"/>
      <w:marBottom w:val="0"/>
      <w:divBdr>
        <w:top w:val="none" w:sz="0" w:space="0" w:color="auto"/>
        <w:left w:val="none" w:sz="0" w:space="0" w:color="auto"/>
        <w:bottom w:val="none" w:sz="0" w:space="0" w:color="auto"/>
        <w:right w:val="none" w:sz="0" w:space="0" w:color="auto"/>
      </w:divBdr>
    </w:div>
    <w:div w:id="781261873">
      <w:bodyDiv w:val="1"/>
      <w:marLeft w:val="0"/>
      <w:marRight w:val="0"/>
      <w:marTop w:val="0"/>
      <w:marBottom w:val="0"/>
      <w:divBdr>
        <w:top w:val="none" w:sz="0" w:space="0" w:color="auto"/>
        <w:left w:val="none" w:sz="0" w:space="0" w:color="auto"/>
        <w:bottom w:val="none" w:sz="0" w:space="0" w:color="auto"/>
        <w:right w:val="none" w:sz="0" w:space="0" w:color="auto"/>
      </w:divBdr>
    </w:div>
    <w:div w:id="785076990">
      <w:bodyDiv w:val="1"/>
      <w:marLeft w:val="0"/>
      <w:marRight w:val="0"/>
      <w:marTop w:val="0"/>
      <w:marBottom w:val="0"/>
      <w:divBdr>
        <w:top w:val="none" w:sz="0" w:space="0" w:color="auto"/>
        <w:left w:val="none" w:sz="0" w:space="0" w:color="auto"/>
        <w:bottom w:val="none" w:sz="0" w:space="0" w:color="auto"/>
        <w:right w:val="none" w:sz="0" w:space="0" w:color="auto"/>
      </w:divBdr>
    </w:div>
    <w:div w:id="791092726">
      <w:bodyDiv w:val="1"/>
      <w:marLeft w:val="0"/>
      <w:marRight w:val="0"/>
      <w:marTop w:val="0"/>
      <w:marBottom w:val="0"/>
      <w:divBdr>
        <w:top w:val="none" w:sz="0" w:space="0" w:color="auto"/>
        <w:left w:val="none" w:sz="0" w:space="0" w:color="auto"/>
        <w:bottom w:val="none" w:sz="0" w:space="0" w:color="auto"/>
        <w:right w:val="none" w:sz="0" w:space="0" w:color="auto"/>
      </w:divBdr>
      <w:divsChild>
        <w:div w:id="1364015876">
          <w:marLeft w:val="0"/>
          <w:marRight w:val="0"/>
          <w:marTop w:val="0"/>
          <w:marBottom w:val="0"/>
          <w:divBdr>
            <w:top w:val="none" w:sz="0" w:space="0" w:color="auto"/>
            <w:left w:val="none" w:sz="0" w:space="0" w:color="auto"/>
            <w:bottom w:val="none" w:sz="0" w:space="0" w:color="auto"/>
            <w:right w:val="none" w:sz="0" w:space="0" w:color="auto"/>
          </w:divBdr>
          <w:divsChild>
            <w:div w:id="1207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8185">
      <w:bodyDiv w:val="1"/>
      <w:marLeft w:val="0"/>
      <w:marRight w:val="0"/>
      <w:marTop w:val="0"/>
      <w:marBottom w:val="0"/>
      <w:divBdr>
        <w:top w:val="none" w:sz="0" w:space="0" w:color="auto"/>
        <w:left w:val="none" w:sz="0" w:space="0" w:color="auto"/>
        <w:bottom w:val="none" w:sz="0" w:space="0" w:color="auto"/>
        <w:right w:val="none" w:sz="0" w:space="0" w:color="auto"/>
      </w:divBdr>
    </w:div>
    <w:div w:id="842429729">
      <w:bodyDiv w:val="1"/>
      <w:marLeft w:val="0"/>
      <w:marRight w:val="0"/>
      <w:marTop w:val="0"/>
      <w:marBottom w:val="0"/>
      <w:divBdr>
        <w:top w:val="none" w:sz="0" w:space="0" w:color="auto"/>
        <w:left w:val="none" w:sz="0" w:space="0" w:color="auto"/>
        <w:bottom w:val="none" w:sz="0" w:space="0" w:color="auto"/>
        <w:right w:val="none" w:sz="0" w:space="0" w:color="auto"/>
      </w:divBdr>
    </w:div>
    <w:div w:id="848375827">
      <w:bodyDiv w:val="1"/>
      <w:marLeft w:val="0"/>
      <w:marRight w:val="0"/>
      <w:marTop w:val="0"/>
      <w:marBottom w:val="0"/>
      <w:divBdr>
        <w:top w:val="none" w:sz="0" w:space="0" w:color="auto"/>
        <w:left w:val="none" w:sz="0" w:space="0" w:color="auto"/>
        <w:bottom w:val="none" w:sz="0" w:space="0" w:color="auto"/>
        <w:right w:val="none" w:sz="0" w:space="0" w:color="auto"/>
      </w:divBdr>
    </w:div>
    <w:div w:id="869298793">
      <w:bodyDiv w:val="1"/>
      <w:marLeft w:val="0"/>
      <w:marRight w:val="0"/>
      <w:marTop w:val="0"/>
      <w:marBottom w:val="0"/>
      <w:divBdr>
        <w:top w:val="none" w:sz="0" w:space="0" w:color="auto"/>
        <w:left w:val="none" w:sz="0" w:space="0" w:color="auto"/>
        <w:bottom w:val="none" w:sz="0" w:space="0" w:color="auto"/>
        <w:right w:val="none" w:sz="0" w:space="0" w:color="auto"/>
      </w:divBdr>
    </w:div>
    <w:div w:id="884290327">
      <w:bodyDiv w:val="1"/>
      <w:marLeft w:val="0"/>
      <w:marRight w:val="0"/>
      <w:marTop w:val="0"/>
      <w:marBottom w:val="0"/>
      <w:divBdr>
        <w:top w:val="none" w:sz="0" w:space="0" w:color="auto"/>
        <w:left w:val="none" w:sz="0" w:space="0" w:color="auto"/>
        <w:bottom w:val="none" w:sz="0" w:space="0" w:color="auto"/>
        <w:right w:val="none" w:sz="0" w:space="0" w:color="auto"/>
      </w:divBdr>
    </w:div>
    <w:div w:id="938950127">
      <w:bodyDiv w:val="1"/>
      <w:marLeft w:val="0"/>
      <w:marRight w:val="0"/>
      <w:marTop w:val="0"/>
      <w:marBottom w:val="0"/>
      <w:divBdr>
        <w:top w:val="none" w:sz="0" w:space="0" w:color="auto"/>
        <w:left w:val="none" w:sz="0" w:space="0" w:color="auto"/>
        <w:bottom w:val="none" w:sz="0" w:space="0" w:color="auto"/>
        <w:right w:val="none" w:sz="0" w:space="0" w:color="auto"/>
      </w:divBdr>
    </w:div>
    <w:div w:id="1015227605">
      <w:bodyDiv w:val="1"/>
      <w:marLeft w:val="0"/>
      <w:marRight w:val="0"/>
      <w:marTop w:val="0"/>
      <w:marBottom w:val="0"/>
      <w:divBdr>
        <w:top w:val="none" w:sz="0" w:space="0" w:color="auto"/>
        <w:left w:val="none" w:sz="0" w:space="0" w:color="auto"/>
        <w:bottom w:val="none" w:sz="0" w:space="0" w:color="auto"/>
        <w:right w:val="none" w:sz="0" w:space="0" w:color="auto"/>
      </w:divBdr>
    </w:div>
    <w:div w:id="1043020114">
      <w:bodyDiv w:val="1"/>
      <w:marLeft w:val="0"/>
      <w:marRight w:val="0"/>
      <w:marTop w:val="0"/>
      <w:marBottom w:val="0"/>
      <w:divBdr>
        <w:top w:val="none" w:sz="0" w:space="0" w:color="auto"/>
        <w:left w:val="none" w:sz="0" w:space="0" w:color="auto"/>
        <w:bottom w:val="none" w:sz="0" w:space="0" w:color="auto"/>
        <w:right w:val="none" w:sz="0" w:space="0" w:color="auto"/>
      </w:divBdr>
    </w:div>
    <w:div w:id="1088893339">
      <w:bodyDiv w:val="1"/>
      <w:marLeft w:val="0"/>
      <w:marRight w:val="0"/>
      <w:marTop w:val="0"/>
      <w:marBottom w:val="0"/>
      <w:divBdr>
        <w:top w:val="none" w:sz="0" w:space="0" w:color="auto"/>
        <w:left w:val="none" w:sz="0" w:space="0" w:color="auto"/>
        <w:bottom w:val="none" w:sz="0" w:space="0" w:color="auto"/>
        <w:right w:val="none" w:sz="0" w:space="0" w:color="auto"/>
      </w:divBdr>
    </w:div>
    <w:div w:id="1102603145">
      <w:bodyDiv w:val="1"/>
      <w:marLeft w:val="0"/>
      <w:marRight w:val="0"/>
      <w:marTop w:val="0"/>
      <w:marBottom w:val="0"/>
      <w:divBdr>
        <w:top w:val="none" w:sz="0" w:space="0" w:color="auto"/>
        <w:left w:val="none" w:sz="0" w:space="0" w:color="auto"/>
        <w:bottom w:val="none" w:sz="0" w:space="0" w:color="auto"/>
        <w:right w:val="none" w:sz="0" w:space="0" w:color="auto"/>
      </w:divBdr>
    </w:div>
    <w:div w:id="1261766520">
      <w:bodyDiv w:val="1"/>
      <w:marLeft w:val="0"/>
      <w:marRight w:val="0"/>
      <w:marTop w:val="0"/>
      <w:marBottom w:val="0"/>
      <w:divBdr>
        <w:top w:val="none" w:sz="0" w:space="0" w:color="auto"/>
        <w:left w:val="none" w:sz="0" w:space="0" w:color="auto"/>
        <w:bottom w:val="none" w:sz="0" w:space="0" w:color="auto"/>
        <w:right w:val="none" w:sz="0" w:space="0" w:color="auto"/>
      </w:divBdr>
    </w:div>
    <w:div w:id="1267343590">
      <w:bodyDiv w:val="1"/>
      <w:marLeft w:val="0"/>
      <w:marRight w:val="0"/>
      <w:marTop w:val="0"/>
      <w:marBottom w:val="0"/>
      <w:divBdr>
        <w:top w:val="none" w:sz="0" w:space="0" w:color="auto"/>
        <w:left w:val="none" w:sz="0" w:space="0" w:color="auto"/>
        <w:bottom w:val="none" w:sz="0" w:space="0" w:color="auto"/>
        <w:right w:val="none" w:sz="0" w:space="0" w:color="auto"/>
      </w:divBdr>
      <w:divsChild>
        <w:div w:id="1911690664">
          <w:marLeft w:val="0"/>
          <w:marRight w:val="0"/>
          <w:marTop w:val="0"/>
          <w:marBottom w:val="0"/>
          <w:divBdr>
            <w:top w:val="none" w:sz="0" w:space="0" w:color="auto"/>
            <w:left w:val="none" w:sz="0" w:space="0" w:color="auto"/>
            <w:bottom w:val="none" w:sz="0" w:space="0" w:color="auto"/>
            <w:right w:val="none" w:sz="0" w:space="0" w:color="auto"/>
          </w:divBdr>
          <w:divsChild>
            <w:div w:id="1759131898">
              <w:marLeft w:val="0"/>
              <w:marRight w:val="0"/>
              <w:marTop w:val="0"/>
              <w:marBottom w:val="0"/>
              <w:divBdr>
                <w:top w:val="none" w:sz="0" w:space="0" w:color="auto"/>
                <w:left w:val="none" w:sz="0" w:space="0" w:color="auto"/>
                <w:bottom w:val="none" w:sz="0" w:space="0" w:color="auto"/>
                <w:right w:val="none" w:sz="0" w:space="0" w:color="auto"/>
              </w:divBdr>
              <w:divsChild>
                <w:div w:id="757481866">
                  <w:marLeft w:val="0"/>
                  <w:marRight w:val="0"/>
                  <w:marTop w:val="0"/>
                  <w:marBottom w:val="0"/>
                  <w:divBdr>
                    <w:top w:val="none" w:sz="0" w:space="0" w:color="auto"/>
                    <w:left w:val="none" w:sz="0" w:space="0" w:color="auto"/>
                    <w:bottom w:val="none" w:sz="0" w:space="0" w:color="auto"/>
                    <w:right w:val="none" w:sz="0" w:space="0" w:color="auto"/>
                  </w:divBdr>
                  <w:divsChild>
                    <w:div w:id="17251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4674">
      <w:bodyDiv w:val="1"/>
      <w:marLeft w:val="0"/>
      <w:marRight w:val="0"/>
      <w:marTop w:val="0"/>
      <w:marBottom w:val="0"/>
      <w:divBdr>
        <w:top w:val="none" w:sz="0" w:space="0" w:color="auto"/>
        <w:left w:val="none" w:sz="0" w:space="0" w:color="auto"/>
        <w:bottom w:val="none" w:sz="0" w:space="0" w:color="auto"/>
        <w:right w:val="none" w:sz="0" w:space="0" w:color="auto"/>
      </w:divBdr>
    </w:div>
    <w:div w:id="1302610407">
      <w:bodyDiv w:val="1"/>
      <w:marLeft w:val="0"/>
      <w:marRight w:val="0"/>
      <w:marTop w:val="0"/>
      <w:marBottom w:val="0"/>
      <w:divBdr>
        <w:top w:val="none" w:sz="0" w:space="0" w:color="auto"/>
        <w:left w:val="none" w:sz="0" w:space="0" w:color="auto"/>
        <w:bottom w:val="none" w:sz="0" w:space="0" w:color="auto"/>
        <w:right w:val="none" w:sz="0" w:space="0" w:color="auto"/>
      </w:divBdr>
    </w:div>
    <w:div w:id="1335769188">
      <w:bodyDiv w:val="1"/>
      <w:marLeft w:val="0"/>
      <w:marRight w:val="0"/>
      <w:marTop w:val="0"/>
      <w:marBottom w:val="0"/>
      <w:divBdr>
        <w:top w:val="none" w:sz="0" w:space="0" w:color="auto"/>
        <w:left w:val="none" w:sz="0" w:space="0" w:color="auto"/>
        <w:bottom w:val="none" w:sz="0" w:space="0" w:color="auto"/>
        <w:right w:val="none" w:sz="0" w:space="0" w:color="auto"/>
      </w:divBdr>
    </w:div>
    <w:div w:id="1374618578">
      <w:bodyDiv w:val="1"/>
      <w:marLeft w:val="0"/>
      <w:marRight w:val="0"/>
      <w:marTop w:val="0"/>
      <w:marBottom w:val="0"/>
      <w:divBdr>
        <w:top w:val="none" w:sz="0" w:space="0" w:color="auto"/>
        <w:left w:val="none" w:sz="0" w:space="0" w:color="auto"/>
        <w:bottom w:val="none" w:sz="0" w:space="0" w:color="auto"/>
        <w:right w:val="none" w:sz="0" w:space="0" w:color="auto"/>
      </w:divBdr>
    </w:div>
    <w:div w:id="1398472771">
      <w:bodyDiv w:val="1"/>
      <w:marLeft w:val="0"/>
      <w:marRight w:val="0"/>
      <w:marTop w:val="0"/>
      <w:marBottom w:val="0"/>
      <w:divBdr>
        <w:top w:val="none" w:sz="0" w:space="0" w:color="auto"/>
        <w:left w:val="none" w:sz="0" w:space="0" w:color="auto"/>
        <w:bottom w:val="none" w:sz="0" w:space="0" w:color="auto"/>
        <w:right w:val="none" w:sz="0" w:space="0" w:color="auto"/>
      </w:divBdr>
    </w:div>
    <w:div w:id="1415199564">
      <w:bodyDiv w:val="1"/>
      <w:marLeft w:val="0"/>
      <w:marRight w:val="0"/>
      <w:marTop w:val="0"/>
      <w:marBottom w:val="0"/>
      <w:divBdr>
        <w:top w:val="none" w:sz="0" w:space="0" w:color="auto"/>
        <w:left w:val="none" w:sz="0" w:space="0" w:color="auto"/>
        <w:bottom w:val="none" w:sz="0" w:space="0" w:color="auto"/>
        <w:right w:val="none" w:sz="0" w:space="0" w:color="auto"/>
      </w:divBdr>
    </w:div>
    <w:div w:id="1439526775">
      <w:bodyDiv w:val="1"/>
      <w:marLeft w:val="0"/>
      <w:marRight w:val="0"/>
      <w:marTop w:val="0"/>
      <w:marBottom w:val="0"/>
      <w:divBdr>
        <w:top w:val="none" w:sz="0" w:space="0" w:color="auto"/>
        <w:left w:val="none" w:sz="0" w:space="0" w:color="auto"/>
        <w:bottom w:val="none" w:sz="0" w:space="0" w:color="auto"/>
        <w:right w:val="none" w:sz="0" w:space="0" w:color="auto"/>
      </w:divBdr>
    </w:div>
    <w:div w:id="1496844767">
      <w:bodyDiv w:val="1"/>
      <w:marLeft w:val="0"/>
      <w:marRight w:val="0"/>
      <w:marTop w:val="0"/>
      <w:marBottom w:val="0"/>
      <w:divBdr>
        <w:top w:val="none" w:sz="0" w:space="0" w:color="auto"/>
        <w:left w:val="none" w:sz="0" w:space="0" w:color="auto"/>
        <w:bottom w:val="none" w:sz="0" w:space="0" w:color="auto"/>
        <w:right w:val="none" w:sz="0" w:space="0" w:color="auto"/>
      </w:divBdr>
    </w:div>
    <w:div w:id="1500996889">
      <w:bodyDiv w:val="1"/>
      <w:marLeft w:val="0"/>
      <w:marRight w:val="0"/>
      <w:marTop w:val="0"/>
      <w:marBottom w:val="0"/>
      <w:divBdr>
        <w:top w:val="none" w:sz="0" w:space="0" w:color="auto"/>
        <w:left w:val="none" w:sz="0" w:space="0" w:color="auto"/>
        <w:bottom w:val="none" w:sz="0" w:space="0" w:color="auto"/>
        <w:right w:val="none" w:sz="0" w:space="0" w:color="auto"/>
      </w:divBdr>
      <w:divsChild>
        <w:div w:id="939527331">
          <w:marLeft w:val="0"/>
          <w:marRight w:val="0"/>
          <w:marTop w:val="0"/>
          <w:marBottom w:val="0"/>
          <w:divBdr>
            <w:top w:val="none" w:sz="0" w:space="0" w:color="auto"/>
            <w:left w:val="none" w:sz="0" w:space="0" w:color="auto"/>
            <w:bottom w:val="none" w:sz="0" w:space="0" w:color="auto"/>
            <w:right w:val="none" w:sz="0" w:space="0" w:color="auto"/>
          </w:divBdr>
          <w:divsChild>
            <w:div w:id="1325356650">
              <w:marLeft w:val="0"/>
              <w:marRight w:val="0"/>
              <w:marTop w:val="0"/>
              <w:marBottom w:val="0"/>
              <w:divBdr>
                <w:top w:val="none" w:sz="0" w:space="0" w:color="auto"/>
                <w:left w:val="none" w:sz="0" w:space="0" w:color="auto"/>
                <w:bottom w:val="none" w:sz="0" w:space="0" w:color="auto"/>
                <w:right w:val="none" w:sz="0" w:space="0" w:color="auto"/>
              </w:divBdr>
              <w:divsChild>
                <w:div w:id="178741500">
                  <w:marLeft w:val="-240"/>
                  <w:marRight w:val="-240"/>
                  <w:marTop w:val="0"/>
                  <w:marBottom w:val="0"/>
                  <w:divBdr>
                    <w:top w:val="none" w:sz="0" w:space="0" w:color="auto"/>
                    <w:left w:val="none" w:sz="0" w:space="0" w:color="auto"/>
                    <w:bottom w:val="none" w:sz="0" w:space="0" w:color="auto"/>
                    <w:right w:val="none" w:sz="0" w:space="0" w:color="auto"/>
                  </w:divBdr>
                  <w:divsChild>
                    <w:div w:id="456872222">
                      <w:marLeft w:val="0"/>
                      <w:marRight w:val="0"/>
                      <w:marTop w:val="0"/>
                      <w:marBottom w:val="0"/>
                      <w:divBdr>
                        <w:top w:val="none" w:sz="0" w:space="0" w:color="auto"/>
                        <w:left w:val="none" w:sz="0" w:space="0" w:color="auto"/>
                        <w:bottom w:val="none" w:sz="0" w:space="0" w:color="auto"/>
                        <w:right w:val="none" w:sz="0" w:space="0" w:color="auto"/>
                      </w:divBdr>
                      <w:divsChild>
                        <w:div w:id="147407423">
                          <w:marLeft w:val="0"/>
                          <w:marRight w:val="0"/>
                          <w:marTop w:val="0"/>
                          <w:marBottom w:val="0"/>
                          <w:divBdr>
                            <w:top w:val="none" w:sz="0" w:space="0" w:color="auto"/>
                            <w:left w:val="none" w:sz="0" w:space="0" w:color="auto"/>
                            <w:bottom w:val="none" w:sz="0" w:space="0" w:color="auto"/>
                            <w:right w:val="none" w:sz="0" w:space="0" w:color="auto"/>
                          </w:divBdr>
                        </w:div>
                        <w:div w:id="635380262">
                          <w:marLeft w:val="0"/>
                          <w:marRight w:val="0"/>
                          <w:marTop w:val="0"/>
                          <w:marBottom w:val="0"/>
                          <w:divBdr>
                            <w:top w:val="none" w:sz="0" w:space="0" w:color="auto"/>
                            <w:left w:val="none" w:sz="0" w:space="0" w:color="auto"/>
                            <w:bottom w:val="none" w:sz="0" w:space="0" w:color="auto"/>
                            <w:right w:val="none" w:sz="0" w:space="0" w:color="auto"/>
                          </w:divBdr>
                          <w:divsChild>
                            <w:div w:id="541212200">
                              <w:marLeft w:val="165"/>
                              <w:marRight w:val="165"/>
                              <w:marTop w:val="0"/>
                              <w:marBottom w:val="0"/>
                              <w:divBdr>
                                <w:top w:val="none" w:sz="0" w:space="0" w:color="auto"/>
                                <w:left w:val="none" w:sz="0" w:space="0" w:color="auto"/>
                                <w:bottom w:val="none" w:sz="0" w:space="0" w:color="auto"/>
                                <w:right w:val="none" w:sz="0" w:space="0" w:color="auto"/>
                              </w:divBdr>
                              <w:divsChild>
                                <w:div w:id="668018932">
                                  <w:marLeft w:val="0"/>
                                  <w:marRight w:val="0"/>
                                  <w:marTop w:val="0"/>
                                  <w:marBottom w:val="0"/>
                                  <w:divBdr>
                                    <w:top w:val="none" w:sz="0" w:space="0" w:color="auto"/>
                                    <w:left w:val="none" w:sz="0" w:space="0" w:color="auto"/>
                                    <w:bottom w:val="none" w:sz="0" w:space="0" w:color="auto"/>
                                    <w:right w:val="none" w:sz="0" w:space="0" w:color="auto"/>
                                  </w:divBdr>
                                  <w:divsChild>
                                    <w:div w:id="64498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737">
      <w:bodyDiv w:val="1"/>
      <w:marLeft w:val="0"/>
      <w:marRight w:val="0"/>
      <w:marTop w:val="0"/>
      <w:marBottom w:val="0"/>
      <w:divBdr>
        <w:top w:val="none" w:sz="0" w:space="0" w:color="auto"/>
        <w:left w:val="none" w:sz="0" w:space="0" w:color="auto"/>
        <w:bottom w:val="none" w:sz="0" w:space="0" w:color="auto"/>
        <w:right w:val="none" w:sz="0" w:space="0" w:color="auto"/>
      </w:divBdr>
    </w:div>
    <w:div w:id="1516116716">
      <w:bodyDiv w:val="1"/>
      <w:marLeft w:val="0"/>
      <w:marRight w:val="0"/>
      <w:marTop w:val="0"/>
      <w:marBottom w:val="0"/>
      <w:divBdr>
        <w:top w:val="none" w:sz="0" w:space="0" w:color="auto"/>
        <w:left w:val="none" w:sz="0" w:space="0" w:color="auto"/>
        <w:bottom w:val="none" w:sz="0" w:space="0" w:color="auto"/>
        <w:right w:val="none" w:sz="0" w:space="0" w:color="auto"/>
      </w:divBdr>
    </w:div>
    <w:div w:id="1584144357">
      <w:bodyDiv w:val="1"/>
      <w:marLeft w:val="0"/>
      <w:marRight w:val="0"/>
      <w:marTop w:val="0"/>
      <w:marBottom w:val="0"/>
      <w:divBdr>
        <w:top w:val="none" w:sz="0" w:space="0" w:color="auto"/>
        <w:left w:val="none" w:sz="0" w:space="0" w:color="auto"/>
        <w:bottom w:val="none" w:sz="0" w:space="0" w:color="auto"/>
        <w:right w:val="none" w:sz="0" w:space="0" w:color="auto"/>
      </w:divBdr>
    </w:div>
    <w:div w:id="1604261878">
      <w:bodyDiv w:val="1"/>
      <w:marLeft w:val="0"/>
      <w:marRight w:val="0"/>
      <w:marTop w:val="0"/>
      <w:marBottom w:val="0"/>
      <w:divBdr>
        <w:top w:val="none" w:sz="0" w:space="0" w:color="auto"/>
        <w:left w:val="none" w:sz="0" w:space="0" w:color="auto"/>
        <w:bottom w:val="none" w:sz="0" w:space="0" w:color="auto"/>
        <w:right w:val="none" w:sz="0" w:space="0" w:color="auto"/>
      </w:divBdr>
    </w:div>
    <w:div w:id="1627354393">
      <w:bodyDiv w:val="1"/>
      <w:marLeft w:val="0"/>
      <w:marRight w:val="0"/>
      <w:marTop w:val="0"/>
      <w:marBottom w:val="0"/>
      <w:divBdr>
        <w:top w:val="none" w:sz="0" w:space="0" w:color="auto"/>
        <w:left w:val="none" w:sz="0" w:space="0" w:color="auto"/>
        <w:bottom w:val="none" w:sz="0" w:space="0" w:color="auto"/>
        <w:right w:val="none" w:sz="0" w:space="0" w:color="auto"/>
      </w:divBdr>
    </w:div>
    <w:div w:id="1671248988">
      <w:bodyDiv w:val="1"/>
      <w:marLeft w:val="0"/>
      <w:marRight w:val="0"/>
      <w:marTop w:val="0"/>
      <w:marBottom w:val="0"/>
      <w:divBdr>
        <w:top w:val="none" w:sz="0" w:space="0" w:color="auto"/>
        <w:left w:val="none" w:sz="0" w:space="0" w:color="auto"/>
        <w:bottom w:val="none" w:sz="0" w:space="0" w:color="auto"/>
        <w:right w:val="none" w:sz="0" w:space="0" w:color="auto"/>
      </w:divBdr>
    </w:div>
    <w:div w:id="1686244990">
      <w:bodyDiv w:val="1"/>
      <w:marLeft w:val="0"/>
      <w:marRight w:val="0"/>
      <w:marTop w:val="0"/>
      <w:marBottom w:val="0"/>
      <w:divBdr>
        <w:top w:val="none" w:sz="0" w:space="0" w:color="auto"/>
        <w:left w:val="none" w:sz="0" w:space="0" w:color="auto"/>
        <w:bottom w:val="none" w:sz="0" w:space="0" w:color="auto"/>
        <w:right w:val="none" w:sz="0" w:space="0" w:color="auto"/>
      </w:divBdr>
    </w:div>
    <w:div w:id="1736585144">
      <w:bodyDiv w:val="1"/>
      <w:marLeft w:val="0"/>
      <w:marRight w:val="0"/>
      <w:marTop w:val="0"/>
      <w:marBottom w:val="0"/>
      <w:divBdr>
        <w:top w:val="none" w:sz="0" w:space="0" w:color="auto"/>
        <w:left w:val="none" w:sz="0" w:space="0" w:color="auto"/>
        <w:bottom w:val="none" w:sz="0" w:space="0" w:color="auto"/>
        <w:right w:val="none" w:sz="0" w:space="0" w:color="auto"/>
      </w:divBdr>
      <w:divsChild>
        <w:div w:id="831943911">
          <w:marLeft w:val="0"/>
          <w:marRight w:val="0"/>
          <w:marTop w:val="0"/>
          <w:marBottom w:val="0"/>
          <w:divBdr>
            <w:top w:val="none" w:sz="0" w:space="0" w:color="auto"/>
            <w:left w:val="none" w:sz="0" w:space="0" w:color="auto"/>
            <w:bottom w:val="none" w:sz="0" w:space="0" w:color="auto"/>
            <w:right w:val="none" w:sz="0" w:space="0" w:color="auto"/>
          </w:divBdr>
          <w:divsChild>
            <w:div w:id="87427040">
              <w:marLeft w:val="0"/>
              <w:marRight w:val="0"/>
              <w:marTop w:val="0"/>
              <w:marBottom w:val="0"/>
              <w:divBdr>
                <w:top w:val="none" w:sz="0" w:space="0" w:color="auto"/>
                <w:left w:val="none" w:sz="0" w:space="0" w:color="auto"/>
                <w:bottom w:val="none" w:sz="0" w:space="0" w:color="auto"/>
                <w:right w:val="none" w:sz="0" w:space="0" w:color="auto"/>
              </w:divBdr>
              <w:divsChild>
                <w:div w:id="2017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5803">
      <w:bodyDiv w:val="1"/>
      <w:marLeft w:val="0"/>
      <w:marRight w:val="0"/>
      <w:marTop w:val="0"/>
      <w:marBottom w:val="0"/>
      <w:divBdr>
        <w:top w:val="none" w:sz="0" w:space="0" w:color="auto"/>
        <w:left w:val="none" w:sz="0" w:space="0" w:color="auto"/>
        <w:bottom w:val="none" w:sz="0" w:space="0" w:color="auto"/>
        <w:right w:val="none" w:sz="0" w:space="0" w:color="auto"/>
      </w:divBdr>
    </w:div>
    <w:div w:id="1774472676">
      <w:bodyDiv w:val="1"/>
      <w:marLeft w:val="0"/>
      <w:marRight w:val="0"/>
      <w:marTop w:val="0"/>
      <w:marBottom w:val="0"/>
      <w:divBdr>
        <w:top w:val="none" w:sz="0" w:space="0" w:color="auto"/>
        <w:left w:val="none" w:sz="0" w:space="0" w:color="auto"/>
        <w:bottom w:val="none" w:sz="0" w:space="0" w:color="auto"/>
        <w:right w:val="none" w:sz="0" w:space="0" w:color="auto"/>
      </w:divBdr>
      <w:divsChild>
        <w:div w:id="2017223576">
          <w:marLeft w:val="0"/>
          <w:marRight w:val="0"/>
          <w:marTop w:val="0"/>
          <w:marBottom w:val="0"/>
          <w:divBdr>
            <w:top w:val="none" w:sz="0" w:space="0" w:color="auto"/>
            <w:left w:val="none" w:sz="0" w:space="0" w:color="auto"/>
            <w:bottom w:val="none" w:sz="0" w:space="0" w:color="auto"/>
            <w:right w:val="none" w:sz="0" w:space="0" w:color="auto"/>
          </w:divBdr>
          <w:divsChild>
            <w:div w:id="4680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8727">
      <w:bodyDiv w:val="1"/>
      <w:marLeft w:val="0"/>
      <w:marRight w:val="0"/>
      <w:marTop w:val="0"/>
      <w:marBottom w:val="0"/>
      <w:divBdr>
        <w:top w:val="none" w:sz="0" w:space="0" w:color="auto"/>
        <w:left w:val="none" w:sz="0" w:space="0" w:color="auto"/>
        <w:bottom w:val="none" w:sz="0" w:space="0" w:color="auto"/>
        <w:right w:val="none" w:sz="0" w:space="0" w:color="auto"/>
      </w:divBdr>
    </w:div>
    <w:div w:id="1844010407">
      <w:bodyDiv w:val="1"/>
      <w:marLeft w:val="0"/>
      <w:marRight w:val="0"/>
      <w:marTop w:val="0"/>
      <w:marBottom w:val="0"/>
      <w:divBdr>
        <w:top w:val="none" w:sz="0" w:space="0" w:color="auto"/>
        <w:left w:val="none" w:sz="0" w:space="0" w:color="auto"/>
        <w:bottom w:val="none" w:sz="0" w:space="0" w:color="auto"/>
        <w:right w:val="none" w:sz="0" w:space="0" w:color="auto"/>
      </w:divBdr>
    </w:div>
    <w:div w:id="1968123963">
      <w:bodyDiv w:val="1"/>
      <w:marLeft w:val="0"/>
      <w:marRight w:val="0"/>
      <w:marTop w:val="0"/>
      <w:marBottom w:val="0"/>
      <w:divBdr>
        <w:top w:val="none" w:sz="0" w:space="0" w:color="auto"/>
        <w:left w:val="none" w:sz="0" w:space="0" w:color="auto"/>
        <w:bottom w:val="none" w:sz="0" w:space="0" w:color="auto"/>
        <w:right w:val="none" w:sz="0" w:space="0" w:color="auto"/>
      </w:divBdr>
      <w:divsChild>
        <w:div w:id="675885696">
          <w:marLeft w:val="0"/>
          <w:marRight w:val="0"/>
          <w:marTop w:val="0"/>
          <w:marBottom w:val="0"/>
          <w:divBdr>
            <w:top w:val="none" w:sz="0" w:space="0" w:color="auto"/>
            <w:left w:val="none" w:sz="0" w:space="0" w:color="auto"/>
            <w:bottom w:val="none" w:sz="0" w:space="0" w:color="auto"/>
            <w:right w:val="none" w:sz="0" w:space="0" w:color="auto"/>
          </w:divBdr>
          <w:divsChild>
            <w:div w:id="699739977">
              <w:marLeft w:val="0"/>
              <w:marRight w:val="0"/>
              <w:marTop w:val="0"/>
              <w:marBottom w:val="0"/>
              <w:divBdr>
                <w:top w:val="none" w:sz="0" w:space="0" w:color="auto"/>
                <w:left w:val="none" w:sz="0" w:space="0" w:color="auto"/>
                <w:bottom w:val="none" w:sz="0" w:space="0" w:color="auto"/>
                <w:right w:val="none" w:sz="0" w:space="0" w:color="auto"/>
              </w:divBdr>
              <w:divsChild>
                <w:div w:id="484124762">
                  <w:marLeft w:val="-240"/>
                  <w:marRight w:val="-240"/>
                  <w:marTop w:val="0"/>
                  <w:marBottom w:val="0"/>
                  <w:divBdr>
                    <w:top w:val="none" w:sz="0" w:space="0" w:color="auto"/>
                    <w:left w:val="none" w:sz="0" w:space="0" w:color="auto"/>
                    <w:bottom w:val="none" w:sz="0" w:space="0" w:color="auto"/>
                    <w:right w:val="none" w:sz="0" w:space="0" w:color="auto"/>
                  </w:divBdr>
                  <w:divsChild>
                    <w:div w:id="1695301267">
                      <w:marLeft w:val="0"/>
                      <w:marRight w:val="0"/>
                      <w:marTop w:val="0"/>
                      <w:marBottom w:val="0"/>
                      <w:divBdr>
                        <w:top w:val="none" w:sz="0" w:space="0" w:color="auto"/>
                        <w:left w:val="none" w:sz="0" w:space="0" w:color="auto"/>
                        <w:bottom w:val="none" w:sz="0" w:space="0" w:color="auto"/>
                        <w:right w:val="none" w:sz="0" w:space="0" w:color="auto"/>
                      </w:divBdr>
                      <w:divsChild>
                        <w:div w:id="1552300591">
                          <w:marLeft w:val="0"/>
                          <w:marRight w:val="0"/>
                          <w:marTop w:val="0"/>
                          <w:marBottom w:val="0"/>
                          <w:divBdr>
                            <w:top w:val="none" w:sz="0" w:space="0" w:color="auto"/>
                            <w:left w:val="none" w:sz="0" w:space="0" w:color="auto"/>
                            <w:bottom w:val="none" w:sz="0" w:space="0" w:color="auto"/>
                            <w:right w:val="none" w:sz="0" w:space="0" w:color="auto"/>
                          </w:divBdr>
                        </w:div>
                        <w:div w:id="1698697717">
                          <w:marLeft w:val="0"/>
                          <w:marRight w:val="0"/>
                          <w:marTop w:val="0"/>
                          <w:marBottom w:val="0"/>
                          <w:divBdr>
                            <w:top w:val="none" w:sz="0" w:space="0" w:color="auto"/>
                            <w:left w:val="none" w:sz="0" w:space="0" w:color="auto"/>
                            <w:bottom w:val="none" w:sz="0" w:space="0" w:color="auto"/>
                            <w:right w:val="none" w:sz="0" w:space="0" w:color="auto"/>
                          </w:divBdr>
                          <w:divsChild>
                            <w:div w:id="376588582">
                              <w:marLeft w:val="165"/>
                              <w:marRight w:val="165"/>
                              <w:marTop w:val="0"/>
                              <w:marBottom w:val="0"/>
                              <w:divBdr>
                                <w:top w:val="none" w:sz="0" w:space="0" w:color="auto"/>
                                <w:left w:val="none" w:sz="0" w:space="0" w:color="auto"/>
                                <w:bottom w:val="none" w:sz="0" w:space="0" w:color="auto"/>
                                <w:right w:val="none" w:sz="0" w:space="0" w:color="auto"/>
                              </w:divBdr>
                              <w:divsChild>
                                <w:div w:id="873155586">
                                  <w:marLeft w:val="0"/>
                                  <w:marRight w:val="0"/>
                                  <w:marTop w:val="0"/>
                                  <w:marBottom w:val="0"/>
                                  <w:divBdr>
                                    <w:top w:val="none" w:sz="0" w:space="0" w:color="auto"/>
                                    <w:left w:val="none" w:sz="0" w:space="0" w:color="auto"/>
                                    <w:bottom w:val="none" w:sz="0" w:space="0" w:color="auto"/>
                                    <w:right w:val="none" w:sz="0" w:space="0" w:color="auto"/>
                                  </w:divBdr>
                                  <w:divsChild>
                                    <w:div w:id="6952359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831385">
      <w:bodyDiv w:val="1"/>
      <w:marLeft w:val="0"/>
      <w:marRight w:val="0"/>
      <w:marTop w:val="0"/>
      <w:marBottom w:val="0"/>
      <w:divBdr>
        <w:top w:val="none" w:sz="0" w:space="0" w:color="auto"/>
        <w:left w:val="none" w:sz="0" w:space="0" w:color="auto"/>
        <w:bottom w:val="none" w:sz="0" w:space="0" w:color="auto"/>
        <w:right w:val="none" w:sz="0" w:space="0" w:color="auto"/>
      </w:divBdr>
    </w:div>
    <w:div w:id="1979607814">
      <w:bodyDiv w:val="1"/>
      <w:marLeft w:val="0"/>
      <w:marRight w:val="0"/>
      <w:marTop w:val="0"/>
      <w:marBottom w:val="0"/>
      <w:divBdr>
        <w:top w:val="none" w:sz="0" w:space="0" w:color="auto"/>
        <w:left w:val="none" w:sz="0" w:space="0" w:color="auto"/>
        <w:bottom w:val="none" w:sz="0" w:space="0" w:color="auto"/>
        <w:right w:val="none" w:sz="0" w:space="0" w:color="auto"/>
      </w:divBdr>
      <w:divsChild>
        <w:div w:id="1002201435">
          <w:marLeft w:val="0"/>
          <w:marRight w:val="0"/>
          <w:marTop w:val="0"/>
          <w:marBottom w:val="0"/>
          <w:divBdr>
            <w:top w:val="none" w:sz="0" w:space="0" w:color="auto"/>
            <w:left w:val="none" w:sz="0" w:space="0" w:color="auto"/>
            <w:bottom w:val="none" w:sz="0" w:space="0" w:color="auto"/>
            <w:right w:val="none" w:sz="0" w:space="0" w:color="auto"/>
          </w:divBdr>
          <w:divsChild>
            <w:div w:id="109060013">
              <w:marLeft w:val="0"/>
              <w:marRight w:val="0"/>
              <w:marTop w:val="0"/>
              <w:marBottom w:val="0"/>
              <w:divBdr>
                <w:top w:val="none" w:sz="0" w:space="0" w:color="auto"/>
                <w:left w:val="none" w:sz="0" w:space="0" w:color="auto"/>
                <w:bottom w:val="none" w:sz="0" w:space="0" w:color="auto"/>
                <w:right w:val="none" w:sz="0" w:space="0" w:color="auto"/>
              </w:divBdr>
              <w:divsChild>
                <w:div w:id="15900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3600">
      <w:bodyDiv w:val="1"/>
      <w:marLeft w:val="0"/>
      <w:marRight w:val="0"/>
      <w:marTop w:val="0"/>
      <w:marBottom w:val="0"/>
      <w:divBdr>
        <w:top w:val="none" w:sz="0" w:space="0" w:color="auto"/>
        <w:left w:val="none" w:sz="0" w:space="0" w:color="auto"/>
        <w:bottom w:val="none" w:sz="0" w:space="0" w:color="auto"/>
        <w:right w:val="none" w:sz="0" w:space="0" w:color="auto"/>
      </w:divBdr>
    </w:div>
    <w:div w:id="2020041876">
      <w:bodyDiv w:val="1"/>
      <w:marLeft w:val="0"/>
      <w:marRight w:val="0"/>
      <w:marTop w:val="0"/>
      <w:marBottom w:val="0"/>
      <w:divBdr>
        <w:top w:val="none" w:sz="0" w:space="0" w:color="auto"/>
        <w:left w:val="none" w:sz="0" w:space="0" w:color="auto"/>
        <w:bottom w:val="none" w:sz="0" w:space="0" w:color="auto"/>
        <w:right w:val="none" w:sz="0" w:space="0" w:color="auto"/>
      </w:divBdr>
    </w:div>
    <w:div w:id="2038584681">
      <w:bodyDiv w:val="1"/>
      <w:marLeft w:val="0"/>
      <w:marRight w:val="0"/>
      <w:marTop w:val="0"/>
      <w:marBottom w:val="0"/>
      <w:divBdr>
        <w:top w:val="none" w:sz="0" w:space="0" w:color="auto"/>
        <w:left w:val="none" w:sz="0" w:space="0" w:color="auto"/>
        <w:bottom w:val="none" w:sz="0" w:space="0" w:color="auto"/>
        <w:right w:val="none" w:sz="0" w:space="0" w:color="auto"/>
      </w:divBdr>
    </w:div>
    <w:div w:id="2041855672">
      <w:bodyDiv w:val="1"/>
      <w:marLeft w:val="0"/>
      <w:marRight w:val="0"/>
      <w:marTop w:val="0"/>
      <w:marBottom w:val="0"/>
      <w:divBdr>
        <w:top w:val="none" w:sz="0" w:space="0" w:color="auto"/>
        <w:left w:val="none" w:sz="0" w:space="0" w:color="auto"/>
        <w:bottom w:val="none" w:sz="0" w:space="0" w:color="auto"/>
        <w:right w:val="none" w:sz="0" w:space="0" w:color="auto"/>
      </w:divBdr>
    </w:div>
    <w:div w:id="2100825953">
      <w:bodyDiv w:val="1"/>
      <w:marLeft w:val="0"/>
      <w:marRight w:val="0"/>
      <w:marTop w:val="0"/>
      <w:marBottom w:val="0"/>
      <w:divBdr>
        <w:top w:val="none" w:sz="0" w:space="0" w:color="auto"/>
        <w:left w:val="none" w:sz="0" w:space="0" w:color="auto"/>
        <w:bottom w:val="none" w:sz="0" w:space="0" w:color="auto"/>
        <w:right w:val="none" w:sz="0" w:space="0" w:color="auto"/>
      </w:divBdr>
    </w:div>
    <w:div w:id="21295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902-021-00486-y" TargetMode="External"/><Relationship Id="rId18" Type="http://schemas.openxmlformats.org/officeDocument/2006/relationships/hyperlink" Target="https://doi.org/10.1080/10705519909540118" TargetMode="External"/><Relationship Id="rId26" Type="http://schemas.openxmlformats.org/officeDocument/2006/relationships/hyperlink" Target="https://doi.org/10.1016/j.paid.2021.110897" TargetMode="External"/><Relationship Id="rId39" Type="http://schemas.openxmlformats.org/officeDocument/2006/relationships/header" Target="header3.xml"/><Relationship Id="rId21" Type="http://schemas.openxmlformats.org/officeDocument/2006/relationships/hyperlink" Target="https://doi.org/10.1515%2Fijamh-2013-0333" TargetMode="External"/><Relationship Id="rId34" Type="http://schemas.openxmlformats.org/officeDocument/2006/relationships/hyperlink" Target="mailto:beyzakincal@gmail.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0775-018-9369-2" TargetMode="External"/><Relationship Id="rId20" Type="http://schemas.openxmlformats.org/officeDocument/2006/relationships/hyperlink" Target="https://doi.org/10.1177/0272431615602756" TargetMode="External"/><Relationship Id="rId29" Type="http://schemas.openxmlformats.org/officeDocument/2006/relationships/hyperlink" Target="https://doi.org/10.1111/bjso.1229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016/j.cogdev.2005.05.001" TargetMode="External"/><Relationship Id="rId24" Type="http://schemas.openxmlformats.org/officeDocument/2006/relationships/hyperlink" Target="https://doi.org/10.1007/s10964-015-0321-1" TargetMode="External"/><Relationship Id="rId32" Type="http://schemas.openxmlformats.org/officeDocument/2006/relationships/hyperlink" Target="http://dx.doi.org/10.7827/TurkishStudies.2335"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7/s40894-022-00190-9" TargetMode="External"/><Relationship Id="rId23" Type="http://schemas.openxmlformats.org/officeDocument/2006/relationships/hyperlink" Target="https://doi.org/10.1007/s10964-007-9201-7" TargetMode="External"/><Relationship Id="rId28" Type="http://schemas.openxmlformats.org/officeDocument/2006/relationships/hyperlink" Target="https://doi.org/10.1080/00207599508246575" TargetMode="External"/><Relationship Id="rId36"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doi.org/10.1016/j.lindif.2007.08.001" TargetMode="External"/><Relationship Id="rId31" Type="http://schemas.openxmlformats.org/officeDocument/2006/relationships/hyperlink" Target="https://doi.org/10.1016/0001-8791(80)90056-1" TargetMode="External"/><Relationship Id="rId4" Type="http://schemas.openxmlformats.org/officeDocument/2006/relationships/settings" Target="settings.xml"/><Relationship Id="rId9" Type="http://schemas.openxmlformats.org/officeDocument/2006/relationships/hyperlink" Target="mailto:ferbacanli@gmail.com" TargetMode="External"/><Relationship Id="rId14" Type="http://schemas.openxmlformats.org/officeDocument/2006/relationships/hyperlink" Target="https://doi.org/10.1002/rev3.3080" TargetMode="External"/><Relationship Id="rId22" Type="http://schemas.openxmlformats.org/officeDocument/2006/relationships/hyperlink" Target="https://doi.org/10.1207/s1532706xid0402_5" TargetMode="External"/><Relationship Id="rId27" Type="http://schemas.openxmlformats.org/officeDocument/2006/relationships/hyperlink" Target="https://doi.org/10.1080/00207594.1989.10600042" TargetMode="External"/><Relationship Id="rId30" Type="http://schemas.openxmlformats.org/officeDocument/2006/relationships/hyperlink" Target="https://doi.org/10.1111/j.1467-8624.2008.01244.x" TargetMode="External"/><Relationship Id="rId35" Type="http://schemas.openxmlformats.org/officeDocument/2006/relationships/header" Target="header1.xml"/><Relationship Id="rId8" Type="http://schemas.openxmlformats.org/officeDocument/2006/relationships/hyperlink" Target="mailto:beyzakincal@gmail.com" TargetMode="External"/><Relationship Id="rId3" Type="http://schemas.openxmlformats.org/officeDocument/2006/relationships/styles" Target="styles.xml"/><Relationship Id="rId12" Type="http://schemas.openxmlformats.org/officeDocument/2006/relationships/hyperlink" Target="https://psycnet.apa.org/doi/10.1080/03601277.2014.898496" TargetMode="External"/><Relationship Id="rId17" Type="http://schemas.openxmlformats.org/officeDocument/2006/relationships/hyperlink" Target="https://doi.org/10.1016/j.jvb.2016.08.003" TargetMode="External"/><Relationship Id="rId25" Type="http://schemas.openxmlformats.org/officeDocument/2006/relationships/hyperlink" Target="https://doi.org/10.3390/educsci10050134" TargetMode="External"/><Relationship Id="rId33" Type="http://schemas.openxmlformats.org/officeDocument/2006/relationships/hyperlink" Target="https://psycnet.apa.org/doi/10.1037/0022-3514.77.6.1271" TargetMode="External"/><Relationship Id="rId38"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dergipark.org.tr/tr/pub/kpd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16197-8FDE-4F79-B1DE-D60C4D53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6586</Words>
  <Characters>37542</Characters>
  <Application>Microsoft Office Word</Application>
  <DocSecurity>0</DocSecurity>
  <Lines>312</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 PDR Dergisi</dc:creator>
  <cp:keywords/>
  <dc:description/>
  <cp:lastModifiedBy>Microsoft Office User</cp:lastModifiedBy>
  <cp:revision>2</cp:revision>
  <cp:lastPrinted>2020-08-02T19:37:00Z</cp:lastPrinted>
  <dcterms:created xsi:type="dcterms:W3CDTF">2024-12-30T13:13:00Z</dcterms:created>
  <dcterms:modified xsi:type="dcterms:W3CDTF">2024-12-30T13:13:00Z</dcterms:modified>
</cp:coreProperties>
</file>