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w:drawing>
          <wp:anchor distT="0" distB="0" distL="0" distR="0" allowOverlap="1" layoutInCell="1" locked="0" behindDoc="1" simplePos="0" relativeHeight="486981120">
            <wp:simplePos x="0" y="0"/>
            <wp:positionH relativeFrom="page">
              <wp:posOffset>320675</wp:posOffset>
            </wp:positionH>
            <wp:positionV relativeFrom="page">
              <wp:posOffset>177800</wp:posOffset>
            </wp:positionV>
            <wp:extent cx="7012913" cy="136683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7012913" cy="1366837"/>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
        <w:rPr>
          <w:sz w:val="20"/>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0"/>
        <w:gridCol w:w="2721"/>
        <w:gridCol w:w="4458"/>
      </w:tblGrid>
      <w:tr>
        <w:trPr>
          <w:trHeight w:val="968" w:hRule="atLeast"/>
        </w:trPr>
        <w:tc>
          <w:tcPr>
            <w:tcW w:w="9619" w:type="dxa"/>
            <w:gridSpan w:val="3"/>
          </w:tcPr>
          <w:p>
            <w:pPr>
              <w:pStyle w:val="TableParagraph"/>
              <w:spacing w:line="237" w:lineRule="auto"/>
              <w:ind w:right="17"/>
              <w:jc w:val="center"/>
              <w:rPr>
                <w:b/>
                <w:sz w:val="28"/>
              </w:rPr>
            </w:pPr>
            <w:r>
              <w:rPr>
                <w:b/>
                <w:sz w:val="28"/>
              </w:rPr>
              <w:t>Sezonluk</w:t>
            </w:r>
            <w:r>
              <w:rPr>
                <w:b/>
                <w:spacing w:val="-7"/>
                <w:sz w:val="28"/>
              </w:rPr>
              <w:t> </w:t>
            </w:r>
            <w:r>
              <w:rPr>
                <w:b/>
                <w:sz w:val="28"/>
              </w:rPr>
              <w:t>(Kombine)</w:t>
            </w:r>
            <w:r>
              <w:rPr>
                <w:b/>
                <w:spacing w:val="-5"/>
                <w:sz w:val="28"/>
              </w:rPr>
              <w:t> </w:t>
            </w:r>
            <w:r>
              <w:rPr>
                <w:b/>
                <w:sz w:val="28"/>
              </w:rPr>
              <w:t>Bilet</w:t>
            </w:r>
            <w:r>
              <w:rPr>
                <w:b/>
                <w:spacing w:val="-4"/>
                <w:sz w:val="28"/>
              </w:rPr>
              <w:t> </w:t>
            </w:r>
            <w:r>
              <w:rPr>
                <w:b/>
                <w:sz w:val="28"/>
              </w:rPr>
              <w:t>Sahipleri</w:t>
            </w:r>
            <w:r>
              <w:rPr>
                <w:b/>
                <w:spacing w:val="-4"/>
                <w:sz w:val="28"/>
              </w:rPr>
              <w:t> </w:t>
            </w:r>
            <w:r>
              <w:rPr>
                <w:b/>
                <w:sz w:val="28"/>
              </w:rPr>
              <w:t>Memnuniyet</w:t>
            </w:r>
            <w:r>
              <w:rPr>
                <w:b/>
                <w:spacing w:val="-4"/>
                <w:sz w:val="28"/>
              </w:rPr>
              <w:t> </w:t>
            </w:r>
            <w:r>
              <w:rPr>
                <w:b/>
                <w:sz w:val="28"/>
              </w:rPr>
              <w:t>Ölçeği:</w:t>
            </w:r>
            <w:r>
              <w:rPr>
                <w:b/>
                <w:spacing w:val="-5"/>
                <w:sz w:val="28"/>
              </w:rPr>
              <w:t> </w:t>
            </w:r>
            <w:r>
              <w:rPr>
                <w:b/>
                <w:sz w:val="28"/>
              </w:rPr>
              <w:t>Türkçe</w:t>
            </w:r>
            <w:r>
              <w:rPr>
                <w:b/>
                <w:spacing w:val="-6"/>
                <w:sz w:val="28"/>
              </w:rPr>
              <w:t> </w:t>
            </w:r>
            <w:r>
              <w:rPr>
                <w:b/>
                <w:sz w:val="28"/>
              </w:rPr>
              <w:t>Geçerlik</w:t>
            </w:r>
            <w:r>
              <w:rPr>
                <w:b/>
                <w:spacing w:val="-7"/>
                <w:sz w:val="28"/>
              </w:rPr>
              <w:t> </w:t>
            </w:r>
            <w:r>
              <w:rPr>
                <w:b/>
                <w:sz w:val="28"/>
              </w:rPr>
              <w:t>ve Güvenirlik Çalışması</w:t>
            </w:r>
          </w:p>
          <w:p>
            <w:pPr>
              <w:pStyle w:val="TableParagraph"/>
              <w:spacing w:before="1"/>
              <w:ind w:left="12" w:right="17"/>
              <w:jc w:val="center"/>
              <w:rPr>
                <w:sz w:val="20"/>
              </w:rPr>
            </w:pPr>
            <w:r>
              <w:rPr>
                <w:sz w:val="20"/>
              </w:rPr>
              <w:t>Nurettin</w:t>
            </w:r>
            <w:r>
              <w:rPr>
                <w:spacing w:val="-5"/>
                <w:sz w:val="20"/>
              </w:rPr>
              <w:t> </w:t>
            </w:r>
            <w:r>
              <w:rPr>
                <w:sz w:val="20"/>
              </w:rPr>
              <w:t>Göksu</w:t>
            </w:r>
            <w:r>
              <w:rPr>
                <w:spacing w:val="-1"/>
                <w:sz w:val="20"/>
              </w:rPr>
              <w:t> </w:t>
            </w:r>
            <w:r>
              <w:rPr>
                <w:sz w:val="20"/>
              </w:rPr>
              <w:t>ÇİNİ</w:t>
            </w:r>
            <w:r>
              <w:rPr>
                <w:sz w:val="20"/>
                <w:vertAlign w:val="superscript"/>
              </w:rPr>
              <w:t>1</w:t>
            </w:r>
            <w:r>
              <w:rPr>
                <w:spacing w:val="12"/>
                <w:sz w:val="20"/>
                <w:vertAlign w:val="baseline"/>
              </w:rPr>
              <w:drawing>
                <wp:inline distT="0" distB="0" distL="0" distR="0">
                  <wp:extent cx="121504" cy="121504"/>
                  <wp:effectExtent l="0" t="0" r="0" b="0"/>
                  <wp:docPr id="4" name="Image 4">
                    <a:hlinkClick r:id="rId7"/>
                  </wp:docPr>
                  <wp:cNvGraphicFramePr>
                    <a:graphicFrameLocks/>
                  </wp:cNvGraphicFramePr>
                  <a:graphic>
                    <a:graphicData uri="http://schemas.openxmlformats.org/drawingml/2006/picture">
                      <pic:pic>
                        <pic:nvPicPr>
                          <pic:cNvPr id="4" name="Image 4">
                            <a:hlinkClick r:id="rId7"/>
                          </pic:cNvPr>
                          <pic:cNvPicPr/>
                        </pic:nvPicPr>
                        <pic:blipFill>
                          <a:blip r:embed="rId8" cstate="print"/>
                          <a:stretch>
                            <a:fillRect/>
                          </a:stretch>
                        </pic:blipFill>
                        <pic:spPr>
                          <a:xfrm>
                            <a:off x="0" y="0"/>
                            <a:ext cx="121504" cy="121504"/>
                          </a:xfrm>
                          <a:prstGeom prst="rect">
                            <a:avLst/>
                          </a:prstGeom>
                        </pic:spPr>
                      </pic:pic>
                    </a:graphicData>
                  </a:graphic>
                </wp:inline>
              </w:drawing>
            </w:r>
            <w:r>
              <w:rPr>
                <w:spacing w:val="12"/>
                <w:sz w:val="20"/>
                <w:vertAlign w:val="baseline"/>
              </w:rPr>
            </w:r>
            <w:r>
              <w:rPr>
                <w:sz w:val="20"/>
                <w:vertAlign w:val="baseline"/>
              </w:rPr>
              <w:t>,</w:t>
            </w:r>
            <w:r>
              <w:rPr>
                <w:spacing w:val="47"/>
                <w:sz w:val="20"/>
                <w:vertAlign w:val="baseline"/>
              </w:rPr>
              <w:t> </w:t>
            </w:r>
            <w:r>
              <w:rPr>
                <w:sz w:val="20"/>
                <w:vertAlign w:val="baseline"/>
              </w:rPr>
              <w:t>Ebru</w:t>
            </w:r>
            <w:r>
              <w:rPr>
                <w:spacing w:val="2"/>
                <w:sz w:val="20"/>
                <w:vertAlign w:val="baseline"/>
              </w:rPr>
              <w:t> </w:t>
            </w:r>
            <w:r>
              <w:rPr>
                <w:sz w:val="20"/>
                <w:vertAlign w:val="baseline"/>
              </w:rPr>
              <w:t>GÜZEL</w:t>
            </w:r>
            <w:r>
              <w:rPr>
                <w:spacing w:val="-4"/>
                <w:sz w:val="20"/>
                <w:vertAlign w:val="baseline"/>
              </w:rPr>
              <w:t> </w:t>
            </w:r>
            <w:r>
              <w:rPr>
                <w:spacing w:val="-2"/>
                <w:sz w:val="20"/>
                <w:vertAlign w:val="baseline"/>
              </w:rPr>
              <w:t>KUYUCU</w:t>
            </w:r>
            <w:r>
              <w:rPr>
                <w:spacing w:val="-2"/>
                <w:sz w:val="20"/>
                <w:vertAlign w:val="superscript"/>
              </w:rPr>
              <w:t>2</w:t>
            </w:r>
            <w:r>
              <w:rPr>
                <w:spacing w:val="6"/>
                <w:sz w:val="20"/>
                <w:vertAlign w:val="baseline"/>
              </w:rPr>
              <w:drawing>
                <wp:inline distT="0" distB="0" distL="0" distR="0">
                  <wp:extent cx="121504" cy="121504"/>
                  <wp:effectExtent l="0" t="0" r="0" b="0"/>
                  <wp:docPr id="5" name="Image 5">
                    <a:hlinkClick r:id="rId9"/>
                  </wp:docPr>
                  <wp:cNvGraphicFramePr>
                    <a:graphicFrameLocks/>
                  </wp:cNvGraphicFramePr>
                  <a:graphic>
                    <a:graphicData uri="http://schemas.openxmlformats.org/drawingml/2006/picture">
                      <pic:pic>
                        <pic:nvPicPr>
                          <pic:cNvPr id="5" name="Image 5">
                            <a:hlinkClick r:id="rId9"/>
                          </pic:cNvPr>
                          <pic:cNvPicPr/>
                        </pic:nvPicPr>
                        <pic:blipFill>
                          <a:blip r:embed="rId8" cstate="print"/>
                          <a:stretch>
                            <a:fillRect/>
                          </a:stretch>
                        </pic:blipFill>
                        <pic:spPr>
                          <a:xfrm>
                            <a:off x="0" y="0"/>
                            <a:ext cx="121504" cy="121504"/>
                          </a:xfrm>
                          <a:prstGeom prst="rect">
                            <a:avLst/>
                          </a:prstGeom>
                        </pic:spPr>
                      </pic:pic>
                    </a:graphicData>
                  </a:graphic>
                </wp:inline>
              </w:drawing>
            </w:r>
            <w:r>
              <w:rPr>
                <w:spacing w:val="6"/>
                <w:sz w:val="20"/>
                <w:vertAlign w:val="baseline"/>
              </w:rPr>
            </w:r>
          </w:p>
        </w:tc>
      </w:tr>
      <w:tr>
        <w:trPr>
          <w:trHeight w:val="426" w:hRule="atLeast"/>
        </w:trPr>
        <w:tc>
          <w:tcPr>
            <w:tcW w:w="5161" w:type="dxa"/>
            <w:gridSpan w:val="2"/>
            <w:tcBorders>
              <w:bottom w:val="single" w:sz="4" w:space="0" w:color="000000"/>
            </w:tcBorders>
          </w:tcPr>
          <w:p>
            <w:pPr>
              <w:pStyle w:val="TableParagraph"/>
              <w:spacing w:before="83"/>
              <w:ind w:left="105"/>
              <w:rPr>
                <w:sz w:val="15"/>
              </w:rPr>
            </w:pPr>
            <w:r>
              <w:rPr>
                <w:sz w:val="18"/>
              </w:rPr>
              <w:t>DOI:</w:t>
            </w:r>
            <w:r>
              <w:rPr>
                <w:spacing w:val="-1"/>
                <w:sz w:val="18"/>
              </w:rPr>
              <w:t> </w:t>
            </w:r>
            <w:hyperlink r:id="rId10">
              <w:r>
                <w:rPr>
                  <w:spacing w:val="-2"/>
                  <w:sz w:val="15"/>
                </w:rPr>
                <w:t>https://doi.org/10.38021asbid.1355793</w:t>
              </w:r>
            </w:hyperlink>
          </w:p>
        </w:tc>
        <w:tc>
          <w:tcPr>
            <w:tcW w:w="4458" w:type="dxa"/>
            <w:tcBorders>
              <w:bottom w:val="single" w:sz="4" w:space="0" w:color="000000"/>
            </w:tcBorders>
          </w:tcPr>
          <w:p>
            <w:pPr>
              <w:pStyle w:val="TableParagraph"/>
              <w:spacing w:before="83"/>
              <w:ind w:left="2312"/>
              <w:rPr>
                <w:b/>
                <w:sz w:val="18"/>
              </w:rPr>
            </w:pPr>
            <w:r>
              <w:rPr>
                <w:b/>
                <w:sz w:val="18"/>
              </w:rPr>
              <w:t>ORİJİNAL</w:t>
            </w:r>
            <w:r>
              <w:rPr>
                <w:b/>
                <w:spacing w:val="-10"/>
                <w:sz w:val="18"/>
              </w:rPr>
              <w:t> </w:t>
            </w:r>
            <w:r>
              <w:rPr>
                <w:b/>
                <w:spacing w:val="-2"/>
                <w:sz w:val="18"/>
              </w:rPr>
              <w:t>ARAŞTIRMA</w:t>
            </w:r>
          </w:p>
        </w:tc>
      </w:tr>
      <w:tr>
        <w:trPr>
          <w:trHeight w:val="240" w:hRule="atLeast"/>
        </w:trPr>
        <w:tc>
          <w:tcPr>
            <w:tcW w:w="2440" w:type="dxa"/>
            <w:tcBorders>
              <w:top w:val="single" w:sz="4" w:space="0" w:color="000000"/>
            </w:tcBorders>
          </w:tcPr>
          <w:p>
            <w:pPr>
              <w:pStyle w:val="TableParagraph"/>
              <w:spacing w:line="220" w:lineRule="exact"/>
              <w:ind w:left="105"/>
              <w:rPr>
                <w:sz w:val="20"/>
              </w:rPr>
            </w:pPr>
            <w:r>
              <w:rPr>
                <w:sz w:val="20"/>
                <w:vertAlign w:val="superscript"/>
              </w:rPr>
              <w:t>1</w:t>
            </w:r>
            <w:r>
              <w:rPr>
                <w:sz w:val="20"/>
                <w:vertAlign w:val="baseline"/>
              </w:rPr>
              <w:t>Kırıkkale</w:t>
            </w:r>
            <w:r>
              <w:rPr>
                <w:spacing w:val="-3"/>
                <w:sz w:val="20"/>
                <w:vertAlign w:val="baseline"/>
              </w:rPr>
              <w:t> </w:t>
            </w:r>
            <w:r>
              <w:rPr>
                <w:spacing w:val="-2"/>
                <w:sz w:val="20"/>
                <w:vertAlign w:val="baseline"/>
              </w:rPr>
              <w:t>Üniversitesi,</w:t>
            </w:r>
          </w:p>
        </w:tc>
        <w:tc>
          <w:tcPr>
            <w:tcW w:w="7179" w:type="dxa"/>
            <w:gridSpan w:val="2"/>
            <w:vMerge w:val="restart"/>
            <w:tcBorders>
              <w:top w:val="single" w:sz="4" w:space="0" w:color="000000"/>
            </w:tcBorders>
          </w:tcPr>
          <w:p>
            <w:pPr>
              <w:pStyle w:val="TableParagraph"/>
              <w:spacing w:line="228" w:lineRule="exact"/>
              <w:ind w:left="211"/>
              <w:rPr>
                <w:b/>
                <w:sz w:val="20"/>
              </w:rPr>
            </w:pPr>
            <w:r>
              <w:rPr>
                <w:b/>
                <w:spacing w:val="-5"/>
                <w:sz w:val="20"/>
              </w:rPr>
              <w:t>Öz</w:t>
            </w:r>
          </w:p>
          <w:p>
            <w:pPr>
              <w:pStyle w:val="TableParagraph"/>
              <w:ind w:left="211" w:right="99"/>
              <w:jc w:val="both"/>
              <w:rPr>
                <w:sz w:val="20"/>
              </w:rPr>
            </w:pPr>
            <w:r>
              <w:rPr>
                <w:sz w:val="20"/>
              </w:rPr>
              <w:t>Spor</w:t>
            </w:r>
            <w:r>
              <w:rPr>
                <w:spacing w:val="-11"/>
                <w:sz w:val="20"/>
              </w:rPr>
              <w:t> </w:t>
            </w:r>
            <w:r>
              <w:rPr>
                <w:sz w:val="20"/>
              </w:rPr>
              <w:t>organizasyonları,</w:t>
            </w:r>
            <w:r>
              <w:rPr>
                <w:spacing w:val="-10"/>
                <w:sz w:val="20"/>
              </w:rPr>
              <w:t> </w:t>
            </w:r>
            <w:r>
              <w:rPr>
                <w:sz w:val="20"/>
              </w:rPr>
              <w:t>devasa</w:t>
            </w:r>
            <w:r>
              <w:rPr>
                <w:spacing w:val="-8"/>
                <w:sz w:val="20"/>
              </w:rPr>
              <w:t> </w:t>
            </w:r>
            <w:r>
              <w:rPr>
                <w:sz w:val="20"/>
              </w:rPr>
              <w:t>boyutlara</w:t>
            </w:r>
            <w:r>
              <w:rPr>
                <w:spacing w:val="-8"/>
                <w:sz w:val="20"/>
              </w:rPr>
              <w:t> </w:t>
            </w:r>
            <w:r>
              <w:rPr>
                <w:sz w:val="20"/>
              </w:rPr>
              <w:t>ulaşan</w:t>
            </w:r>
            <w:r>
              <w:rPr>
                <w:spacing w:val="-9"/>
                <w:sz w:val="20"/>
              </w:rPr>
              <w:t> </w:t>
            </w:r>
            <w:r>
              <w:rPr>
                <w:sz w:val="20"/>
              </w:rPr>
              <w:t>bir</w:t>
            </w:r>
            <w:r>
              <w:rPr>
                <w:spacing w:val="-11"/>
                <w:sz w:val="20"/>
              </w:rPr>
              <w:t> </w:t>
            </w:r>
            <w:r>
              <w:rPr>
                <w:sz w:val="20"/>
              </w:rPr>
              <w:t>endüstri</w:t>
            </w:r>
            <w:r>
              <w:rPr>
                <w:spacing w:val="-10"/>
                <w:sz w:val="20"/>
              </w:rPr>
              <w:t> </w:t>
            </w:r>
            <w:r>
              <w:rPr>
                <w:sz w:val="20"/>
              </w:rPr>
              <w:t>ve</w:t>
            </w:r>
            <w:r>
              <w:rPr>
                <w:spacing w:val="-8"/>
                <w:sz w:val="20"/>
              </w:rPr>
              <w:t> </w:t>
            </w:r>
            <w:r>
              <w:rPr>
                <w:sz w:val="20"/>
              </w:rPr>
              <w:t>ekonomik</w:t>
            </w:r>
            <w:r>
              <w:rPr>
                <w:spacing w:val="-9"/>
                <w:sz w:val="20"/>
              </w:rPr>
              <w:t> </w:t>
            </w:r>
            <w:r>
              <w:rPr>
                <w:sz w:val="20"/>
              </w:rPr>
              <w:t>faaliyet</w:t>
            </w:r>
            <w:r>
              <w:rPr>
                <w:spacing w:val="-10"/>
                <w:sz w:val="20"/>
              </w:rPr>
              <w:t> </w:t>
            </w:r>
            <w:r>
              <w:rPr>
                <w:sz w:val="20"/>
              </w:rPr>
              <w:t>alanı olarak</w:t>
            </w:r>
            <w:r>
              <w:rPr>
                <w:spacing w:val="-13"/>
                <w:sz w:val="20"/>
              </w:rPr>
              <w:t> </w:t>
            </w:r>
            <w:r>
              <w:rPr>
                <w:sz w:val="20"/>
              </w:rPr>
              <w:t>göze</w:t>
            </w:r>
            <w:r>
              <w:rPr>
                <w:spacing w:val="-11"/>
                <w:sz w:val="20"/>
              </w:rPr>
              <w:t> </w:t>
            </w:r>
            <w:r>
              <w:rPr>
                <w:sz w:val="20"/>
              </w:rPr>
              <w:t>çarpmaktadır.</w:t>
            </w:r>
            <w:r>
              <w:rPr>
                <w:spacing w:val="-12"/>
                <w:sz w:val="20"/>
              </w:rPr>
              <w:t> </w:t>
            </w:r>
            <w:r>
              <w:rPr>
                <w:sz w:val="20"/>
              </w:rPr>
              <w:t>Spor</w:t>
            </w:r>
            <w:r>
              <w:rPr>
                <w:spacing w:val="-13"/>
                <w:sz w:val="20"/>
              </w:rPr>
              <w:t> </w:t>
            </w:r>
            <w:r>
              <w:rPr>
                <w:sz w:val="20"/>
              </w:rPr>
              <w:t>ürünlerini</w:t>
            </w:r>
            <w:r>
              <w:rPr>
                <w:spacing w:val="-12"/>
                <w:sz w:val="20"/>
              </w:rPr>
              <w:t> </w:t>
            </w:r>
            <w:r>
              <w:rPr>
                <w:sz w:val="20"/>
              </w:rPr>
              <w:t>tüketen</w:t>
            </w:r>
            <w:r>
              <w:rPr>
                <w:spacing w:val="-12"/>
                <w:sz w:val="20"/>
              </w:rPr>
              <w:t> </w:t>
            </w:r>
            <w:r>
              <w:rPr>
                <w:sz w:val="20"/>
              </w:rPr>
              <w:t>insanlar</w:t>
            </w:r>
            <w:r>
              <w:rPr>
                <w:spacing w:val="-13"/>
                <w:sz w:val="20"/>
              </w:rPr>
              <w:t> </w:t>
            </w:r>
            <w:r>
              <w:rPr>
                <w:sz w:val="20"/>
              </w:rPr>
              <w:t>da</w:t>
            </w:r>
            <w:r>
              <w:rPr>
                <w:spacing w:val="-10"/>
                <w:sz w:val="20"/>
              </w:rPr>
              <w:t> </w:t>
            </w:r>
            <w:r>
              <w:rPr>
                <w:sz w:val="20"/>
              </w:rPr>
              <w:t>bu</w:t>
            </w:r>
            <w:r>
              <w:rPr>
                <w:spacing w:val="-8"/>
                <w:sz w:val="20"/>
              </w:rPr>
              <w:t> </w:t>
            </w:r>
            <w:r>
              <w:rPr>
                <w:sz w:val="20"/>
              </w:rPr>
              <w:t>endüstrinin</w:t>
            </w:r>
            <w:r>
              <w:rPr>
                <w:spacing w:val="-13"/>
                <w:sz w:val="20"/>
              </w:rPr>
              <w:t> </w:t>
            </w:r>
            <w:r>
              <w:rPr>
                <w:sz w:val="20"/>
              </w:rPr>
              <w:t>en</w:t>
            </w:r>
            <w:r>
              <w:rPr>
                <w:spacing w:val="-11"/>
                <w:sz w:val="20"/>
              </w:rPr>
              <w:t> </w:t>
            </w:r>
            <w:r>
              <w:rPr>
                <w:sz w:val="20"/>
              </w:rPr>
              <w:t>önemli paydaşı konumundadır. Sezonluk (kombine) bilet sahibi taraftarların en sadık müşteriler olduğu ve kulüp gelirlerinin önemli bir kısmını sağladığı düşünüldüğünde spor organizasyonları açısından hayati öneme sahiptirler. Bu noktadan hareketle çalışmada, profesyonel spor kulüpleri için sezonluk bilet paketi bileşenlerini taraftarların memnuniyetlerine göre belirleyen bir ölçme aracı olarak McDonald vd. (2013) tarafından geliştirilen, Sezonluk Bilet Sahipleri Memnuniyet (Season Ticket Holder Satisfaction) Ölçeği (SBSMÖ) Türkçe formunun geçerlik ve güvenirliğinin incelenmesi amaçlanmıştır. Araştırmaya 298 sezonluk bilet sahibi taraftar katılmıştır. Hizmet, saha performansı, kişisel</w:t>
            </w:r>
            <w:r>
              <w:rPr>
                <w:spacing w:val="-5"/>
                <w:sz w:val="20"/>
              </w:rPr>
              <w:t> </w:t>
            </w:r>
            <w:r>
              <w:rPr>
                <w:sz w:val="20"/>
              </w:rPr>
              <w:t>katılım, kulüp yönetimi,</w:t>
            </w:r>
            <w:r>
              <w:rPr>
                <w:spacing w:val="-5"/>
                <w:sz w:val="20"/>
              </w:rPr>
              <w:t> </w:t>
            </w:r>
            <w:r>
              <w:rPr>
                <w:sz w:val="20"/>
              </w:rPr>
              <w:t>ev sahibi alt</w:t>
            </w:r>
            <w:r>
              <w:rPr>
                <w:spacing w:val="-1"/>
                <w:sz w:val="20"/>
              </w:rPr>
              <w:t> </w:t>
            </w:r>
            <w:r>
              <w:rPr>
                <w:sz w:val="20"/>
              </w:rPr>
              <w:t>boyutlarından oluşan ölçek, 17 madde ve 5’li Likert tipi değerlendirmeye sahiptir. Ölçeğin yapı geçerliğini belirlemek için yapılan Doğrulayıcı Faktör Analizi (DFA); benzeşim ve birleşim geçerlikleri için Ortalama Açıklanan Varyans (AVE), Bileşik Güvenirlik (CR); ayrışım geçerliği için Maksimum Paylaşılan Varyansın Karesi (MSV) ve Paylaşılan Varyansın Karesinin Ortalaması (ASV) değerleri hesaplanmıştır. Ölçeğin güvenirliğini sınamak için Cronbach’s Alpha ve Spearman Brown analizleri yapılmıştır. Analizler sonucunda “Sezonluk (Kombine) Bilet Sahipleri Memnuniyet” ölçeğinin geçerli ve güvenilir bir ölçme aracı olduğu görülmüştür.</w:t>
            </w:r>
          </w:p>
          <w:p>
            <w:pPr>
              <w:pStyle w:val="TableParagraph"/>
              <w:spacing w:before="11"/>
              <w:rPr>
                <w:sz w:val="20"/>
              </w:rPr>
            </w:pPr>
          </w:p>
          <w:p>
            <w:pPr>
              <w:pStyle w:val="TableParagraph"/>
              <w:spacing w:before="1"/>
              <w:ind w:left="211"/>
              <w:jc w:val="both"/>
              <w:rPr>
                <w:sz w:val="20"/>
              </w:rPr>
            </w:pPr>
            <w:r>
              <w:rPr>
                <w:b/>
                <w:i/>
                <w:sz w:val="20"/>
              </w:rPr>
              <w:t>Anahtar</w:t>
            </w:r>
            <w:r>
              <w:rPr>
                <w:b/>
                <w:i/>
                <w:spacing w:val="1"/>
                <w:sz w:val="20"/>
              </w:rPr>
              <w:t> </w:t>
            </w:r>
            <w:r>
              <w:rPr>
                <w:b/>
                <w:i/>
                <w:sz w:val="20"/>
              </w:rPr>
              <w:t>kelimeler</w:t>
            </w:r>
            <w:r>
              <w:rPr>
                <w:b/>
                <w:i/>
                <w:sz w:val="18"/>
              </w:rPr>
              <w:t>: </w:t>
            </w:r>
            <w:r>
              <w:rPr>
                <w:sz w:val="20"/>
              </w:rPr>
              <w:t>Sezonluk</w:t>
            </w:r>
            <w:r>
              <w:rPr>
                <w:spacing w:val="-1"/>
                <w:sz w:val="20"/>
              </w:rPr>
              <w:t> </w:t>
            </w:r>
            <w:r>
              <w:rPr>
                <w:sz w:val="20"/>
              </w:rPr>
              <w:t>Bilet,</w:t>
            </w:r>
            <w:r>
              <w:rPr>
                <w:spacing w:val="-5"/>
                <w:sz w:val="20"/>
              </w:rPr>
              <w:t> </w:t>
            </w:r>
            <w:r>
              <w:rPr>
                <w:sz w:val="20"/>
              </w:rPr>
              <w:t>Taraftar, Memnuniyet,</w:t>
            </w:r>
            <w:r>
              <w:rPr>
                <w:spacing w:val="-1"/>
                <w:sz w:val="20"/>
              </w:rPr>
              <w:t> </w:t>
            </w:r>
            <w:r>
              <w:rPr>
                <w:spacing w:val="-2"/>
                <w:sz w:val="20"/>
              </w:rPr>
              <w:t>Ölçek.</w:t>
            </w:r>
          </w:p>
          <w:p>
            <w:pPr>
              <w:pStyle w:val="TableParagraph"/>
              <w:spacing w:line="290" w:lineRule="auto" w:before="175"/>
              <w:ind w:left="1857" w:hanging="1201"/>
              <w:rPr>
                <w:b/>
                <w:sz w:val="28"/>
              </w:rPr>
            </w:pPr>
            <w:r>
              <w:rPr>
                <w:b/>
                <w:sz w:val="28"/>
              </w:rPr>
              <w:t>Season</w:t>
            </w:r>
            <w:r>
              <w:rPr>
                <w:b/>
                <w:spacing w:val="-9"/>
                <w:sz w:val="28"/>
              </w:rPr>
              <w:t> </w:t>
            </w:r>
            <w:r>
              <w:rPr>
                <w:b/>
                <w:sz w:val="28"/>
              </w:rPr>
              <w:t>Ticket</w:t>
            </w:r>
            <w:r>
              <w:rPr>
                <w:b/>
                <w:spacing w:val="-7"/>
                <w:sz w:val="28"/>
              </w:rPr>
              <w:t> </w:t>
            </w:r>
            <w:r>
              <w:rPr>
                <w:b/>
                <w:sz w:val="28"/>
              </w:rPr>
              <w:t>Holders</w:t>
            </w:r>
            <w:r>
              <w:rPr>
                <w:b/>
                <w:spacing w:val="-8"/>
                <w:sz w:val="28"/>
              </w:rPr>
              <w:t> </w:t>
            </w:r>
            <w:r>
              <w:rPr>
                <w:b/>
                <w:sz w:val="28"/>
              </w:rPr>
              <w:t>Satisfaction</w:t>
            </w:r>
            <w:r>
              <w:rPr>
                <w:b/>
                <w:spacing w:val="-9"/>
                <w:sz w:val="28"/>
              </w:rPr>
              <w:t> </w:t>
            </w:r>
            <w:r>
              <w:rPr>
                <w:b/>
                <w:sz w:val="28"/>
              </w:rPr>
              <w:t>Scale:</w:t>
            </w:r>
            <w:r>
              <w:rPr>
                <w:b/>
                <w:spacing w:val="-12"/>
                <w:sz w:val="28"/>
              </w:rPr>
              <w:t> </w:t>
            </w:r>
            <w:r>
              <w:rPr>
                <w:b/>
                <w:sz w:val="28"/>
              </w:rPr>
              <w:t>Turkish Validity and Reliability Study</w:t>
            </w:r>
          </w:p>
          <w:p>
            <w:pPr>
              <w:pStyle w:val="TableParagraph"/>
              <w:spacing w:line="226" w:lineRule="exact"/>
              <w:ind w:left="211"/>
              <w:rPr>
                <w:b/>
                <w:sz w:val="20"/>
              </w:rPr>
            </w:pPr>
            <w:r>
              <w:rPr>
                <w:b/>
                <w:spacing w:val="-2"/>
                <w:sz w:val="20"/>
              </w:rPr>
              <w:t>Abstract</w:t>
            </w:r>
          </w:p>
          <w:p>
            <w:pPr>
              <w:pStyle w:val="TableParagraph"/>
              <w:ind w:left="211" w:right="97"/>
              <w:jc w:val="both"/>
              <w:rPr>
                <w:sz w:val="20"/>
              </w:rPr>
            </w:pPr>
            <w:r>
              <w:rPr>
                <w:sz w:val="20"/>
              </w:rPr>
              <w:t>Sport organizations stand out as an industry and economic activity field that has reached gigantic dimensions. People who consume sports products are the most important</w:t>
            </w:r>
            <w:r>
              <w:rPr>
                <w:spacing w:val="-3"/>
                <w:sz w:val="20"/>
              </w:rPr>
              <w:t> </w:t>
            </w:r>
            <w:r>
              <w:rPr>
                <w:sz w:val="20"/>
              </w:rPr>
              <w:t>stakeholders of</w:t>
            </w:r>
            <w:r>
              <w:rPr>
                <w:spacing w:val="-4"/>
                <w:sz w:val="20"/>
              </w:rPr>
              <w:t> </w:t>
            </w:r>
            <w:r>
              <w:rPr>
                <w:sz w:val="20"/>
              </w:rPr>
              <w:t>this industry.</w:t>
            </w:r>
            <w:r>
              <w:rPr>
                <w:spacing w:val="-2"/>
                <w:sz w:val="20"/>
              </w:rPr>
              <w:t> </w:t>
            </w:r>
            <w:r>
              <w:rPr>
                <w:sz w:val="20"/>
              </w:rPr>
              <w:t>Considering</w:t>
            </w:r>
            <w:r>
              <w:rPr>
                <w:spacing w:val="-2"/>
                <w:sz w:val="20"/>
              </w:rPr>
              <w:t> </w:t>
            </w:r>
            <w:r>
              <w:rPr>
                <w:sz w:val="20"/>
              </w:rPr>
              <w:t>that</w:t>
            </w:r>
            <w:r>
              <w:rPr>
                <w:spacing w:val="-3"/>
                <w:sz w:val="20"/>
              </w:rPr>
              <w:t> </w:t>
            </w:r>
            <w:r>
              <w:rPr>
                <w:sz w:val="20"/>
              </w:rPr>
              <w:t>season</w:t>
            </w:r>
            <w:r>
              <w:rPr>
                <w:spacing w:val="-7"/>
                <w:sz w:val="20"/>
              </w:rPr>
              <w:t> </w:t>
            </w:r>
            <w:r>
              <w:rPr>
                <w:sz w:val="20"/>
              </w:rPr>
              <w:t>ticket-holder</w:t>
            </w:r>
            <w:r>
              <w:rPr>
                <w:spacing w:val="-4"/>
                <w:sz w:val="20"/>
              </w:rPr>
              <w:t> </w:t>
            </w:r>
            <w:r>
              <w:rPr>
                <w:sz w:val="20"/>
              </w:rPr>
              <w:t>fans are the most loyal customers and provide a significant portion of club revenues, they are of</w:t>
            </w:r>
            <w:r>
              <w:rPr>
                <w:spacing w:val="-9"/>
                <w:sz w:val="20"/>
              </w:rPr>
              <w:t> </w:t>
            </w:r>
            <w:r>
              <w:rPr>
                <w:sz w:val="20"/>
              </w:rPr>
              <w:t>vital</w:t>
            </w:r>
            <w:r>
              <w:rPr>
                <w:spacing w:val="-8"/>
                <w:sz w:val="20"/>
              </w:rPr>
              <w:t> </w:t>
            </w:r>
            <w:r>
              <w:rPr>
                <w:sz w:val="20"/>
              </w:rPr>
              <w:t>importance</w:t>
            </w:r>
            <w:r>
              <w:rPr>
                <w:spacing w:val="-6"/>
                <w:sz w:val="20"/>
              </w:rPr>
              <w:t> </w:t>
            </w:r>
            <w:r>
              <w:rPr>
                <w:sz w:val="20"/>
              </w:rPr>
              <w:t>for</w:t>
            </w:r>
            <w:r>
              <w:rPr>
                <w:spacing w:val="-9"/>
                <w:sz w:val="20"/>
              </w:rPr>
              <w:t> </w:t>
            </w:r>
            <w:r>
              <w:rPr>
                <w:sz w:val="20"/>
              </w:rPr>
              <w:t>sports</w:t>
            </w:r>
            <w:r>
              <w:rPr>
                <w:spacing w:val="-6"/>
                <w:sz w:val="20"/>
              </w:rPr>
              <w:t> </w:t>
            </w:r>
            <w:r>
              <w:rPr>
                <w:sz w:val="20"/>
              </w:rPr>
              <w:t>organizations.</w:t>
            </w:r>
            <w:r>
              <w:rPr>
                <w:spacing w:val="-7"/>
                <w:sz w:val="20"/>
              </w:rPr>
              <w:t> </w:t>
            </w:r>
            <w:r>
              <w:rPr>
                <w:sz w:val="20"/>
              </w:rPr>
              <w:t>From</w:t>
            </w:r>
            <w:r>
              <w:rPr>
                <w:spacing w:val="-3"/>
                <w:sz w:val="20"/>
              </w:rPr>
              <w:t> </w:t>
            </w:r>
            <w:r>
              <w:rPr>
                <w:sz w:val="20"/>
              </w:rPr>
              <w:t>this</w:t>
            </w:r>
            <w:r>
              <w:rPr>
                <w:spacing w:val="-6"/>
                <w:sz w:val="20"/>
              </w:rPr>
              <w:t> </w:t>
            </w:r>
            <w:r>
              <w:rPr>
                <w:sz w:val="20"/>
              </w:rPr>
              <w:t>point</w:t>
            </w:r>
            <w:r>
              <w:rPr>
                <w:spacing w:val="-8"/>
                <w:sz w:val="20"/>
              </w:rPr>
              <w:t> </w:t>
            </w:r>
            <w:r>
              <w:rPr>
                <w:sz w:val="20"/>
              </w:rPr>
              <w:t>of view,</w:t>
            </w:r>
            <w:r>
              <w:rPr>
                <w:spacing w:val="-7"/>
                <w:sz w:val="20"/>
              </w:rPr>
              <w:t> </w:t>
            </w:r>
            <w:r>
              <w:rPr>
                <w:sz w:val="20"/>
              </w:rPr>
              <w:t>the</w:t>
            </w:r>
            <w:r>
              <w:rPr>
                <w:spacing w:val="-6"/>
                <w:sz w:val="20"/>
              </w:rPr>
              <w:t> </w:t>
            </w:r>
            <w:r>
              <w:rPr>
                <w:sz w:val="20"/>
              </w:rPr>
              <w:t>study</w:t>
            </w:r>
            <w:r>
              <w:rPr>
                <w:spacing w:val="-7"/>
                <w:sz w:val="20"/>
              </w:rPr>
              <w:t> </w:t>
            </w:r>
            <w:r>
              <w:rPr>
                <w:sz w:val="20"/>
              </w:rPr>
              <w:t>aims</w:t>
            </w:r>
            <w:r>
              <w:rPr>
                <w:spacing w:val="-5"/>
                <w:sz w:val="20"/>
              </w:rPr>
              <w:t> </w:t>
            </w:r>
            <w:r>
              <w:rPr>
                <w:sz w:val="20"/>
              </w:rPr>
              <w:t>to examine the validity and reliability of the Turkish form of the Season Ticket Holder Satisfaction Scale (STHS) developed by McDonald et al. (2013) as a measure that determines the components of the season ticket package for professional sports clubs according to the satisfaction of the fans. A total of 298 season ticket holders participated in the study. The scale, which consists of service, on-field performance, personal involvement, administration of club, and home ground sub-dimensions, has 17 items and a 5-point Likert-type evaluation. Confirmatory Factor Analysis (CFA) was conducted to determine the construct validity of the scale; Average Variance Extracted (AVE) and Composite Reliability (CR) values were calculated for convergent and convergent validity; Maximum Shared Variance (MSV)</w:t>
            </w:r>
            <w:r>
              <w:rPr>
                <w:spacing w:val="-1"/>
                <w:sz w:val="20"/>
              </w:rPr>
              <w:t> </w:t>
            </w:r>
            <w:r>
              <w:rPr>
                <w:sz w:val="20"/>
              </w:rPr>
              <w:t>and Average Shared Variance (ASV) values were calculated for discriminant validity. Cronbach's Alpha</w:t>
            </w:r>
            <w:r>
              <w:rPr>
                <w:spacing w:val="-13"/>
                <w:sz w:val="20"/>
              </w:rPr>
              <w:t> </w:t>
            </w:r>
            <w:r>
              <w:rPr>
                <w:sz w:val="20"/>
              </w:rPr>
              <w:t>and</w:t>
            </w:r>
            <w:r>
              <w:rPr>
                <w:spacing w:val="-12"/>
                <w:sz w:val="20"/>
              </w:rPr>
              <w:t> </w:t>
            </w:r>
            <w:r>
              <w:rPr>
                <w:sz w:val="20"/>
              </w:rPr>
              <w:t>Spearman-Brown</w:t>
            </w:r>
            <w:r>
              <w:rPr>
                <w:spacing w:val="-13"/>
                <w:sz w:val="20"/>
              </w:rPr>
              <w:t> </w:t>
            </w:r>
            <w:r>
              <w:rPr>
                <w:sz w:val="20"/>
              </w:rPr>
              <w:t>analyses</w:t>
            </w:r>
            <w:r>
              <w:rPr>
                <w:spacing w:val="-12"/>
                <w:sz w:val="20"/>
              </w:rPr>
              <w:t> </w:t>
            </w:r>
            <w:r>
              <w:rPr>
                <w:sz w:val="20"/>
              </w:rPr>
              <w:t>were</w:t>
            </w:r>
            <w:r>
              <w:rPr>
                <w:spacing w:val="-13"/>
                <w:sz w:val="20"/>
              </w:rPr>
              <w:t> </w:t>
            </w:r>
            <w:r>
              <w:rPr>
                <w:sz w:val="20"/>
              </w:rPr>
              <w:t>conducted</w:t>
            </w:r>
            <w:r>
              <w:rPr>
                <w:spacing w:val="-12"/>
                <w:sz w:val="20"/>
              </w:rPr>
              <w:t> </w:t>
            </w:r>
            <w:r>
              <w:rPr>
                <w:sz w:val="20"/>
              </w:rPr>
              <w:t>to</w:t>
            </w:r>
            <w:r>
              <w:rPr>
                <w:spacing w:val="-13"/>
                <w:sz w:val="20"/>
              </w:rPr>
              <w:t> </w:t>
            </w:r>
            <w:r>
              <w:rPr>
                <w:sz w:val="20"/>
              </w:rPr>
              <w:t>test</w:t>
            </w:r>
            <w:r>
              <w:rPr>
                <w:spacing w:val="-12"/>
                <w:sz w:val="20"/>
              </w:rPr>
              <w:t> </w:t>
            </w:r>
            <w:r>
              <w:rPr>
                <w:sz w:val="20"/>
              </w:rPr>
              <w:t>the</w:t>
            </w:r>
            <w:r>
              <w:rPr>
                <w:spacing w:val="-13"/>
                <w:sz w:val="20"/>
              </w:rPr>
              <w:t> </w:t>
            </w:r>
            <w:r>
              <w:rPr>
                <w:sz w:val="20"/>
              </w:rPr>
              <w:t>reliability</w:t>
            </w:r>
            <w:r>
              <w:rPr>
                <w:spacing w:val="-12"/>
                <w:sz w:val="20"/>
              </w:rPr>
              <w:t> </w:t>
            </w:r>
            <w:r>
              <w:rPr>
                <w:sz w:val="20"/>
              </w:rPr>
              <w:t>of</w:t>
            </w:r>
            <w:r>
              <w:rPr>
                <w:spacing w:val="-13"/>
                <w:sz w:val="20"/>
              </w:rPr>
              <w:t> </w:t>
            </w:r>
            <w:r>
              <w:rPr>
                <w:sz w:val="20"/>
              </w:rPr>
              <w:t>the</w:t>
            </w:r>
            <w:r>
              <w:rPr>
                <w:spacing w:val="-12"/>
                <w:sz w:val="20"/>
              </w:rPr>
              <w:t> </w:t>
            </w:r>
            <w:r>
              <w:rPr>
                <w:sz w:val="20"/>
              </w:rPr>
              <w:t>scale. As a</w:t>
            </w:r>
            <w:r>
              <w:rPr>
                <w:spacing w:val="-1"/>
                <w:sz w:val="20"/>
              </w:rPr>
              <w:t> </w:t>
            </w:r>
            <w:r>
              <w:rPr>
                <w:sz w:val="20"/>
              </w:rPr>
              <w:t>result</w:t>
            </w:r>
            <w:r>
              <w:rPr>
                <w:spacing w:val="-3"/>
                <w:sz w:val="20"/>
              </w:rPr>
              <w:t> </w:t>
            </w:r>
            <w:r>
              <w:rPr>
                <w:sz w:val="20"/>
              </w:rPr>
              <w:t>of</w:t>
            </w:r>
            <w:r>
              <w:rPr>
                <w:spacing w:val="-4"/>
                <w:sz w:val="20"/>
              </w:rPr>
              <w:t> </w:t>
            </w:r>
            <w:r>
              <w:rPr>
                <w:sz w:val="20"/>
              </w:rPr>
              <w:t>the</w:t>
            </w:r>
            <w:r>
              <w:rPr>
                <w:spacing w:val="-1"/>
                <w:sz w:val="20"/>
              </w:rPr>
              <w:t> </w:t>
            </w:r>
            <w:r>
              <w:rPr>
                <w:sz w:val="20"/>
              </w:rPr>
              <w:t>analyses,</w:t>
            </w:r>
            <w:r>
              <w:rPr>
                <w:spacing w:val="-2"/>
                <w:sz w:val="20"/>
              </w:rPr>
              <w:t> </w:t>
            </w:r>
            <w:r>
              <w:rPr>
                <w:sz w:val="20"/>
              </w:rPr>
              <w:t>it</w:t>
            </w:r>
            <w:r>
              <w:rPr>
                <w:spacing w:val="-3"/>
                <w:sz w:val="20"/>
              </w:rPr>
              <w:t> </w:t>
            </w:r>
            <w:r>
              <w:rPr>
                <w:sz w:val="20"/>
              </w:rPr>
              <w:t>was found</w:t>
            </w:r>
            <w:r>
              <w:rPr>
                <w:spacing w:val="-2"/>
                <w:sz w:val="20"/>
              </w:rPr>
              <w:t> </w:t>
            </w:r>
            <w:r>
              <w:rPr>
                <w:sz w:val="20"/>
              </w:rPr>
              <w:t>that</w:t>
            </w:r>
            <w:r>
              <w:rPr>
                <w:spacing w:val="-3"/>
                <w:sz w:val="20"/>
              </w:rPr>
              <w:t> </w:t>
            </w:r>
            <w:r>
              <w:rPr>
                <w:sz w:val="20"/>
              </w:rPr>
              <w:t>the</w:t>
            </w:r>
            <w:r>
              <w:rPr>
                <w:spacing w:val="-1"/>
                <w:sz w:val="20"/>
              </w:rPr>
              <w:t> </w:t>
            </w:r>
            <w:r>
              <w:rPr>
                <w:sz w:val="20"/>
              </w:rPr>
              <w:t>"Season</w:t>
            </w:r>
            <w:r>
              <w:rPr>
                <w:spacing w:val="-2"/>
                <w:sz w:val="20"/>
              </w:rPr>
              <w:t> </w:t>
            </w:r>
            <w:r>
              <w:rPr>
                <w:sz w:val="20"/>
              </w:rPr>
              <w:t>Ticket</w:t>
            </w:r>
            <w:r>
              <w:rPr>
                <w:spacing w:val="-3"/>
                <w:sz w:val="20"/>
              </w:rPr>
              <w:t> </w:t>
            </w:r>
            <w:r>
              <w:rPr>
                <w:sz w:val="20"/>
              </w:rPr>
              <w:t>Holders Satisfaction" scale is a valid and reliable measure.</w:t>
            </w:r>
          </w:p>
          <w:p>
            <w:pPr>
              <w:pStyle w:val="TableParagraph"/>
              <w:spacing w:before="11"/>
              <w:rPr>
                <w:sz w:val="20"/>
              </w:rPr>
            </w:pPr>
          </w:p>
          <w:p>
            <w:pPr>
              <w:pStyle w:val="TableParagraph"/>
              <w:spacing w:line="210" w:lineRule="exact" w:before="1"/>
              <w:ind w:left="211"/>
              <w:rPr>
                <w:sz w:val="20"/>
              </w:rPr>
            </w:pPr>
            <w:r>
              <w:rPr>
                <w:b/>
                <w:i/>
                <w:sz w:val="20"/>
              </w:rPr>
              <w:t>Keywords</w:t>
            </w:r>
            <w:r>
              <w:rPr>
                <w:b/>
                <w:i/>
                <w:sz w:val="18"/>
              </w:rPr>
              <w:t>:</w:t>
            </w:r>
            <w:r>
              <w:rPr>
                <w:b/>
                <w:i/>
                <w:spacing w:val="43"/>
                <w:sz w:val="18"/>
              </w:rPr>
              <w:t> </w:t>
            </w:r>
            <w:r>
              <w:rPr>
                <w:sz w:val="20"/>
              </w:rPr>
              <w:t>Season Ticket,</w:t>
            </w:r>
            <w:r>
              <w:rPr>
                <w:spacing w:val="-2"/>
                <w:sz w:val="20"/>
              </w:rPr>
              <w:t> </w:t>
            </w:r>
            <w:r>
              <w:rPr>
                <w:sz w:val="20"/>
              </w:rPr>
              <w:t>Fan,</w:t>
            </w:r>
            <w:r>
              <w:rPr>
                <w:spacing w:val="-1"/>
                <w:sz w:val="20"/>
              </w:rPr>
              <w:t> </w:t>
            </w:r>
            <w:r>
              <w:rPr>
                <w:sz w:val="20"/>
              </w:rPr>
              <w:t>Satisfaction,</w:t>
            </w:r>
            <w:r>
              <w:rPr>
                <w:spacing w:val="1"/>
                <w:sz w:val="20"/>
              </w:rPr>
              <w:t> </w:t>
            </w:r>
            <w:r>
              <w:rPr>
                <w:spacing w:val="-2"/>
                <w:sz w:val="20"/>
              </w:rPr>
              <w:t>Scale.</w:t>
            </w:r>
          </w:p>
        </w:tc>
      </w:tr>
      <w:tr>
        <w:trPr>
          <w:trHeight w:val="247" w:hRule="atLeast"/>
        </w:trPr>
        <w:tc>
          <w:tcPr>
            <w:tcW w:w="2440" w:type="dxa"/>
          </w:tcPr>
          <w:p>
            <w:pPr>
              <w:pStyle w:val="TableParagraph"/>
              <w:spacing w:line="225" w:lineRule="exact" w:before="3"/>
              <w:ind w:left="105"/>
              <w:rPr>
                <w:sz w:val="20"/>
              </w:rPr>
            </w:pPr>
            <w:r>
              <w:rPr>
                <w:sz w:val="20"/>
              </w:rPr>
              <w:t>Spor</w:t>
            </w:r>
            <w:r>
              <w:rPr>
                <w:spacing w:val="-6"/>
                <w:sz w:val="20"/>
              </w:rPr>
              <w:t> </w:t>
            </w:r>
            <w:r>
              <w:rPr>
                <w:sz w:val="20"/>
              </w:rPr>
              <w:t>Bilimleri</w:t>
            </w:r>
            <w:r>
              <w:rPr>
                <w:spacing w:val="-4"/>
                <w:sz w:val="20"/>
              </w:rPr>
              <w:t> </w:t>
            </w:r>
            <w:r>
              <w:rPr>
                <w:spacing w:val="-2"/>
                <w:sz w:val="20"/>
              </w:rPr>
              <w:t>Fakültesi,</w:t>
            </w:r>
          </w:p>
        </w:tc>
        <w:tc>
          <w:tcPr>
            <w:tcW w:w="7179" w:type="dxa"/>
            <w:gridSpan w:val="2"/>
            <w:vMerge/>
            <w:tcBorders>
              <w:top w:val="nil"/>
            </w:tcBorders>
          </w:tcPr>
          <w:p>
            <w:pPr>
              <w:rPr>
                <w:sz w:val="2"/>
                <w:szCs w:val="2"/>
              </w:rPr>
            </w:pPr>
          </w:p>
        </w:tc>
      </w:tr>
      <w:tr>
        <w:trPr>
          <w:trHeight w:val="363" w:hRule="atLeast"/>
        </w:trPr>
        <w:tc>
          <w:tcPr>
            <w:tcW w:w="2440" w:type="dxa"/>
          </w:tcPr>
          <w:p>
            <w:pPr>
              <w:pStyle w:val="TableParagraph"/>
              <w:spacing w:before="6"/>
              <w:ind w:left="105"/>
              <w:rPr>
                <w:sz w:val="20"/>
              </w:rPr>
            </w:pPr>
            <w:r>
              <w:rPr>
                <w:spacing w:val="-2"/>
                <w:sz w:val="20"/>
              </w:rPr>
              <w:t>Kırıkkale/Türkiye</w:t>
            </w:r>
          </w:p>
        </w:tc>
        <w:tc>
          <w:tcPr>
            <w:tcW w:w="7179" w:type="dxa"/>
            <w:gridSpan w:val="2"/>
            <w:vMerge/>
            <w:tcBorders>
              <w:top w:val="nil"/>
            </w:tcBorders>
          </w:tcPr>
          <w:p>
            <w:pPr>
              <w:rPr>
                <w:sz w:val="2"/>
                <w:szCs w:val="2"/>
              </w:rPr>
            </w:pPr>
          </w:p>
        </w:tc>
      </w:tr>
      <w:tr>
        <w:trPr>
          <w:trHeight w:val="381" w:hRule="atLeast"/>
        </w:trPr>
        <w:tc>
          <w:tcPr>
            <w:tcW w:w="2440" w:type="dxa"/>
          </w:tcPr>
          <w:p>
            <w:pPr>
              <w:pStyle w:val="TableParagraph"/>
              <w:spacing w:line="224" w:lineRule="exact" w:before="137"/>
              <w:ind w:left="105"/>
              <w:rPr>
                <w:sz w:val="20"/>
              </w:rPr>
            </w:pPr>
            <w:r>
              <w:rPr>
                <w:sz w:val="20"/>
                <w:vertAlign w:val="superscript"/>
              </w:rPr>
              <w:t>2</w:t>
            </w:r>
            <w:r>
              <w:rPr>
                <w:sz w:val="20"/>
                <w:vertAlign w:val="baseline"/>
              </w:rPr>
              <w:t>Ege</w:t>
            </w:r>
            <w:r>
              <w:rPr>
                <w:spacing w:val="-2"/>
                <w:sz w:val="20"/>
                <w:vertAlign w:val="baseline"/>
              </w:rPr>
              <w:t> Üniversitesi,</w:t>
            </w:r>
          </w:p>
        </w:tc>
        <w:tc>
          <w:tcPr>
            <w:tcW w:w="7179" w:type="dxa"/>
            <w:gridSpan w:val="2"/>
            <w:vMerge/>
            <w:tcBorders>
              <w:top w:val="nil"/>
            </w:tcBorders>
          </w:tcPr>
          <w:p>
            <w:pPr>
              <w:rPr>
                <w:sz w:val="2"/>
                <w:szCs w:val="2"/>
              </w:rPr>
            </w:pPr>
          </w:p>
        </w:tc>
      </w:tr>
      <w:tr>
        <w:trPr>
          <w:trHeight w:val="250" w:hRule="atLeast"/>
        </w:trPr>
        <w:tc>
          <w:tcPr>
            <w:tcW w:w="2440" w:type="dxa"/>
          </w:tcPr>
          <w:p>
            <w:pPr>
              <w:pStyle w:val="TableParagraph"/>
              <w:spacing w:line="224" w:lineRule="exact" w:before="5"/>
              <w:ind w:left="105"/>
              <w:rPr>
                <w:sz w:val="20"/>
              </w:rPr>
            </w:pPr>
            <w:r>
              <w:rPr>
                <w:sz w:val="20"/>
              </w:rPr>
              <w:t>Sağlık</w:t>
            </w:r>
            <w:r>
              <w:rPr>
                <w:spacing w:val="-5"/>
                <w:sz w:val="20"/>
              </w:rPr>
              <w:t> </w:t>
            </w:r>
            <w:r>
              <w:rPr>
                <w:sz w:val="20"/>
              </w:rPr>
              <w:t>Bilimleri</w:t>
            </w:r>
            <w:r>
              <w:rPr>
                <w:spacing w:val="-4"/>
                <w:sz w:val="20"/>
              </w:rPr>
              <w:t> </w:t>
            </w:r>
            <w:r>
              <w:rPr>
                <w:spacing w:val="-2"/>
                <w:sz w:val="20"/>
              </w:rPr>
              <w:t>Enstitüsü,</w:t>
            </w:r>
          </w:p>
        </w:tc>
        <w:tc>
          <w:tcPr>
            <w:tcW w:w="7179" w:type="dxa"/>
            <w:gridSpan w:val="2"/>
            <w:vMerge/>
            <w:tcBorders>
              <w:top w:val="nil"/>
            </w:tcBorders>
          </w:tcPr>
          <w:p>
            <w:pPr>
              <w:rPr>
                <w:sz w:val="2"/>
                <w:szCs w:val="2"/>
              </w:rPr>
            </w:pPr>
          </w:p>
        </w:tc>
      </w:tr>
      <w:tr>
        <w:trPr>
          <w:trHeight w:val="1805" w:hRule="atLeast"/>
        </w:trPr>
        <w:tc>
          <w:tcPr>
            <w:tcW w:w="2440" w:type="dxa"/>
          </w:tcPr>
          <w:p>
            <w:pPr>
              <w:pStyle w:val="TableParagraph"/>
              <w:spacing w:before="5"/>
              <w:ind w:left="105"/>
              <w:rPr>
                <w:sz w:val="20"/>
              </w:rPr>
            </w:pPr>
            <w:r>
              <w:rPr>
                <w:spacing w:val="-2"/>
                <w:sz w:val="20"/>
              </w:rPr>
              <w:t>İzmir/Türkiye</w:t>
            </w:r>
          </w:p>
        </w:tc>
        <w:tc>
          <w:tcPr>
            <w:tcW w:w="7179" w:type="dxa"/>
            <w:gridSpan w:val="2"/>
            <w:vMerge/>
            <w:tcBorders>
              <w:top w:val="nil"/>
            </w:tcBorders>
          </w:tcPr>
          <w:p>
            <w:pPr>
              <w:rPr>
                <w:sz w:val="2"/>
                <w:szCs w:val="2"/>
              </w:rPr>
            </w:pPr>
          </w:p>
        </w:tc>
      </w:tr>
      <w:tr>
        <w:trPr>
          <w:trHeight w:val="1802" w:hRule="atLeast"/>
        </w:trPr>
        <w:tc>
          <w:tcPr>
            <w:tcW w:w="24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1"/>
              <w:rPr>
                <w:sz w:val="20"/>
              </w:rPr>
            </w:pPr>
          </w:p>
          <w:p>
            <w:pPr>
              <w:pStyle w:val="TableParagraph"/>
              <w:spacing w:line="222" w:lineRule="exact"/>
              <w:ind w:left="155"/>
              <w:rPr>
                <w:b/>
                <w:sz w:val="20"/>
              </w:rPr>
            </w:pPr>
            <w:r>
              <w:rPr>
                <w:b/>
                <w:sz w:val="20"/>
              </w:rPr>
              <w:t>Sorumlu</w:t>
            </w:r>
            <w:r>
              <w:rPr>
                <w:b/>
                <w:spacing w:val="-1"/>
                <w:sz w:val="20"/>
              </w:rPr>
              <w:t> </w:t>
            </w:r>
            <w:r>
              <w:rPr>
                <w:b/>
                <w:spacing w:val="-2"/>
                <w:sz w:val="20"/>
              </w:rPr>
              <w:t>Yazar:</w:t>
            </w:r>
          </w:p>
        </w:tc>
        <w:tc>
          <w:tcPr>
            <w:tcW w:w="7179" w:type="dxa"/>
            <w:gridSpan w:val="2"/>
            <w:vMerge/>
            <w:tcBorders>
              <w:top w:val="nil"/>
            </w:tcBorders>
          </w:tcPr>
          <w:p>
            <w:pPr>
              <w:rPr>
                <w:sz w:val="2"/>
                <w:szCs w:val="2"/>
              </w:rPr>
            </w:pPr>
          </w:p>
        </w:tc>
      </w:tr>
      <w:tr>
        <w:trPr>
          <w:trHeight w:val="247" w:hRule="atLeast"/>
        </w:trPr>
        <w:tc>
          <w:tcPr>
            <w:tcW w:w="2440" w:type="dxa"/>
          </w:tcPr>
          <w:p>
            <w:pPr>
              <w:pStyle w:val="TableParagraph"/>
              <w:spacing w:line="225" w:lineRule="exact" w:before="3"/>
              <w:ind w:left="105"/>
              <w:rPr>
                <w:sz w:val="20"/>
              </w:rPr>
            </w:pPr>
            <w:r>
              <w:rPr>
                <w:sz w:val="20"/>
              </w:rPr>
              <w:t>Nurettin</w:t>
            </w:r>
            <w:r>
              <w:rPr>
                <w:spacing w:val="-8"/>
                <w:sz w:val="20"/>
              </w:rPr>
              <w:t> </w:t>
            </w:r>
            <w:r>
              <w:rPr>
                <w:sz w:val="20"/>
              </w:rPr>
              <w:t>Göksu</w:t>
            </w:r>
            <w:r>
              <w:rPr>
                <w:spacing w:val="-4"/>
                <w:sz w:val="20"/>
              </w:rPr>
              <w:t> ÇİNİ</w:t>
            </w:r>
          </w:p>
        </w:tc>
        <w:tc>
          <w:tcPr>
            <w:tcW w:w="7179" w:type="dxa"/>
            <w:gridSpan w:val="2"/>
            <w:vMerge/>
            <w:tcBorders>
              <w:top w:val="nil"/>
            </w:tcBorders>
          </w:tcPr>
          <w:p>
            <w:pPr>
              <w:rPr>
                <w:sz w:val="2"/>
                <w:szCs w:val="2"/>
              </w:rPr>
            </w:pPr>
          </w:p>
        </w:tc>
      </w:tr>
      <w:tr>
        <w:trPr>
          <w:trHeight w:val="895" w:hRule="atLeast"/>
        </w:trPr>
        <w:tc>
          <w:tcPr>
            <w:tcW w:w="2440" w:type="dxa"/>
          </w:tcPr>
          <w:p>
            <w:pPr>
              <w:pStyle w:val="TableParagraph"/>
              <w:spacing w:before="7"/>
              <w:ind w:left="105"/>
              <w:rPr>
                <w:sz w:val="16"/>
              </w:rPr>
            </w:pPr>
            <w:hyperlink r:id="rId11">
              <w:r>
                <w:rPr>
                  <w:spacing w:val="-2"/>
                  <w:sz w:val="16"/>
                </w:rPr>
                <w:t>goksu.cini@gmail.com</w:t>
              </w:r>
            </w:hyperlink>
          </w:p>
        </w:tc>
        <w:tc>
          <w:tcPr>
            <w:tcW w:w="7179" w:type="dxa"/>
            <w:gridSpan w:val="2"/>
            <w:vMerge/>
            <w:tcBorders>
              <w:top w:val="nil"/>
            </w:tcBorders>
          </w:tcPr>
          <w:p>
            <w:pPr>
              <w:rPr>
                <w:sz w:val="2"/>
                <w:szCs w:val="2"/>
              </w:rPr>
            </w:pPr>
          </w:p>
        </w:tc>
      </w:tr>
      <w:tr>
        <w:trPr>
          <w:trHeight w:val="1017" w:hRule="atLeast"/>
        </w:trPr>
        <w:tc>
          <w:tcPr>
            <w:tcW w:w="2440" w:type="dxa"/>
          </w:tcPr>
          <w:p>
            <w:pPr>
              <w:pStyle w:val="TableParagraph"/>
              <w:rPr>
                <w:sz w:val="20"/>
              </w:rPr>
            </w:pPr>
          </w:p>
          <w:p>
            <w:pPr>
              <w:pStyle w:val="TableParagraph"/>
              <w:rPr>
                <w:sz w:val="20"/>
              </w:rPr>
            </w:pPr>
          </w:p>
          <w:p>
            <w:pPr>
              <w:pStyle w:val="TableParagraph"/>
              <w:spacing w:before="5"/>
              <w:rPr>
                <w:sz w:val="20"/>
              </w:rPr>
            </w:pPr>
          </w:p>
          <w:p>
            <w:pPr>
              <w:pStyle w:val="TableParagraph"/>
              <w:ind w:left="105"/>
              <w:rPr>
                <w:b/>
                <w:sz w:val="20"/>
              </w:rPr>
            </w:pPr>
            <w:r>
              <w:rPr>
                <w:b/>
                <w:sz w:val="20"/>
                <w:u w:val="single"/>
              </w:rPr>
              <w:t>Yayın</w:t>
            </w:r>
            <w:r>
              <w:rPr>
                <w:b/>
                <w:spacing w:val="-5"/>
                <w:sz w:val="20"/>
                <w:u w:val="single"/>
              </w:rPr>
              <w:t> </w:t>
            </w:r>
            <w:r>
              <w:rPr>
                <w:b/>
                <w:spacing w:val="-2"/>
                <w:sz w:val="20"/>
                <w:u w:val="single"/>
              </w:rPr>
              <w:t>Bilgisi</w:t>
            </w:r>
          </w:p>
        </w:tc>
        <w:tc>
          <w:tcPr>
            <w:tcW w:w="7179" w:type="dxa"/>
            <w:gridSpan w:val="2"/>
            <w:vMerge/>
            <w:tcBorders>
              <w:top w:val="nil"/>
            </w:tcBorders>
          </w:tcPr>
          <w:p>
            <w:pPr>
              <w:rPr>
                <w:sz w:val="2"/>
                <w:szCs w:val="2"/>
              </w:rPr>
            </w:pPr>
          </w:p>
        </w:tc>
      </w:tr>
      <w:tr>
        <w:trPr>
          <w:trHeight w:val="327" w:hRule="atLeast"/>
        </w:trPr>
        <w:tc>
          <w:tcPr>
            <w:tcW w:w="2440" w:type="dxa"/>
          </w:tcPr>
          <w:p>
            <w:pPr>
              <w:pStyle w:val="TableParagraph"/>
              <w:spacing w:line="224" w:lineRule="exact" w:before="83"/>
              <w:ind w:left="105"/>
              <w:rPr>
                <w:sz w:val="20"/>
              </w:rPr>
            </w:pPr>
            <w:r>
              <w:rPr>
                <w:sz w:val="20"/>
              </w:rPr>
              <w:t>Gönderi</w:t>
            </w:r>
            <w:r>
              <w:rPr>
                <w:spacing w:val="-9"/>
                <w:sz w:val="20"/>
              </w:rPr>
              <w:t> </w:t>
            </w:r>
            <w:r>
              <w:rPr>
                <w:spacing w:val="-2"/>
                <w:sz w:val="20"/>
              </w:rPr>
              <w:t>Tarihi:</w:t>
            </w:r>
          </w:p>
        </w:tc>
        <w:tc>
          <w:tcPr>
            <w:tcW w:w="7179" w:type="dxa"/>
            <w:gridSpan w:val="2"/>
            <w:vMerge/>
            <w:tcBorders>
              <w:top w:val="nil"/>
            </w:tcBorders>
          </w:tcPr>
          <w:p>
            <w:pPr>
              <w:rPr>
                <w:sz w:val="2"/>
                <w:szCs w:val="2"/>
              </w:rPr>
            </w:pPr>
          </w:p>
        </w:tc>
      </w:tr>
      <w:tr>
        <w:trPr>
          <w:trHeight w:val="330" w:hRule="atLeast"/>
        </w:trPr>
        <w:tc>
          <w:tcPr>
            <w:tcW w:w="2440" w:type="dxa"/>
          </w:tcPr>
          <w:p>
            <w:pPr>
              <w:pStyle w:val="TableParagraph"/>
              <w:spacing w:before="5"/>
              <w:ind w:left="105"/>
              <w:rPr>
                <w:sz w:val="20"/>
              </w:rPr>
            </w:pPr>
            <w:r>
              <w:rPr>
                <w:spacing w:val="-2"/>
                <w:sz w:val="20"/>
              </w:rPr>
              <w:t>06.09.2023</w:t>
            </w:r>
          </w:p>
        </w:tc>
        <w:tc>
          <w:tcPr>
            <w:tcW w:w="7179" w:type="dxa"/>
            <w:gridSpan w:val="2"/>
            <w:vMerge/>
            <w:tcBorders>
              <w:top w:val="nil"/>
            </w:tcBorders>
          </w:tcPr>
          <w:p>
            <w:pPr>
              <w:rPr>
                <w:sz w:val="2"/>
                <w:szCs w:val="2"/>
              </w:rPr>
            </w:pPr>
          </w:p>
        </w:tc>
      </w:tr>
      <w:tr>
        <w:trPr>
          <w:trHeight w:val="327" w:hRule="atLeast"/>
        </w:trPr>
        <w:tc>
          <w:tcPr>
            <w:tcW w:w="2440" w:type="dxa"/>
          </w:tcPr>
          <w:p>
            <w:pPr>
              <w:pStyle w:val="TableParagraph"/>
              <w:spacing w:line="222" w:lineRule="exact" w:before="85"/>
              <w:ind w:left="105"/>
              <w:rPr>
                <w:sz w:val="20"/>
              </w:rPr>
            </w:pPr>
            <w:r>
              <w:rPr>
                <w:sz w:val="20"/>
              </w:rPr>
              <w:t>Kabul</w:t>
            </w:r>
            <w:r>
              <w:rPr>
                <w:spacing w:val="-2"/>
                <w:sz w:val="20"/>
              </w:rPr>
              <w:t> Tarihi:</w:t>
            </w:r>
          </w:p>
        </w:tc>
        <w:tc>
          <w:tcPr>
            <w:tcW w:w="7179" w:type="dxa"/>
            <w:gridSpan w:val="2"/>
            <w:vMerge/>
            <w:tcBorders>
              <w:top w:val="nil"/>
            </w:tcBorders>
          </w:tcPr>
          <w:p>
            <w:pPr>
              <w:rPr>
                <w:sz w:val="2"/>
                <w:szCs w:val="2"/>
              </w:rPr>
            </w:pPr>
          </w:p>
        </w:tc>
      </w:tr>
      <w:tr>
        <w:trPr>
          <w:trHeight w:val="327" w:hRule="atLeast"/>
        </w:trPr>
        <w:tc>
          <w:tcPr>
            <w:tcW w:w="2440" w:type="dxa"/>
          </w:tcPr>
          <w:p>
            <w:pPr>
              <w:pStyle w:val="TableParagraph"/>
              <w:spacing w:before="3"/>
              <w:ind w:left="105"/>
              <w:rPr>
                <w:sz w:val="20"/>
              </w:rPr>
            </w:pPr>
            <w:r>
              <w:rPr>
                <w:spacing w:val="-2"/>
                <w:sz w:val="20"/>
              </w:rPr>
              <w:t>23.10.2023</w:t>
            </w:r>
          </w:p>
        </w:tc>
        <w:tc>
          <w:tcPr>
            <w:tcW w:w="7179" w:type="dxa"/>
            <w:gridSpan w:val="2"/>
            <w:vMerge/>
            <w:tcBorders>
              <w:top w:val="nil"/>
            </w:tcBorders>
          </w:tcPr>
          <w:p>
            <w:pPr>
              <w:rPr>
                <w:sz w:val="2"/>
                <w:szCs w:val="2"/>
              </w:rPr>
            </w:pPr>
          </w:p>
        </w:tc>
      </w:tr>
      <w:tr>
        <w:trPr>
          <w:trHeight w:val="330" w:hRule="atLeast"/>
        </w:trPr>
        <w:tc>
          <w:tcPr>
            <w:tcW w:w="2440" w:type="dxa"/>
          </w:tcPr>
          <w:p>
            <w:pPr>
              <w:pStyle w:val="TableParagraph"/>
              <w:spacing w:line="225" w:lineRule="exact" w:before="85"/>
              <w:ind w:left="105"/>
              <w:rPr>
                <w:sz w:val="20"/>
              </w:rPr>
            </w:pPr>
            <w:r>
              <w:rPr>
                <w:sz w:val="20"/>
              </w:rPr>
              <w:t>Online Yayın</w:t>
            </w:r>
            <w:r>
              <w:rPr>
                <w:spacing w:val="-1"/>
                <w:sz w:val="20"/>
              </w:rPr>
              <w:t> </w:t>
            </w:r>
            <w:r>
              <w:rPr>
                <w:spacing w:val="-2"/>
                <w:sz w:val="20"/>
              </w:rPr>
              <w:t>Tarihi:</w:t>
            </w:r>
          </w:p>
        </w:tc>
        <w:tc>
          <w:tcPr>
            <w:tcW w:w="7179" w:type="dxa"/>
            <w:gridSpan w:val="2"/>
            <w:vMerge/>
            <w:tcBorders>
              <w:top w:val="nil"/>
            </w:tcBorders>
          </w:tcPr>
          <w:p>
            <w:pPr>
              <w:rPr>
                <w:sz w:val="2"/>
                <w:szCs w:val="2"/>
              </w:rPr>
            </w:pPr>
          </w:p>
        </w:tc>
      </w:tr>
      <w:tr>
        <w:trPr>
          <w:trHeight w:val="2196" w:hRule="atLeast"/>
        </w:trPr>
        <w:tc>
          <w:tcPr>
            <w:tcW w:w="2440" w:type="dxa"/>
          </w:tcPr>
          <w:p>
            <w:pPr>
              <w:pStyle w:val="TableParagraph"/>
              <w:spacing w:before="6"/>
              <w:ind w:left="105"/>
              <w:rPr>
                <w:sz w:val="20"/>
              </w:rPr>
            </w:pPr>
            <w:r>
              <w:rPr>
                <w:spacing w:val="-2"/>
                <w:sz w:val="20"/>
              </w:rPr>
              <w:t>28.12.2023</w:t>
            </w:r>
          </w:p>
        </w:tc>
        <w:tc>
          <w:tcPr>
            <w:tcW w:w="7179" w:type="dxa"/>
            <w:gridSpan w:val="2"/>
            <w:vMerge/>
            <w:tcBorders>
              <w:top w:val="nil"/>
            </w:tcBorders>
          </w:tcPr>
          <w:p>
            <w:pPr>
              <w:rPr>
                <w:sz w:val="2"/>
                <w:szCs w:val="2"/>
              </w:rPr>
            </w:pPr>
          </w:p>
        </w:tc>
      </w:tr>
    </w:tbl>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587840">
                <wp:simplePos x="0" y="0"/>
                <wp:positionH relativeFrom="page">
                  <wp:posOffset>721042</wp:posOffset>
                </wp:positionH>
                <wp:positionV relativeFrom="paragraph">
                  <wp:posOffset>263544</wp:posOffset>
                </wp:positionV>
                <wp:extent cx="610870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108700" cy="6350"/>
                        </a:xfrm>
                        <a:custGeom>
                          <a:avLst/>
                          <a:gdLst/>
                          <a:ahLst/>
                          <a:cxnLst/>
                          <a:rect l="l" t="t" r="r" b="b"/>
                          <a:pathLst>
                            <a:path w="6108700" h="6350">
                              <a:moveTo>
                                <a:pt x="1613535" y="0"/>
                              </a:moveTo>
                              <a:lnTo>
                                <a:pt x="0" y="0"/>
                              </a:lnTo>
                              <a:lnTo>
                                <a:pt x="0" y="6350"/>
                              </a:lnTo>
                              <a:lnTo>
                                <a:pt x="1613535" y="6350"/>
                              </a:lnTo>
                              <a:lnTo>
                                <a:pt x="1613535" y="0"/>
                              </a:lnTo>
                              <a:close/>
                            </a:path>
                            <a:path w="6108700" h="6350">
                              <a:moveTo>
                                <a:pt x="6108128" y="0"/>
                              </a:moveTo>
                              <a:lnTo>
                                <a:pt x="1619948" y="0"/>
                              </a:lnTo>
                              <a:lnTo>
                                <a:pt x="1613598" y="0"/>
                              </a:lnTo>
                              <a:lnTo>
                                <a:pt x="1613598" y="6350"/>
                              </a:lnTo>
                              <a:lnTo>
                                <a:pt x="1619948" y="6350"/>
                              </a:lnTo>
                              <a:lnTo>
                                <a:pt x="6108128" y="6350"/>
                              </a:lnTo>
                              <a:lnTo>
                                <a:pt x="6108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775002pt;margin-top:20.751560pt;width:481pt;height:.5pt;mso-position-horizontal-relative:page;mso-position-vertical-relative:paragraph;z-index:-15728640;mso-wrap-distance-left:0;mso-wrap-distance-right:0" id="docshape3" coordorigin="1136,415" coordsize="9620,10" path="m3677,415l1136,415,1136,425,3677,425,3677,415xm10755,415l3687,415,3677,415,3677,425,3687,425,10755,425,10755,415xe" filled="true" fillcolor="#000000" stroked="false">
                <v:path arrowok="t"/>
                <v:fill type="solid"/>
                <w10:wrap type="topAndBottom"/>
              </v:shape>
            </w:pict>
          </mc:Fallback>
        </mc:AlternateContent>
      </w:r>
    </w:p>
    <w:p>
      <w:pPr>
        <w:spacing w:after="0"/>
        <w:rPr>
          <w:sz w:val="20"/>
        </w:rPr>
        <w:sectPr>
          <w:footerReference w:type="default" r:id="rId5"/>
          <w:type w:val="continuous"/>
          <w:pgSz w:w="11910" w:h="16840"/>
          <w:pgMar w:header="0" w:footer="532" w:top="280" w:bottom="720" w:left="400" w:right="260"/>
          <w:pgNumType w:start="1"/>
        </w:sectPr>
      </w:pPr>
    </w:p>
    <w:p>
      <w:pPr>
        <w:pStyle w:val="BodyText"/>
        <w:spacing w:before="60"/>
      </w:pPr>
    </w:p>
    <w:p>
      <w:pPr>
        <w:pStyle w:val="Heading1"/>
        <w:ind w:left="795"/>
      </w:pPr>
      <w:r>
        <w:rPr>
          <w:spacing w:val="-2"/>
        </w:rPr>
        <w:t>Giriş</w:t>
      </w:r>
    </w:p>
    <w:p>
      <w:pPr>
        <w:pStyle w:val="BodyText"/>
        <w:spacing w:before="103"/>
        <w:rPr>
          <w:b/>
        </w:rPr>
      </w:pPr>
    </w:p>
    <w:p>
      <w:pPr>
        <w:pStyle w:val="BodyText"/>
        <w:spacing w:line="360" w:lineRule="auto"/>
        <w:ind w:left="735" w:right="868" w:firstLine="710"/>
        <w:jc w:val="both"/>
      </w:pPr>
      <w:r>
        <w:rPr/>
        <w:t>Spor</w:t>
      </w:r>
      <w:r>
        <w:rPr>
          <w:spacing w:val="-13"/>
        </w:rPr>
        <w:t> </w:t>
      </w:r>
      <w:r>
        <w:rPr/>
        <w:t>organizasyonları</w:t>
      </w:r>
      <w:r>
        <w:rPr>
          <w:spacing w:val="-14"/>
        </w:rPr>
        <w:t> </w:t>
      </w:r>
      <w:r>
        <w:rPr/>
        <w:t>dünyada</w:t>
      </w:r>
      <w:r>
        <w:rPr>
          <w:spacing w:val="-14"/>
        </w:rPr>
        <w:t> </w:t>
      </w:r>
      <w:r>
        <w:rPr/>
        <w:t>ve</w:t>
      </w:r>
      <w:r>
        <w:rPr>
          <w:spacing w:val="-10"/>
        </w:rPr>
        <w:t> </w:t>
      </w:r>
      <w:r>
        <w:rPr/>
        <w:t>ülkemizde</w:t>
      </w:r>
      <w:r>
        <w:rPr>
          <w:spacing w:val="-14"/>
        </w:rPr>
        <w:t> </w:t>
      </w:r>
      <w:r>
        <w:rPr/>
        <w:t>büyük</w:t>
      </w:r>
      <w:r>
        <w:rPr>
          <w:spacing w:val="-9"/>
        </w:rPr>
        <w:t> </w:t>
      </w:r>
      <w:r>
        <w:rPr/>
        <w:t>bir</w:t>
      </w:r>
      <w:r>
        <w:rPr>
          <w:spacing w:val="-13"/>
        </w:rPr>
        <w:t> </w:t>
      </w:r>
      <w:r>
        <w:rPr/>
        <w:t>endüstri</w:t>
      </w:r>
      <w:r>
        <w:rPr>
          <w:spacing w:val="-10"/>
        </w:rPr>
        <w:t> </w:t>
      </w:r>
      <w:r>
        <w:rPr/>
        <w:t>haline</w:t>
      </w:r>
      <w:r>
        <w:rPr>
          <w:spacing w:val="-14"/>
        </w:rPr>
        <w:t> </w:t>
      </w:r>
      <w:r>
        <w:rPr/>
        <w:t>gelirken,</w:t>
      </w:r>
      <w:r>
        <w:rPr>
          <w:spacing w:val="-9"/>
        </w:rPr>
        <w:t> </w:t>
      </w:r>
      <w:r>
        <w:rPr/>
        <w:t>bu</w:t>
      </w:r>
      <w:r>
        <w:rPr>
          <w:spacing w:val="-13"/>
        </w:rPr>
        <w:t> </w:t>
      </w:r>
      <w:r>
        <w:rPr/>
        <w:t>endüstriyi oluşturan paydaşlar içerisinde en önemli sosyal aktörler de spor ürünlerini tüketen taraftarlardır (Milano ve Chelladurai, 2011). Taraftarların bu denli önemli olmasının sebebi; favori spor takımlarıyla sosyal, duygusal ve finansal bağları içeren uzun süreli ilişkiler oluşturmalarıdır (Lawrence vd., 2020). Taraftarlar, bilet ve ticari mal satışları gibi doğrudan gelirlerin yanında sponsorluk,</w:t>
      </w:r>
      <w:r>
        <w:rPr>
          <w:spacing w:val="-8"/>
        </w:rPr>
        <w:t> </w:t>
      </w:r>
      <w:r>
        <w:rPr/>
        <w:t>reklam</w:t>
      </w:r>
      <w:r>
        <w:rPr>
          <w:spacing w:val="-9"/>
        </w:rPr>
        <w:t> </w:t>
      </w:r>
      <w:r>
        <w:rPr/>
        <w:t>ve</w:t>
      </w:r>
      <w:r>
        <w:rPr>
          <w:spacing w:val="-9"/>
        </w:rPr>
        <w:t> </w:t>
      </w:r>
      <w:r>
        <w:rPr/>
        <w:t>yayın</w:t>
      </w:r>
      <w:r>
        <w:rPr>
          <w:spacing w:val="-8"/>
        </w:rPr>
        <w:t> </w:t>
      </w:r>
      <w:r>
        <w:rPr/>
        <w:t>hakları</w:t>
      </w:r>
      <w:r>
        <w:rPr>
          <w:spacing w:val="-9"/>
        </w:rPr>
        <w:t> </w:t>
      </w:r>
      <w:r>
        <w:rPr/>
        <w:t>gibi</w:t>
      </w:r>
      <w:r>
        <w:rPr>
          <w:spacing w:val="-6"/>
        </w:rPr>
        <w:t> </w:t>
      </w:r>
      <w:r>
        <w:rPr/>
        <w:t>dolaylı</w:t>
      </w:r>
      <w:r>
        <w:rPr>
          <w:spacing w:val="-8"/>
        </w:rPr>
        <w:t> </w:t>
      </w:r>
      <w:r>
        <w:rPr/>
        <w:t>gelirler</w:t>
      </w:r>
      <w:r>
        <w:rPr>
          <w:spacing w:val="-8"/>
        </w:rPr>
        <w:t> </w:t>
      </w:r>
      <w:r>
        <w:rPr/>
        <w:t>vasıtasıyla</w:t>
      </w:r>
      <w:r>
        <w:rPr>
          <w:spacing w:val="-9"/>
        </w:rPr>
        <w:t> </w:t>
      </w:r>
      <w:r>
        <w:rPr/>
        <w:t>spor</w:t>
      </w:r>
      <w:r>
        <w:rPr>
          <w:spacing w:val="-7"/>
        </w:rPr>
        <w:t> </w:t>
      </w:r>
      <w:r>
        <w:rPr/>
        <w:t>kulüplerini</w:t>
      </w:r>
      <w:r>
        <w:rPr>
          <w:spacing w:val="-9"/>
        </w:rPr>
        <w:t> </w:t>
      </w:r>
      <w:r>
        <w:rPr/>
        <w:t>ekonomik</w:t>
      </w:r>
      <w:r>
        <w:rPr>
          <w:spacing w:val="-4"/>
        </w:rPr>
        <w:t> </w:t>
      </w:r>
      <w:r>
        <w:rPr/>
        <w:t>olarak desteklemektedir (Mason, 1999). Organizasyonların başarısı büyük ölçüde yeterli sayıda taraftar çekmeye ve bunu sürdürmeye bağlıdır (Beccarini ve Ferrand, 2006). Bireylerin, taraftarı olduğu takımlara yönelik oluşturduğu duygusal bağı açıklayan takım özdeşleşmesi, taraftarların bir spor takımı ile psikolojik bağlantısının derecesi olarak tanımlanmaktadır (Wann ve Branscombe, 1993). Takımlarıyla farklı düzeylerde özdeşleşen taraftarların çeşitli davranış biçimleri geliştirebileceğini söyleyebiliriz</w:t>
      </w:r>
      <w:r>
        <w:rPr>
          <w:spacing w:val="-1"/>
        </w:rPr>
        <w:t> </w:t>
      </w:r>
      <w:r>
        <w:rPr/>
        <w:t>(Funk ve</w:t>
      </w:r>
      <w:r>
        <w:rPr>
          <w:spacing w:val="-1"/>
        </w:rPr>
        <w:t> </w:t>
      </w:r>
      <w:r>
        <w:rPr/>
        <w:t>James,</w:t>
      </w:r>
      <w:r>
        <w:rPr>
          <w:spacing w:val="-1"/>
        </w:rPr>
        <w:t> </w:t>
      </w:r>
      <w:r>
        <w:rPr/>
        <w:t>2015).</w:t>
      </w:r>
      <w:r>
        <w:rPr>
          <w:spacing w:val="-1"/>
        </w:rPr>
        <w:t> </w:t>
      </w:r>
      <w:r>
        <w:rPr/>
        <w:t>Müsabakalara katılmadan</w:t>
      </w:r>
      <w:r>
        <w:rPr>
          <w:spacing w:val="-1"/>
        </w:rPr>
        <w:t> </w:t>
      </w:r>
      <w:r>
        <w:rPr/>
        <w:t>kulübe</w:t>
      </w:r>
      <w:r>
        <w:rPr>
          <w:spacing w:val="-1"/>
        </w:rPr>
        <w:t> </w:t>
      </w:r>
      <w:r>
        <w:rPr/>
        <w:t>destek</w:t>
      </w:r>
      <w:r>
        <w:rPr>
          <w:spacing w:val="-1"/>
        </w:rPr>
        <w:t> </w:t>
      </w:r>
      <w:r>
        <w:rPr/>
        <w:t>verenlerden,</w:t>
      </w:r>
      <w:r>
        <w:rPr>
          <w:spacing w:val="-1"/>
        </w:rPr>
        <w:t> </w:t>
      </w:r>
      <w:r>
        <w:rPr/>
        <w:t>maçlara katılmanın yanında</w:t>
      </w:r>
      <w:r>
        <w:rPr>
          <w:spacing w:val="-1"/>
        </w:rPr>
        <w:t> </w:t>
      </w:r>
      <w:r>
        <w:rPr/>
        <w:t>kulüp üyelikleri</w:t>
      </w:r>
      <w:r>
        <w:rPr>
          <w:spacing w:val="-1"/>
        </w:rPr>
        <w:t> </w:t>
      </w:r>
      <w:r>
        <w:rPr/>
        <w:t>ve</w:t>
      </w:r>
      <w:r>
        <w:rPr>
          <w:spacing w:val="-1"/>
        </w:rPr>
        <w:t> </w:t>
      </w:r>
      <w:r>
        <w:rPr/>
        <w:t>sezonluk bilet</w:t>
      </w:r>
      <w:r>
        <w:rPr>
          <w:spacing w:val="-1"/>
        </w:rPr>
        <w:t> </w:t>
      </w:r>
      <w:r>
        <w:rPr/>
        <w:t>gibi</w:t>
      </w:r>
      <w:r>
        <w:rPr>
          <w:spacing w:val="-1"/>
        </w:rPr>
        <w:t> </w:t>
      </w:r>
      <w:r>
        <w:rPr/>
        <w:t>ekstra</w:t>
      </w:r>
      <w:r>
        <w:rPr>
          <w:spacing w:val="-1"/>
        </w:rPr>
        <w:t> </w:t>
      </w:r>
      <w:r>
        <w:rPr/>
        <w:t>faydaları</w:t>
      </w:r>
      <w:r>
        <w:rPr>
          <w:spacing w:val="-1"/>
        </w:rPr>
        <w:t> </w:t>
      </w:r>
      <w:r>
        <w:rPr/>
        <w:t>kapsayan bir hizmet</w:t>
      </w:r>
      <w:r>
        <w:rPr>
          <w:spacing w:val="-1"/>
        </w:rPr>
        <w:t> </w:t>
      </w:r>
      <w:r>
        <w:rPr/>
        <w:t>satın alan taraftarlara kadar farklı boyutlarda davranışsal niyetler gelişebilir (McDonald vd., 2013).</w:t>
      </w:r>
    </w:p>
    <w:p>
      <w:pPr>
        <w:pStyle w:val="BodyText"/>
        <w:spacing w:line="360" w:lineRule="auto" w:before="161"/>
        <w:ind w:left="735" w:right="858" w:firstLine="710"/>
        <w:jc w:val="both"/>
      </w:pPr>
      <w:r>
        <w:rPr/>
        <w:t>Sezonluk</w:t>
      </w:r>
      <w:r>
        <w:rPr>
          <w:spacing w:val="-15"/>
        </w:rPr>
        <w:t> </w:t>
      </w:r>
      <w:r>
        <w:rPr/>
        <w:t>bilet</w:t>
      </w:r>
      <w:r>
        <w:rPr>
          <w:spacing w:val="-15"/>
        </w:rPr>
        <w:t> </w:t>
      </w:r>
      <w:r>
        <w:rPr/>
        <w:t>satın</w:t>
      </w:r>
      <w:r>
        <w:rPr>
          <w:spacing w:val="-15"/>
        </w:rPr>
        <w:t> </w:t>
      </w:r>
      <w:r>
        <w:rPr/>
        <w:t>alan</w:t>
      </w:r>
      <w:r>
        <w:rPr>
          <w:spacing w:val="-15"/>
        </w:rPr>
        <w:t> </w:t>
      </w:r>
      <w:r>
        <w:rPr/>
        <w:t>bireylerin,</w:t>
      </w:r>
      <w:r>
        <w:rPr>
          <w:spacing w:val="-15"/>
        </w:rPr>
        <w:t> </w:t>
      </w:r>
      <w:r>
        <w:rPr/>
        <w:t>taraftarlığın</w:t>
      </w:r>
      <w:r>
        <w:rPr>
          <w:spacing w:val="-15"/>
        </w:rPr>
        <w:t> </w:t>
      </w:r>
      <w:r>
        <w:rPr/>
        <w:t>bir</w:t>
      </w:r>
      <w:r>
        <w:rPr>
          <w:spacing w:val="-15"/>
        </w:rPr>
        <w:t> </w:t>
      </w:r>
      <w:r>
        <w:rPr/>
        <w:t>alt</w:t>
      </w:r>
      <w:r>
        <w:rPr>
          <w:spacing w:val="-15"/>
        </w:rPr>
        <w:t> </w:t>
      </w:r>
      <w:r>
        <w:rPr/>
        <w:t>kültürü</w:t>
      </w:r>
      <w:r>
        <w:rPr>
          <w:spacing w:val="-15"/>
        </w:rPr>
        <w:t> </w:t>
      </w:r>
      <w:r>
        <w:rPr/>
        <w:t>olarak</w:t>
      </w:r>
      <w:r>
        <w:rPr>
          <w:spacing w:val="-15"/>
        </w:rPr>
        <w:t> </w:t>
      </w:r>
      <w:r>
        <w:rPr/>
        <w:t>en</w:t>
      </w:r>
      <w:r>
        <w:rPr>
          <w:spacing w:val="-15"/>
        </w:rPr>
        <w:t> </w:t>
      </w:r>
      <w:r>
        <w:rPr/>
        <w:t>etkin</w:t>
      </w:r>
      <w:r>
        <w:rPr>
          <w:spacing w:val="-15"/>
        </w:rPr>
        <w:t> </w:t>
      </w:r>
      <w:r>
        <w:rPr/>
        <w:t>tüketici</w:t>
      </w:r>
      <w:r>
        <w:rPr>
          <w:spacing w:val="-15"/>
        </w:rPr>
        <w:t> </w:t>
      </w:r>
      <w:r>
        <w:rPr/>
        <w:t>grubunu temsil ettiği göz önüne alındığında, sezonluk bilet ürününün spor organizasyonları tarafından yapılandırılması</w:t>
      </w:r>
      <w:r>
        <w:rPr>
          <w:spacing w:val="-9"/>
        </w:rPr>
        <w:t> </w:t>
      </w:r>
      <w:r>
        <w:rPr/>
        <w:t>ve</w:t>
      </w:r>
      <w:r>
        <w:rPr>
          <w:spacing w:val="-9"/>
        </w:rPr>
        <w:t> </w:t>
      </w:r>
      <w:r>
        <w:rPr/>
        <w:t>taraftarlara</w:t>
      </w:r>
      <w:r>
        <w:rPr>
          <w:spacing w:val="-9"/>
        </w:rPr>
        <w:t> </w:t>
      </w:r>
      <w:r>
        <w:rPr/>
        <w:t>sunulması</w:t>
      </w:r>
      <w:r>
        <w:rPr>
          <w:spacing w:val="-9"/>
        </w:rPr>
        <w:t> </w:t>
      </w:r>
      <w:r>
        <w:rPr/>
        <w:t>hayati</w:t>
      </w:r>
      <w:r>
        <w:rPr>
          <w:spacing w:val="-9"/>
        </w:rPr>
        <w:t> </w:t>
      </w:r>
      <w:r>
        <w:rPr/>
        <w:t>önem</w:t>
      </w:r>
      <w:r>
        <w:rPr>
          <w:spacing w:val="-9"/>
        </w:rPr>
        <w:t> </w:t>
      </w:r>
      <w:r>
        <w:rPr/>
        <w:t>taşımaktadır</w:t>
      </w:r>
      <w:r>
        <w:rPr>
          <w:spacing w:val="-8"/>
        </w:rPr>
        <w:t> </w:t>
      </w:r>
      <w:r>
        <w:rPr/>
        <w:t>(McDonald</w:t>
      </w:r>
      <w:r>
        <w:rPr>
          <w:spacing w:val="-6"/>
        </w:rPr>
        <w:t> </w:t>
      </w:r>
      <w:r>
        <w:rPr/>
        <w:t>vd.,</w:t>
      </w:r>
      <w:r>
        <w:rPr>
          <w:spacing w:val="-8"/>
        </w:rPr>
        <w:t> </w:t>
      </w:r>
      <w:r>
        <w:rPr/>
        <w:t>2010).</w:t>
      </w:r>
      <w:r>
        <w:rPr>
          <w:spacing w:val="-7"/>
        </w:rPr>
        <w:t> </w:t>
      </w:r>
      <w:r>
        <w:rPr/>
        <w:t>Sezonluk (kombine) biletler, abonelik sistemine bağlı olarak sunulan spor ürünlerine örnektir. Abonelik pazarının</w:t>
      </w:r>
      <w:r>
        <w:rPr>
          <w:spacing w:val="-13"/>
        </w:rPr>
        <w:t> </w:t>
      </w:r>
      <w:r>
        <w:rPr/>
        <w:t>özellikleri</w:t>
      </w:r>
      <w:r>
        <w:rPr>
          <w:spacing w:val="-9"/>
        </w:rPr>
        <w:t> </w:t>
      </w:r>
      <w:r>
        <w:rPr/>
        <w:t>göz</w:t>
      </w:r>
      <w:r>
        <w:rPr>
          <w:spacing w:val="-14"/>
        </w:rPr>
        <w:t> </w:t>
      </w:r>
      <w:r>
        <w:rPr/>
        <w:t>önüne</w:t>
      </w:r>
      <w:r>
        <w:rPr>
          <w:spacing w:val="-14"/>
        </w:rPr>
        <w:t> </w:t>
      </w:r>
      <w:r>
        <w:rPr/>
        <w:t>alındığında</w:t>
      </w:r>
      <w:r>
        <w:rPr>
          <w:spacing w:val="-14"/>
        </w:rPr>
        <w:t> </w:t>
      </w:r>
      <w:r>
        <w:rPr/>
        <w:t>sunulan</w:t>
      </w:r>
      <w:r>
        <w:rPr>
          <w:spacing w:val="-8"/>
        </w:rPr>
        <w:t> </w:t>
      </w:r>
      <w:r>
        <w:rPr/>
        <w:t>hizmetlerin</w:t>
      </w:r>
      <w:r>
        <w:rPr>
          <w:spacing w:val="-13"/>
        </w:rPr>
        <w:t> </w:t>
      </w:r>
      <w:r>
        <w:rPr/>
        <w:t>kalitesi,</w:t>
      </w:r>
      <w:r>
        <w:rPr>
          <w:spacing w:val="-8"/>
        </w:rPr>
        <w:t> </w:t>
      </w:r>
      <w:r>
        <w:rPr/>
        <w:t>müşterilerin</w:t>
      </w:r>
      <w:r>
        <w:rPr>
          <w:spacing w:val="-13"/>
        </w:rPr>
        <w:t> </w:t>
      </w:r>
      <w:r>
        <w:rPr/>
        <w:t>memnuniyeti</w:t>
      </w:r>
      <w:r>
        <w:rPr>
          <w:spacing w:val="-9"/>
        </w:rPr>
        <w:t> </w:t>
      </w:r>
      <w:r>
        <w:rPr/>
        <w:t>ve tekrar</w:t>
      </w:r>
      <w:r>
        <w:rPr>
          <w:spacing w:val="-3"/>
        </w:rPr>
        <w:t> </w:t>
      </w:r>
      <w:r>
        <w:rPr/>
        <w:t>satın</w:t>
      </w:r>
      <w:r>
        <w:rPr>
          <w:spacing w:val="-3"/>
        </w:rPr>
        <w:t> </w:t>
      </w:r>
      <w:r>
        <w:rPr/>
        <w:t>alma davranışı gibi süreçler,</w:t>
      </w:r>
      <w:r>
        <w:rPr>
          <w:spacing w:val="-3"/>
        </w:rPr>
        <w:t> </w:t>
      </w:r>
      <w:r>
        <w:rPr/>
        <w:t>tek seferlik yapılan işlemlerden farklı</w:t>
      </w:r>
      <w:r>
        <w:rPr>
          <w:spacing w:val="-4"/>
        </w:rPr>
        <w:t> </w:t>
      </w:r>
      <w:r>
        <w:rPr/>
        <w:t>olarak</w:t>
      </w:r>
      <w:r>
        <w:rPr>
          <w:spacing w:val="-3"/>
        </w:rPr>
        <w:t> </w:t>
      </w:r>
      <w:r>
        <w:rPr/>
        <w:t>ele</w:t>
      </w:r>
      <w:r>
        <w:rPr>
          <w:spacing w:val="-4"/>
        </w:rPr>
        <w:t> </w:t>
      </w:r>
      <w:r>
        <w:rPr/>
        <w:t>alınmalıdır (McDonald</w:t>
      </w:r>
      <w:r>
        <w:rPr>
          <w:spacing w:val="-12"/>
        </w:rPr>
        <w:t> </w:t>
      </w:r>
      <w:r>
        <w:rPr/>
        <w:t>vd.,</w:t>
      </w:r>
      <w:r>
        <w:rPr>
          <w:spacing w:val="-12"/>
        </w:rPr>
        <w:t> </w:t>
      </w:r>
      <w:r>
        <w:rPr/>
        <w:t>2023).</w:t>
      </w:r>
      <w:r>
        <w:rPr>
          <w:spacing w:val="-12"/>
        </w:rPr>
        <w:t> </w:t>
      </w:r>
      <w:r>
        <w:rPr/>
        <w:t>Abonelik</w:t>
      </w:r>
      <w:r>
        <w:rPr>
          <w:spacing w:val="-12"/>
        </w:rPr>
        <w:t> </w:t>
      </w:r>
      <w:r>
        <w:rPr/>
        <w:t>işlemleri</w:t>
      </w:r>
      <w:r>
        <w:rPr>
          <w:spacing w:val="-13"/>
        </w:rPr>
        <w:t> </w:t>
      </w:r>
      <w:r>
        <w:rPr/>
        <w:t>genel</w:t>
      </w:r>
      <w:r>
        <w:rPr>
          <w:spacing w:val="-13"/>
        </w:rPr>
        <w:t> </w:t>
      </w:r>
      <w:r>
        <w:rPr/>
        <w:t>olarak,</w:t>
      </w:r>
      <w:r>
        <w:rPr>
          <w:spacing w:val="-12"/>
        </w:rPr>
        <w:t> </w:t>
      </w:r>
      <w:r>
        <w:rPr/>
        <w:t>bireylerin</w:t>
      </w:r>
      <w:r>
        <w:rPr>
          <w:spacing w:val="-12"/>
        </w:rPr>
        <w:t> </w:t>
      </w:r>
      <w:r>
        <w:rPr/>
        <w:t>üyelik</w:t>
      </w:r>
      <w:r>
        <w:rPr>
          <w:spacing w:val="-12"/>
        </w:rPr>
        <w:t> </w:t>
      </w:r>
      <w:r>
        <w:rPr/>
        <w:t>haklarını</w:t>
      </w:r>
      <w:r>
        <w:rPr>
          <w:spacing w:val="-13"/>
        </w:rPr>
        <w:t> </w:t>
      </w:r>
      <w:r>
        <w:rPr/>
        <w:t>belirli</w:t>
      </w:r>
      <w:r>
        <w:rPr>
          <w:spacing w:val="-13"/>
        </w:rPr>
        <w:t> </w:t>
      </w:r>
      <w:r>
        <w:rPr/>
        <w:t>bir</w:t>
      </w:r>
      <w:r>
        <w:rPr>
          <w:spacing w:val="-11"/>
        </w:rPr>
        <w:t> </w:t>
      </w:r>
      <w:r>
        <w:rPr/>
        <w:t>süre</w:t>
      </w:r>
      <w:r>
        <w:rPr>
          <w:spacing w:val="-13"/>
        </w:rPr>
        <w:t> </w:t>
      </w:r>
      <w:r>
        <w:rPr/>
        <w:t>için bir sağlayıcıya tahsis etmelerini gerektirir (Dawes, 2004). Abonelik pazarında satın alma kararları seyrek olarak yapılır, ürün ve hizmetler hakkındaki değerlendirmeler genellikle zaman içindeki deneyimlerin bir kombinasyonu sonucunda oluşur. Müşteriler bu değerlendirme sonrasında sözleşmelerini yenilemeyi veya sona erdirmeyi tercih ederler (Dawes, 2004; McDonald vd., 2013). Sezonluk bilet sahibi taraftarlara yönelik yapılan çalışmalarda, Beccarini vd. (2006) kulüp imajı ve güdülerin sezonluk bilet sahipleri arasında daha yüksek memnuniyete yol açtığını göstermişlerdir. Won ve Lee (2022) sezonluk bilet sahibi taraftarların memnuniyeti ve tekrar satın alma niyetleri üzerine</w:t>
      </w:r>
      <w:r>
        <w:rPr>
          <w:spacing w:val="-10"/>
        </w:rPr>
        <w:t> </w:t>
      </w:r>
      <w:r>
        <w:rPr/>
        <w:t>yaptıkları</w:t>
      </w:r>
      <w:r>
        <w:rPr>
          <w:spacing w:val="-10"/>
        </w:rPr>
        <w:t> </w:t>
      </w:r>
      <w:r>
        <w:rPr/>
        <w:t>çalışmada</w:t>
      </w:r>
      <w:r>
        <w:rPr>
          <w:spacing w:val="-10"/>
        </w:rPr>
        <w:t> </w:t>
      </w:r>
      <w:r>
        <w:rPr/>
        <w:t>hizmet</w:t>
      </w:r>
      <w:r>
        <w:rPr>
          <w:spacing w:val="-10"/>
        </w:rPr>
        <w:t> </w:t>
      </w:r>
      <w:r>
        <w:rPr/>
        <w:t>kalitesi</w:t>
      </w:r>
      <w:r>
        <w:rPr>
          <w:spacing w:val="-10"/>
        </w:rPr>
        <w:t> </w:t>
      </w:r>
      <w:r>
        <w:rPr/>
        <w:t>faktörlerinin</w:t>
      </w:r>
      <w:r>
        <w:rPr>
          <w:spacing w:val="-9"/>
        </w:rPr>
        <w:t> </w:t>
      </w:r>
      <w:r>
        <w:rPr/>
        <w:t>önemini</w:t>
      </w:r>
      <w:r>
        <w:rPr>
          <w:spacing w:val="-10"/>
        </w:rPr>
        <w:t> </w:t>
      </w:r>
      <w:r>
        <w:rPr/>
        <w:t>ortaya</w:t>
      </w:r>
      <w:r>
        <w:rPr>
          <w:spacing w:val="-10"/>
        </w:rPr>
        <w:t> </w:t>
      </w:r>
      <w:r>
        <w:rPr/>
        <w:t>koymuşlardır.</w:t>
      </w:r>
      <w:r>
        <w:rPr>
          <w:spacing w:val="-1"/>
        </w:rPr>
        <w:t> </w:t>
      </w:r>
      <w:r>
        <w:rPr/>
        <w:t>Diğer</w:t>
      </w:r>
      <w:r>
        <w:rPr>
          <w:spacing w:val="-9"/>
        </w:rPr>
        <w:t> </w:t>
      </w:r>
      <w:r>
        <w:rPr/>
        <w:t>yandan McDonald vd. (2014) sezonluk bilet sahibi taraftarların kaybını azaltmak için tüm müşterilerin aktif olarak yönetilmesinin gerekliliğini ortaya koymaktadır.</w:t>
      </w:r>
    </w:p>
    <w:p>
      <w:pPr>
        <w:pStyle w:val="BodyText"/>
        <w:spacing w:line="360" w:lineRule="auto" w:before="160"/>
        <w:ind w:left="735" w:right="873" w:firstLine="710"/>
        <w:jc w:val="both"/>
      </w:pPr>
      <w:r>
        <w:rPr/>
        <w:t>Dolayısıyla taraftarların desteği olmadan spor kulüplerinin faaliyetlerini sürdürmesi ve takımların</w:t>
      </w:r>
      <w:r>
        <w:rPr>
          <w:spacing w:val="31"/>
        </w:rPr>
        <w:t> </w:t>
      </w:r>
      <w:r>
        <w:rPr/>
        <w:t>gelişmesine</w:t>
      </w:r>
      <w:r>
        <w:rPr>
          <w:spacing w:val="29"/>
        </w:rPr>
        <w:t> </w:t>
      </w:r>
      <w:r>
        <w:rPr/>
        <w:t>yatırım</w:t>
      </w:r>
      <w:r>
        <w:rPr>
          <w:spacing w:val="25"/>
        </w:rPr>
        <w:t> </w:t>
      </w:r>
      <w:r>
        <w:rPr/>
        <w:t>yapmak</w:t>
      </w:r>
      <w:r>
        <w:rPr>
          <w:spacing w:val="31"/>
        </w:rPr>
        <w:t> </w:t>
      </w:r>
      <w:r>
        <w:rPr/>
        <w:t>için</w:t>
      </w:r>
      <w:r>
        <w:rPr>
          <w:spacing w:val="26"/>
        </w:rPr>
        <w:t> </w:t>
      </w:r>
      <w:r>
        <w:rPr/>
        <w:t>gereken</w:t>
      </w:r>
      <w:r>
        <w:rPr>
          <w:spacing w:val="26"/>
        </w:rPr>
        <w:t> </w:t>
      </w:r>
      <w:r>
        <w:rPr/>
        <w:t>gelirin</w:t>
      </w:r>
      <w:r>
        <w:rPr>
          <w:spacing w:val="26"/>
        </w:rPr>
        <w:t> </w:t>
      </w:r>
      <w:r>
        <w:rPr/>
        <w:t>oluşturulması</w:t>
      </w:r>
      <w:r>
        <w:rPr>
          <w:spacing w:val="29"/>
        </w:rPr>
        <w:t> </w:t>
      </w:r>
      <w:r>
        <w:rPr/>
        <w:t>çok</w:t>
      </w:r>
      <w:r>
        <w:rPr>
          <w:spacing w:val="26"/>
        </w:rPr>
        <w:t> </w:t>
      </w:r>
      <w:r>
        <w:rPr/>
        <w:t>zordur.</w:t>
      </w:r>
      <w:r>
        <w:rPr>
          <w:spacing w:val="31"/>
        </w:rPr>
        <w:t> </w:t>
      </w:r>
      <w:r>
        <w:rPr/>
        <w:t>Bu</w:t>
      </w:r>
      <w:r>
        <w:rPr>
          <w:spacing w:val="26"/>
        </w:rPr>
        <w:t> </w:t>
      </w:r>
      <w:r>
        <w:rPr/>
        <w:t>yüzden</w:t>
      </w:r>
    </w:p>
    <w:p>
      <w:pPr>
        <w:spacing w:after="0" w:line="360" w:lineRule="auto"/>
        <w:jc w:val="both"/>
        <w:sectPr>
          <w:headerReference w:type="default" r:id="rId12"/>
          <w:footerReference w:type="default" r:id="rId13"/>
          <w:pgSz w:w="11910" w:h="16840"/>
          <w:pgMar w:header="442" w:footer="532" w:top="780" w:bottom="720" w:left="400" w:right="260"/>
          <w:pgNumType w:start="1278"/>
        </w:sectPr>
      </w:pPr>
    </w:p>
    <w:p>
      <w:pPr>
        <w:pStyle w:val="BodyText"/>
        <w:spacing w:before="60"/>
      </w:pPr>
    </w:p>
    <w:p>
      <w:pPr>
        <w:pStyle w:val="BodyText"/>
        <w:spacing w:line="360" w:lineRule="auto" w:before="1"/>
        <w:ind w:left="735" w:right="872"/>
        <w:jc w:val="both"/>
      </w:pPr>
      <w:r>
        <w:rPr/>
        <w:t>taraftarların organizasyonlara çekilmesi, elde tutulması ve sayılarının arttırılmasını kolaylaştıran faktörlerin daha iyi anlaşılmasının gerekliliği ortaya çıkmaktadır. Sezonluk (kombine) bilet sahibi </w:t>
      </w:r>
      <w:r>
        <w:rPr>
          <w:spacing w:val="-2"/>
        </w:rPr>
        <w:t>taraftarların</w:t>
      </w:r>
      <w:r>
        <w:rPr>
          <w:spacing w:val="-4"/>
        </w:rPr>
        <w:t> </w:t>
      </w:r>
      <w:r>
        <w:rPr>
          <w:spacing w:val="-2"/>
        </w:rPr>
        <w:t>en</w:t>
      </w:r>
      <w:r>
        <w:rPr>
          <w:spacing w:val="-4"/>
        </w:rPr>
        <w:t> </w:t>
      </w:r>
      <w:r>
        <w:rPr>
          <w:spacing w:val="-2"/>
        </w:rPr>
        <w:t>davranışsal</w:t>
      </w:r>
      <w:r>
        <w:rPr>
          <w:spacing w:val="-5"/>
        </w:rPr>
        <w:t> </w:t>
      </w:r>
      <w:r>
        <w:rPr>
          <w:spacing w:val="-2"/>
        </w:rPr>
        <w:t>ve</w:t>
      </w:r>
      <w:r>
        <w:rPr>
          <w:spacing w:val="-5"/>
        </w:rPr>
        <w:t> </w:t>
      </w:r>
      <w:r>
        <w:rPr>
          <w:spacing w:val="-2"/>
        </w:rPr>
        <w:t>etkin</w:t>
      </w:r>
      <w:r>
        <w:rPr>
          <w:spacing w:val="-4"/>
        </w:rPr>
        <w:t> </w:t>
      </w:r>
      <w:r>
        <w:rPr>
          <w:spacing w:val="-2"/>
        </w:rPr>
        <w:t>tüketici</w:t>
      </w:r>
      <w:r>
        <w:rPr>
          <w:spacing w:val="-5"/>
        </w:rPr>
        <w:t> </w:t>
      </w:r>
      <w:r>
        <w:rPr>
          <w:spacing w:val="-2"/>
        </w:rPr>
        <w:t>grubunu temsil</w:t>
      </w:r>
      <w:r>
        <w:rPr>
          <w:spacing w:val="-5"/>
        </w:rPr>
        <w:t> </w:t>
      </w:r>
      <w:r>
        <w:rPr>
          <w:spacing w:val="-2"/>
        </w:rPr>
        <w:t>ettiği</w:t>
      </w:r>
      <w:r>
        <w:rPr>
          <w:spacing w:val="-5"/>
        </w:rPr>
        <w:t> </w:t>
      </w:r>
      <w:r>
        <w:rPr>
          <w:spacing w:val="-2"/>
        </w:rPr>
        <w:t>göz</w:t>
      </w:r>
      <w:r>
        <w:rPr>
          <w:spacing w:val="-5"/>
        </w:rPr>
        <w:t> </w:t>
      </w:r>
      <w:r>
        <w:rPr>
          <w:spacing w:val="-2"/>
        </w:rPr>
        <w:t>önüne alındığında, çalışmamızın </w:t>
      </w:r>
      <w:r>
        <w:rPr/>
        <w:t>amacı, McDonald vd. (2013) tarafından geliştirilen Sezonluk Bilet Sahipleri Memnuniyet Ölçeğini Türkçeye ve Türk kültürüne uyarlayarak alana katkı sağlamaktır.</w:t>
      </w:r>
    </w:p>
    <w:p>
      <w:pPr>
        <w:pStyle w:val="Heading2"/>
        <w:spacing w:before="160"/>
        <w:rPr>
          <w:i/>
        </w:rPr>
      </w:pPr>
      <w:r>
        <w:rPr>
          <w:i/>
        </w:rPr>
        <w:t>Abonelik</w:t>
      </w:r>
      <w:r>
        <w:rPr>
          <w:i/>
          <w:spacing w:val="-8"/>
        </w:rPr>
        <w:t> </w:t>
      </w:r>
      <w:r>
        <w:rPr>
          <w:i/>
          <w:spacing w:val="-2"/>
        </w:rPr>
        <w:t>Pazarı</w:t>
      </w:r>
    </w:p>
    <w:p>
      <w:pPr>
        <w:pStyle w:val="BodyText"/>
        <w:spacing w:before="23"/>
        <w:rPr>
          <w:b/>
          <w:i/>
        </w:rPr>
      </w:pPr>
    </w:p>
    <w:p>
      <w:pPr>
        <w:pStyle w:val="BodyText"/>
        <w:spacing w:line="360" w:lineRule="auto"/>
        <w:ind w:left="735" w:right="871" w:firstLine="710"/>
        <w:jc w:val="both"/>
      </w:pPr>
      <w:r>
        <w:rPr/>
        <w:t>Geleneksel ürün ve hizmet pazarlarında, tüketiciler ihtiyaçları süresince düzenli olarak satın alır ve farklı gereksinimlerini karşılamak için rakip markaların ürün yelpazesinden yaralanabilirler (Cusumano</w:t>
      </w:r>
      <w:r>
        <w:rPr>
          <w:spacing w:val="-2"/>
        </w:rPr>
        <w:t> </w:t>
      </w:r>
      <w:r>
        <w:rPr/>
        <w:t>vd.,</w:t>
      </w:r>
      <w:r>
        <w:rPr>
          <w:spacing w:val="-2"/>
        </w:rPr>
        <w:t> </w:t>
      </w:r>
      <w:r>
        <w:rPr/>
        <w:t>2015).</w:t>
      </w:r>
      <w:r>
        <w:rPr>
          <w:spacing w:val="-2"/>
        </w:rPr>
        <w:t> </w:t>
      </w:r>
      <w:r>
        <w:rPr/>
        <w:t>Örneğin</w:t>
      </w:r>
      <w:r>
        <w:rPr>
          <w:spacing w:val="-2"/>
        </w:rPr>
        <w:t> </w:t>
      </w:r>
      <w:r>
        <w:rPr/>
        <w:t>bir spor</w:t>
      </w:r>
      <w:r>
        <w:rPr>
          <w:spacing w:val="-2"/>
        </w:rPr>
        <w:t> </w:t>
      </w:r>
      <w:r>
        <w:rPr/>
        <w:t>ayakkabısı</w:t>
      </w:r>
      <w:r>
        <w:rPr>
          <w:spacing w:val="-4"/>
        </w:rPr>
        <w:t> </w:t>
      </w:r>
      <w:r>
        <w:rPr/>
        <w:t>satın</w:t>
      </w:r>
      <w:r>
        <w:rPr>
          <w:spacing w:val="-2"/>
        </w:rPr>
        <w:t> </w:t>
      </w:r>
      <w:r>
        <w:rPr/>
        <w:t>alacağınız</w:t>
      </w:r>
      <w:r>
        <w:rPr>
          <w:spacing w:val="-4"/>
        </w:rPr>
        <w:t> </w:t>
      </w:r>
      <w:r>
        <w:rPr/>
        <w:t>zaman</w:t>
      </w:r>
      <w:r>
        <w:rPr>
          <w:spacing w:val="-2"/>
        </w:rPr>
        <w:t> </w:t>
      </w:r>
      <w:r>
        <w:rPr/>
        <w:t>yüzlerce</w:t>
      </w:r>
      <w:r>
        <w:rPr>
          <w:spacing w:val="-4"/>
        </w:rPr>
        <w:t> </w:t>
      </w:r>
      <w:r>
        <w:rPr/>
        <w:t>farklı</w:t>
      </w:r>
      <w:r>
        <w:rPr>
          <w:spacing w:val="-4"/>
        </w:rPr>
        <w:t> </w:t>
      </w:r>
      <w:r>
        <w:rPr/>
        <w:t>modelden onlarca farklı markanın ürününe erişiminiz olacaktır ve tercihleriniz çeşitli faktörlere göre belirlenebilir. Abonelik pazarlarında ise tek bir hizmet sağlayıcı mevcuttur ve sadece belirli ürünler nadiren,</w:t>
      </w:r>
      <w:r>
        <w:rPr>
          <w:spacing w:val="-9"/>
        </w:rPr>
        <w:t> </w:t>
      </w:r>
      <w:r>
        <w:rPr/>
        <w:t>genellikle</w:t>
      </w:r>
      <w:r>
        <w:rPr>
          <w:spacing w:val="-10"/>
        </w:rPr>
        <w:t> </w:t>
      </w:r>
      <w:r>
        <w:rPr/>
        <w:t>yılda</w:t>
      </w:r>
      <w:r>
        <w:rPr>
          <w:spacing w:val="-10"/>
        </w:rPr>
        <w:t> </w:t>
      </w:r>
      <w:r>
        <w:rPr/>
        <w:t>bir</w:t>
      </w:r>
      <w:r>
        <w:rPr>
          <w:spacing w:val="-9"/>
        </w:rPr>
        <w:t> </w:t>
      </w:r>
      <w:r>
        <w:rPr/>
        <w:t>kez</w:t>
      </w:r>
      <w:r>
        <w:rPr>
          <w:spacing w:val="-10"/>
        </w:rPr>
        <w:t> </w:t>
      </w:r>
      <w:r>
        <w:rPr/>
        <w:t>alınır</w:t>
      </w:r>
      <w:r>
        <w:rPr>
          <w:spacing w:val="-9"/>
        </w:rPr>
        <w:t> </w:t>
      </w:r>
      <w:r>
        <w:rPr/>
        <w:t>(Dawes,</w:t>
      </w:r>
      <w:r>
        <w:rPr>
          <w:spacing w:val="-9"/>
        </w:rPr>
        <w:t> </w:t>
      </w:r>
      <w:r>
        <w:rPr/>
        <w:t>2004).</w:t>
      </w:r>
      <w:r>
        <w:rPr>
          <w:spacing w:val="-4"/>
        </w:rPr>
        <w:t> </w:t>
      </w:r>
      <w:r>
        <w:rPr/>
        <w:t>İnternet,</w:t>
      </w:r>
      <w:r>
        <w:rPr>
          <w:spacing w:val="-9"/>
        </w:rPr>
        <w:t> </w:t>
      </w:r>
      <w:r>
        <w:rPr/>
        <w:t>bankacılık,</w:t>
      </w:r>
      <w:r>
        <w:rPr>
          <w:spacing w:val="-9"/>
        </w:rPr>
        <w:t> </w:t>
      </w:r>
      <w:r>
        <w:rPr/>
        <w:t>iletişim</w:t>
      </w:r>
      <w:r>
        <w:rPr>
          <w:spacing w:val="-10"/>
        </w:rPr>
        <w:t> </w:t>
      </w:r>
      <w:r>
        <w:rPr/>
        <w:t>gibi</w:t>
      </w:r>
      <w:r>
        <w:rPr>
          <w:spacing w:val="-10"/>
        </w:rPr>
        <w:t> </w:t>
      </w:r>
      <w:r>
        <w:rPr/>
        <w:t>birçok</w:t>
      </w:r>
      <w:r>
        <w:rPr>
          <w:spacing w:val="-3"/>
        </w:rPr>
        <w:t> </w:t>
      </w:r>
      <w:r>
        <w:rPr/>
        <w:t>alanda hayatımıza giren abonelik sistemi, hizmet sağlayıcı tarafından sunulan ürün ve hizmetlere yönelik, uzun süreli anlaşmalar ile sağlanan bir ortaklık olarak açıklanabilir (Sharp, 2002).</w:t>
      </w:r>
    </w:p>
    <w:p>
      <w:pPr>
        <w:pStyle w:val="BodyText"/>
        <w:spacing w:line="360" w:lineRule="auto" w:before="160"/>
        <w:ind w:left="735" w:right="871" w:firstLine="710"/>
        <w:jc w:val="both"/>
      </w:pPr>
      <w:r>
        <w:rPr/>
        <w:t>Spor, sanat ve rekreatif etkinlikler gibi çeşitli sektörlerde sunulan üyelik paketleri ya da sezonluk biletler, abonelik pazarında yaygın olarak kullanılan hizmet sunumlarıdır. Ürün ve hizmetleri kapsayan bir üyelik paketi satın aldığınızda, bilet, organizasyona erişim, oturma yeri, iletişim ve ürün gibi maddi ya da maddi olmayan faydalara, birlikte erişme fırsatı olmaktadır (McDonald vd., 2013; Penmetsa vd., 2015). Örneğin, bir spor kulübünün sunduğu sezonluk bilet paketi, müsabakayı izlemek için yer sunmanın yanında oyunculara erişim, lisanslı ürünler, otopark hizmetleri ve yeme-içme gibi ekstra hizmetlere de erişim sağlamaya olanak verebilir. Üyelik sisteminin, müşterilere sunduğu olanaklar abonelik sözleşmesinin ortaya koyduğu ölçüde şekillenecektir (Penmetsa vd., 2015).</w:t>
      </w:r>
    </w:p>
    <w:p>
      <w:pPr>
        <w:pStyle w:val="Heading2"/>
        <w:spacing w:before="160"/>
        <w:rPr>
          <w:i/>
        </w:rPr>
      </w:pPr>
      <w:r>
        <w:rPr>
          <w:i/>
        </w:rPr>
        <w:t>Spor</w:t>
      </w:r>
      <w:r>
        <w:rPr>
          <w:i/>
          <w:spacing w:val="-2"/>
        </w:rPr>
        <w:t> </w:t>
      </w:r>
      <w:r>
        <w:rPr>
          <w:i/>
        </w:rPr>
        <w:t>Pazarında</w:t>
      </w:r>
      <w:r>
        <w:rPr>
          <w:i/>
          <w:spacing w:val="-2"/>
        </w:rPr>
        <w:t> </w:t>
      </w:r>
      <w:r>
        <w:rPr>
          <w:i/>
        </w:rPr>
        <w:t>Sezonluk</w:t>
      </w:r>
      <w:r>
        <w:rPr>
          <w:i/>
          <w:spacing w:val="-1"/>
        </w:rPr>
        <w:t> </w:t>
      </w:r>
      <w:r>
        <w:rPr>
          <w:i/>
        </w:rPr>
        <w:t>(Kombine)</w:t>
      </w:r>
      <w:r>
        <w:rPr>
          <w:i/>
          <w:spacing w:val="-2"/>
        </w:rPr>
        <w:t> Biletler</w:t>
      </w:r>
    </w:p>
    <w:p>
      <w:pPr>
        <w:pStyle w:val="BodyText"/>
        <w:spacing w:before="23"/>
        <w:rPr>
          <w:b/>
          <w:i/>
        </w:rPr>
      </w:pPr>
    </w:p>
    <w:p>
      <w:pPr>
        <w:pStyle w:val="BodyText"/>
        <w:spacing w:line="360" w:lineRule="auto"/>
        <w:ind w:left="735" w:right="868" w:firstLine="710"/>
        <w:jc w:val="both"/>
      </w:pPr>
      <w:r>
        <w:rPr/>
        <w:t>Abonelik pazarına özgü unsurların yanında, taraftarların tüketim davranışlarını ve bunların yönetimini etkileyebilecek spor ürünlerinin benzersiz özellikleri de göz önünde bulundurulmalıdır (McDonald</w:t>
      </w:r>
      <w:r>
        <w:rPr>
          <w:spacing w:val="-12"/>
        </w:rPr>
        <w:t> </w:t>
      </w:r>
      <w:r>
        <w:rPr/>
        <w:t>vd.,</w:t>
      </w:r>
      <w:r>
        <w:rPr>
          <w:spacing w:val="-14"/>
        </w:rPr>
        <w:t> </w:t>
      </w:r>
      <w:r>
        <w:rPr/>
        <w:t>2013).</w:t>
      </w:r>
      <w:r>
        <w:rPr>
          <w:spacing w:val="-13"/>
        </w:rPr>
        <w:t> </w:t>
      </w:r>
      <w:r>
        <w:rPr/>
        <w:t>Spor</w:t>
      </w:r>
      <w:r>
        <w:rPr>
          <w:spacing w:val="-13"/>
        </w:rPr>
        <w:t> </w:t>
      </w:r>
      <w:r>
        <w:rPr/>
        <w:t>müsabakalarının,</w:t>
      </w:r>
      <w:r>
        <w:rPr>
          <w:spacing w:val="-9"/>
        </w:rPr>
        <w:t> </w:t>
      </w:r>
      <w:r>
        <w:rPr/>
        <w:t>tahmin</w:t>
      </w:r>
      <w:r>
        <w:rPr>
          <w:spacing w:val="-9"/>
        </w:rPr>
        <w:t> </w:t>
      </w:r>
      <w:r>
        <w:rPr/>
        <w:t>edilemez</w:t>
      </w:r>
      <w:r>
        <w:rPr>
          <w:spacing w:val="-15"/>
        </w:rPr>
        <w:t> </w:t>
      </w:r>
      <w:r>
        <w:rPr/>
        <w:t>doğası,</w:t>
      </w:r>
      <w:r>
        <w:rPr>
          <w:spacing w:val="-14"/>
        </w:rPr>
        <w:t> </w:t>
      </w:r>
      <w:r>
        <w:rPr/>
        <w:t>rekabete</w:t>
      </w:r>
      <w:r>
        <w:rPr>
          <w:spacing w:val="-15"/>
        </w:rPr>
        <w:t> </w:t>
      </w:r>
      <w:r>
        <w:rPr/>
        <w:t>dayalı</w:t>
      </w:r>
      <w:r>
        <w:rPr>
          <w:spacing w:val="-10"/>
        </w:rPr>
        <w:t> </w:t>
      </w:r>
      <w:r>
        <w:rPr/>
        <w:t>etkileşimlerin varlığı, sporcuların sakatlık, ruh hali ve oyun koşulları gibi çok sayıda değişkenin performansı etkileyebileceği göz önünde bulundurulduğunda, geleneksel yönetim tekniklerini kullanarak hizmet kalitesinin</w:t>
      </w:r>
      <w:r>
        <w:rPr>
          <w:spacing w:val="-10"/>
        </w:rPr>
        <w:t> </w:t>
      </w:r>
      <w:r>
        <w:rPr/>
        <w:t>standartlaştırılması</w:t>
      </w:r>
      <w:r>
        <w:rPr>
          <w:spacing w:val="-6"/>
        </w:rPr>
        <w:t> </w:t>
      </w:r>
      <w:r>
        <w:rPr/>
        <w:t>olanaksız</w:t>
      </w:r>
      <w:r>
        <w:rPr>
          <w:spacing w:val="-11"/>
        </w:rPr>
        <w:t> </w:t>
      </w:r>
      <w:r>
        <w:rPr/>
        <w:t>görülmektedir</w:t>
      </w:r>
      <w:r>
        <w:rPr>
          <w:spacing w:val="-10"/>
        </w:rPr>
        <w:t> </w:t>
      </w:r>
      <w:r>
        <w:rPr/>
        <w:t>(Woratschek</w:t>
      </w:r>
      <w:r>
        <w:rPr>
          <w:spacing w:val="-3"/>
        </w:rPr>
        <w:t> </w:t>
      </w:r>
      <w:r>
        <w:rPr/>
        <w:t>vd.,</w:t>
      </w:r>
      <w:r>
        <w:rPr>
          <w:spacing w:val="-10"/>
        </w:rPr>
        <w:t> </w:t>
      </w:r>
      <w:r>
        <w:rPr/>
        <w:t>2014).</w:t>
      </w:r>
      <w:r>
        <w:rPr>
          <w:spacing w:val="-9"/>
        </w:rPr>
        <w:t> </w:t>
      </w:r>
      <w:r>
        <w:rPr/>
        <w:t>Müsabaka</w:t>
      </w:r>
      <w:r>
        <w:rPr>
          <w:spacing w:val="-11"/>
        </w:rPr>
        <w:t> </w:t>
      </w:r>
      <w:r>
        <w:rPr/>
        <w:t>sonucuna etki eden ve hizmet algılarını etkileyen farklı aktörlerin varlığı organizasyonları; bilişsel ve hedonik faydaların</w:t>
      </w:r>
      <w:r>
        <w:rPr>
          <w:spacing w:val="-8"/>
        </w:rPr>
        <w:t> </w:t>
      </w:r>
      <w:r>
        <w:rPr/>
        <w:t>karmaşık</w:t>
      </w:r>
      <w:r>
        <w:rPr>
          <w:spacing w:val="-8"/>
        </w:rPr>
        <w:t> </w:t>
      </w:r>
      <w:r>
        <w:rPr/>
        <w:t>bir</w:t>
      </w:r>
      <w:r>
        <w:rPr>
          <w:spacing w:val="-8"/>
        </w:rPr>
        <w:t> </w:t>
      </w:r>
      <w:r>
        <w:rPr/>
        <w:t>kombinasyonu</w:t>
      </w:r>
      <w:r>
        <w:rPr>
          <w:spacing w:val="-8"/>
        </w:rPr>
        <w:t> </w:t>
      </w:r>
      <w:r>
        <w:rPr/>
        <w:t>olarak</w:t>
      </w:r>
      <w:r>
        <w:rPr>
          <w:spacing w:val="-8"/>
        </w:rPr>
        <w:t> </w:t>
      </w:r>
      <w:r>
        <w:rPr/>
        <w:t>sunmaktadır.</w:t>
      </w:r>
      <w:r>
        <w:rPr>
          <w:spacing w:val="-7"/>
        </w:rPr>
        <w:t> </w:t>
      </w:r>
      <w:r>
        <w:rPr/>
        <w:t>Bu</w:t>
      </w:r>
      <w:r>
        <w:rPr>
          <w:spacing w:val="-3"/>
        </w:rPr>
        <w:t> </w:t>
      </w:r>
      <w:r>
        <w:rPr/>
        <w:t>durum,</w:t>
      </w:r>
      <w:r>
        <w:rPr>
          <w:spacing w:val="-2"/>
        </w:rPr>
        <w:t> </w:t>
      </w:r>
      <w:r>
        <w:rPr/>
        <w:t>çok</w:t>
      </w:r>
      <w:r>
        <w:rPr>
          <w:spacing w:val="-8"/>
        </w:rPr>
        <w:t> </w:t>
      </w:r>
      <w:r>
        <w:rPr/>
        <w:t>yönlü</w:t>
      </w:r>
      <w:r>
        <w:rPr>
          <w:spacing w:val="-8"/>
        </w:rPr>
        <w:t> </w:t>
      </w:r>
      <w:r>
        <w:rPr/>
        <w:t>düşünen</w:t>
      </w:r>
      <w:r>
        <w:rPr>
          <w:spacing w:val="-2"/>
        </w:rPr>
        <w:t> </w:t>
      </w:r>
      <w:r>
        <w:rPr/>
        <w:t>tüketiciler için önemlidir ve onların algıladığı faydaların çeşitliliğini artırır (Woratschek vd., 2020).</w:t>
      </w:r>
    </w:p>
    <w:p>
      <w:pPr>
        <w:spacing w:after="0" w:line="360" w:lineRule="auto"/>
        <w:jc w:val="both"/>
        <w:sectPr>
          <w:pgSz w:w="11910" w:h="16840"/>
          <w:pgMar w:header="442" w:footer="532" w:top="780" w:bottom="720" w:left="400" w:right="260"/>
        </w:sectPr>
      </w:pPr>
    </w:p>
    <w:p>
      <w:pPr>
        <w:pStyle w:val="BodyText"/>
        <w:spacing w:before="60"/>
      </w:pPr>
    </w:p>
    <w:p>
      <w:pPr>
        <w:pStyle w:val="BodyText"/>
        <w:spacing w:line="360" w:lineRule="auto" w:before="1"/>
        <w:ind w:left="735" w:right="867" w:firstLine="710"/>
        <w:jc w:val="both"/>
      </w:pPr>
      <w:r>
        <w:rPr/>
        <w:t>Değişen</w:t>
      </w:r>
      <w:r>
        <w:rPr>
          <w:spacing w:val="-9"/>
        </w:rPr>
        <w:t> </w:t>
      </w:r>
      <w:r>
        <w:rPr/>
        <w:t>müşteri</w:t>
      </w:r>
      <w:r>
        <w:rPr>
          <w:spacing w:val="-10"/>
        </w:rPr>
        <w:t> </w:t>
      </w:r>
      <w:r>
        <w:rPr/>
        <w:t>profili</w:t>
      </w:r>
      <w:r>
        <w:rPr>
          <w:spacing w:val="-10"/>
        </w:rPr>
        <w:t> </w:t>
      </w:r>
      <w:r>
        <w:rPr/>
        <w:t>ve</w:t>
      </w:r>
      <w:r>
        <w:rPr>
          <w:spacing w:val="-10"/>
        </w:rPr>
        <w:t> </w:t>
      </w:r>
      <w:r>
        <w:rPr/>
        <w:t>küreselleşen</w:t>
      </w:r>
      <w:r>
        <w:rPr>
          <w:spacing w:val="-9"/>
        </w:rPr>
        <w:t> </w:t>
      </w:r>
      <w:r>
        <w:rPr/>
        <w:t>dünya,</w:t>
      </w:r>
      <w:r>
        <w:rPr>
          <w:spacing w:val="-3"/>
        </w:rPr>
        <w:t> </w:t>
      </w:r>
      <w:r>
        <w:rPr/>
        <w:t>işletmeleri</w:t>
      </w:r>
      <w:r>
        <w:rPr>
          <w:spacing w:val="-10"/>
        </w:rPr>
        <w:t> </w:t>
      </w:r>
      <w:r>
        <w:rPr/>
        <w:t>yeniden</w:t>
      </w:r>
      <w:r>
        <w:rPr>
          <w:spacing w:val="-9"/>
        </w:rPr>
        <w:t> </w:t>
      </w:r>
      <w:r>
        <w:rPr/>
        <w:t>yapılandırmaya</w:t>
      </w:r>
      <w:r>
        <w:rPr>
          <w:spacing w:val="-10"/>
        </w:rPr>
        <w:t> </w:t>
      </w:r>
      <w:r>
        <w:rPr/>
        <w:t>ve</w:t>
      </w:r>
      <w:r>
        <w:rPr>
          <w:spacing w:val="-5"/>
        </w:rPr>
        <w:t> </w:t>
      </w:r>
      <w:r>
        <w:rPr/>
        <w:t>müşteri odaklı stratejiler geliştirmeye zorlamaktadır. Benzer ürün ve hizmetlerin ortaya çıkması, işletmeler arasındaki rekabet ortamını giderek arttırmaktadır (Kotler vd., 2019). Müşterileri, işletmenin merkezine</w:t>
      </w:r>
      <w:r>
        <w:rPr>
          <w:spacing w:val="-10"/>
        </w:rPr>
        <w:t> </w:t>
      </w:r>
      <w:r>
        <w:rPr/>
        <w:t>yerleştirerek,</w:t>
      </w:r>
      <w:r>
        <w:rPr>
          <w:spacing w:val="-5"/>
        </w:rPr>
        <w:t> </w:t>
      </w:r>
      <w:r>
        <w:rPr/>
        <w:t>memnuniyetin</w:t>
      </w:r>
      <w:r>
        <w:rPr>
          <w:spacing w:val="-9"/>
        </w:rPr>
        <w:t> </w:t>
      </w:r>
      <w:r>
        <w:rPr/>
        <w:t>yanında</w:t>
      </w:r>
      <w:r>
        <w:rPr>
          <w:spacing w:val="-5"/>
        </w:rPr>
        <w:t> </w:t>
      </w:r>
      <w:r>
        <w:rPr/>
        <w:t>onlara</w:t>
      </w:r>
      <w:r>
        <w:rPr>
          <w:spacing w:val="-10"/>
        </w:rPr>
        <w:t> </w:t>
      </w:r>
      <w:r>
        <w:rPr/>
        <w:t>değer</w:t>
      </w:r>
      <w:r>
        <w:rPr>
          <w:spacing w:val="-5"/>
        </w:rPr>
        <w:t> </w:t>
      </w:r>
      <w:r>
        <w:rPr/>
        <w:t>sağlamayı</w:t>
      </w:r>
      <w:r>
        <w:rPr>
          <w:spacing w:val="-5"/>
        </w:rPr>
        <w:t> </w:t>
      </w:r>
      <w:r>
        <w:rPr/>
        <w:t>hedefleyen</w:t>
      </w:r>
      <w:r>
        <w:rPr>
          <w:spacing w:val="-5"/>
        </w:rPr>
        <w:t> </w:t>
      </w:r>
      <w:r>
        <w:rPr/>
        <w:t>Müşteri</w:t>
      </w:r>
      <w:r>
        <w:rPr>
          <w:spacing w:val="-5"/>
        </w:rPr>
        <w:t> </w:t>
      </w:r>
      <w:r>
        <w:rPr/>
        <w:t>İlişkileri Yönetimi (Customer Relationship Management), beklentilerin dikkatlice yönetilmesi ve izlenmesi gerektiğini savunur (Frow ve Payne, 2009). Bu beklentilerin sürekli olarak karşılanması ve hizmet kalitesi standartlarının sunulması uzun vadede başarının anahtarını oluşturur (Grönroos, 2007). Bu alanda farklı görüşler olsa da müşteri hizmetleriyle ilgili müşteri algılarının, memnuniyeti etkileyeceği ve bu memnuniyetin gelecekteki tüketim davranışlarını belirleyeceği en yaygın kabul gören çerçevedir. Örneğin, sadakat ile tekrar satın alma niyeti arasındaki ilişki buna örnek gösterilebilir (Theodorakis vd., 2009).</w:t>
      </w:r>
    </w:p>
    <w:p>
      <w:pPr>
        <w:pStyle w:val="BodyText"/>
        <w:spacing w:line="360" w:lineRule="auto" w:before="162"/>
        <w:ind w:left="735" w:right="871" w:firstLine="710"/>
        <w:jc w:val="both"/>
      </w:pPr>
      <w:r>
        <w:rPr/>
        <w:t>Hizmet kalitesi ve müşteri memnuniyeti, tüketicilerin markalarla veya üreticilerle yaşadığı etkileşimler sonucunda yaptığı değerlendirmelerdir (Taylor ve Baker, 1994). Bu iki kavram benzer anlamlara sahip olsa da birbirinden farklıdır. Memnuniyet, genellikle tüketim sonrası yapılan bir genel değerlendirme olarak kabul edilirken, hizmet kalitesi, ürün veya hizmet sunumunun çeşitli yönlerinin çok boyutlu şekilde değerlendirilmesini içerir (Iacobucci vd., 1995). Tüketicilerin, ürün veya hizmetlerle ilgili hizmet kalitesine yönelik algıları, bunları gerçekten deneyimlemeden de gelişebilir (Theodorakis vd., 2009). Müşteri memnuniyeti ve özellikle satın alma işleminden önceki tüketici beklentileri, hizmet kalitesi algılarına bağlı olarak yüksek müşteri beklentilerine neden olabilir. Bu nedenle müşteri memnuniyeti, hizmet kalitesi algıları ve satın alma niyetleri arasındaki ilişkiyi kolaylaştırır (Taylor ve Baker, 1994).</w:t>
      </w:r>
    </w:p>
    <w:p>
      <w:pPr>
        <w:pStyle w:val="BodyText"/>
        <w:spacing w:line="360" w:lineRule="auto" w:before="157"/>
        <w:ind w:left="735" w:right="869" w:firstLine="710"/>
        <w:jc w:val="both"/>
      </w:pPr>
      <w:r>
        <w:rPr/>
        <w:t>Memnuniyet gibi tutumsal eylemlerin, müşterilerin davranışlarına paralel olarak geliştiği, bunun sonucunda bireylerin ihtiyaçlarını karşıladıkları sürece ürün ve hizmetler hakkında olumlu hissettiklerini gösteren alternatif görüşler vardır (Sharp, 2010). Davranıştan önce veya sonra gelişip gelişmediğine bakılmaksınız, olumlu tutumların tekrar satın almayla ilişkili olduğu açıktır, bu nedenle</w:t>
      </w:r>
      <w:r>
        <w:rPr>
          <w:spacing w:val="-5"/>
        </w:rPr>
        <w:t> </w:t>
      </w:r>
      <w:r>
        <w:rPr/>
        <w:t>müşteri</w:t>
      </w:r>
      <w:r>
        <w:rPr>
          <w:spacing w:val="-5"/>
        </w:rPr>
        <w:t> </w:t>
      </w:r>
      <w:r>
        <w:rPr/>
        <w:t>tutumlarının</w:t>
      </w:r>
      <w:r>
        <w:rPr>
          <w:spacing w:val="-3"/>
        </w:rPr>
        <w:t> </w:t>
      </w:r>
      <w:r>
        <w:rPr/>
        <w:t>anlaşılması</w:t>
      </w:r>
      <w:r>
        <w:rPr>
          <w:spacing w:val="-5"/>
        </w:rPr>
        <w:t> </w:t>
      </w:r>
      <w:r>
        <w:rPr/>
        <w:t>ve</w:t>
      </w:r>
      <w:r>
        <w:rPr>
          <w:spacing w:val="-5"/>
        </w:rPr>
        <w:t> </w:t>
      </w:r>
      <w:r>
        <w:rPr/>
        <w:t>yönetilmesi</w:t>
      </w:r>
      <w:r>
        <w:rPr>
          <w:spacing w:val="-5"/>
        </w:rPr>
        <w:t> </w:t>
      </w:r>
      <w:r>
        <w:rPr/>
        <w:t>önemlidir</w:t>
      </w:r>
      <w:r>
        <w:rPr>
          <w:spacing w:val="-3"/>
        </w:rPr>
        <w:t> </w:t>
      </w:r>
      <w:r>
        <w:rPr/>
        <w:t>(Doyle vd.,</w:t>
      </w:r>
      <w:r>
        <w:rPr>
          <w:spacing w:val="-3"/>
        </w:rPr>
        <w:t> </w:t>
      </w:r>
      <w:r>
        <w:rPr/>
        <w:t>2013).</w:t>
      </w:r>
      <w:r>
        <w:rPr>
          <w:spacing w:val="-3"/>
        </w:rPr>
        <w:t> </w:t>
      </w:r>
      <w:r>
        <w:rPr/>
        <w:t>Ayrıca,</w:t>
      </w:r>
      <w:r>
        <w:rPr>
          <w:spacing w:val="-3"/>
        </w:rPr>
        <w:t> </w:t>
      </w:r>
      <w:r>
        <w:rPr/>
        <w:t>birçok pazarda tüketici memnuniyeti ile tekrar satın alma davranışı arasında doğrusal bir ilişki olduğu belirtilmesine rağmen, ürün ve hizmetlerin duygusal yönüne dikkat edilmemesi (Schoefer, 2008) ya da spor ürünlerinde olduğu gibi geleneksel pazarlardan farklı ele alınmaması sonucunda memnun müşterilerinde kaybedilebileceğini gösteren çalışmalar vardır (Oliver, 1999).</w:t>
      </w:r>
    </w:p>
    <w:p>
      <w:pPr>
        <w:pStyle w:val="BodyText"/>
        <w:spacing w:line="360" w:lineRule="auto" w:before="165"/>
        <w:ind w:left="735" w:right="871" w:firstLine="710"/>
        <w:jc w:val="both"/>
      </w:pPr>
      <w:r>
        <w:rPr/>
        <w:t>Spor tüketicileri olarak taraftarların, geleneksel ürün ve hizmetleri tüketen bireylerden farklı olmasını bekleyebiliriz. Bireylerin bir spor takımı, oyuncusu ya da bunlarla ilişkili olan bir nesneye bağlılıkları, onların tutumlarının nadiren değişmesine olanak sağlar. Bir spor takımıyla psikolojik bağlılığı</w:t>
      </w:r>
      <w:r>
        <w:rPr>
          <w:spacing w:val="35"/>
        </w:rPr>
        <w:t> </w:t>
      </w:r>
      <w:r>
        <w:rPr/>
        <w:t>açıklayan</w:t>
      </w:r>
      <w:r>
        <w:rPr>
          <w:spacing w:val="38"/>
        </w:rPr>
        <w:t> </w:t>
      </w:r>
      <w:r>
        <w:rPr/>
        <w:t>takım</w:t>
      </w:r>
      <w:r>
        <w:rPr>
          <w:spacing w:val="42"/>
        </w:rPr>
        <w:t> </w:t>
      </w:r>
      <w:r>
        <w:rPr/>
        <w:t>özdeşleşmesi</w:t>
      </w:r>
      <w:r>
        <w:rPr>
          <w:spacing w:val="37"/>
        </w:rPr>
        <w:t> </w:t>
      </w:r>
      <w:r>
        <w:rPr/>
        <w:t>(Lock</w:t>
      </w:r>
      <w:r>
        <w:rPr>
          <w:spacing w:val="44"/>
        </w:rPr>
        <w:t> </w:t>
      </w:r>
      <w:r>
        <w:rPr/>
        <w:t>ve</w:t>
      </w:r>
      <w:r>
        <w:rPr>
          <w:spacing w:val="37"/>
        </w:rPr>
        <w:t> </w:t>
      </w:r>
      <w:r>
        <w:rPr/>
        <w:t>Heere,</w:t>
      </w:r>
      <w:r>
        <w:rPr>
          <w:spacing w:val="38"/>
        </w:rPr>
        <w:t> </w:t>
      </w:r>
      <w:r>
        <w:rPr/>
        <w:t>2017)</w:t>
      </w:r>
      <w:r>
        <w:rPr>
          <w:spacing w:val="38"/>
        </w:rPr>
        <w:t> </w:t>
      </w:r>
      <w:r>
        <w:rPr/>
        <w:t>ya</w:t>
      </w:r>
      <w:r>
        <w:rPr>
          <w:spacing w:val="42"/>
        </w:rPr>
        <w:t> </w:t>
      </w:r>
      <w:r>
        <w:rPr/>
        <w:t>da</w:t>
      </w:r>
      <w:r>
        <w:rPr>
          <w:spacing w:val="37"/>
        </w:rPr>
        <w:t> </w:t>
      </w:r>
      <w:r>
        <w:rPr/>
        <w:t>takımın</w:t>
      </w:r>
      <w:r>
        <w:rPr>
          <w:spacing w:val="38"/>
        </w:rPr>
        <w:t> </w:t>
      </w:r>
      <w:r>
        <w:rPr/>
        <w:t>farklı</w:t>
      </w:r>
      <w:r>
        <w:rPr>
          <w:spacing w:val="38"/>
        </w:rPr>
        <w:t> </w:t>
      </w:r>
      <w:r>
        <w:rPr>
          <w:spacing w:val="-2"/>
        </w:rPr>
        <w:t>özelliklerine</w:t>
      </w:r>
    </w:p>
    <w:p>
      <w:pPr>
        <w:spacing w:after="0" w:line="360" w:lineRule="auto"/>
        <w:jc w:val="both"/>
        <w:sectPr>
          <w:pgSz w:w="11910" w:h="16840"/>
          <w:pgMar w:header="442" w:footer="532" w:top="780" w:bottom="720" w:left="400" w:right="260"/>
        </w:sectPr>
      </w:pPr>
    </w:p>
    <w:p>
      <w:pPr>
        <w:pStyle w:val="BodyText"/>
        <w:spacing w:before="60"/>
      </w:pPr>
    </w:p>
    <w:p>
      <w:pPr>
        <w:pStyle w:val="BodyText"/>
        <w:spacing w:line="360" w:lineRule="auto" w:before="1"/>
        <w:ind w:left="735" w:right="867"/>
        <w:jc w:val="both"/>
      </w:pPr>
      <w:r>
        <w:rPr/>
        <w:t>duygusal sadakati açıklayan bağlılık noktaları (Woo vd., 2009) taraftarların hedonik faydalara daha fazla eğilim gösterdiğini kanıtlamaktadır. Bu noktada taraftarlar, ürün ve hizmetleri sağlayan spor takımlarına karşı nadiren tutumsal sadakatlerini değiştirirler (Wann ve James, 2018). Tatminkâr olmayan bir deneyime karşı başlıca tavırları tüketim düzeylerini azaltmak olacaktır (Laverie ve Arnett, 2000). Dolayısıyla taraftarlar, sezonluk bilet aboneliklerini yenilemek yerine günlük bilet alımlarına</w:t>
      </w:r>
      <w:r>
        <w:rPr>
          <w:spacing w:val="-1"/>
        </w:rPr>
        <w:t> </w:t>
      </w:r>
      <w:r>
        <w:rPr/>
        <w:t>geçiş ya da takımlarının maçlarını televizyondan izlemeye</w:t>
      </w:r>
      <w:r>
        <w:rPr>
          <w:spacing w:val="-1"/>
        </w:rPr>
        <w:t> </w:t>
      </w:r>
      <w:r>
        <w:rPr/>
        <w:t>yönelebilirler (McDonald vd., 2013). Bu durumda, tatmin edici bir sezonluk (kombine) bilet ürününün taraftarlara sunulması, organizasyonların başarısı açısından çok önemlidir.</w:t>
      </w:r>
    </w:p>
    <w:p>
      <w:pPr>
        <w:pStyle w:val="BodyText"/>
        <w:spacing w:line="360" w:lineRule="auto" w:before="159"/>
        <w:ind w:left="735" w:right="868" w:firstLine="710"/>
        <w:jc w:val="both"/>
      </w:pPr>
      <w:r>
        <w:rPr/>
        <w:t>Memnuniyet yönetimi, spor takımları için diğer piyasalardan çok daha önemli olsa da büyük olasılıkla daha karışıktır (Greenwell vd., 2002). Bizim de çalışmamızın konusunu profesyonel spor kulüpleri için sezonluk bilet paketi bileşenlerini belirleyen bir ölçme aracı olarak McDonald vd. (2013) tarafından geliştirilen, Sezonluk (Kombine) Bilet Sahipleri Memnuniyet Ölçeği (SBSMÖ) Türkçe formunun geçerlik ve güvenirliğini test etmektir.</w:t>
      </w:r>
    </w:p>
    <w:p>
      <w:pPr>
        <w:pStyle w:val="Heading1"/>
        <w:spacing w:before="161"/>
        <w:jc w:val="both"/>
      </w:pPr>
      <w:r>
        <w:rPr/>
        <w:t>Gereç</w:t>
      </w:r>
      <w:r>
        <w:rPr>
          <w:spacing w:val="-4"/>
        </w:rPr>
        <w:t> </w:t>
      </w:r>
      <w:r>
        <w:rPr/>
        <w:t>ve</w:t>
      </w:r>
      <w:r>
        <w:rPr>
          <w:spacing w:val="-3"/>
        </w:rPr>
        <w:t> </w:t>
      </w:r>
      <w:r>
        <w:rPr>
          <w:spacing w:val="-2"/>
        </w:rPr>
        <w:t>Yöntem</w:t>
      </w:r>
    </w:p>
    <w:p>
      <w:pPr>
        <w:pStyle w:val="BodyText"/>
        <w:spacing w:before="22"/>
        <w:rPr>
          <w:b/>
        </w:rPr>
      </w:pPr>
    </w:p>
    <w:p>
      <w:pPr>
        <w:pStyle w:val="Heading2"/>
        <w:rPr>
          <w:i/>
        </w:rPr>
      </w:pPr>
      <w:r>
        <w:rPr>
          <w:i/>
        </w:rPr>
        <w:t>Araştırmanın</w:t>
      </w:r>
      <w:r>
        <w:rPr>
          <w:i/>
          <w:spacing w:val="-6"/>
        </w:rPr>
        <w:t> </w:t>
      </w:r>
      <w:r>
        <w:rPr>
          <w:i/>
          <w:spacing w:val="-2"/>
        </w:rPr>
        <w:t>Modeli</w:t>
      </w:r>
    </w:p>
    <w:p>
      <w:pPr>
        <w:pStyle w:val="BodyText"/>
        <w:spacing w:before="23"/>
        <w:rPr>
          <w:b/>
          <w:i/>
        </w:rPr>
      </w:pPr>
    </w:p>
    <w:p>
      <w:pPr>
        <w:pStyle w:val="BodyText"/>
        <w:spacing w:line="360" w:lineRule="auto"/>
        <w:ind w:left="735" w:right="868" w:firstLine="710"/>
        <w:jc w:val="both"/>
      </w:pPr>
      <w:r>
        <w:rPr/>
        <w:t>Ölçeğin</w:t>
      </w:r>
      <w:r>
        <w:rPr>
          <w:spacing w:val="-3"/>
        </w:rPr>
        <w:t> </w:t>
      </w:r>
      <w:r>
        <w:rPr/>
        <w:t>Türk</w:t>
      </w:r>
      <w:r>
        <w:rPr>
          <w:spacing w:val="-8"/>
        </w:rPr>
        <w:t> </w:t>
      </w:r>
      <w:r>
        <w:rPr/>
        <w:t>kültürüne</w:t>
      </w:r>
      <w:r>
        <w:rPr>
          <w:spacing w:val="-10"/>
        </w:rPr>
        <w:t> </w:t>
      </w:r>
      <w:r>
        <w:rPr/>
        <w:t>uyarlanarak</w:t>
      </w:r>
      <w:r>
        <w:rPr>
          <w:spacing w:val="-3"/>
        </w:rPr>
        <w:t> </w:t>
      </w:r>
      <w:r>
        <w:rPr/>
        <w:t>Türkçe</w:t>
      </w:r>
      <w:r>
        <w:rPr>
          <w:spacing w:val="-5"/>
        </w:rPr>
        <w:t> </w:t>
      </w:r>
      <w:r>
        <w:rPr/>
        <w:t>formunun</w:t>
      </w:r>
      <w:r>
        <w:rPr>
          <w:spacing w:val="-9"/>
        </w:rPr>
        <w:t> </w:t>
      </w:r>
      <w:r>
        <w:rPr/>
        <w:t>oluşturulması</w:t>
      </w:r>
      <w:r>
        <w:rPr>
          <w:spacing w:val="-10"/>
        </w:rPr>
        <w:t> </w:t>
      </w:r>
      <w:r>
        <w:rPr/>
        <w:t>sırasında</w:t>
      </w:r>
      <w:r>
        <w:rPr>
          <w:spacing w:val="-10"/>
        </w:rPr>
        <w:t> </w:t>
      </w:r>
      <w:r>
        <w:rPr/>
        <w:t>(Brislin,</w:t>
      </w:r>
      <w:r>
        <w:rPr>
          <w:spacing w:val="-9"/>
        </w:rPr>
        <w:t> </w:t>
      </w:r>
      <w:r>
        <w:rPr/>
        <w:t>1980) tarafından belirtilen çeviri adımları takip edilmiştir. Ölçeğin orijinal formunda yer alan maddeler sırasıyla (İngilizce-Türkçe) çeviri ve (Türkçe-İngilizce) geri çevirileri yapılarak dil eşdeğerliliği sağlanmaya çalışılmıştır. Her iki dile hâkim dört çevirmen (2 mütercim tercümanlık bölümü, 2 bağımsız) tarafından çevrilen ölçek maddeleri spor yönetimi alanında uzman farklı araştırmacılar tarafından değerlendirilerek kavramsal ve anlamsal olarak karşılaştırılmıştır. Değerlendirme sonucunda anlam üzerinde fark yaratan ifadeler düzeltilerek ölçeğin son hali belirlenmiştir. Ölçekte yer alan maddelerin orijinal dil ile Türkçe’deki anlamları arasında herhangi bir fark olmadığının anlaşılması üzerine madde sayısının üç katı olan (Cattell, 1978) bir örneklem grubuna (55) uygulanarak pilot çalışma yapılmıştır. Geri bildirimler sonucunda sezonluk bilet sahibi taraftarların memnuniyetini belirleyebilen ölçeğin anlaşılır maddelerden oluştuğu ve Türk kültüründe kullanılmaya uygun olduğu belirlenmiştir.</w:t>
      </w:r>
    </w:p>
    <w:p>
      <w:pPr>
        <w:pStyle w:val="Heading2"/>
        <w:spacing w:before="159"/>
        <w:rPr>
          <w:i/>
        </w:rPr>
      </w:pPr>
      <w:r>
        <w:rPr>
          <w:i/>
        </w:rPr>
        <w:t>Evren</w:t>
      </w:r>
      <w:r>
        <w:rPr>
          <w:i/>
          <w:spacing w:val="-2"/>
        </w:rPr>
        <w:t> </w:t>
      </w:r>
      <w:r>
        <w:rPr>
          <w:i/>
        </w:rPr>
        <w:t>ve</w:t>
      </w:r>
      <w:r>
        <w:rPr>
          <w:i/>
          <w:spacing w:val="-4"/>
        </w:rPr>
        <w:t> </w:t>
      </w:r>
      <w:r>
        <w:rPr>
          <w:i/>
          <w:spacing w:val="-2"/>
        </w:rPr>
        <w:t>Örneklem</w:t>
      </w:r>
    </w:p>
    <w:p>
      <w:pPr>
        <w:pStyle w:val="BodyText"/>
        <w:spacing w:before="23"/>
        <w:rPr>
          <w:b/>
          <w:i/>
        </w:rPr>
      </w:pPr>
    </w:p>
    <w:p>
      <w:pPr>
        <w:pStyle w:val="BodyText"/>
        <w:spacing w:line="360" w:lineRule="auto"/>
        <w:ind w:left="735" w:right="870" w:firstLine="710"/>
        <w:jc w:val="both"/>
      </w:pPr>
      <w:r>
        <w:rPr/>
        <w:t>Çalışmanın örneklem grubunu, Türkiye profesyonel futbol liglerinde yer alan spor takımlarının 298 sezonluk bilet sahibi taraftar oluşturmaktadır (Tablo 1). Araştırma sezonluk bilet sahibi taraftarlarla sınırlandırılmış ve bu doğrultuda amaçlı örneklem yöntemi ile seçilmiş gönüllü taraftarlar çalışmaya katılmıştır (Altunışık vd., 2010). Örneklem büyüklüğü konusunda farklı yaklaşımlar</w:t>
      </w:r>
      <w:r>
        <w:rPr>
          <w:spacing w:val="24"/>
        </w:rPr>
        <w:t> </w:t>
      </w:r>
      <w:r>
        <w:rPr/>
        <w:t>olmasına</w:t>
      </w:r>
      <w:r>
        <w:rPr>
          <w:spacing w:val="25"/>
        </w:rPr>
        <w:t> </w:t>
      </w:r>
      <w:r>
        <w:rPr/>
        <w:t>rağmen,</w:t>
      </w:r>
      <w:r>
        <w:rPr>
          <w:spacing w:val="26"/>
        </w:rPr>
        <w:t> </w:t>
      </w:r>
      <w:r>
        <w:rPr/>
        <w:t>Pituch</w:t>
      </w:r>
      <w:r>
        <w:rPr>
          <w:spacing w:val="26"/>
        </w:rPr>
        <w:t> </w:t>
      </w:r>
      <w:r>
        <w:rPr/>
        <w:t>ve</w:t>
      </w:r>
      <w:r>
        <w:rPr>
          <w:spacing w:val="25"/>
        </w:rPr>
        <w:t> </w:t>
      </w:r>
      <w:r>
        <w:rPr/>
        <w:t>Stevens</w:t>
      </w:r>
      <w:r>
        <w:rPr>
          <w:spacing w:val="28"/>
        </w:rPr>
        <w:t> </w:t>
      </w:r>
      <w:r>
        <w:rPr/>
        <w:t>(2015)’e</w:t>
      </w:r>
      <w:r>
        <w:rPr>
          <w:spacing w:val="26"/>
        </w:rPr>
        <w:t> </w:t>
      </w:r>
      <w:r>
        <w:rPr/>
        <w:t>göre</w:t>
      </w:r>
      <w:r>
        <w:rPr>
          <w:spacing w:val="25"/>
        </w:rPr>
        <w:t> </w:t>
      </w:r>
      <w:r>
        <w:rPr/>
        <w:t>ölçekteki</w:t>
      </w:r>
      <w:r>
        <w:rPr>
          <w:spacing w:val="25"/>
        </w:rPr>
        <w:t> </w:t>
      </w:r>
      <w:r>
        <w:rPr/>
        <w:t>madde</w:t>
      </w:r>
      <w:r>
        <w:rPr>
          <w:spacing w:val="25"/>
        </w:rPr>
        <w:t> </w:t>
      </w:r>
      <w:r>
        <w:rPr/>
        <w:t>sayısının</w:t>
      </w:r>
      <w:r>
        <w:rPr>
          <w:spacing w:val="26"/>
        </w:rPr>
        <w:t> </w:t>
      </w:r>
      <w:r>
        <w:rPr/>
        <w:t>15</w:t>
      </w:r>
      <w:r>
        <w:rPr>
          <w:spacing w:val="27"/>
        </w:rPr>
        <w:t> </w:t>
      </w:r>
      <w:r>
        <w:rPr>
          <w:spacing w:val="-4"/>
        </w:rPr>
        <w:t>katı</w:t>
      </w:r>
    </w:p>
    <w:p>
      <w:pPr>
        <w:spacing w:after="0" w:line="360" w:lineRule="auto"/>
        <w:jc w:val="both"/>
        <w:sectPr>
          <w:pgSz w:w="11910" w:h="16840"/>
          <w:pgMar w:header="442" w:footer="532" w:top="780" w:bottom="720" w:left="400" w:right="260"/>
        </w:sectPr>
      </w:pPr>
    </w:p>
    <w:p>
      <w:pPr>
        <w:pStyle w:val="BodyText"/>
        <w:spacing w:before="60"/>
      </w:pPr>
    </w:p>
    <w:p>
      <w:pPr>
        <w:pStyle w:val="BodyText"/>
        <w:spacing w:line="360" w:lineRule="auto" w:before="1"/>
        <w:ind w:left="735" w:right="870"/>
        <w:jc w:val="both"/>
      </w:pPr>
      <w:r>
        <w:rPr/>
        <w:t>kadar olan örneklemin yeterli olduğunu belirtirken, Kline (2023) çok değişkenli analizlerin yapılabilmesi için n&gt;200’ün yeterli sayıda olacağını ifade etmektedir. Bu kapsamda, 17 maddeden oluşan ölçüm aracımız için mevcut çalışmada ulaşılan örneklem sayısının (298) yeterli olduğu düşünülmektedir. Araştırmaya katılan taraftarların (%96.6)’sı erkek; (%51.3)’ü bekar; (%72.1)’nin eğitim düzeyinin üniversite olduğu ve (%54)’nün iki haftada bir maçlara katıldığı belirlenmiştir. Ayrıca taraftarların yaş ortalamaları 31.25±6.56 olarak tespit edilmiştir.</w:t>
      </w:r>
    </w:p>
    <w:p>
      <w:pPr>
        <w:pStyle w:val="BodyText"/>
        <w:spacing w:before="161"/>
        <w:ind w:left="735"/>
        <w:jc w:val="both"/>
      </w:pPr>
      <w:r>
        <w:rPr/>
        <w:t>Tablo</w:t>
      </w:r>
      <w:r>
        <w:rPr>
          <w:spacing w:val="-6"/>
        </w:rPr>
        <w:t> </w:t>
      </w:r>
      <w:r>
        <w:rPr>
          <w:spacing w:val="-10"/>
        </w:rPr>
        <w:t>1</w:t>
      </w:r>
    </w:p>
    <w:p>
      <w:pPr>
        <w:pStyle w:val="BodyText"/>
        <w:spacing w:before="135"/>
        <w:ind w:left="735"/>
        <w:jc w:val="both"/>
      </w:pPr>
      <w:r>
        <w:rPr/>
        <w:t>Araştırmaya</w:t>
      </w:r>
      <w:r>
        <w:rPr>
          <w:spacing w:val="-6"/>
        </w:rPr>
        <w:t> </w:t>
      </w:r>
      <w:r>
        <w:rPr/>
        <w:t>Katılan</w:t>
      </w:r>
      <w:r>
        <w:rPr>
          <w:spacing w:val="-4"/>
        </w:rPr>
        <w:t> </w:t>
      </w:r>
      <w:r>
        <w:rPr/>
        <w:t>Taraftarların</w:t>
      </w:r>
      <w:r>
        <w:rPr>
          <w:spacing w:val="-4"/>
        </w:rPr>
        <w:t> </w:t>
      </w:r>
      <w:r>
        <w:rPr/>
        <w:t>Demografik</w:t>
      </w:r>
      <w:r>
        <w:rPr>
          <w:spacing w:val="-4"/>
        </w:rPr>
        <w:t> </w:t>
      </w:r>
      <w:r>
        <w:rPr/>
        <w:t>Özelliklere</w:t>
      </w:r>
      <w:r>
        <w:rPr>
          <w:spacing w:val="-2"/>
        </w:rPr>
        <w:t> </w:t>
      </w:r>
      <w:r>
        <w:rPr/>
        <w:t>Göre</w:t>
      </w:r>
      <w:r>
        <w:rPr>
          <w:spacing w:val="-5"/>
        </w:rPr>
        <w:t> </w:t>
      </w:r>
      <w:r>
        <w:rPr>
          <w:spacing w:val="-2"/>
        </w:rPr>
        <w:t>Dağılımı</w:t>
      </w:r>
    </w:p>
    <w:p>
      <w:pPr>
        <w:pStyle w:val="BodyText"/>
        <w:rPr>
          <w:sz w:val="12"/>
        </w:rPr>
      </w:pPr>
    </w:p>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8"/>
        <w:gridCol w:w="3552"/>
        <w:gridCol w:w="2290"/>
        <w:gridCol w:w="1473"/>
      </w:tblGrid>
      <w:tr>
        <w:trPr>
          <w:trHeight w:val="232" w:hRule="atLeast"/>
        </w:trPr>
        <w:tc>
          <w:tcPr>
            <w:tcW w:w="2438" w:type="dxa"/>
            <w:tcBorders>
              <w:top w:val="single" w:sz="4" w:space="0" w:color="000000"/>
            </w:tcBorders>
          </w:tcPr>
          <w:p>
            <w:pPr>
              <w:pStyle w:val="TableParagraph"/>
              <w:rPr>
                <w:sz w:val="16"/>
              </w:rPr>
            </w:pPr>
          </w:p>
        </w:tc>
        <w:tc>
          <w:tcPr>
            <w:tcW w:w="3552" w:type="dxa"/>
            <w:tcBorders>
              <w:top w:val="single" w:sz="4" w:space="0" w:color="000000"/>
            </w:tcBorders>
          </w:tcPr>
          <w:p>
            <w:pPr>
              <w:pStyle w:val="TableParagraph"/>
              <w:spacing w:line="213" w:lineRule="exact"/>
              <w:ind w:left="823"/>
              <w:rPr>
                <w:sz w:val="20"/>
              </w:rPr>
            </w:pPr>
            <w:r>
              <w:rPr>
                <w:spacing w:val="-4"/>
                <w:sz w:val="20"/>
              </w:rPr>
              <w:t>Min.</w:t>
            </w:r>
          </w:p>
        </w:tc>
        <w:tc>
          <w:tcPr>
            <w:tcW w:w="2290" w:type="dxa"/>
            <w:tcBorders>
              <w:top w:val="single" w:sz="4" w:space="0" w:color="000000"/>
            </w:tcBorders>
          </w:tcPr>
          <w:p>
            <w:pPr>
              <w:pStyle w:val="TableParagraph"/>
              <w:rPr>
                <w:sz w:val="16"/>
              </w:rPr>
            </w:pPr>
          </w:p>
        </w:tc>
        <w:tc>
          <w:tcPr>
            <w:tcW w:w="1473" w:type="dxa"/>
            <w:tcBorders>
              <w:top w:val="single" w:sz="4" w:space="0" w:color="000000"/>
            </w:tcBorders>
          </w:tcPr>
          <w:p>
            <w:pPr>
              <w:pStyle w:val="TableParagraph"/>
              <w:spacing w:line="213" w:lineRule="exact"/>
              <w:ind w:left="393"/>
              <w:rPr>
                <w:sz w:val="20"/>
              </w:rPr>
            </w:pPr>
            <w:r>
              <w:rPr>
                <w:spacing w:val="-5"/>
                <w:sz w:val="20"/>
              </w:rPr>
              <w:t>18</w:t>
            </w:r>
          </w:p>
        </w:tc>
      </w:tr>
      <w:tr>
        <w:trPr>
          <w:trHeight w:val="230" w:hRule="atLeast"/>
        </w:trPr>
        <w:tc>
          <w:tcPr>
            <w:tcW w:w="2438" w:type="dxa"/>
          </w:tcPr>
          <w:p>
            <w:pPr>
              <w:pStyle w:val="TableParagraph"/>
              <w:spacing w:line="210" w:lineRule="exact"/>
              <w:ind w:left="15"/>
              <w:rPr>
                <w:b/>
                <w:sz w:val="20"/>
              </w:rPr>
            </w:pPr>
            <w:r>
              <w:rPr>
                <w:b/>
                <w:spacing w:val="-5"/>
                <w:sz w:val="20"/>
              </w:rPr>
              <w:t>Yaş</w:t>
            </w:r>
          </w:p>
        </w:tc>
        <w:tc>
          <w:tcPr>
            <w:tcW w:w="3552" w:type="dxa"/>
          </w:tcPr>
          <w:p>
            <w:pPr>
              <w:pStyle w:val="TableParagraph"/>
              <w:spacing w:line="210" w:lineRule="exact"/>
              <w:ind w:left="823"/>
              <w:rPr>
                <w:sz w:val="20"/>
              </w:rPr>
            </w:pPr>
            <w:r>
              <w:rPr>
                <w:spacing w:val="-2"/>
                <w:sz w:val="20"/>
              </w:rPr>
              <w:t>Maks.</w:t>
            </w:r>
          </w:p>
        </w:tc>
        <w:tc>
          <w:tcPr>
            <w:tcW w:w="2290" w:type="dxa"/>
          </w:tcPr>
          <w:p>
            <w:pPr>
              <w:pStyle w:val="TableParagraph"/>
              <w:rPr>
                <w:sz w:val="16"/>
              </w:rPr>
            </w:pPr>
          </w:p>
        </w:tc>
        <w:tc>
          <w:tcPr>
            <w:tcW w:w="1473" w:type="dxa"/>
          </w:tcPr>
          <w:p>
            <w:pPr>
              <w:pStyle w:val="TableParagraph"/>
              <w:spacing w:line="210" w:lineRule="exact"/>
              <w:ind w:left="393"/>
              <w:rPr>
                <w:sz w:val="20"/>
              </w:rPr>
            </w:pPr>
            <w:r>
              <w:rPr>
                <w:spacing w:val="-5"/>
                <w:sz w:val="20"/>
              </w:rPr>
              <w:t>50</w:t>
            </w:r>
          </w:p>
        </w:tc>
      </w:tr>
      <w:tr>
        <w:trPr>
          <w:trHeight w:val="227" w:hRule="atLeast"/>
        </w:trPr>
        <w:tc>
          <w:tcPr>
            <w:tcW w:w="2438" w:type="dxa"/>
            <w:tcBorders>
              <w:bottom w:val="single" w:sz="4" w:space="0" w:color="000000"/>
            </w:tcBorders>
          </w:tcPr>
          <w:p>
            <w:pPr>
              <w:pStyle w:val="TableParagraph"/>
              <w:rPr>
                <w:sz w:val="16"/>
              </w:rPr>
            </w:pPr>
          </w:p>
        </w:tc>
        <w:tc>
          <w:tcPr>
            <w:tcW w:w="3552" w:type="dxa"/>
            <w:tcBorders>
              <w:bottom w:val="single" w:sz="4" w:space="0" w:color="000000"/>
            </w:tcBorders>
          </w:tcPr>
          <w:p>
            <w:pPr>
              <w:pStyle w:val="TableParagraph"/>
              <w:spacing w:line="207" w:lineRule="exact"/>
              <w:ind w:left="823"/>
              <w:rPr>
                <w:sz w:val="20"/>
              </w:rPr>
            </w:pPr>
            <w:r>
              <w:rPr>
                <w:spacing w:val="-4"/>
                <w:sz w:val="20"/>
              </w:rPr>
              <w:t>Ort.</w:t>
            </w:r>
          </w:p>
        </w:tc>
        <w:tc>
          <w:tcPr>
            <w:tcW w:w="2290" w:type="dxa"/>
            <w:tcBorders>
              <w:bottom w:val="single" w:sz="4" w:space="0" w:color="000000"/>
            </w:tcBorders>
          </w:tcPr>
          <w:p>
            <w:pPr>
              <w:pStyle w:val="TableParagraph"/>
              <w:rPr>
                <w:sz w:val="16"/>
              </w:rPr>
            </w:pPr>
          </w:p>
        </w:tc>
        <w:tc>
          <w:tcPr>
            <w:tcW w:w="1473" w:type="dxa"/>
            <w:tcBorders>
              <w:bottom w:val="single" w:sz="4" w:space="0" w:color="000000"/>
            </w:tcBorders>
          </w:tcPr>
          <w:p>
            <w:pPr>
              <w:pStyle w:val="TableParagraph"/>
              <w:spacing w:line="207" w:lineRule="exact"/>
              <w:ind w:left="393"/>
              <w:rPr>
                <w:sz w:val="20"/>
              </w:rPr>
            </w:pPr>
            <w:r>
              <w:rPr>
                <w:spacing w:val="-2"/>
                <w:sz w:val="20"/>
              </w:rPr>
              <w:t>31.25</w:t>
            </w:r>
          </w:p>
        </w:tc>
      </w:tr>
      <w:tr>
        <w:trPr>
          <w:trHeight w:val="230" w:hRule="atLeast"/>
        </w:trPr>
        <w:tc>
          <w:tcPr>
            <w:tcW w:w="2438" w:type="dxa"/>
            <w:tcBorders>
              <w:top w:val="single" w:sz="4" w:space="0" w:color="000000"/>
              <w:bottom w:val="single" w:sz="4" w:space="0" w:color="000000"/>
            </w:tcBorders>
          </w:tcPr>
          <w:p>
            <w:pPr>
              <w:pStyle w:val="TableParagraph"/>
              <w:rPr>
                <w:sz w:val="16"/>
              </w:rPr>
            </w:pPr>
          </w:p>
        </w:tc>
        <w:tc>
          <w:tcPr>
            <w:tcW w:w="3552" w:type="dxa"/>
            <w:tcBorders>
              <w:top w:val="single" w:sz="4" w:space="0" w:color="000000"/>
              <w:bottom w:val="single" w:sz="4" w:space="0" w:color="000000"/>
            </w:tcBorders>
          </w:tcPr>
          <w:p>
            <w:pPr>
              <w:pStyle w:val="TableParagraph"/>
              <w:rPr>
                <w:sz w:val="16"/>
              </w:rPr>
            </w:pPr>
          </w:p>
        </w:tc>
        <w:tc>
          <w:tcPr>
            <w:tcW w:w="2290" w:type="dxa"/>
            <w:tcBorders>
              <w:top w:val="single" w:sz="4" w:space="0" w:color="000000"/>
              <w:bottom w:val="single" w:sz="4" w:space="0" w:color="000000"/>
            </w:tcBorders>
          </w:tcPr>
          <w:p>
            <w:pPr>
              <w:pStyle w:val="TableParagraph"/>
              <w:spacing w:line="210" w:lineRule="exact"/>
              <w:ind w:left="1598"/>
              <w:rPr>
                <w:b/>
                <w:sz w:val="20"/>
              </w:rPr>
            </w:pPr>
            <w:r>
              <w:rPr>
                <w:b/>
                <w:spacing w:val="-10"/>
                <w:sz w:val="20"/>
              </w:rPr>
              <w:t>N</w:t>
            </w:r>
          </w:p>
        </w:tc>
        <w:tc>
          <w:tcPr>
            <w:tcW w:w="1473" w:type="dxa"/>
            <w:tcBorders>
              <w:top w:val="single" w:sz="4" w:space="0" w:color="000000"/>
              <w:bottom w:val="single" w:sz="4" w:space="0" w:color="000000"/>
            </w:tcBorders>
          </w:tcPr>
          <w:p>
            <w:pPr>
              <w:pStyle w:val="TableParagraph"/>
              <w:spacing w:line="210" w:lineRule="exact"/>
              <w:ind w:left="393"/>
              <w:rPr>
                <w:b/>
                <w:sz w:val="20"/>
              </w:rPr>
            </w:pPr>
            <w:r>
              <w:rPr>
                <w:b/>
                <w:spacing w:val="-10"/>
                <w:sz w:val="20"/>
              </w:rPr>
              <w:t>%</w:t>
            </w:r>
          </w:p>
        </w:tc>
      </w:tr>
      <w:tr>
        <w:trPr>
          <w:trHeight w:val="227" w:hRule="atLeast"/>
        </w:trPr>
        <w:tc>
          <w:tcPr>
            <w:tcW w:w="2438" w:type="dxa"/>
            <w:vMerge w:val="restart"/>
            <w:tcBorders>
              <w:top w:val="single" w:sz="4" w:space="0" w:color="000000"/>
              <w:bottom w:val="single" w:sz="4" w:space="0" w:color="000000"/>
            </w:tcBorders>
          </w:tcPr>
          <w:p>
            <w:pPr>
              <w:pStyle w:val="TableParagraph"/>
              <w:spacing w:before="113"/>
              <w:ind w:left="15"/>
              <w:rPr>
                <w:b/>
                <w:sz w:val="20"/>
              </w:rPr>
            </w:pPr>
            <w:r>
              <w:rPr>
                <w:b/>
                <w:spacing w:val="-2"/>
                <w:sz w:val="20"/>
              </w:rPr>
              <w:t>Cinsiyet</w:t>
            </w:r>
          </w:p>
        </w:tc>
        <w:tc>
          <w:tcPr>
            <w:tcW w:w="3552" w:type="dxa"/>
            <w:tcBorders>
              <w:top w:val="single" w:sz="4" w:space="0" w:color="000000"/>
            </w:tcBorders>
          </w:tcPr>
          <w:p>
            <w:pPr>
              <w:pStyle w:val="TableParagraph"/>
              <w:spacing w:line="208" w:lineRule="exact"/>
              <w:ind w:left="823"/>
              <w:rPr>
                <w:sz w:val="20"/>
              </w:rPr>
            </w:pPr>
            <w:r>
              <w:rPr>
                <w:spacing w:val="-2"/>
                <w:sz w:val="20"/>
              </w:rPr>
              <w:t>Kadın</w:t>
            </w:r>
          </w:p>
        </w:tc>
        <w:tc>
          <w:tcPr>
            <w:tcW w:w="2290" w:type="dxa"/>
            <w:tcBorders>
              <w:top w:val="single" w:sz="4" w:space="0" w:color="000000"/>
            </w:tcBorders>
          </w:tcPr>
          <w:p>
            <w:pPr>
              <w:pStyle w:val="TableParagraph"/>
              <w:spacing w:line="208" w:lineRule="exact"/>
              <w:ind w:left="1598"/>
              <w:rPr>
                <w:sz w:val="20"/>
              </w:rPr>
            </w:pPr>
            <w:r>
              <w:rPr>
                <w:spacing w:val="-5"/>
                <w:sz w:val="20"/>
              </w:rPr>
              <w:t>10</w:t>
            </w:r>
          </w:p>
        </w:tc>
        <w:tc>
          <w:tcPr>
            <w:tcW w:w="1473" w:type="dxa"/>
            <w:tcBorders>
              <w:top w:val="single" w:sz="4" w:space="0" w:color="000000"/>
            </w:tcBorders>
          </w:tcPr>
          <w:p>
            <w:pPr>
              <w:pStyle w:val="TableParagraph"/>
              <w:spacing w:line="208" w:lineRule="exact"/>
              <w:ind w:left="393"/>
              <w:rPr>
                <w:sz w:val="20"/>
              </w:rPr>
            </w:pPr>
            <w:r>
              <w:rPr>
                <w:spacing w:val="-5"/>
                <w:sz w:val="20"/>
              </w:rPr>
              <w:t>3.4</w:t>
            </w:r>
          </w:p>
        </w:tc>
      </w:tr>
      <w:tr>
        <w:trPr>
          <w:trHeight w:val="222" w:hRule="atLeast"/>
        </w:trPr>
        <w:tc>
          <w:tcPr>
            <w:tcW w:w="2438" w:type="dxa"/>
            <w:vMerge/>
            <w:tcBorders>
              <w:top w:val="nil"/>
              <w:bottom w:val="single" w:sz="4" w:space="0" w:color="000000"/>
            </w:tcBorders>
          </w:tcPr>
          <w:p>
            <w:pPr>
              <w:rPr>
                <w:sz w:val="2"/>
                <w:szCs w:val="2"/>
              </w:rPr>
            </w:pPr>
          </w:p>
        </w:tc>
        <w:tc>
          <w:tcPr>
            <w:tcW w:w="3552" w:type="dxa"/>
            <w:tcBorders>
              <w:bottom w:val="single" w:sz="4" w:space="0" w:color="000000"/>
            </w:tcBorders>
          </w:tcPr>
          <w:p>
            <w:pPr>
              <w:pStyle w:val="TableParagraph"/>
              <w:spacing w:line="203" w:lineRule="exact"/>
              <w:ind w:left="823"/>
              <w:rPr>
                <w:sz w:val="20"/>
              </w:rPr>
            </w:pPr>
            <w:r>
              <w:rPr>
                <w:spacing w:val="-2"/>
                <w:sz w:val="20"/>
              </w:rPr>
              <w:t>Erkek</w:t>
            </w:r>
          </w:p>
        </w:tc>
        <w:tc>
          <w:tcPr>
            <w:tcW w:w="2290" w:type="dxa"/>
            <w:tcBorders>
              <w:bottom w:val="single" w:sz="4" w:space="0" w:color="000000"/>
            </w:tcBorders>
          </w:tcPr>
          <w:p>
            <w:pPr>
              <w:pStyle w:val="TableParagraph"/>
              <w:spacing w:line="203" w:lineRule="exact"/>
              <w:ind w:left="1598"/>
              <w:rPr>
                <w:sz w:val="20"/>
              </w:rPr>
            </w:pPr>
            <w:r>
              <w:rPr>
                <w:spacing w:val="-5"/>
                <w:sz w:val="20"/>
              </w:rPr>
              <w:t>288</w:t>
            </w:r>
          </w:p>
        </w:tc>
        <w:tc>
          <w:tcPr>
            <w:tcW w:w="1473" w:type="dxa"/>
            <w:tcBorders>
              <w:bottom w:val="single" w:sz="4" w:space="0" w:color="000000"/>
            </w:tcBorders>
          </w:tcPr>
          <w:p>
            <w:pPr>
              <w:pStyle w:val="TableParagraph"/>
              <w:spacing w:line="203" w:lineRule="exact"/>
              <w:ind w:left="393"/>
              <w:rPr>
                <w:sz w:val="20"/>
              </w:rPr>
            </w:pPr>
            <w:r>
              <w:rPr>
                <w:spacing w:val="-4"/>
                <w:sz w:val="20"/>
              </w:rPr>
              <w:t>96.6</w:t>
            </w:r>
          </w:p>
        </w:tc>
      </w:tr>
      <w:tr>
        <w:trPr>
          <w:trHeight w:val="232" w:hRule="atLeast"/>
        </w:trPr>
        <w:tc>
          <w:tcPr>
            <w:tcW w:w="2438" w:type="dxa"/>
            <w:tcBorders>
              <w:top w:val="single" w:sz="4" w:space="0" w:color="000000"/>
            </w:tcBorders>
          </w:tcPr>
          <w:p>
            <w:pPr>
              <w:pStyle w:val="TableParagraph"/>
              <w:rPr>
                <w:sz w:val="16"/>
              </w:rPr>
            </w:pPr>
          </w:p>
        </w:tc>
        <w:tc>
          <w:tcPr>
            <w:tcW w:w="3552" w:type="dxa"/>
            <w:tcBorders>
              <w:top w:val="single" w:sz="4" w:space="0" w:color="000000"/>
            </w:tcBorders>
          </w:tcPr>
          <w:p>
            <w:pPr>
              <w:pStyle w:val="TableParagraph"/>
              <w:spacing w:line="213" w:lineRule="exact"/>
              <w:ind w:left="823"/>
              <w:rPr>
                <w:sz w:val="20"/>
              </w:rPr>
            </w:pPr>
            <w:r>
              <w:rPr>
                <w:spacing w:val="-4"/>
                <w:sz w:val="20"/>
              </w:rPr>
              <w:t>Lise</w:t>
            </w:r>
          </w:p>
        </w:tc>
        <w:tc>
          <w:tcPr>
            <w:tcW w:w="2290" w:type="dxa"/>
            <w:tcBorders>
              <w:top w:val="single" w:sz="4" w:space="0" w:color="000000"/>
            </w:tcBorders>
          </w:tcPr>
          <w:p>
            <w:pPr>
              <w:pStyle w:val="TableParagraph"/>
              <w:spacing w:line="213" w:lineRule="exact"/>
              <w:ind w:left="1598"/>
              <w:rPr>
                <w:sz w:val="20"/>
              </w:rPr>
            </w:pPr>
            <w:r>
              <w:rPr>
                <w:spacing w:val="-5"/>
                <w:sz w:val="20"/>
              </w:rPr>
              <w:t>33</w:t>
            </w:r>
          </w:p>
        </w:tc>
        <w:tc>
          <w:tcPr>
            <w:tcW w:w="1473" w:type="dxa"/>
            <w:tcBorders>
              <w:top w:val="single" w:sz="4" w:space="0" w:color="000000"/>
            </w:tcBorders>
          </w:tcPr>
          <w:p>
            <w:pPr>
              <w:pStyle w:val="TableParagraph"/>
              <w:spacing w:line="213" w:lineRule="exact"/>
              <w:ind w:left="393"/>
              <w:rPr>
                <w:sz w:val="20"/>
              </w:rPr>
            </w:pPr>
            <w:r>
              <w:rPr>
                <w:spacing w:val="-4"/>
                <w:sz w:val="20"/>
              </w:rPr>
              <w:t>11.1</w:t>
            </w:r>
          </w:p>
        </w:tc>
      </w:tr>
      <w:tr>
        <w:trPr>
          <w:trHeight w:val="230" w:hRule="atLeast"/>
        </w:trPr>
        <w:tc>
          <w:tcPr>
            <w:tcW w:w="2438" w:type="dxa"/>
          </w:tcPr>
          <w:p>
            <w:pPr>
              <w:pStyle w:val="TableParagraph"/>
              <w:spacing w:line="210" w:lineRule="exact"/>
              <w:ind w:left="15"/>
              <w:rPr>
                <w:b/>
                <w:sz w:val="20"/>
              </w:rPr>
            </w:pPr>
            <w:r>
              <w:rPr>
                <w:b/>
                <w:sz w:val="20"/>
              </w:rPr>
              <w:t>Eğitim</w:t>
            </w:r>
            <w:r>
              <w:rPr>
                <w:b/>
                <w:spacing w:val="-2"/>
                <w:sz w:val="20"/>
              </w:rPr>
              <w:t> Durumu</w:t>
            </w:r>
          </w:p>
        </w:tc>
        <w:tc>
          <w:tcPr>
            <w:tcW w:w="3552" w:type="dxa"/>
          </w:tcPr>
          <w:p>
            <w:pPr>
              <w:pStyle w:val="TableParagraph"/>
              <w:spacing w:line="210" w:lineRule="exact"/>
              <w:ind w:left="823"/>
              <w:rPr>
                <w:sz w:val="20"/>
              </w:rPr>
            </w:pPr>
            <w:r>
              <w:rPr>
                <w:spacing w:val="-2"/>
                <w:sz w:val="20"/>
              </w:rPr>
              <w:t>Üniversite</w:t>
            </w:r>
          </w:p>
        </w:tc>
        <w:tc>
          <w:tcPr>
            <w:tcW w:w="2290" w:type="dxa"/>
          </w:tcPr>
          <w:p>
            <w:pPr>
              <w:pStyle w:val="TableParagraph"/>
              <w:spacing w:line="210" w:lineRule="exact"/>
              <w:ind w:left="1598"/>
              <w:rPr>
                <w:sz w:val="20"/>
              </w:rPr>
            </w:pPr>
            <w:r>
              <w:rPr>
                <w:spacing w:val="-5"/>
                <w:sz w:val="20"/>
              </w:rPr>
              <w:t>215</w:t>
            </w:r>
          </w:p>
        </w:tc>
        <w:tc>
          <w:tcPr>
            <w:tcW w:w="1473" w:type="dxa"/>
          </w:tcPr>
          <w:p>
            <w:pPr>
              <w:pStyle w:val="TableParagraph"/>
              <w:spacing w:line="210" w:lineRule="exact"/>
              <w:ind w:left="393"/>
              <w:rPr>
                <w:sz w:val="20"/>
              </w:rPr>
            </w:pPr>
            <w:r>
              <w:rPr>
                <w:spacing w:val="-4"/>
                <w:sz w:val="20"/>
              </w:rPr>
              <w:t>72.1</w:t>
            </w:r>
          </w:p>
        </w:tc>
      </w:tr>
      <w:tr>
        <w:trPr>
          <w:trHeight w:val="227" w:hRule="atLeast"/>
        </w:trPr>
        <w:tc>
          <w:tcPr>
            <w:tcW w:w="2438" w:type="dxa"/>
            <w:tcBorders>
              <w:bottom w:val="single" w:sz="4" w:space="0" w:color="000000"/>
            </w:tcBorders>
          </w:tcPr>
          <w:p>
            <w:pPr>
              <w:pStyle w:val="TableParagraph"/>
              <w:rPr>
                <w:sz w:val="16"/>
              </w:rPr>
            </w:pPr>
          </w:p>
        </w:tc>
        <w:tc>
          <w:tcPr>
            <w:tcW w:w="3552" w:type="dxa"/>
            <w:tcBorders>
              <w:bottom w:val="single" w:sz="4" w:space="0" w:color="000000"/>
            </w:tcBorders>
          </w:tcPr>
          <w:p>
            <w:pPr>
              <w:pStyle w:val="TableParagraph"/>
              <w:spacing w:line="207" w:lineRule="exact"/>
              <w:ind w:left="823"/>
              <w:rPr>
                <w:sz w:val="20"/>
              </w:rPr>
            </w:pPr>
            <w:r>
              <w:rPr>
                <w:sz w:val="20"/>
              </w:rPr>
              <w:t>Lisans</w:t>
            </w:r>
            <w:r>
              <w:rPr>
                <w:spacing w:val="1"/>
                <w:sz w:val="20"/>
              </w:rPr>
              <w:t> </w:t>
            </w:r>
            <w:r>
              <w:rPr>
                <w:spacing w:val="-4"/>
                <w:sz w:val="20"/>
              </w:rPr>
              <w:t>üstü</w:t>
            </w:r>
          </w:p>
        </w:tc>
        <w:tc>
          <w:tcPr>
            <w:tcW w:w="2290" w:type="dxa"/>
            <w:tcBorders>
              <w:bottom w:val="single" w:sz="4" w:space="0" w:color="000000"/>
            </w:tcBorders>
          </w:tcPr>
          <w:p>
            <w:pPr>
              <w:pStyle w:val="TableParagraph"/>
              <w:spacing w:line="207" w:lineRule="exact"/>
              <w:ind w:left="1598"/>
              <w:rPr>
                <w:sz w:val="20"/>
              </w:rPr>
            </w:pPr>
            <w:r>
              <w:rPr>
                <w:spacing w:val="-5"/>
                <w:sz w:val="20"/>
              </w:rPr>
              <w:t>50</w:t>
            </w:r>
          </w:p>
        </w:tc>
        <w:tc>
          <w:tcPr>
            <w:tcW w:w="1473" w:type="dxa"/>
            <w:tcBorders>
              <w:bottom w:val="single" w:sz="4" w:space="0" w:color="000000"/>
            </w:tcBorders>
          </w:tcPr>
          <w:p>
            <w:pPr>
              <w:pStyle w:val="TableParagraph"/>
              <w:spacing w:line="207" w:lineRule="exact"/>
              <w:ind w:left="393"/>
              <w:rPr>
                <w:sz w:val="20"/>
              </w:rPr>
            </w:pPr>
            <w:r>
              <w:rPr>
                <w:spacing w:val="-4"/>
                <w:sz w:val="20"/>
              </w:rPr>
              <w:t>16.8</w:t>
            </w:r>
          </w:p>
        </w:tc>
      </w:tr>
      <w:tr>
        <w:trPr>
          <w:trHeight w:val="227" w:hRule="atLeast"/>
        </w:trPr>
        <w:tc>
          <w:tcPr>
            <w:tcW w:w="2438" w:type="dxa"/>
            <w:vMerge w:val="restart"/>
            <w:tcBorders>
              <w:top w:val="single" w:sz="4" w:space="0" w:color="000000"/>
              <w:bottom w:val="single" w:sz="4" w:space="0" w:color="000000"/>
            </w:tcBorders>
          </w:tcPr>
          <w:p>
            <w:pPr>
              <w:pStyle w:val="TableParagraph"/>
              <w:spacing w:before="113"/>
              <w:ind w:left="15"/>
              <w:rPr>
                <w:b/>
                <w:sz w:val="20"/>
              </w:rPr>
            </w:pPr>
            <w:r>
              <w:rPr>
                <w:b/>
                <w:sz w:val="20"/>
              </w:rPr>
              <w:t>Medeni</w:t>
            </w:r>
            <w:r>
              <w:rPr>
                <w:b/>
                <w:spacing w:val="-2"/>
                <w:sz w:val="20"/>
              </w:rPr>
              <w:t> Durum</w:t>
            </w:r>
          </w:p>
        </w:tc>
        <w:tc>
          <w:tcPr>
            <w:tcW w:w="3552" w:type="dxa"/>
            <w:tcBorders>
              <w:top w:val="single" w:sz="4" w:space="0" w:color="000000"/>
            </w:tcBorders>
          </w:tcPr>
          <w:p>
            <w:pPr>
              <w:pStyle w:val="TableParagraph"/>
              <w:spacing w:line="208" w:lineRule="exact"/>
              <w:ind w:left="823"/>
              <w:rPr>
                <w:sz w:val="20"/>
              </w:rPr>
            </w:pPr>
            <w:r>
              <w:rPr>
                <w:spacing w:val="-4"/>
                <w:sz w:val="20"/>
              </w:rPr>
              <w:t>Evli</w:t>
            </w:r>
          </w:p>
        </w:tc>
        <w:tc>
          <w:tcPr>
            <w:tcW w:w="2290" w:type="dxa"/>
            <w:tcBorders>
              <w:top w:val="single" w:sz="4" w:space="0" w:color="000000"/>
            </w:tcBorders>
          </w:tcPr>
          <w:p>
            <w:pPr>
              <w:pStyle w:val="TableParagraph"/>
              <w:spacing w:line="208" w:lineRule="exact"/>
              <w:ind w:left="1598"/>
              <w:rPr>
                <w:sz w:val="20"/>
              </w:rPr>
            </w:pPr>
            <w:r>
              <w:rPr>
                <w:spacing w:val="-5"/>
                <w:sz w:val="20"/>
              </w:rPr>
              <w:t>145</w:t>
            </w:r>
          </w:p>
        </w:tc>
        <w:tc>
          <w:tcPr>
            <w:tcW w:w="1473" w:type="dxa"/>
            <w:tcBorders>
              <w:top w:val="single" w:sz="4" w:space="0" w:color="000000"/>
            </w:tcBorders>
          </w:tcPr>
          <w:p>
            <w:pPr>
              <w:pStyle w:val="TableParagraph"/>
              <w:spacing w:line="208" w:lineRule="exact"/>
              <w:ind w:left="393"/>
              <w:rPr>
                <w:sz w:val="20"/>
              </w:rPr>
            </w:pPr>
            <w:r>
              <w:rPr>
                <w:spacing w:val="-4"/>
                <w:sz w:val="20"/>
              </w:rPr>
              <w:t>48.7</w:t>
            </w:r>
          </w:p>
        </w:tc>
      </w:tr>
      <w:tr>
        <w:trPr>
          <w:trHeight w:val="222" w:hRule="atLeast"/>
        </w:trPr>
        <w:tc>
          <w:tcPr>
            <w:tcW w:w="2438" w:type="dxa"/>
            <w:vMerge/>
            <w:tcBorders>
              <w:top w:val="nil"/>
              <w:bottom w:val="single" w:sz="4" w:space="0" w:color="000000"/>
            </w:tcBorders>
          </w:tcPr>
          <w:p>
            <w:pPr>
              <w:rPr>
                <w:sz w:val="2"/>
                <w:szCs w:val="2"/>
              </w:rPr>
            </w:pPr>
          </w:p>
        </w:tc>
        <w:tc>
          <w:tcPr>
            <w:tcW w:w="3552" w:type="dxa"/>
            <w:tcBorders>
              <w:bottom w:val="single" w:sz="4" w:space="0" w:color="000000"/>
            </w:tcBorders>
          </w:tcPr>
          <w:p>
            <w:pPr>
              <w:pStyle w:val="TableParagraph"/>
              <w:spacing w:line="202" w:lineRule="exact"/>
              <w:ind w:left="823"/>
              <w:rPr>
                <w:sz w:val="20"/>
              </w:rPr>
            </w:pPr>
            <w:r>
              <w:rPr>
                <w:spacing w:val="-2"/>
                <w:sz w:val="20"/>
              </w:rPr>
              <w:t>Bekar</w:t>
            </w:r>
          </w:p>
        </w:tc>
        <w:tc>
          <w:tcPr>
            <w:tcW w:w="2290" w:type="dxa"/>
            <w:tcBorders>
              <w:bottom w:val="single" w:sz="4" w:space="0" w:color="000000"/>
            </w:tcBorders>
          </w:tcPr>
          <w:p>
            <w:pPr>
              <w:pStyle w:val="TableParagraph"/>
              <w:spacing w:line="202" w:lineRule="exact"/>
              <w:ind w:left="1598"/>
              <w:rPr>
                <w:sz w:val="20"/>
              </w:rPr>
            </w:pPr>
            <w:r>
              <w:rPr>
                <w:spacing w:val="-5"/>
                <w:sz w:val="20"/>
              </w:rPr>
              <w:t>153</w:t>
            </w:r>
          </w:p>
        </w:tc>
        <w:tc>
          <w:tcPr>
            <w:tcW w:w="1473" w:type="dxa"/>
            <w:tcBorders>
              <w:bottom w:val="single" w:sz="4" w:space="0" w:color="000000"/>
            </w:tcBorders>
          </w:tcPr>
          <w:p>
            <w:pPr>
              <w:pStyle w:val="TableParagraph"/>
              <w:spacing w:line="202" w:lineRule="exact"/>
              <w:ind w:left="393"/>
              <w:rPr>
                <w:sz w:val="20"/>
              </w:rPr>
            </w:pPr>
            <w:r>
              <w:rPr>
                <w:spacing w:val="-4"/>
                <w:sz w:val="20"/>
              </w:rPr>
              <w:t>51.3</w:t>
            </w:r>
          </w:p>
        </w:tc>
      </w:tr>
      <w:tr>
        <w:trPr>
          <w:trHeight w:val="232" w:hRule="atLeast"/>
        </w:trPr>
        <w:tc>
          <w:tcPr>
            <w:tcW w:w="2438" w:type="dxa"/>
            <w:tcBorders>
              <w:top w:val="single" w:sz="4" w:space="0" w:color="000000"/>
            </w:tcBorders>
          </w:tcPr>
          <w:p>
            <w:pPr>
              <w:pStyle w:val="TableParagraph"/>
              <w:rPr>
                <w:sz w:val="16"/>
              </w:rPr>
            </w:pPr>
          </w:p>
        </w:tc>
        <w:tc>
          <w:tcPr>
            <w:tcW w:w="3552" w:type="dxa"/>
            <w:tcBorders>
              <w:top w:val="single" w:sz="4" w:space="0" w:color="000000"/>
            </w:tcBorders>
          </w:tcPr>
          <w:p>
            <w:pPr>
              <w:pStyle w:val="TableParagraph"/>
              <w:spacing w:line="213" w:lineRule="exact"/>
              <w:ind w:left="823"/>
              <w:rPr>
                <w:sz w:val="20"/>
              </w:rPr>
            </w:pPr>
            <w:r>
              <w:rPr>
                <w:sz w:val="20"/>
              </w:rPr>
              <w:t>Her</w:t>
            </w:r>
            <w:r>
              <w:rPr>
                <w:spacing w:val="-1"/>
                <w:sz w:val="20"/>
              </w:rPr>
              <w:t> </w:t>
            </w:r>
            <w:r>
              <w:rPr>
                <w:spacing w:val="-4"/>
                <w:sz w:val="20"/>
              </w:rPr>
              <w:t>hafta</w:t>
            </w:r>
          </w:p>
        </w:tc>
        <w:tc>
          <w:tcPr>
            <w:tcW w:w="2290" w:type="dxa"/>
            <w:tcBorders>
              <w:top w:val="single" w:sz="4" w:space="0" w:color="000000"/>
            </w:tcBorders>
          </w:tcPr>
          <w:p>
            <w:pPr>
              <w:pStyle w:val="TableParagraph"/>
              <w:spacing w:line="213" w:lineRule="exact"/>
              <w:ind w:left="1598"/>
              <w:rPr>
                <w:sz w:val="20"/>
              </w:rPr>
            </w:pPr>
            <w:r>
              <w:rPr>
                <w:spacing w:val="-5"/>
                <w:sz w:val="20"/>
              </w:rPr>
              <w:t>78</w:t>
            </w:r>
          </w:p>
        </w:tc>
        <w:tc>
          <w:tcPr>
            <w:tcW w:w="1473" w:type="dxa"/>
            <w:tcBorders>
              <w:top w:val="single" w:sz="4" w:space="0" w:color="000000"/>
            </w:tcBorders>
          </w:tcPr>
          <w:p>
            <w:pPr>
              <w:pStyle w:val="TableParagraph"/>
              <w:spacing w:line="213" w:lineRule="exact"/>
              <w:ind w:left="393"/>
              <w:rPr>
                <w:sz w:val="20"/>
              </w:rPr>
            </w:pPr>
            <w:r>
              <w:rPr>
                <w:spacing w:val="-4"/>
                <w:sz w:val="20"/>
              </w:rPr>
              <w:t>26.2</w:t>
            </w:r>
          </w:p>
        </w:tc>
      </w:tr>
      <w:tr>
        <w:trPr>
          <w:trHeight w:val="230" w:hRule="atLeast"/>
        </w:trPr>
        <w:tc>
          <w:tcPr>
            <w:tcW w:w="2438" w:type="dxa"/>
          </w:tcPr>
          <w:p>
            <w:pPr>
              <w:pStyle w:val="TableParagraph"/>
              <w:spacing w:line="210" w:lineRule="exact"/>
              <w:ind w:left="15"/>
              <w:rPr>
                <w:b/>
                <w:sz w:val="20"/>
              </w:rPr>
            </w:pPr>
            <w:r>
              <w:rPr>
                <w:b/>
                <w:sz w:val="20"/>
              </w:rPr>
              <w:t>Maç</w:t>
            </w:r>
            <w:r>
              <w:rPr>
                <w:b/>
                <w:spacing w:val="-2"/>
                <w:sz w:val="20"/>
              </w:rPr>
              <w:t> </w:t>
            </w:r>
            <w:r>
              <w:rPr>
                <w:b/>
                <w:sz w:val="20"/>
              </w:rPr>
              <w:t>katılım </w:t>
            </w:r>
            <w:r>
              <w:rPr>
                <w:b/>
                <w:spacing w:val="-2"/>
                <w:sz w:val="20"/>
              </w:rPr>
              <w:t>sıklığı</w:t>
            </w:r>
          </w:p>
        </w:tc>
        <w:tc>
          <w:tcPr>
            <w:tcW w:w="3552" w:type="dxa"/>
          </w:tcPr>
          <w:p>
            <w:pPr>
              <w:pStyle w:val="TableParagraph"/>
              <w:spacing w:line="210" w:lineRule="exact"/>
              <w:ind w:left="823"/>
              <w:rPr>
                <w:sz w:val="20"/>
              </w:rPr>
            </w:pPr>
            <w:r>
              <w:rPr>
                <w:sz w:val="20"/>
              </w:rPr>
              <w:t>İki</w:t>
            </w:r>
            <w:r>
              <w:rPr>
                <w:spacing w:val="-5"/>
                <w:sz w:val="20"/>
              </w:rPr>
              <w:t> </w:t>
            </w:r>
            <w:r>
              <w:rPr>
                <w:sz w:val="20"/>
              </w:rPr>
              <w:t>haftada </w:t>
            </w:r>
            <w:r>
              <w:rPr>
                <w:spacing w:val="-5"/>
                <w:sz w:val="20"/>
              </w:rPr>
              <w:t>bir</w:t>
            </w:r>
          </w:p>
        </w:tc>
        <w:tc>
          <w:tcPr>
            <w:tcW w:w="2290" w:type="dxa"/>
          </w:tcPr>
          <w:p>
            <w:pPr>
              <w:pStyle w:val="TableParagraph"/>
              <w:spacing w:line="210" w:lineRule="exact"/>
              <w:ind w:left="1598"/>
              <w:rPr>
                <w:sz w:val="20"/>
              </w:rPr>
            </w:pPr>
            <w:r>
              <w:rPr>
                <w:spacing w:val="-5"/>
                <w:sz w:val="20"/>
              </w:rPr>
              <w:t>161</w:t>
            </w:r>
          </w:p>
        </w:tc>
        <w:tc>
          <w:tcPr>
            <w:tcW w:w="1473" w:type="dxa"/>
          </w:tcPr>
          <w:p>
            <w:pPr>
              <w:pStyle w:val="TableParagraph"/>
              <w:spacing w:line="210" w:lineRule="exact"/>
              <w:ind w:left="393"/>
              <w:rPr>
                <w:sz w:val="20"/>
              </w:rPr>
            </w:pPr>
            <w:r>
              <w:rPr>
                <w:spacing w:val="-5"/>
                <w:sz w:val="20"/>
              </w:rPr>
              <w:t>54</w:t>
            </w:r>
          </w:p>
        </w:tc>
      </w:tr>
      <w:tr>
        <w:trPr>
          <w:trHeight w:val="227" w:hRule="atLeast"/>
        </w:trPr>
        <w:tc>
          <w:tcPr>
            <w:tcW w:w="2438" w:type="dxa"/>
            <w:tcBorders>
              <w:bottom w:val="single" w:sz="4" w:space="0" w:color="000000"/>
            </w:tcBorders>
          </w:tcPr>
          <w:p>
            <w:pPr>
              <w:pStyle w:val="TableParagraph"/>
              <w:rPr>
                <w:sz w:val="16"/>
              </w:rPr>
            </w:pPr>
          </w:p>
        </w:tc>
        <w:tc>
          <w:tcPr>
            <w:tcW w:w="3552" w:type="dxa"/>
            <w:tcBorders>
              <w:bottom w:val="single" w:sz="4" w:space="0" w:color="000000"/>
            </w:tcBorders>
          </w:tcPr>
          <w:p>
            <w:pPr>
              <w:pStyle w:val="TableParagraph"/>
              <w:spacing w:line="208" w:lineRule="exact"/>
              <w:ind w:left="823"/>
              <w:rPr>
                <w:sz w:val="20"/>
              </w:rPr>
            </w:pPr>
            <w:r>
              <w:rPr>
                <w:sz w:val="20"/>
              </w:rPr>
              <w:t>Ayda</w:t>
            </w:r>
            <w:r>
              <w:rPr>
                <w:spacing w:val="1"/>
                <w:sz w:val="20"/>
              </w:rPr>
              <w:t> </w:t>
            </w:r>
            <w:r>
              <w:rPr>
                <w:spacing w:val="-5"/>
                <w:sz w:val="20"/>
              </w:rPr>
              <w:t>bir</w:t>
            </w:r>
          </w:p>
        </w:tc>
        <w:tc>
          <w:tcPr>
            <w:tcW w:w="2290" w:type="dxa"/>
            <w:tcBorders>
              <w:bottom w:val="single" w:sz="4" w:space="0" w:color="000000"/>
            </w:tcBorders>
          </w:tcPr>
          <w:p>
            <w:pPr>
              <w:pStyle w:val="TableParagraph"/>
              <w:spacing w:line="208" w:lineRule="exact"/>
              <w:ind w:left="1598"/>
              <w:rPr>
                <w:sz w:val="20"/>
              </w:rPr>
            </w:pPr>
            <w:r>
              <w:rPr>
                <w:spacing w:val="-5"/>
                <w:sz w:val="20"/>
              </w:rPr>
              <w:t>59</w:t>
            </w:r>
          </w:p>
        </w:tc>
        <w:tc>
          <w:tcPr>
            <w:tcW w:w="1473" w:type="dxa"/>
            <w:tcBorders>
              <w:bottom w:val="single" w:sz="4" w:space="0" w:color="000000"/>
            </w:tcBorders>
          </w:tcPr>
          <w:p>
            <w:pPr>
              <w:pStyle w:val="TableParagraph"/>
              <w:spacing w:line="208" w:lineRule="exact"/>
              <w:ind w:left="393"/>
              <w:rPr>
                <w:sz w:val="20"/>
              </w:rPr>
            </w:pPr>
            <w:r>
              <w:rPr>
                <w:spacing w:val="-4"/>
                <w:sz w:val="20"/>
              </w:rPr>
              <w:t>19.8</w:t>
            </w:r>
          </w:p>
        </w:tc>
      </w:tr>
      <w:tr>
        <w:trPr>
          <w:trHeight w:val="230" w:hRule="atLeast"/>
        </w:trPr>
        <w:tc>
          <w:tcPr>
            <w:tcW w:w="2438" w:type="dxa"/>
            <w:tcBorders>
              <w:top w:val="single" w:sz="4" w:space="0" w:color="000000"/>
              <w:bottom w:val="single" w:sz="4" w:space="0" w:color="000000"/>
            </w:tcBorders>
          </w:tcPr>
          <w:p>
            <w:pPr>
              <w:pStyle w:val="TableParagraph"/>
              <w:rPr>
                <w:sz w:val="16"/>
              </w:rPr>
            </w:pPr>
          </w:p>
        </w:tc>
        <w:tc>
          <w:tcPr>
            <w:tcW w:w="3552" w:type="dxa"/>
            <w:tcBorders>
              <w:top w:val="single" w:sz="4" w:space="0" w:color="000000"/>
              <w:bottom w:val="single" w:sz="4" w:space="0" w:color="000000"/>
            </w:tcBorders>
          </w:tcPr>
          <w:p>
            <w:pPr>
              <w:pStyle w:val="TableParagraph"/>
              <w:spacing w:line="210" w:lineRule="exact"/>
              <w:ind w:left="823"/>
              <w:rPr>
                <w:b/>
                <w:sz w:val="20"/>
              </w:rPr>
            </w:pPr>
            <w:r>
              <w:rPr>
                <w:b/>
                <w:spacing w:val="-2"/>
                <w:sz w:val="20"/>
              </w:rPr>
              <w:t>Toplam</w:t>
            </w:r>
          </w:p>
        </w:tc>
        <w:tc>
          <w:tcPr>
            <w:tcW w:w="2290" w:type="dxa"/>
            <w:tcBorders>
              <w:top w:val="single" w:sz="4" w:space="0" w:color="000000"/>
              <w:bottom w:val="single" w:sz="4" w:space="0" w:color="000000"/>
            </w:tcBorders>
          </w:tcPr>
          <w:p>
            <w:pPr>
              <w:pStyle w:val="TableParagraph"/>
              <w:spacing w:line="210" w:lineRule="exact"/>
              <w:ind w:left="1598"/>
              <w:rPr>
                <w:b/>
                <w:sz w:val="20"/>
              </w:rPr>
            </w:pPr>
            <w:r>
              <w:rPr>
                <w:b/>
                <w:spacing w:val="-5"/>
                <w:sz w:val="20"/>
              </w:rPr>
              <w:t>298</w:t>
            </w:r>
          </w:p>
        </w:tc>
        <w:tc>
          <w:tcPr>
            <w:tcW w:w="1473" w:type="dxa"/>
            <w:tcBorders>
              <w:top w:val="single" w:sz="4" w:space="0" w:color="000000"/>
              <w:bottom w:val="single" w:sz="4" w:space="0" w:color="000000"/>
            </w:tcBorders>
          </w:tcPr>
          <w:p>
            <w:pPr>
              <w:pStyle w:val="TableParagraph"/>
              <w:spacing w:line="210" w:lineRule="exact"/>
              <w:ind w:left="393"/>
              <w:rPr>
                <w:b/>
                <w:sz w:val="20"/>
              </w:rPr>
            </w:pPr>
            <w:r>
              <w:rPr>
                <w:b/>
                <w:spacing w:val="-5"/>
                <w:sz w:val="20"/>
              </w:rPr>
              <w:t>100</w:t>
            </w:r>
          </w:p>
        </w:tc>
      </w:tr>
    </w:tbl>
    <w:p>
      <w:pPr>
        <w:pStyle w:val="BodyText"/>
      </w:pPr>
    </w:p>
    <w:p>
      <w:pPr>
        <w:pStyle w:val="BodyText"/>
        <w:spacing w:before="29"/>
      </w:pPr>
    </w:p>
    <w:p>
      <w:pPr>
        <w:pStyle w:val="Heading2"/>
        <w:spacing w:before="0"/>
        <w:rPr>
          <w:i/>
        </w:rPr>
      </w:pPr>
      <w:r>
        <w:rPr>
          <w:i/>
        </w:rPr>
        <w:t>Veri</w:t>
      </w:r>
      <w:r>
        <w:rPr>
          <w:i/>
          <w:spacing w:val="-3"/>
        </w:rPr>
        <w:t> </w:t>
      </w:r>
      <w:r>
        <w:rPr>
          <w:i/>
        </w:rPr>
        <w:t>Toplama</w:t>
      </w:r>
      <w:r>
        <w:rPr>
          <w:i/>
          <w:spacing w:val="-1"/>
        </w:rPr>
        <w:t> </w:t>
      </w:r>
      <w:r>
        <w:rPr>
          <w:i/>
          <w:spacing w:val="-2"/>
        </w:rPr>
        <w:t>Araçları</w:t>
      </w:r>
    </w:p>
    <w:p>
      <w:pPr>
        <w:pStyle w:val="BodyText"/>
        <w:spacing w:before="24"/>
        <w:rPr>
          <w:b/>
          <w:i/>
        </w:rPr>
      </w:pPr>
    </w:p>
    <w:p>
      <w:pPr>
        <w:pStyle w:val="BodyText"/>
        <w:spacing w:line="360" w:lineRule="auto"/>
        <w:ind w:left="735" w:right="868" w:firstLine="710"/>
        <w:jc w:val="both"/>
      </w:pPr>
      <w:r>
        <w:rPr/>
        <w:t>Kişisel Bilgi Formu: Taraftarların yaş, cinsiyet, eğitim durumu gibi demografik bilgilerinin yanında maçlara katılım</w:t>
      </w:r>
      <w:r>
        <w:rPr>
          <w:spacing w:val="-4"/>
        </w:rPr>
        <w:t> </w:t>
      </w:r>
      <w:r>
        <w:rPr/>
        <w:t>sıklığını</w:t>
      </w:r>
      <w:r>
        <w:rPr>
          <w:spacing w:val="-4"/>
        </w:rPr>
        <w:t> </w:t>
      </w:r>
      <w:r>
        <w:rPr/>
        <w:t>içeren sorulardan oluşan</w:t>
      </w:r>
      <w:r>
        <w:rPr>
          <w:spacing w:val="-2"/>
        </w:rPr>
        <w:t> </w:t>
      </w:r>
      <w:r>
        <w:rPr/>
        <w:t>bilgi</w:t>
      </w:r>
      <w:r>
        <w:rPr>
          <w:spacing w:val="-4"/>
        </w:rPr>
        <w:t> </w:t>
      </w:r>
      <w:r>
        <w:rPr/>
        <w:t>formu</w:t>
      </w:r>
      <w:r>
        <w:rPr>
          <w:spacing w:val="-2"/>
        </w:rPr>
        <w:t> </w:t>
      </w:r>
      <w:r>
        <w:rPr/>
        <w:t>kullanılmıştır. Sezonluk</w:t>
      </w:r>
      <w:r>
        <w:rPr>
          <w:spacing w:val="-2"/>
        </w:rPr>
        <w:t> </w:t>
      </w:r>
      <w:r>
        <w:rPr/>
        <w:t>Bilet Sahipleri Memnuniyet Ölçeği: McDonald vd. (2013) tarafından, sezonluk bilet sahibi taraftarların, ürün ve hizmetlere yönelik memnuniyetlerini ölçmek amacıyla geliştirilmiştir. Sezonluk bilet kavramı Türkiye’de “Kombine” bilet olarak da kullanılmaktadır. Bu yüzden orijinal çalışmada “Season Ticket” olarak geçen ifadeye çalışmamızda “Kombine” bilet ismi de eklenmiştir. Ölçeğin orijinal formu; Hizmet (3 madde): Spor organizasyonlarının sunduğu hizmetlere yönelik taraftar algılarını yansıtan faktördür; Saha Performansı (3 madde): Spor takımlarının, müsabaka esnasında gösterdikleri performans ve taraftarların bundan aldığı zevki yansıtan faktördür; Kişisel Katılım (5 madde): Taraftarların diğer sezonluk bilet sahibi olan taraftarlarla ve oyuncularla bir araya gelme fırsatlarını</w:t>
      </w:r>
      <w:r>
        <w:rPr>
          <w:spacing w:val="-10"/>
        </w:rPr>
        <w:t> </w:t>
      </w:r>
      <w:r>
        <w:rPr/>
        <w:t>değerlendirirken,</w:t>
      </w:r>
      <w:r>
        <w:rPr>
          <w:spacing w:val="-9"/>
        </w:rPr>
        <w:t> </w:t>
      </w:r>
      <w:r>
        <w:rPr/>
        <w:t>kendilerini</w:t>
      </w:r>
      <w:r>
        <w:rPr>
          <w:spacing w:val="-10"/>
        </w:rPr>
        <w:t> </w:t>
      </w:r>
      <w:r>
        <w:rPr/>
        <w:t>spor</w:t>
      </w:r>
      <w:r>
        <w:rPr>
          <w:spacing w:val="-8"/>
        </w:rPr>
        <w:t> </w:t>
      </w:r>
      <w:r>
        <w:rPr/>
        <w:t>takımlarının</w:t>
      </w:r>
      <w:r>
        <w:rPr>
          <w:spacing w:val="-9"/>
        </w:rPr>
        <w:t> </w:t>
      </w:r>
      <w:r>
        <w:rPr/>
        <w:t>bir</w:t>
      </w:r>
      <w:r>
        <w:rPr>
          <w:spacing w:val="-9"/>
        </w:rPr>
        <w:t> </w:t>
      </w:r>
      <w:r>
        <w:rPr/>
        <w:t>parçası</w:t>
      </w:r>
      <w:r>
        <w:rPr>
          <w:spacing w:val="-10"/>
        </w:rPr>
        <w:t> </w:t>
      </w:r>
      <w:r>
        <w:rPr/>
        <w:t>gibi</w:t>
      </w:r>
      <w:r>
        <w:rPr>
          <w:spacing w:val="-10"/>
        </w:rPr>
        <w:t> </w:t>
      </w:r>
      <w:r>
        <w:rPr/>
        <w:t>hissetme</w:t>
      </w:r>
      <w:r>
        <w:rPr>
          <w:spacing w:val="-10"/>
        </w:rPr>
        <w:t> </w:t>
      </w:r>
      <w:r>
        <w:rPr/>
        <w:t>algılarını</w:t>
      </w:r>
      <w:r>
        <w:rPr>
          <w:spacing w:val="-10"/>
        </w:rPr>
        <w:t> </w:t>
      </w:r>
      <w:r>
        <w:rPr/>
        <w:t>yansıtan faktördür;</w:t>
      </w:r>
      <w:r>
        <w:rPr>
          <w:spacing w:val="-10"/>
        </w:rPr>
        <w:t> </w:t>
      </w:r>
      <w:r>
        <w:rPr/>
        <w:t>Yönetim</w:t>
      </w:r>
      <w:r>
        <w:rPr>
          <w:spacing w:val="-10"/>
        </w:rPr>
        <w:t> </w:t>
      </w:r>
      <w:r>
        <w:rPr/>
        <w:t>(3</w:t>
      </w:r>
      <w:r>
        <w:rPr>
          <w:spacing w:val="-9"/>
        </w:rPr>
        <w:t> </w:t>
      </w:r>
      <w:r>
        <w:rPr/>
        <w:t>madde):</w:t>
      </w:r>
      <w:r>
        <w:rPr>
          <w:spacing w:val="-10"/>
        </w:rPr>
        <w:t> </w:t>
      </w:r>
      <w:r>
        <w:rPr/>
        <w:t>Taraftarların</w:t>
      </w:r>
      <w:r>
        <w:rPr>
          <w:spacing w:val="-9"/>
        </w:rPr>
        <w:t> </w:t>
      </w:r>
      <w:r>
        <w:rPr/>
        <w:t>spor</w:t>
      </w:r>
      <w:r>
        <w:rPr>
          <w:spacing w:val="-9"/>
        </w:rPr>
        <w:t> </w:t>
      </w:r>
      <w:r>
        <w:rPr/>
        <w:t>takımlarının</w:t>
      </w:r>
      <w:r>
        <w:rPr>
          <w:spacing w:val="-9"/>
        </w:rPr>
        <w:t> </w:t>
      </w:r>
      <w:r>
        <w:rPr/>
        <w:t>yönetim</w:t>
      </w:r>
      <w:r>
        <w:rPr>
          <w:spacing w:val="-10"/>
        </w:rPr>
        <w:t> </w:t>
      </w:r>
      <w:r>
        <w:rPr/>
        <w:t>ve</w:t>
      </w:r>
      <w:r>
        <w:rPr>
          <w:spacing w:val="-10"/>
        </w:rPr>
        <w:t> </w:t>
      </w:r>
      <w:r>
        <w:rPr/>
        <w:t>çalışma</w:t>
      </w:r>
      <w:r>
        <w:rPr>
          <w:spacing w:val="-10"/>
        </w:rPr>
        <w:t> </w:t>
      </w:r>
      <w:r>
        <w:rPr/>
        <w:t>şekillerine</w:t>
      </w:r>
      <w:r>
        <w:rPr>
          <w:spacing w:val="-10"/>
        </w:rPr>
        <w:t> </w:t>
      </w:r>
      <w:r>
        <w:rPr/>
        <w:t>yönelik algılarının yansıtan faktördür; Ev Sahibi (3 madde): Spor takımlarının sahip olduğu stadyumların, taraftarlar tarafından algılanış biçimlerini yansıtan faktördür. 5 alt boyut ve toplam 17 maddeden oluşmaktadır. Ölçek 5’li Likert tipinde (1= Çok kötü; 5= Çok iyi) şeklinde değerlendirilmektedir.</w:t>
      </w:r>
    </w:p>
    <w:p>
      <w:pPr>
        <w:spacing w:after="0" w:line="360" w:lineRule="auto"/>
        <w:jc w:val="both"/>
        <w:sectPr>
          <w:pgSz w:w="11910" w:h="16840"/>
          <w:pgMar w:header="442" w:footer="532" w:top="780" w:bottom="720" w:left="400" w:right="260"/>
        </w:sectPr>
      </w:pPr>
    </w:p>
    <w:p>
      <w:pPr>
        <w:pStyle w:val="BodyText"/>
        <w:spacing w:before="60"/>
      </w:pPr>
    </w:p>
    <w:p>
      <w:pPr>
        <w:pStyle w:val="Heading2"/>
        <w:jc w:val="left"/>
        <w:rPr>
          <w:i/>
        </w:rPr>
      </w:pPr>
      <w:r>
        <w:rPr>
          <w:i/>
        </w:rPr>
        <w:t>Verilerin</w:t>
      </w:r>
      <w:r>
        <w:rPr>
          <w:i/>
          <w:spacing w:val="-7"/>
        </w:rPr>
        <w:t> </w:t>
      </w:r>
      <w:r>
        <w:rPr>
          <w:i/>
          <w:spacing w:val="-2"/>
        </w:rPr>
        <w:t>Analizi</w:t>
      </w:r>
    </w:p>
    <w:p>
      <w:pPr>
        <w:pStyle w:val="BodyText"/>
        <w:spacing w:before="23"/>
        <w:rPr>
          <w:b/>
          <w:i/>
        </w:rPr>
      </w:pPr>
    </w:p>
    <w:p>
      <w:pPr>
        <w:pStyle w:val="BodyText"/>
        <w:spacing w:line="360" w:lineRule="auto"/>
        <w:ind w:left="735" w:right="867" w:firstLine="710"/>
        <w:jc w:val="both"/>
      </w:pPr>
      <w:r>
        <w:rPr/>
        <w:t>Araştırmaya katılan taraftarlardan elde edilen veriler doğrultusunda ölçeğin geçerlik ve güvenirlik çalışmaları yapılmıştır. Analizlerin gerçekleştirilmesinde SPSS 26 ve SPSS AMOS 22 programları kullanılmıştır. Analizler öncesinde veri setindeki hatalı veriler tespit edilerek gerekli düzenlemeler</w:t>
      </w:r>
      <w:r>
        <w:rPr>
          <w:spacing w:val="-12"/>
        </w:rPr>
        <w:t> </w:t>
      </w:r>
      <w:r>
        <w:rPr/>
        <w:t>yapılmıştır.</w:t>
      </w:r>
      <w:r>
        <w:rPr>
          <w:spacing w:val="-12"/>
        </w:rPr>
        <w:t> </w:t>
      </w:r>
      <w:r>
        <w:rPr/>
        <w:t>Kayıp</w:t>
      </w:r>
      <w:r>
        <w:rPr>
          <w:spacing w:val="-13"/>
        </w:rPr>
        <w:t> </w:t>
      </w:r>
      <w:r>
        <w:rPr/>
        <w:t>ve</w:t>
      </w:r>
      <w:r>
        <w:rPr>
          <w:spacing w:val="-14"/>
        </w:rPr>
        <w:t> </w:t>
      </w:r>
      <w:r>
        <w:rPr/>
        <w:t>boş</w:t>
      </w:r>
      <w:r>
        <w:rPr>
          <w:spacing w:val="-11"/>
        </w:rPr>
        <w:t> </w:t>
      </w:r>
      <w:r>
        <w:rPr/>
        <w:t>verileri</w:t>
      </w:r>
      <w:r>
        <w:rPr>
          <w:spacing w:val="-14"/>
        </w:rPr>
        <w:t> </w:t>
      </w:r>
      <w:r>
        <w:rPr/>
        <w:t>tespit</w:t>
      </w:r>
      <w:r>
        <w:rPr>
          <w:spacing w:val="-9"/>
        </w:rPr>
        <w:t> </w:t>
      </w:r>
      <w:r>
        <w:rPr/>
        <w:t>etmek</w:t>
      </w:r>
      <w:r>
        <w:rPr>
          <w:spacing w:val="-8"/>
        </w:rPr>
        <w:t> </w:t>
      </w:r>
      <w:r>
        <w:rPr/>
        <w:t>için</w:t>
      </w:r>
      <w:r>
        <w:rPr>
          <w:spacing w:val="-13"/>
        </w:rPr>
        <w:t> </w:t>
      </w:r>
      <w:r>
        <w:rPr/>
        <w:t>kayıp</w:t>
      </w:r>
      <w:r>
        <w:rPr>
          <w:spacing w:val="-13"/>
        </w:rPr>
        <w:t> </w:t>
      </w:r>
      <w:r>
        <w:rPr/>
        <w:t>veri</w:t>
      </w:r>
      <w:r>
        <w:rPr>
          <w:spacing w:val="-14"/>
        </w:rPr>
        <w:t> </w:t>
      </w:r>
      <w:r>
        <w:rPr/>
        <w:t>analizi</w:t>
      </w:r>
      <w:r>
        <w:rPr>
          <w:spacing w:val="-14"/>
        </w:rPr>
        <w:t> </w:t>
      </w:r>
      <w:r>
        <w:rPr/>
        <w:t>yapılmıştır.</w:t>
      </w:r>
      <w:r>
        <w:rPr>
          <w:spacing w:val="-12"/>
        </w:rPr>
        <w:t> </w:t>
      </w:r>
      <w:r>
        <w:rPr/>
        <w:t>Analiz sonucunda</w:t>
      </w:r>
      <w:r>
        <w:rPr>
          <w:spacing w:val="-11"/>
        </w:rPr>
        <w:t> </w:t>
      </w:r>
      <w:r>
        <w:rPr/>
        <w:t>kayıp</w:t>
      </w:r>
      <w:r>
        <w:rPr>
          <w:spacing w:val="-10"/>
        </w:rPr>
        <w:t> </w:t>
      </w:r>
      <w:r>
        <w:rPr/>
        <w:t>veriye</w:t>
      </w:r>
      <w:r>
        <w:rPr>
          <w:spacing w:val="-11"/>
        </w:rPr>
        <w:t> </w:t>
      </w:r>
      <w:r>
        <w:rPr/>
        <w:t>rastlanmamıştır.</w:t>
      </w:r>
      <w:r>
        <w:rPr>
          <w:spacing w:val="-9"/>
        </w:rPr>
        <w:t> </w:t>
      </w:r>
      <w:r>
        <w:rPr/>
        <w:t>Elde</w:t>
      </w:r>
      <w:r>
        <w:rPr>
          <w:spacing w:val="-11"/>
        </w:rPr>
        <w:t> </w:t>
      </w:r>
      <w:r>
        <w:rPr/>
        <w:t>edilen</w:t>
      </w:r>
      <w:r>
        <w:rPr>
          <w:spacing w:val="-10"/>
        </w:rPr>
        <w:t> </w:t>
      </w:r>
      <w:r>
        <w:rPr/>
        <w:t>veriler</w:t>
      </w:r>
      <w:r>
        <w:rPr>
          <w:spacing w:val="-10"/>
        </w:rPr>
        <w:t> </w:t>
      </w:r>
      <w:r>
        <w:rPr/>
        <w:t>çok</w:t>
      </w:r>
      <w:r>
        <w:rPr>
          <w:spacing w:val="-10"/>
        </w:rPr>
        <w:t> </w:t>
      </w:r>
      <w:r>
        <w:rPr/>
        <w:t>değişkenli</w:t>
      </w:r>
      <w:r>
        <w:rPr>
          <w:spacing w:val="-11"/>
        </w:rPr>
        <w:t> </w:t>
      </w:r>
      <w:r>
        <w:rPr/>
        <w:t>normallik</w:t>
      </w:r>
      <w:r>
        <w:rPr>
          <w:spacing w:val="-10"/>
        </w:rPr>
        <w:t> </w:t>
      </w:r>
      <w:r>
        <w:rPr/>
        <w:t>dağılım</w:t>
      </w:r>
      <w:r>
        <w:rPr>
          <w:spacing w:val="-11"/>
        </w:rPr>
        <w:t> </w:t>
      </w:r>
      <w:r>
        <w:rPr/>
        <w:t>testi</w:t>
      </w:r>
      <w:r>
        <w:rPr>
          <w:spacing w:val="-11"/>
        </w:rPr>
        <w:t> </w:t>
      </w:r>
      <w:r>
        <w:rPr/>
        <w:t>ile değerlendirilmiş ve normal dağılım göstermesi sebebiyle parametrik testler uygulanmıştır. Ölçeğin yapı</w:t>
      </w:r>
      <w:r>
        <w:rPr>
          <w:spacing w:val="-15"/>
        </w:rPr>
        <w:t> </w:t>
      </w:r>
      <w:r>
        <w:rPr/>
        <w:t>geçerliğini</w:t>
      </w:r>
      <w:r>
        <w:rPr>
          <w:spacing w:val="-15"/>
        </w:rPr>
        <w:t> </w:t>
      </w:r>
      <w:r>
        <w:rPr/>
        <w:t>belirlemek</w:t>
      </w:r>
      <w:r>
        <w:rPr>
          <w:spacing w:val="-15"/>
        </w:rPr>
        <w:t> </w:t>
      </w:r>
      <w:r>
        <w:rPr/>
        <w:t>için</w:t>
      </w:r>
      <w:r>
        <w:rPr>
          <w:spacing w:val="-15"/>
        </w:rPr>
        <w:t> </w:t>
      </w:r>
      <w:r>
        <w:rPr/>
        <w:t>Doğrulayıcı</w:t>
      </w:r>
      <w:r>
        <w:rPr>
          <w:spacing w:val="-15"/>
        </w:rPr>
        <w:t> </w:t>
      </w:r>
      <w:r>
        <w:rPr/>
        <w:t>Faktör</w:t>
      </w:r>
      <w:r>
        <w:rPr>
          <w:spacing w:val="-15"/>
        </w:rPr>
        <w:t> </w:t>
      </w:r>
      <w:r>
        <w:rPr/>
        <w:t>Analizi</w:t>
      </w:r>
      <w:r>
        <w:rPr>
          <w:spacing w:val="-15"/>
        </w:rPr>
        <w:t> </w:t>
      </w:r>
      <w:r>
        <w:rPr/>
        <w:t>(DFA)</w:t>
      </w:r>
      <w:r>
        <w:rPr>
          <w:spacing w:val="-15"/>
        </w:rPr>
        <w:t> </w:t>
      </w:r>
      <w:r>
        <w:rPr/>
        <w:t>gerçekleştirilmiştir</w:t>
      </w:r>
      <w:r>
        <w:rPr>
          <w:spacing w:val="-15"/>
        </w:rPr>
        <w:t> </w:t>
      </w:r>
      <w:r>
        <w:rPr/>
        <w:t>(Tablo</w:t>
      </w:r>
      <w:r>
        <w:rPr>
          <w:spacing w:val="-15"/>
        </w:rPr>
        <w:t> </w:t>
      </w:r>
      <w:r>
        <w:rPr/>
        <w:t>1,</w:t>
      </w:r>
      <w:r>
        <w:rPr>
          <w:spacing w:val="-15"/>
        </w:rPr>
        <w:t> </w:t>
      </w:r>
      <w:r>
        <w:rPr/>
        <w:t>Tablo 2). Bunların yanında ölçme aracına ilişkin benzeşim/birleşim ve ayırışım geçerliklerini test etmek için (AVE), (CR) ve (MSV), (ASV) değerleri hesaplanmıştır (Tablo 3). Ölçeğin güvenirliğini sınamak için Cronbach’s Alpha katsayıları ve Spearman Brown katsayısı analizleri (Tablo 4) ortaya </w:t>
      </w:r>
      <w:r>
        <w:rPr>
          <w:spacing w:val="-2"/>
        </w:rPr>
        <w:t>konmuştur.</w:t>
      </w:r>
    </w:p>
    <w:p>
      <w:pPr>
        <w:pStyle w:val="Heading1"/>
        <w:spacing w:before="157"/>
      </w:pPr>
      <w:r>
        <w:rPr>
          <w:spacing w:val="-2"/>
        </w:rPr>
        <w:t>Bulgular</w:t>
      </w:r>
    </w:p>
    <w:p>
      <w:pPr>
        <w:pStyle w:val="BodyText"/>
        <w:spacing w:before="103"/>
        <w:rPr>
          <w:b/>
        </w:rPr>
      </w:pPr>
    </w:p>
    <w:p>
      <w:pPr>
        <w:pStyle w:val="BodyText"/>
        <w:spacing w:line="360" w:lineRule="auto" w:before="1"/>
        <w:ind w:left="735" w:right="869" w:firstLine="710"/>
        <w:jc w:val="both"/>
      </w:pPr>
      <w:r>
        <w:rPr/>
        <w:t>Çalışma kapsamında SBSMÖ’nün beş boyutlu yapısının, veri toplanan örneklem ile uyum derecesini test etmek için Doğrulayıcı Faktör Analizi (DFA) uygulanmıştır. Ölçek geliştirme ve uyarlama çalışmalarında tercih edilen DFA, oluşturulan yapının doğrulanmasında kullanılmaktadır (Büyüköztürk,</w:t>
      </w:r>
      <w:r>
        <w:rPr>
          <w:spacing w:val="-3"/>
        </w:rPr>
        <w:t> </w:t>
      </w:r>
      <w:r>
        <w:rPr/>
        <w:t>2020).</w:t>
      </w:r>
      <w:r>
        <w:rPr>
          <w:spacing w:val="-3"/>
        </w:rPr>
        <w:t> </w:t>
      </w:r>
      <w:r>
        <w:rPr/>
        <w:t>Veriler</w:t>
      </w:r>
      <w:r>
        <w:rPr>
          <w:spacing w:val="-3"/>
        </w:rPr>
        <w:t> </w:t>
      </w:r>
      <w:r>
        <w:rPr/>
        <w:t>normal</w:t>
      </w:r>
      <w:r>
        <w:rPr>
          <w:spacing w:val="-5"/>
        </w:rPr>
        <w:t> </w:t>
      </w:r>
      <w:r>
        <w:rPr/>
        <w:t>dağılım</w:t>
      </w:r>
      <w:r>
        <w:rPr>
          <w:spacing w:val="-5"/>
        </w:rPr>
        <w:t> </w:t>
      </w:r>
      <w:r>
        <w:rPr/>
        <w:t>gösterdiğinden</w:t>
      </w:r>
      <w:r>
        <w:rPr>
          <w:spacing w:val="-3"/>
        </w:rPr>
        <w:t> </w:t>
      </w:r>
      <w:r>
        <w:rPr/>
        <w:t>dolayı maximum</w:t>
      </w:r>
      <w:r>
        <w:rPr>
          <w:spacing w:val="-5"/>
        </w:rPr>
        <w:t> </w:t>
      </w:r>
      <w:r>
        <w:rPr/>
        <w:t>likelihood</w:t>
      </w:r>
      <w:r>
        <w:rPr>
          <w:spacing w:val="-3"/>
        </w:rPr>
        <w:t> </w:t>
      </w:r>
      <w:r>
        <w:rPr/>
        <w:t>hesaplama yöntemi kullanılmıştır. Yapılan analiz sonucunda örneklem grubunun 250’den fazla (N&gt;250) olmasından dolayı χ2, p, χ2/df, CFI, SRMR ve RMSEA uyum iyiliği indeksleri rapor edilmiştir (Gürbüz, 2021). Gerçekleştirilen analizde modelin veri ile uyumu değerlendirilmiştir ve uyum indeksleri değerlerinin iyi uyum gösterdiği görülmüştür. Bu nedenle herhangi bir düzeltme yapılmamıştır.</w:t>
      </w:r>
      <w:r>
        <w:rPr>
          <w:spacing w:val="-8"/>
        </w:rPr>
        <w:t> </w:t>
      </w:r>
      <w:r>
        <w:rPr/>
        <w:t>DFA</w:t>
      </w:r>
      <w:r>
        <w:rPr>
          <w:spacing w:val="-7"/>
        </w:rPr>
        <w:t> </w:t>
      </w:r>
      <w:r>
        <w:rPr/>
        <w:t>analizi</w:t>
      </w:r>
      <w:r>
        <w:rPr>
          <w:spacing w:val="-10"/>
        </w:rPr>
        <w:t> </w:t>
      </w:r>
      <w:r>
        <w:rPr/>
        <w:t>sonunda</w:t>
      </w:r>
      <w:r>
        <w:rPr>
          <w:spacing w:val="-10"/>
        </w:rPr>
        <w:t> </w:t>
      </w:r>
      <w:r>
        <w:rPr/>
        <w:t>elde</w:t>
      </w:r>
      <w:r>
        <w:rPr>
          <w:spacing w:val="-10"/>
        </w:rPr>
        <w:t> </w:t>
      </w:r>
      <w:r>
        <w:rPr/>
        <w:t>edilen</w:t>
      </w:r>
      <w:r>
        <w:rPr>
          <w:spacing w:val="-9"/>
        </w:rPr>
        <w:t> </w:t>
      </w:r>
      <w:r>
        <w:rPr/>
        <w:t>uyum</w:t>
      </w:r>
      <w:r>
        <w:rPr>
          <w:spacing w:val="-10"/>
        </w:rPr>
        <w:t> </w:t>
      </w:r>
      <w:r>
        <w:rPr/>
        <w:t>indeksleri</w:t>
      </w:r>
      <w:r>
        <w:rPr>
          <w:spacing w:val="-4"/>
        </w:rPr>
        <w:t> </w:t>
      </w:r>
      <w:r>
        <w:rPr/>
        <w:t>ve</w:t>
      </w:r>
      <w:r>
        <w:rPr>
          <w:spacing w:val="-10"/>
        </w:rPr>
        <w:t> </w:t>
      </w:r>
      <w:r>
        <w:rPr/>
        <w:t>maksimum-minimum</w:t>
      </w:r>
      <w:r>
        <w:rPr>
          <w:spacing w:val="-10"/>
        </w:rPr>
        <w:t> </w:t>
      </w:r>
      <w:r>
        <w:rPr/>
        <w:t>faktör</w:t>
      </w:r>
      <w:r>
        <w:rPr>
          <w:spacing w:val="-8"/>
        </w:rPr>
        <w:t> </w:t>
      </w:r>
      <w:r>
        <w:rPr/>
        <w:t>yük değerleri Tablo 2’de sunulmuştur.</w:t>
      </w:r>
    </w:p>
    <w:p>
      <w:pPr>
        <w:pStyle w:val="BodyText"/>
        <w:spacing w:before="241"/>
        <w:ind w:left="735"/>
      </w:pPr>
      <w:r>
        <w:rPr/>
        <w:t>Tablo</w:t>
      </w:r>
      <w:r>
        <w:rPr>
          <w:spacing w:val="-6"/>
        </w:rPr>
        <w:t> </w:t>
      </w:r>
      <w:r>
        <w:rPr>
          <w:spacing w:val="-10"/>
        </w:rPr>
        <w:t>2</w:t>
      </w:r>
    </w:p>
    <w:p>
      <w:pPr>
        <w:pStyle w:val="BodyText"/>
        <w:spacing w:before="139"/>
        <w:ind w:left="735"/>
      </w:pPr>
      <w:r>
        <w:rPr/>
        <w:t>SBSMÖ</w:t>
      </w:r>
      <w:r>
        <w:rPr>
          <w:spacing w:val="-4"/>
        </w:rPr>
        <w:t> </w:t>
      </w:r>
      <w:r>
        <w:rPr/>
        <w:t>DFA</w:t>
      </w:r>
      <w:r>
        <w:rPr>
          <w:spacing w:val="3"/>
        </w:rPr>
        <w:t> </w:t>
      </w:r>
      <w:r>
        <w:rPr/>
        <w:t>Uyum</w:t>
      </w:r>
      <w:r>
        <w:rPr>
          <w:spacing w:val="-1"/>
        </w:rPr>
        <w:t> </w:t>
      </w:r>
      <w:r>
        <w:rPr>
          <w:spacing w:val="-2"/>
        </w:rPr>
        <w:t>İndeksleri</w:t>
      </w:r>
    </w:p>
    <w:tbl>
      <w:tblPr>
        <w:tblW w:w="0" w:type="auto"/>
        <w:jc w:val="left"/>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1"/>
        <w:gridCol w:w="1076"/>
        <w:gridCol w:w="936"/>
        <w:gridCol w:w="1119"/>
        <w:gridCol w:w="1169"/>
        <w:gridCol w:w="1189"/>
        <w:gridCol w:w="1104"/>
        <w:gridCol w:w="1258"/>
        <w:gridCol w:w="643"/>
      </w:tblGrid>
      <w:tr>
        <w:trPr>
          <w:trHeight w:val="473" w:hRule="atLeast"/>
        </w:trPr>
        <w:tc>
          <w:tcPr>
            <w:tcW w:w="1191" w:type="dxa"/>
            <w:tcBorders>
              <w:top w:val="single" w:sz="4" w:space="0" w:color="000000"/>
            </w:tcBorders>
          </w:tcPr>
          <w:p>
            <w:pPr>
              <w:pStyle w:val="TableParagraph"/>
              <w:rPr>
                <w:sz w:val="22"/>
              </w:rPr>
            </w:pPr>
          </w:p>
        </w:tc>
        <w:tc>
          <w:tcPr>
            <w:tcW w:w="1076" w:type="dxa"/>
            <w:tcBorders>
              <w:top w:val="single" w:sz="4" w:space="0" w:color="000000"/>
            </w:tcBorders>
          </w:tcPr>
          <w:p>
            <w:pPr>
              <w:pStyle w:val="TableParagraph"/>
              <w:spacing w:before="120"/>
              <w:rPr>
                <w:sz w:val="13"/>
              </w:rPr>
            </w:pPr>
          </w:p>
          <w:p>
            <w:pPr>
              <w:pStyle w:val="TableParagraph"/>
              <w:spacing w:line="156" w:lineRule="auto"/>
              <w:ind w:left="3"/>
              <w:jc w:val="center"/>
              <w:rPr>
                <w:b/>
                <w:sz w:val="13"/>
              </w:rPr>
            </w:pPr>
            <w:r>
              <w:rPr>
                <w:b/>
                <w:i/>
                <w:spacing w:val="-5"/>
                <w:position w:val="-6"/>
                <w:sz w:val="20"/>
              </w:rPr>
              <w:t>χ</w:t>
            </w:r>
            <w:r>
              <w:rPr>
                <w:b/>
                <w:spacing w:val="-5"/>
                <w:sz w:val="13"/>
              </w:rPr>
              <w:t>2</w:t>
            </w:r>
          </w:p>
        </w:tc>
        <w:tc>
          <w:tcPr>
            <w:tcW w:w="936" w:type="dxa"/>
            <w:tcBorders>
              <w:top w:val="single" w:sz="4" w:space="0" w:color="000000"/>
            </w:tcBorders>
          </w:tcPr>
          <w:p>
            <w:pPr>
              <w:pStyle w:val="TableParagraph"/>
              <w:spacing w:before="3"/>
              <w:rPr>
                <w:sz w:val="20"/>
              </w:rPr>
            </w:pPr>
          </w:p>
          <w:p>
            <w:pPr>
              <w:pStyle w:val="TableParagraph"/>
              <w:spacing w:line="220" w:lineRule="exact"/>
              <w:ind w:right="35"/>
              <w:jc w:val="center"/>
              <w:rPr>
                <w:b/>
                <w:i/>
                <w:sz w:val="20"/>
              </w:rPr>
            </w:pPr>
            <w:r>
              <w:rPr>
                <w:b/>
                <w:i/>
                <w:spacing w:val="-10"/>
                <w:sz w:val="20"/>
              </w:rPr>
              <w:t>p</w:t>
            </w:r>
          </w:p>
        </w:tc>
        <w:tc>
          <w:tcPr>
            <w:tcW w:w="1119" w:type="dxa"/>
            <w:tcBorders>
              <w:top w:val="single" w:sz="4" w:space="0" w:color="000000"/>
            </w:tcBorders>
          </w:tcPr>
          <w:p>
            <w:pPr>
              <w:pStyle w:val="TableParagraph"/>
              <w:spacing w:before="3"/>
              <w:rPr>
                <w:sz w:val="20"/>
              </w:rPr>
            </w:pPr>
          </w:p>
          <w:p>
            <w:pPr>
              <w:pStyle w:val="TableParagraph"/>
              <w:spacing w:line="220" w:lineRule="exact"/>
              <w:ind w:left="3" w:right="41"/>
              <w:jc w:val="center"/>
              <w:rPr>
                <w:b/>
                <w:i/>
                <w:sz w:val="20"/>
              </w:rPr>
            </w:pPr>
            <w:r>
              <w:rPr>
                <w:b/>
                <w:i/>
                <w:spacing w:val="-2"/>
                <w:sz w:val="20"/>
              </w:rPr>
              <w:t>χ</w:t>
            </w:r>
            <w:r>
              <w:rPr>
                <w:b/>
                <w:spacing w:val="-2"/>
                <w:sz w:val="20"/>
                <w:vertAlign w:val="superscript"/>
              </w:rPr>
              <w:t>2</w:t>
            </w:r>
            <w:r>
              <w:rPr>
                <w:b/>
                <w:spacing w:val="-2"/>
                <w:sz w:val="20"/>
                <w:vertAlign w:val="baseline"/>
              </w:rPr>
              <w:t>/</w:t>
            </w:r>
            <w:r>
              <w:rPr>
                <w:b/>
                <w:i/>
                <w:spacing w:val="-2"/>
                <w:sz w:val="20"/>
                <w:vertAlign w:val="baseline"/>
              </w:rPr>
              <w:t>df</w:t>
            </w:r>
          </w:p>
        </w:tc>
        <w:tc>
          <w:tcPr>
            <w:tcW w:w="1169" w:type="dxa"/>
            <w:tcBorders>
              <w:top w:val="single" w:sz="4" w:space="0" w:color="000000"/>
            </w:tcBorders>
          </w:tcPr>
          <w:p>
            <w:pPr>
              <w:pStyle w:val="TableParagraph"/>
              <w:spacing w:before="3"/>
              <w:rPr>
                <w:sz w:val="20"/>
              </w:rPr>
            </w:pPr>
          </w:p>
          <w:p>
            <w:pPr>
              <w:pStyle w:val="TableParagraph"/>
              <w:spacing w:line="220" w:lineRule="exact"/>
              <w:ind w:right="24"/>
              <w:jc w:val="center"/>
              <w:rPr>
                <w:b/>
                <w:sz w:val="20"/>
              </w:rPr>
            </w:pPr>
            <w:r>
              <w:rPr>
                <w:b/>
                <w:spacing w:val="-5"/>
                <w:sz w:val="20"/>
              </w:rPr>
              <w:t>CFI</w:t>
            </w:r>
          </w:p>
        </w:tc>
        <w:tc>
          <w:tcPr>
            <w:tcW w:w="1189" w:type="dxa"/>
            <w:tcBorders>
              <w:top w:val="single" w:sz="4" w:space="0" w:color="000000"/>
            </w:tcBorders>
          </w:tcPr>
          <w:p>
            <w:pPr>
              <w:pStyle w:val="TableParagraph"/>
              <w:spacing w:before="3"/>
              <w:rPr>
                <w:sz w:val="20"/>
              </w:rPr>
            </w:pPr>
          </w:p>
          <w:p>
            <w:pPr>
              <w:pStyle w:val="TableParagraph"/>
              <w:spacing w:line="220" w:lineRule="exact"/>
              <w:ind w:left="1" w:right="35"/>
              <w:jc w:val="center"/>
              <w:rPr>
                <w:b/>
                <w:sz w:val="20"/>
              </w:rPr>
            </w:pPr>
            <w:r>
              <w:rPr>
                <w:b/>
                <w:spacing w:val="-4"/>
                <w:sz w:val="20"/>
              </w:rPr>
              <w:t>SRMR</w:t>
            </w:r>
          </w:p>
        </w:tc>
        <w:tc>
          <w:tcPr>
            <w:tcW w:w="1104" w:type="dxa"/>
            <w:tcBorders>
              <w:top w:val="single" w:sz="4" w:space="0" w:color="000000"/>
            </w:tcBorders>
          </w:tcPr>
          <w:p>
            <w:pPr>
              <w:pStyle w:val="TableParagraph"/>
              <w:spacing w:before="3"/>
              <w:rPr>
                <w:sz w:val="20"/>
              </w:rPr>
            </w:pPr>
          </w:p>
          <w:p>
            <w:pPr>
              <w:pStyle w:val="TableParagraph"/>
              <w:spacing w:line="220" w:lineRule="exact"/>
              <w:ind w:left="107" w:right="2"/>
              <w:jc w:val="center"/>
              <w:rPr>
                <w:b/>
                <w:sz w:val="20"/>
              </w:rPr>
            </w:pPr>
            <w:r>
              <w:rPr>
                <w:b/>
                <w:spacing w:val="-2"/>
                <w:sz w:val="20"/>
              </w:rPr>
              <w:t>RMSEA</w:t>
            </w:r>
          </w:p>
        </w:tc>
        <w:tc>
          <w:tcPr>
            <w:tcW w:w="1901" w:type="dxa"/>
            <w:gridSpan w:val="2"/>
            <w:tcBorders>
              <w:top w:val="single" w:sz="4" w:space="0" w:color="000000"/>
            </w:tcBorders>
          </w:tcPr>
          <w:p>
            <w:pPr>
              <w:pStyle w:val="TableParagraph"/>
              <w:spacing w:line="228" w:lineRule="exact"/>
              <w:ind w:left="98"/>
              <w:jc w:val="center"/>
              <w:rPr>
                <w:b/>
                <w:sz w:val="20"/>
              </w:rPr>
            </w:pPr>
            <w:r>
              <w:rPr>
                <w:b/>
                <w:sz w:val="20"/>
              </w:rPr>
              <w:t>Faktör</w:t>
            </w:r>
            <w:r>
              <w:rPr>
                <w:b/>
                <w:spacing w:val="-6"/>
                <w:sz w:val="20"/>
              </w:rPr>
              <w:t> </w:t>
            </w:r>
            <w:r>
              <w:rPr>
                <w:b/>
                <w:spacing w:val="-5"/>
                <w:sz w:val="20"/>
              </w:rPr>
              <w:t>Yük</w:t>
            </w:r>
          </w:p>
          <w:p>
            <w:pPr>
              <w:pStyle w:val="TableParagraph"/>
              <w:tabs>
                <w:tab w:pos="593" w:val="left" w:leader="none"/>
                <w:tab w:pos="1889" w:val="left" w:leader="none"/>
              </w:tabs>
              <w:spacing w:line="225" w:lineRule="exact"/>
              <w:ind w:left="108"/>
              <w:jc w:val="center"/>
              <w:rPr>
                <w:b/>
                <w:sz w:val="20"/>
              </w:rPr>
            </w:pPr>
            <w:r>
              <w:rPr>
                <w:sz w:val="20"/>
                <w:u w:val="single"/>
              </w:rPr>
              <w:tab/>
            </w:r>
            <w:r>
              <w:rPr>
                <w:b/>
                <w:spacing w:val="-2"/>
                <w:sz w:val="20"/>
                <w:u w:val="single"/>
              </w:rPr>
              <w:t>Değerleri</w:t>
            </w:r>
            <w:r>
              <w:rPr>
                <w:b/>
                <w:sz w:val="20"/>
                <w:u w:val="single"/>
              </w:rPr>
              <w:tab/>
            </w:r>
          </w:p>
        </w:tc>
      </w:tr>
      <w:tr>
        <w:trPr>
          <w:trHeight w:val="226" w:hRule="atLeast"/>
        </w:trPr>
        <w:tc>
          <w:tcPr>
            <w:tcW w:w="1191" w:type="dxa"/>
          </w:tcPr>
          <w:p>
            <w:pPr>
              <w:pStyle w:val="TableParagraph"/>
              <w:rPr>
                <w:sz w:val="16"/>
              </w:rPr>
            </w:pPr>
          </w:p>
        </w:tc>
        <w:tc>
          <w:tcPr>
            <w:tcW w:w="1076" w:type="dxa"/>
            <w:tcBorders>
              <w:bottom w:val="single" w:sz="4" w:space="0" w:color="000000"/>
            </w:tcBorders>
          </w:tcPr>
          <w:p>
            <w:pPr>
              <w:pStyle w:val="TableParagraph"/>
              <w:rPr>
                <w:sz w:val="16"/>
              </w:rPr>
            </w:pPr>
          </w:p>
        </w:tc>
        <w:tc>
          <w:tcPr>
            <w:tcW w:w="936" w:type="dxa"/>
            <w:tcBorders>
              <w:bottom w:val="single" w:sz="4" w:space="0" w:color="000000"/>
            </w:tcBorders>
          </w:tcPr>
          <w:p>
            <w:pPr>
              <w:pStyle w:val="TableParagraph"/>
              <w:rPr>
                <w:sz w:val="16"/>
              </w:rPr>
            </w:pPr>
          </w:p>
        </w:tc>
        <w:tc>
          <w:tcPr>
            <w:tcW w:w="1119" w:type="dxa"/>
            <w:tcBorders>
              <w:bottom w:val="single" w:sz="4" w:space="0" w:color="000000"/>
            </w:tcBorders>
          </w:tcPr>
          <w:p>
            <w:pPr>
              <w:pStyle w:val="TableParagraph"/>
              <w:rPr>
                <w:sz w:val="16"/>
              </w:rPr>
            </w:pPr>
          </w:p>
        </w:tc>
        <w:tc>
          <w:tcPr>
            <w:tcW w:w="1169" w:type="dxa"/>
            <w:tcBorders>
              <w:bottom w:val="single" w:sz="4" w:space="0" w:color="000000"/>
            </w:tcBorders>
          </w:tcPr>
          <w:p>
            <w:pPr>
              <w:pStyle w:val="TableParagraph"/>
              <w:rPr>
                <w:sz w:val="16"/>
              </w:rPr>
            </w:pPr>
          </w:p>
        </w:tc>
        <w:tc>
          <w:tcPr>
            <w:tcW w:w="1189" w:type="dxa"/>
            <w:tcBorders>
              <w:bottom w:val="single" w:sz="4" w:space="0" w:color="000000"/>
            </w:tcBorders>
          </w:tcPr>
          <w:p>
            <w:pPr>
              <w:pStyle w:val="TableParagraph"/>
              <w:rPr>
                <w:sz w:val="16"/>
              </w:rPr>
            </w:pPr>
          </w:p>
        </w:tc>
        <w:tc>
          <w:tcPr>
            <w:tcW w:w="1104" w:type="dxa"/>
            <w:tcBorders>
              <w:bottom w:val="single" w:sz="4" w:space="0" w:color="000000"/>
            </w:tcBorders>
          </w:tcPr>
          <w:p>
            <w:pPr>
              <w:pStyle w:val="TableParagraph"/>
              <w:rPr>
                <w:sz w:val="16"/>
              </w:rPr>
            </w:pPr>
          </w:p>
        </w:tc>
        <w:tc>
          <w:tcPr>
            <w:tcW w:w="1258" w:type="dxa"/>
            <w:tcBorders>
              <w:bottom w:val="single" w:sz="4" w:space="0" w:color="000000"/>
            </w:tcBorders>
          </w:tcPr>
          <w:p>
            <w:pPr>
              <w:pStyle w:val="TableParagraph"/>
              <w:spacing w:line="207" w:lineRule="exact"/>
              <w:ind w:left="434"/>
              <w:rPr>
                <w:b/>
                <w:sz w:val="20"/>
              </w:rPr>
            </w:pPr>
            <w:r>
              <w:rPr>
                <w:b/>
                <w:spacing w:val="-5"/>
                <w:sz w:val="20"/>
              </w:rPr>
              <w:t>min</w:t>
            </w:r>
          </w:p>
        </w:tc>
        <w:tc>
          <w:tcPr>
            <w:tcW w:w="643" w:type="dxa"/>
            <w:tcBorders>
              <w:bottom w:val="single" w:sz="4" w:space="0" w:color="000000"/>
            </w:tcBorders>
          </w:tcPr>
          <w:p>
            <w:pPr>
              <w:pStyle w:val="TableParagraph"/>
              <w:spacing w:line="207" w:lineRule="exact"/>
              <w:ind w:left="51"/>
              <w:rPr>
                <w:b/>
                <w:sz w:val="20"/>
              </w:rPr>
            </w:pPr>
            <w:r>
              <w:rPr>
                <w:b/>
                <w:spacing w:val="-5"/>
                <w:sz w:val="20"/>
              </w:rPr>
              <w:t>max</w:t>
            </w:r>
          </w:p>
        </w:tc>
      </w:tr>
      <w:tr>
        <w:trPr>
          <w:trHeight w:val="460" w:hRule="atLeast"/>
        </w:trPr>
        <w:tc>
          <w:tcPr>
            <w:tcW w:w="1191" w:type="dxa"/>
            <w:tcBorders>
              <w:bottom w:val="single" w:sz="4" w:space="0" w:color="000000"/>
            </w:tcBorders>
          </w:tcPr>
          <w:p>
            <w:pPr>
              <w:pStyle w:val="TableParagraph"/>
              <w:spacing w:line="228" w:lineRule="exact"/>
              <w:ind w:left="8"/>
              <w:jc w:val="center"/>
              <w:rPr>
                <w:b/>
                <w:sz w:val="20"/>
              </w:rPr>
            </w:pPr>
            <w:r>
              <w:rPr>
                <w:b/>
                <w:spacing w:val="-5"/>
                <w:sz w:val="20"/>
              </w:rPr>
              <w:t>DFA</w:t>
            </w:r>
          </w:p>
          <w:p>
            <w:pPr>
              <w:pStyle w:val="TableParagraph"/>
              <w:spacing w:line="212" w:lineRule="exact"/>
              <w:ind w:left="8" w:right="5"/>
              <w:jc w:val="center"/>
              <w:rPr>
                <w:b/>
                <w:sz w:val="20"/>
              </w:rPr>
            </w:pPr>
            <w:r>
              <w:rPr>
                <w:b/>
                <w:spacing w:val="-2"/>
                <w:sz w:val="20"/>
              </w:rPr>
              <w:t>Değerleri</w:t>
            </w:r>
          </w:p>
        </w:tc>
        <w:tc>
          <w:tcPr>
            <w:tcW w:w="1076" w:type="dxa"/>
            <w:tcBorders>
              <w:top w:val="single" w:sz="4" w:space="0" w:color="000000"/>
              <w:bottom w:val="single" w:sz="4" w:space="0" w:color="000000"/>
            </w:tcBorders>
          </w:tcPr>
          <w:p>
            <w:pPr>
              <w:pStyle w:val="TableParagraph"/>
              <w:spacing w:before="113"/>
              <w:ind w:left="3"/>
              <w:jc w:val="center"/>
              <w:rPr>
                <w:sz w:val="20"/>
              </w:rPr>
            </w:pPr>
            <w:r>
              <w:rPr>
                <w:spacing w:val="-2"/>
                <w:sz w:val="20"/>
              </w:rPr>
              <w:t>183.957</w:t>
            </w:r>
          </w:p>
        </w:tc>
        <w:tc>
          <w:tcPr>
            <w:tcW w:w="936" w:type="dxa"/>
            <w:tcBorders>
              <w:top w:val="single" w:sz="4" w:space="0" w:color="000000"/>
              <w:bottom w:val="single" w:sz="4" w:space="0" w:color="000000"/>
            </w:tcBorders>
          </w:tcPr>
          <w:p>
            <w:pPr>
              <w:pStyle w:val="TableParagraph"/>
              <w:spacing w:before="113"/>
              <w:ind w:right="35"/>
              <w:jc w:val="center"/>
              <w:rPr>
                <w:sz w:val="20"/>
              </w:rPr>
            </w:pPr>
            <w:r>
              <w:rPr>
                <w:spacing w:val="-4"/>
                <w:sz w:val="20"/>
              </w:rPr>
              <w:t>.000</w:t>
            </w:r>
          </w:p>
        </w:tc>
        <w:tc>
          <w:tcPr>
            <w:tcW w:w="1119" w:type="dxa"/>
            <w:tcBorders>
              <w:top w:val="single" w:sz="4" w:space="0" w:color="000000"/>
              <w:bottom w:val="single" w:sz="4" w:space="0" w:color="000000"/>
            </w:tcBorders>
          </w:tcPr>
          <w:p>
            <w:pPr>
              <w:pStyle w:val="TableParagraph"/>
              <w:spacing w:before="113"/>
              <w:ind w:right="41"/>
              <w:jc w:val="center"/>
              <w:rPr>
                <w:sz w:val="20"/>
              </w:rPr>
            </w:pPr>
            <w:r>
              <w:rPr>
                <w:spacing w:val="-2"/>
                <w:sz w:val="20"/>
              </w:rPr>
              <w:t>1.957</w:t>
            </w:r>
          </w:p>
        </w:tc>
        <w:tc>
          <w:tcPr>
            <w:tcW w:w="1169" w:type="dxa"/>
            <w:tcBorders>
              <w:top w:val="single" w:sz="4" w:space="0" w:color="000000"/>
              <w:bottom w:val="single" w:sz="4" w:space="0" w:color="000000"/>
            </w:tcBorders>
          </w:tcPr>
          <w:p>
            <w:pPr>
              <w:pStyle w:val="TableParagraph"/>
              <w:spacing w:before="113"/>
              <w:ind w:left="8" w:right="24"/>
              <w:jc w:val="center"/>
              <w:rPr>
                <w:sz w:val="20"/>
              </w:rPr>
            </w:pPr>
            <w:r>
              <w:rPr>
                <w:spacing w:val="-4"/>
                <w:sz w:val="20"/>
              </w:rPr>
              <w:t>.957</w:t>
            </w:r>
          </w:p>
        </w:tc>
        <w:tc>
          <w:tcPr>
            <w:tcW w:w="1189" w:type="dxa"/>
            <w:tcBorders>
              <w:top w:val="single" w:sz="4" w:space="0" w:color="000000"/>
              <w:bottom w:val="single" w:sz="4" w:space="0" w:color="000000"/>
            </w:tcBorders>
          </w:tcPr>
          <w:p>
            <w:pPr>
              <w:pStyle w:val="TableParagraph"/>
              <w:spacing w:before="113"/>
              <w:ind w:right="35"/>
              <w:jc w:val="center"/>
              <w:rPr>
                <w:sz w:val="20"/>
              </w:rPr>
            </w:pPr>
            <w:r>
              <w:rPr>
                <w:spacing w:val="-4"/>
                <w:sz w:val="20"/>
              </w:rPr>
              <w:t>.054</w:t>
            </w:r>
          </w:p>
        </w:tc>
        <w:tc>
          <w:tcPr>
            <w:tcW w:w="1104" w:type="dxa"/>
            <w:tcBorders>
              <w:top w:val="single" w:sz="4" w:space="0" w:color="000000"/>
              <w:bottom w:val="single" w:sz="4" w:space="0" w:color="000000"/>
            </w:tcBorders>
          </w:tcPr>
          <w:p>
            <w:pPr>
              <w:pStyle w:val="TableParagraph"/>
              <w:spacing w:before="113"/>
              <w:ind w:left="107" w:right="6"/>
              <w:jc w:val="center"/>
              <w:rPr>
                <w:sz w:val="20"/>
              </w:rPr>
            </w:pPr>
            <w:r>
              <w:rPr>
                <w:spacing w:val="-4"/>
                <w:sz w:val="20"/>
              </w:rPr>
              <w:t>.057</w:t>
            </w:r>
          </w:p>
        </w:tc>
        <w:tc>
          <w:tcPr>
            <w:tcW w:w="1258" w:type="dxa"/>
            <w:tcBorders>
              <w:top w:val="single" w:sz="4" w:space="0" w:color="000000"/>
              <w:bottom w:val="single" w:sz="4" w:space="0" w:color="000000"/>
            </w:tcBorders>
          </w:tcPr>
          <w:p>
            <w:pPr>
              <w:pStyle w:val="TableParagraph"/>
              <w:spacing w:before="113"/>
              <w:ind w:left="479"/>
              <w:rPr>
                <w:sz w:val="20"/>
              </w:rPr>
            </w:pPr>
            <w:r>
              <w:rPr>
                <w:spacing w:val="-5"/>
                <w:sz w:val="20"/>
              </w:rPr>
              <w:t>.57</w:t>
            </w:r>
          </w:p>
        </w:tc>
        <w:tc>
          <w:tcPr>
            <w:tcW w:w="643" w:type="dxa"/>
            <w:tcBorders>
              <w:top w:val="single" w:sz="4" w:space="0" w:color="000000"/>
              <w:bottom w:val="single" w:sz="4" w:space="0" w:color="000000"/>
            </w:tcBorders>
          </w:tcPr>
          <w:p>
            <w:pPr>
              <w:pStyle w:val="TableParagraph"/>
              <w:spacing w:before="113"/>
              <w:ind w:left="112"/>
              <w:rPr>
                <w:sz w:val="20"/>
              </w:rPr>
            </w:pPr>
            <w:r>
              <w:rPr>
                <w:spacing w:val="-5"/>
                <w:sz w:val="20"/>
              </w:rPr>
              <w:t>.86</w:t>
            </w:r>
          </w:p>
        </w:tc>
      </w:tr>
      <w:tr>
        <w:trPr>
          <w:trHeight w:val="460" w:hRule="atLeast"/>
        </w:trPr>
        <w:tc>
          <w:tcPr>
            <w:tcW w:w="1191" w:type="dxa"/>
            <w:tcBorders>
              <w:top w:val="single" w:sz="4" w:space="0" w:color="000000"/>
              <w:bottom w:val="single" w:sz="4" w:space="0" w:color="000000"/>
            </w:tcBorders>
          </w:tcPr>
          <w:p>
            <w:pPr>
              <w:pStyle w:val="TableParagraph"/>
              <w:spacing w:line="230" w:lineRule="exact"/>
              <w:ind w:left="225" w:right="211" w:hanging="5"/>
              <w:rPr>
                <w:b/>
                <w:sz w:val="20"/>
              </w:rPr>
            </w:pPr>
            <w:r>
              <w:rPr>
                <w:b/>
                <w:spacing w:val="-2"/>
                <w:sz w:val="20"/>
              </w:rPr>
              <w:t>Önerilen Değerler</w:t>
            </w:r>
          </w:p>
        </w:tc>
        <w:tc>
          <w:tcPr>
            <w:tcW w:w="1076" w:type="dxa"/>
            <w:tcBorders>
              <w:top w:val="single" w:sz="4" w:space="0" w:color="000000"/>
              <w:bottom w:val="single" w:sz="4" w:space="0" w:color="000000"/>
            </w:tcBorders>
          </w:tcPr>
          <w:p>
            <w:pPr>
              <w:pStyle w:val="TableParagraph"/>
              <w:spacing w:before="113"/>
              <w:ind w:left="3" w:right="3"/>
              <w:jc w:val="center"/>
              <w:rPr>
                <w:i/>
                <w:sz w:val="20"/>
              </w:rPr>
            </w:pPr>
            <w:r>
              <w:rPr>
                <w:i/>
                <w:spacing w:val="-2"/>
                <w:sz w:val="20"/>
              </w:rPr>
              <w:t>p&gt;.05</w:t>
            </w:r>
          </w:p>
        </w:tc>
        <w:tc>
          <w:tcPr>
            <w:tcW w:w="936" w:type="dxa"/>
            <w:tcBorders>
              <w:top w:val="single" w:sz="4" w:space="0" w:color="000000"/>
              <w:bottom w:val="single" w:sz="4" w:space="0" w:color="000000"/>
            </w:tcBorders>
          </w:tcPr>
          <w:p>
            <w:pPr>
              <w:pStyle w:val="TableParagraph"/>
              <w:spacing w:before="113"/>
              <w:ind w:left="5" w:right="35"/>
              <w:jc w:val="center"/>
              <w:rPr>
                <w:i/>
                <w:sz w:val="20"/>
              </w:rPr>
            </w:pPr>
            <w:r>
              <w:rPr>
                <w:i/>
                <w:spacing w:val="-2"/>
                <w:sz w:val="20"/>
              </w:rPr>
              <w:t>p&lt;.05</w:t>
            </w:r>
          </w:p>
        </w:tc>
        <w:tc>
          <w:tcPr>
            <w:tcW w:w="1119" w:type="dxa"/>
            <w:tcBorders>
              <w:top w:val="single" w:sz="4" w:space="0" w:color="000000"/>
              <w:bottom w:val="single" w:sz="4" w:space="0" w:color="000000"/>
            </w:tcBorders>
          </w:tcPr>
          <w:p>
            <w:pPr>
              <w:pStyle w:val="TableParagraph"/>
              <w:spacing w:before="113"/>
              <w:ind w:left="2" w:right="41"/>
              <w:jc w:val="center"/>
              <w:rPr>
                <w:i/>
                <w:sz w:val="20"/>
              </w:rPr>
            </w:pPr>
            <w:r>
              <w:rPr>
                <w:i/>
                <w:spacing w:val="-2"/>
                <w:sz w:val="20"/>
              </w:rPr>
              <w:t>x</w:t>
            </w:r>
            <w:r>
              <w:rPr>
                <w:i/>
                <w:spacing w:val="-2"/>
                <w:sz w:val="20"/>
                <w:vertAlign w:val="superscript"/>
              </w:rPr>
              <w:t>2</w:t>
            </w:r>
            <w:r>
              <w:rPr>
                <w:i/>
                <w:spacing w:val="-2"/>
                <w:sz w:val="20"/>
                <w:vertAlign w:val="baseline"/>
              </w:rPr>
              <w:t>/df&lt;3</w:t>
            </w:r>
          </w:p>
        </w:tc>
        <w:tc>
          <w:tcPr>
            <w:tcW w:w="1169" w:type="dxa"/>
            <w:tcBorders>
              <w:top w:val="single" w:sz="4" w:space="0" w:color="000000"/>
              <w:bottom w:val="single" w:sz="4" w:space="0" w:color="000000"/>
            </w:tcBorders>
          </w:tcPr>
          <w:p>
            <w:pPr>
              <w:pStyle w:val="TableParagraph"/>
              <w:spacing w:before="113"/>
              <w:ind w:left="3" w:right="24"/>
              <w:jc w:val="center"/>
              <w:rPr>
                <w:i/>
                <w:sz w:val="20"/>
              </w:rPr>
            </w:pPr>
            <w:r>
              <w:rPr>
                <w:i/>
                <w:spacing w:val="-4"/>
                <w:sz w:val="20"/>
              </w:rPr>
              <w:t>&gt;.95</w:t>
            </w:r>
          </w:p>
        </w:tc>
        <w:tc>
          <w:tcPr>
            <w:tcW w:w="1189" w:type="dxa"/>
            <w:tcBorders>
              <w:top w:val="single" w:sz="4" w:space="0" w:color="000000"/>
              <w:bottom w:val="single" w:sz="4" w:space="0" w:color="000000"/>
            </w:tcBorders>
          </w:tcPr>
          <w:p>
            <w:pPr>
              <w:pStyle w:val="TableParagraph"/>
              <w:spacing w:before="113"/>
              <w:ind w:left="5" w:right="35"/>
              <w:jc w:val="center"/>
              <w:rPr>
                <w:i/>
                <w:sz w:val="20"/>
              </w:rPr>
            </w:pPr>
            <w:r>
              <w:rPr>
                <w:i/>
                <w:spacing w:val="-4"/>
                <w:sz w:val="20"/>
              </w:rPr>
              <w:t>&lt;.08</w:t>
            </w:r>
          </w:p>
        </w:tc>
        <w:tc>
          <w:tcPr>
            <w:tcW w:w="1104" w:type="dxa"/>
            <w:tcBorders>
              <w:top w:val="single" w:sz="4" w:space="0" w:color="000000"/>
              <w:bottom w:val="single" w:sz="4" w:space="0" w:color="000000"/>
            </w:tcBorders>
          </w:tcPr>
          <w:p>
            <w:pPr>
              <w:pStyle w:val="TableParagraph"/>
              <w:spacing w:before="113"/>
              <w:ind w:left="107"/>
              <w:jc w:val="center"/>
              <w:rPr>
                <w:i/>
                <w:sz w:val="20"/>
              </w:rPr>
            </w:pPr>
            <w:r>
              <w:rPr>
                <w:i/>
                <w:spacing w:val="-4"/>
                <w:sz w:val="20"/>
              </w:rPr>
              <w:t>&lt;.08</w:t>
            </w:r>
          </w:p>
        </w:tc>
        <w:tc>
          <w:tcPr>
            <w:tcW w:w="1258" w:type="dxa"/>
            <w:tcBorders>
              <w:top w:val="single" w:sz="4" w:space="0" w:color="000000"/>
              <w:bottom w:val="single" w:sz="4" w:space="0" w:color="000000"/>
            </w:tcBorders>
          </w:tcPr>
          <w:p>
            <w:pPr>
              <w:pStyle w:val="TableParagraph"/>
              <w:spacing w:before="113"/>
              <w:ind w:left="809"/>
              <w:rPr>
                <w:i/>
                <w:sz w:val="20"/>
              </w:rPr>
            </w:pPr>
            <w:r>
              <w:rPr>
                <w:i/>
                <w:spacing w:val="-4"/>
                <w:sz w:val="20"/>
              </w:rPr>
              <w:t>&gt;.30</w:t>
            </w:r>
          </w:p>
        </w:tc>
        <w:tc>
          <w:tcPr>
            <w:tcW w:w="643" w:type="dxa"/>
            <w:tcBorders>
              <w:top w:val="single" w:sz="4" w:space="0" w:color="000000"/>
              <w:bottom w:val="single" w:sz="4" w:space="0" w:color="000000"/>
            </w:tcBorders>
          </w:tcPr>
          <w:p>
            <w:pPr>
              <w:pStyle w:val="TableParagraph"/>
              <w:rPr>
                <w:sz w:val="22"/>
              </w:rPr>
            </w:pPr>
          </w:p>
        </w:tc>
      </w:tr>
      <w:tr>
        <w:trPr>
          <w:trHeight w:val="460" w:hRule="atLeast"/>
        </w:trPr>
        <w:tc>
          <w:tcPr>
            <w:tcW w:w="1191" w:type="dxa"/>
            <w:tcBorders>
              <w:top w:val="single" w:sz="4" w:space="0" w:color="000000"/>
              <w:bottom w:val="single" w:sz="4" w:space="0" w:color="000000"/>
            </w:tcBorders>
          </w:tcPr>
          <w:p>
            <w:pPr>
              <w:pStyle w:val="TableParagraph"/>
              <w:spacing w:before="113"/>
              <w:ind w:left="340"/>
              <w:rPr>
                <w:b/>
                <w:sz w:val="20"/>
              </w:rPr>
            </w:pPr>
            <w:r>
              <w:rPr>
                <w:b/>
                <w:spacing w:val="-4"/>
                <w:sz w:val="20"/>
              </w:rPr>
              <w:t>Uyum</w:t>
            </w:r>
          </w:p>
        </w:tc>
        <w:tc>
          <w:tcPr>
            <w:tcW w:w="1076" w:type="dxa"/>
            <w:tcBorders>
              <w:top w:val="single" w:sz="4" w:space="0" w:color="000000"/>
              <w:bottom w:val="single" w:sz="4" w:space="0" w:color="000000"/>
            </w:tcBorders>
          </w:tcPr>
          <w:p>
            <w:pPr>
              <w:pStyle w:val="TableParagraph"/>
              <w:rPr>
                <w:sz w:val="22"/>
              </w:rPr>
            </w:pPr>
          </w:p>
        </w:tc>
        <w:tc>
          <w:tcPr>
            <w:tcW w:w="936" w:type="dxa"/>
            <w:tcBorders>
              <w:top w:val="single" w:sz="4" w:space="0" w:color="000000"/>
              <w:bottom w:val="single" w:sz="4" w:space="0" w:color="000000"/>
            </w:tcBorders>
          </w:tcPr>
          <w:p>
            <w:pPr>
              <w:pStyle w:val="TableParagraph"/>
              <w:rPr>
                <w:sz w:val="22"/>
              </w:rPr>
            </w:pPr>
          </w:p>
        </w:tc>
        <w:tc>
          <w:tcPr>
            <w:tcW w:w="1119" w:type="dxa"/>
            <w:tcBorders>
              <w:top w:val="single" w:sz="4" w:space="0" w:color="000000"/>
              <w:bottom w:val="single" w:sz="4" w:space="0" w:color="000000"/>
            </w:tcBorders>
          </w:tcPr>
          <w:p>
            <w:pPr>
              <w:pStyle w:val="TableParagraph"/>
              <w:spacing w:before="113"/>
              <w:ind w:left="2" w:right="41"/>
              <w:jc w:val="center"/>
              <w:rPr>
                <w:sz w:val="20"/>
              </w:rPr>
            </w:pPr>
            <w:r>
              <w:rPr>
                <w:sz w:val="20"/>
              </w:rPr>
              <w:t>İyi</w:t>
            </w:r>
            <w:r>
              <w:rPr>
                <w:spacing w:val="-3"/>
                <w:sz w:val="20"/>
              </w:rPr>
              <w:t> </w:t>
            </w:r>
            <w:r>
              <w:rPr>
                <w:spacing w:val="-4"/>
                <w:sz w:val="20"/>
              </w:rPr>
              <w:t>Uyum</w:t>
            </w:r>
          </w:p>
        </w:tc>
        <w:tc>
          <w:tcPr>
            <w:tcW w:w="1169" w:type="dxa"/>
            <w:tcBorders>
              <w:top w:val="single" w:sz="4" w:space="0" w:color="000000"/>
              <w:bottom w:val="single" w:sz="4" w:space="0" w:color="000000"/>
            </w:tcBorders>
          </w:tcPr>
          <w:p>
            <w:pPr>
              <w:pStyle w:val="TableParagraph"/>
              <w:spacing w:before="113"/>
              <w:ind w:left="8" w:right="24"/>
              <w:jc w:val="center"/>
              <w:rPr>
                <w:sz w:val="20"/>
              </w:rPr>
            </w:pPr>
            <w:r>
              <w:rPr>
                <w:sz w:val="20"/>
              </w:rPr>
              <w:t>İyi</w:t>
            </w:r>
            <w:r>
              <w:rPr>
                <w:spacing w:val="-3"/>
                <w:sz w:val="20"/>
              </w:rPr>
              <w:t> </w:t>
            </w:r>
            <w:r>
              <w:rPr>
                <w:spacing w:val="-4"/>
                <w:sz w:val="20"/>
              </w:rPr>
              <w:t>Uyum</w:t>
            </w:r>
          </w:p>
        </w:tc>
        <w:tc>
          <w:tcPr>
            <w:tcW w:w="1189" w:type="dxa"/>
            <w:tcBorders>
              <w:top w:val="single" w:sz="4" w:space="0" w:color="000000"/>
              <w:bottom w:val="single" w:sz="4" w:space="0" w:color="000000"/>
            </w:tcBorders>
          </w:tcPr>
          <w:p>
            <w:pPr>
              <w:pStyle w:val="TableParagraph"/>
              <w:spacing w:line="230" w:lineRule="exact"/>
              <w:ind w:left="201" w:right="232" w:firstLine="130"/>
              <w:rPr>
                <w:sz w:val="20"/>
              </w:rPr>
            </w:pPr>
            <w:r>
              <w:rPr>
                <w:spacing w:val="-2"/>
                <w:sz w:val="20"/>
              </w:rPr>
              <w:t>Kabul Edilebilir</w:t>
            </w:r>
          </w:p>
        </w:tc>
        <w:tc>
          <w:tcPr>
            <w:tcW w:w="1104" w:type="dxa"/>
            <w:tcBorders>
              <w:top w:val="single" w:sz="4" w:space="0" w:color="000000"/>
              <w:bottom w:val="single" w:sz="4" w:space="0" w:color="000000"/>
            </w:tcBorders>
          </w:tcPr>
          <w:p>
            <w:pPr>
              <w:pStyle w:val="TableParagraph"/>
              <w:spacing w:line="230" w:lineRule="exact"/>
              <w:ind w:left="227" w:right="121" w:firstLine="130"/>
              <w:rPr>
                <w:sz w:val="20"/>
              </w:rPr>
            </w:pPr>
            <w:r>
              <w:rPr>
                <w:spacing w:val="-2"/>
                <w:sz w:val="20"/>
              </w:rPr>
              <w:t>Kabul Edilebilir</w:t>
            </w:r>
          </w:p>
        </w:tc>
        <w:tc>
          <w:tcPr>
            <w:tcW w:w="1258" w:type="dxa"/>
            <w:tcBorders>
              <w:top w:val="single" w:sz="4" w:space="0" w:color="000000"/>
              <w:bottom w:val="single" w:sz="4" w:space="0" w:color="000000"/>
            </w:tcBorders>
          </w:tcPr>
          <w:p>
            <w:pPr>
              <w:pStyle w:val="TableParagraph"/>
              <w:rPr>
                <w:sz w:val="22"/>
              </w:rPr>
            </w:pPr>
          </w:p>
        </w:tc>
        <w:tc>
          <w:tcPr>
            <w:tcW w:w="643" w:type="dxa"/>
            <w:tcBorders>
              <w:top w:val="single" w:sz="4" w:space="0" w:color="000000"/>
              <w:bottom w:val="single" w:sz="4" w:space="0" w:color="000000"/>
            </w:tcBorders>
          </w:tcPr>
          <w:p>
            <w:pPr>
              <w:pStyle w:val="TableParagraph"/>
              <w:rPr>
                <w:sz w:val="22"/>
              </w:rPr>
            </w:pPr>
          </w:p>
        </w:tc>
      </w:tr>
    </w:tbl>
    <w:p>
      <w:pPr>
        <w:spacing w:before="0"/>
        <w:ind w:left="735" w:right="190" w:firstLine="0"/>
        <w:jc w:val="left"/>
        <w:rPr>
          <w:sz w:val="20"/>
        </w:rPr>
      </w:pPr>
      <w:r>
        <w:rPr>
          <w:i/>
          <w:sz w:val="20"/>
        </w:rPr>
        <w:t>χ</w:t>
      </w:r>
      <w:r>
        <w:rPr>
          <w:sz w:val="20"/>
          <w:vertAlign w:val="superscript"/>
        </w:rPr>
        <w:t>2</w:t>
      </w:r>
      <w:r>
        <w:rPr>
          <w:sz w:val="20"/>
          <w:vertAlign w:val="baseline"/>
        </w:rPr>
        <w:t>/</w:t>
      </w:r>
      <w:r>
        <w:rPr>
          <w:i/>
          <w:sz w:val="20"/>
          <w:vertAlign w:val="baseline"/>
        </w:rPr>
        <w:t>df</w:t>
      </w:r>
      <w:r>
        <w:rPr>
          <w:sz w:val="20"/>
          <w:vertAlign w:val="baseline"/>
        </w:rPr>
        <w:t>=Ki kare/Serbestlik derecesi, CFI=Karşılaştırmalı Uyum İndeksi, SRMR=Standardize Edilmiş Ortalama Hataların Karekökü, RMSEA=Yaklaşık Hataların Ortalama Karekökü</w:t>
      </w:r>
    </w:p>
    <w:p>
      <w:pPr>
        <w:spacing w:after="0"/>
        <w:jc w:val="left"/>
        <w:rPr>
          <w:sz w:val="20"/>
        </w:rPr>
        <w:sectPr>
          <w:pgSz w:w="11910" w:h="16840"/>
          <w:pgMar w:header="442" w:footer="532" w:top="780" w:bottom="720" w:left="400" w:right="260"/>
        </w:sectPr>
      </w:pPr>
    </w:p>
    <w:p>
      <w:pPr>
        <w:pStyle w:val="BodyText"/>
        <w:spacing w:before="60"/>
      </w:pPr>
    </w:p>
    <w:p>
      <w:pPr>
        <w:pStyle w:val="BodyText"/>
        <w:spacing w:line="360" w:lineRule="auto" w:before="1"/>
        <w:ind w:left="735" w:right="868" w:firstLine="710"/>
        <w:jc w:val="both"/>
      </w:pPr>
      <w:r>
        <w:rPr/>
        <w:t>Tablo 2 incelendiğinde χ2/df değeri analiz sonucunda 3’ten küçük olarak bulunmuştur ve bu değer</w:t>
      </w:r>
      <w:r>
        <w:rPr>
          <w:spacing w:val="-15"/>
        </w:rPr>
        <w:t> </w:t>
      </w:r>
      <w:r>
        <w:rPr/>
        <w:t>model</w:t>
      </w:r>
      <w:r>
        <w:rPr>
          <w:spacing w:val="-15"/>
        </w:rPr>
        <w:t> </w:t>
      </w:r>
      <w:r>
        <w:rPr/>
        <w:t>ile</w:t>
      </w:r>
      <w:r>
        <w:rPr>
          <w:spacing w:val="-15"/>
        </w:rPr>
        <w:t> </w:t>
      </w:r>
      <w:r>
        <w:rPr/>
        <w:t>verinin</w:t>
      </w:r>
      <w:r>
        <w:rPr>
          <w:spacing w:val="-15"/>
        </w:rPr>
        <w:t> </w:t>
      </w:r>
      <w:r>
        <w:rPr/>
        <w:t>iyi</w:t>
      </w:r>
      <w:r>
        <w:rPr>
          <w:spacing w:val="-15"/>
        </w:rPr>
        <w:t> </w:t>
      </w:r>
      <w:r>
        <w:rPr/>
        <w:t>uyum</w:t>
      </w:r>
      <w:r>
        <w:rPr>
          <w:spacing w:val="-15"/>
        </w:rPr>
        <w:t> </w:t>
      </w:r>
      <w:r>
        <w:rPr/>
        <w:t>gösterdiğini</w:t>
      </w:r>
      <w:r>
        <w:rPr>
          <w:spacing w:val="-15"/>
        </w:rPr>
        <w:t> </w:t>
      </w:r>
      <w:r>
        <w:rPr/>
        <w:t>ifade</w:t>
      </w:r>
      <w:r>
        <w:rPr>
          <w:spacing w:val="-15"/>
        </w:rPr>
        <w:t> </w:t>
      </w:r>
      <w:r>
        <w:rPr/>
        <w:t>etmektedir</w:t>
      </w:r>
      <w:r>
        <w:rPr>
          <w:spacing w:val="-15"/>
        </w:rPr>
        <w:t> </w:t>
      </w:r>
      <w:r>
        <w:rPr/>
        <w:t>(Gürbüz,</w:t>
      </w:r>
      <w:r>
        <w:rPr>
          <w:spacing w:val="-15"/>
        </w:rPr>
        <w:t> </w:t>
      </w:r>
      <w:r>
        <w:rPr/>
        <w:t>2021).</w:t>
      </w:r>
      <w:r>
        <w:rPr>
          <w:spacing w:val="-15"/>
        </w:rPr>
        <w:t> </w:t>
      </w:r>
      <w:r>
        <w:rPr/>
        <w:t>CFI</w:t>
      </w:r>
      <w:r>
        <w:rPr>
          <w:spacing w:val="-15"/>
        </w:rPr>
        <w:t> </w:t>
      </w:r>
      <w:r>
        <w:rPr/>
        <w:t>değeri</w:t>
      </w:r>
      <w:r>
        <w:rPr>
          <w:spacing w:val="-15"/>
        </w:rPr>
        <w:t> </w:t>
      </w:r>
      <w:r>
        <w:rPr/>
        <w:t>.957</w:t>
      </w:r>
      <w:r>
        <w:rPr>
          <w:spacing w:val="-15"/>
        </w:rPr>
        <w:t> </w:t>
      </w:r>
      <w:r>
        <w:rPr/>
        <w:t>olarak bulunmuştur. Bu değer test edilen model ile temel modelin iyi uyum içinde olduğunun göstergesidir (Byrne, 2016). SRMR değeri .054 olarak bulunmuştur ve bu değer kabul edilebilir düzeydedir (Hu ve Bentler, 1999). RMSEA değeri .057 olarak bulunmuştur, bu değer modelin örneklem ile uyumunun</w:t>
      </w:r>
      <w:r>
        <w:rPr>
          <w:spacing w:val="-9"/>
        </w:rPr>
        <w:t> </w:t>
      </w:r>
      <w:r>
        <w:rPr/>
        <w:t>kabul</w:t>
      </w:r>
      <w:r>
        <w:rPr>
          <w:spacing w:val="-5"/>
        </w:rPr>
        <w:t> </w:t>
      </w:r>
      <w:r>
        <w:rPr/>
        <w:t>edilebilir</w:t>
      </w:r>
      <w:r>
        <w:rPr>
          <w:spacing w:val="-9"/>
        </w:rPr>
        <w:t> </w:t>
      </w:r>
      <w:r>
        <w:rPr/>
        <w:t>düzeyde</w:t>
      </w:r>
      <w:r>
        <w:rPr>
          <w:spacing w:val="-5"/>
        </w:rPr>
        <w:t> </w:t>
      </w:r>
      <w:r>
        <w:rPr/>
        <w:t>olduğunu</w:t>
      </w:r>
      <w:r>
        <w:rPr>
          <w:spacing w:val="-3"/>
        </w:rPr>
        <w:t> </w:t>
      </w:r>
      <w:r>
        <w:rPr/>
        <w:t>ifade</w:t>
      </w:r>
      <w:r>
        <w:rPr>
          <w:spacing w:val="-5"/>
        </w:rPr>
        <w:t> </w:t>
      </w:r>
      <w:r>
        <w:rPr/>
        <w:t>etmektedir</w:t>
      </w:r>
      <w:r>
        <w:rPr>
          <w:spacing w:val="-4"/>
        </w:rPr>
        <w:t> </w:t>
      </w:r>
      <w:r>
        <w:rPr/>
        <w:t>(Kline,</w:t>
      </w:r>
      <w:r>
        <w:rPr>
          <w:spacing w:val="-7"/>
        </w:rPr>
        <w:t> </w:t>
      </w:r>
      <w:r>
        <w:rPr/>
        <w:t>2023).</w:t>
      </w:r>
      <w:r>
        <w:rPr>
          <w:spacing w:val="-4"/>
        </w:rPr>
        <w:t> </w:t>
      </w:r>
      <w:r>
        <w:rPr/>
        <w:t>Alt</w:t>
      </w:r>
      <w:r>
        <w:rPr>
          <w:spacing w:val="-9"/>
        </w:rPr>
        <w:t> </w:t>
      </w:r>
      <w:r>
        <w:rPr/>
        <w:t>boyutlara</w:t>
      </w:r>
      <w:r>
        <w:rPr>
          <w:spacing w:val="-10"/>
        </w:rPr>
        <w:t> </w:t>
      </w:r>
      <w:r>
        <w:rPr/>
        <w:t>ait</w:t>
      </w:r>
      <w:r>
        <w:rPr>
          <w:spacing w:val="-9"/>
        </w:rPr>
        <w:t> </w:t>
      </w:r>
      <w:r>
        <w:rPr/>
        <w:t>faktör yüklerinin .57 - .86 arasında değişmektedir. Bu değerlerin kabul edilebilir sınırlar içerisinde olduğu belirlenmiştir (Gürbüz, 2021).</w:t>
      </w:r>
    </w:p>
    <w:p>
      <w:pPr>
        <w:pStyle w:val="BodyText"/>
        <w:spacing w:before="11"/>
        <w:rPr>
          <w:sz w:val="9"/>
        </w:rPr>
      </w:pPr>
      <w:r>
        <w:rPr/>
        <w:drawing>
          <wp:anchor distT="0" distB="0" distL="0" distR="0" allowOverlap="1" layoutInCell="1" locked="0" behindDoc="1" simplePos="0" relativeHeight="487588864">
            <wp:simplePos x="0" y="0"/>
            <wp:positionH relativeFrom="page">
              <wp:posOffset>1995376</wp:posOffset>
            </wp:positionH>
            <wp:positionV relativeFrom="paragraph">
              <wp:posOffset>88192</wp:posOffset>
            </wp:positionV>
            <wp:extent cx="3525998" cy="4258818"/>
            <wp:effectExtent l="0" t="0" r="0" b="0"/>
            <wp:wrapTopAndBottom/>
            <wp:docPr id="11" name="Image 11" descr="diyagram, şematik içeren bir resim  Açıklama otomatik olarak oluşturuldu"/>
            <wp:cNvGraphicFramePr>
              <a:graphicFrameLocks/>
            </wp:cNvGraphicFramePr>
            <a:graphic>
              <a:graphicData uri="http://schemas.openxmlformats.org/drawingml/2006/picture">
                <pic:pic>
                  <pic:nvPicPr>
                    <pic:cNvPr id="11" name="Image 11" descr="diyagram, şematik içeren bir resim  Açıklama otomatik olarak oluşturuldu"/>
                    <pic:cNvPicPr/>
                  </pic:nvPicPr>
                  <pic:blipFill>
                    <a:blip r:embed="rId14" cstate="print"/>
                    <a:stretch>
                      <a:fillRect/>
                    </a:stretch>
                  </pic:blipFill>
                  <pic:spPr>
                    <a:xfrm>
                      <a:off x="0" y="0"/>
                      <a:ext cx="3525998" cy="4258818"/>
                    </a:xfrm>
                    <a:prstGeom prst="rect">
                      <a:avLst/>
                    </a:prstGeom>
                  </pic:spPr>
                </pic:pic>
              </a:graphicData>
            </a:graphic>
          </wp:anchor>
        </w:drawing>
      </w:r>
    </w:p>
    <w:p>
      <w:pPr>
        <w:spacing w:before="223"/>
        <w:ind w:left="0" w:right="553" w:firstLine="0"/>
        <w:jc w:val="center"/>
        <w:rPr>
          <w:sz w:val="20"/>
        </w:rPr>
      </w:pPr>
      <w:r>
        <w:rPr>
          <w:b/>
          <w:sz w:val="20"/>
        </w:rPr>
        <w:t>Şekil</w:t>
      </w:r>
      <w:r>
        <w:rPr>
          <w:b/>
          <w:spacing w:val="-3"/>
          <w:sz w:val="20"/>
        </w:rPr>
        <w:t> </w:t>
      </w:r>
      <w:r>
        <w:rPr>
          <w:b/>
          <w:sz w:val="20"/>
        </w:rPr>
        <w:t>1.</w:t>
      </w:r>
      <w:r>
        <w:rPr>
          <w:b/>
          <w:spacing w:val="-1"/>
          <w:sz w:val="20"/>
        </w:rPr>
        <w:t> </w:t>
      </w:r>
      <w:r>
        <w:rPr>
          <w:sz w:val="20"/>
        </w:rPr>
        <w:t>DFA Yol</w:t>
      </w:r>
      <w:r>
        <w:rPr>
          <w:spacing w:val="-2"/>
          <w:sz w:val="20"/>
        </w:rPr>
        <w:t> Diyagramı</w:t>
      </w:r>
    </w:p>
    <w:p>
      <w:pPr>
        <w:pStyle w:val="BodyText"/>
      </w:pPr>
    </w:p>
    <w:p>
      <w:pPr>
        <w:pStyle w:val="BodyText"/>
        <w:spacing w:before="15"/>
      </w:pPr>
    </w:p>
    <w:p>
      <w:pPr>
        <w:pStyle w:val="BodyText"/>
        <w:spacing w:line="360" w:lineRule="auto"/>
        <w:ind w:left="735" w:right="867" w:firstLine="710"/>
        <w:jc w:val="both"/>
      </w:pPr>
      <w:r>
        <w:rPr/>
        <w:t>SBSMÖ için yapılan DFA yol diyagramı Şekil 1’de verilmiştir. Diyagram 5 faktörden (hizmet, saha performansı, kişisel katılım, yönetim, ev sahibi) oluşmaktadır. “Hizmet”, “saha performansı”</w:t>
      </w:r>
      <w:r>
        <w:rPr>
          <w:spacing w:val="-9"/>
        </w:rPr>
        <w:t> </w:t>
      </w:r>
      <w:r>
        <w:rPr/>
        <w:t>ve</w:t>
      </w:r>
      <w:r>
        <w:rPr>
          <w:spacing w:val="-9"/>
        </w:rPr>
        <w:t> </w:t>
      </w:r>
      <w:r>
        <w:rPr/>
        <w:t>“yönetim”</w:t>
      </w:r>
      <w:r>
        <w:rPr>
          <w:spacing w:val="-9"/>
        </w:rPr>
        <w:t> </w:t>
      </w:r>
      <w:r>
        <w:rPr/>
        <w:t>alt</w:t>
      </w:r>
      <w:r>
        <w:rPr>
          <w:spacing w:val="-9"/>
        </w:rPr>
        <w:t> </w:t>
      </w:r>
      <w:r>
        <w:rPr/>
        <w:t>boyutları</w:t>
      </w:r>
      <w:r>
        <w:rPr>
          <w:spacing w:val="-9"/>
        </w:rPr>
        <w:t> </w:t>
      </w:r>
      <w:r>
        <w:rPr/>
        <w:t>3</w:t>
      </w:r>
      <w:r>
        <w:rPr>
          <w:spacing w:val="-8"/>
        </w:rPr>
        <w:t> </w:t>
      </w:r>
      <w:r>
        <w:rPr/>
        <w:t>madde;</w:t>
      </w:r>
      <w:r>
        <w:rPr>
          <w:spacing w:val="-9"/>
        </w:rPr>
        <w:t> </w:t>
      </w:r>
      <w:r>
        <w:rPr/>
        <w:t>“kişisel</w:t>
      </w:r>
      <w:r>
        <w:rPr>
          <w:spacing w:val="-9"/>
        </w:rPr>
        <w:t> </w:t>
      </w:r>
      <w:r>
        <w:rPr/>
        <w:t>katılım”</w:t>
      </w:r>
      <w:r>
        <w:rPr>
          <w:spacing w:val="-9"/>
        </w:rPr>
        <w:t> </w:t>
      </w:r>
      <w:r>
        <w:rPr/>
        <w:t>alt</w:t>
      </w:r>
      <w:r>
        <w:rPr>
          <w:spacing w:val="-9"/>
        </w:rPr>
        <w:t> </w:t>
      </w:r>
      <w:r>
        <w:rPr/>
        <w:t>boyutu</w:t>
      </w:r>
      <w:r>
        <w:rPr>
          <w:spacing w:val="-8"/>
        </w:rPr>
        <w:t> </w:t>
      </w:r>
      <w:r>
        <w:rPr/>
        <w:t>5</w:t>
      </w:r>
      <w:r>
        <w:rPr>
          <w:spacing w:val="-8"/>
        </w:rPr>
        <w:t> </w:t>
      </w:r>
      <w:r>
        <w:rPr/>
        <w:t>madde</w:t>
      </w:r>
      <w:r>
        <w:rPr>
          <w:spacing w:val="-9"/>
        </w:rPr>
        <w:t> </w:t>
      </w:r>
      <w:r>
        <w:rPr/>
        <w:t>ve</w:t>
      </w:r>
      <w:r>
        <w:rPr>
          <w:spacing w:val="-9"/>
        </w:rPr>
        <w:t> </w:t>
      </w:r>
      <w:r>
        <w:rPr/>
        <w:t>“ev</w:t>
      </w:r>
      <w:r>
        <w:rPr>
          <w:spacing w:val="-8"/>
        </w:rPr>
        <w:t> </w:t>
      </w:r>
      <w:r>
        <w:rPr/>
        <w:t>sahibi” alt boyutu 2 madde olarak yapı geçerliği sağlanmıştır. “Ev Sahibi” alt boyutunda faktör yükü .50 altında olan madde ölçekten çıkarılmıştır. Ölçeğin orijinal formunda farklı olarak 16 maddelik bir yapı geçerliği sağlanmıştır.</w:t>
      </w:r>
    </w:p>
    <w:p>
      <w:pPr>
        <w:spacing w:after="0" w:line="360" w:lineRule="auto"/>
        <w:jc w:val="both"/>
        <w:sectPr>
          <w:pgSz w:w="11910" w:h="16840"/>
          <w:pgMar w:header="442" w:footer="532" w:top="780" w:bottom="720" w:left="400" w:right="260"/>
        </w:sectPr>
      </w:pPr>
    </w:p>
    <w:p>
      <w:pPr>
        <w:pStyle w:val="BodyText"/>
        <w:spacing w:before="60"/>
      </w:pPr>
    </w:p>
    <w:p>
      <w:pPr>
        <w:pStyle w:val="BodyText"/>
        <w:spacing w:before="1"/>
        <w:ind w:left="735"/>
      </w:pPr>
      <w:r>
        <w:rPr/>
        <w:t>Tablo</w:t>
      </w:r>
      <w:r>
        <w:rPr>
          <w:spacing w:val="-6"/>
        </w:rPr>
        <w:t> </w:t>
      </w:r>
      <w:r>
        <w:rPr>
          <w:spacing w:val="-10"/>
        </w:rPr>
        <w:t>3</w:t>
      </w:r>
    </w:p>
    <w:p>
      <w:pPr>
        <w:pStyle w:val="BodyText"/>
        <w:spacing w:before="139"/>
        <w:ind w:left="735"/>
      </w:pPr>
      <w:r>
        <w:rPr/>
        <w:t>SBSMÖ</w:t>
      </w:r>
      <w:r>
        <w:rPr>
          <w:spacing w:val="-8"/>
        </w:rPr>
        <w:t> </w:t>
      </w:r>
      <w:r>
        <w:rPr/>
        <w:t>Maddelerinin</w:t>
      </w:r>
      <w:r>
        <w:rPr>
          <w:spacing w:val="-1"/>
        </w:rPr>
        <w:t> </w:t>
      </w:r>
      <w:r>
        <w:rPr/>
        <w:t>Hata</w:t>
      </w:r>
      <w:r>
        <w:rPr>
          <w:spacing w:val="-5"/>
        </w:rPr>
        <w:t> </w:t>
      </w:r>
      <w:r>
        <w:rPr/>
        <w:t>Varyansı,</w:t>
      </w:r>
      <w:r>
        <w:rPr>
          <w:spacing w:val="-2"/>
        </w:rPr>
        <w:t> </w:t>
      </w:r>
      <w:r>
        <w:rPr/>
        <w:t>Regresyon</w:t>
      </w:r>
      <w:r>
        <w:rPr>
          <w:spacing w:val="-3"/>
        </w:rPr>
        <w:t> </w:t>
      </w:r>
      <w:r>
        <w:rPr/>
        <w:t>Katsayısı</w:t>
      </w:r>
      <w:r>
        <w:rPr>
          <w:spacing w:val="-4"/>
        </w:rPr>
        <w:t> </w:t>
      </w:r>
      <w:r>
        <w:rPr/>
        <w:t>ve</w:t>
      </w:r>
      <w:r>
        <w:rPr>
          <w:spacing w:val="1"/>
        </w:rPr>
        <w:t> </w:t>
      </w:r>
      <w:r>
        <w:rPr/>
        <w:t>Faktör</w:t>
      </w:r>
      <w:r>
        <w:rPr>
          <w:spacing w:val="-2"/>
        </w:rPr>
        <w:t> </w:t>
      </w:r>
      <w:r>
        <w:rPr/>
        <w:t>Yük</w:t>
      </w:r>
      <w:r>
        <w:rPr>
          <w:spacing w:val="-2"/>
        </w:rPr>
        <w:t> Değerleri</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8"/>
        <w:gridCol w:w="1669"/>
        <w:gridCol w:w="2167"/>
        <w:gridCol w:w="1469"/>
        <w:gridCol w:w="2089"/>
      </w:tblGrid>
      <w:tr>
        <w:trPr>
          <w:trHeight w:val="310" w:hRule="atLeast"/>
        </w:trPr>
        <w:tc>
          <w:tcPr>
            <w:tcW w:w="3947" w:type="dxa"/>
            <w:gridSpan w:val="2"/>
            <w:tcBorders>
              <w:top w:val="single" w:sz="4" w:space="0" w:color="000000"/>
              <w:bottom w:val="single" w:sz="4" w:space="0" w:color="000000"/>
            </w:tcBorders>
          </w:tcPr>
          <w:p>
            <w:pPr>
              <w:pStyle w:val="TableParagraph"/>
              <w:spacing w:line="212" w:lineRule="exact" w:before="78"/>
              <w:ind w:left="2186"/>
              <w:rPr>
                <w:b/>
                <w:sz w:val="20"/>
              </w:rPr>
            </w:pPr>
            <w:r>
              <w:rPr>
                <w:b/>
                <w:sz w:val="20"/>
              </w:rPr>
              <w:t>Ölçek</w:t>
            </w:r>
            <w:r>
              <w:rPr>
                <w:b/>
                <w:spacing w:val="-2"/>
                <w:sz w:val="20"/>
              </w:rPr>
              <w:t> Maddeleri</w:t>
            </w:r>
          </w:p>
        </w:tc>
        <w:tc>
          <w:tcPr>
            <w:tcW w:w="2167" w:type="dxa"/>
            <w:tcBorders>
              <w:top w:val="single" w:sz="4" w:space="0" w:color="000000"/>
              <w:bottom w:val="single" w:sz="4" w:space="0" w:color="000000"/>
            </w:tcBorders>
          </w:tcPr>
          <w:p>
            <w:pPr>
              <w:pStyle w:val="TableParagraph"/>
              <w:spacing w:line="212" w:lineRule="exact" w:before="78"/>
              <w:ind w:right="274"/>
              <w:jc w:val="center"/>
              <w:rPr>
                <w:b/>
                <w:sz w:val="20"/>
              </w:rPr>
            </w:pPr>
            <w:r>
              <w:rPr>
                <w:b/>
                <w:sz w:val="20"/>
              </w:rPr>
              <w:t>Hata</w:t>
            </w:r>
            <w:r>
              <w:rPr>
                <w:b/>
                <w:spacing w:val="-5"/>
                <w:sz w:val="20"/>
              </w:rPr>
              <w:t> </w:t>
            </w:r>
            <w:r>
              <w:rPr>
                <w:b/>
                <w:spacing w:val="-2"/>
                <w:sz w:val="20"/>
              </w:rPr>
              <w:t>Varyansı</w:t>
            </w:r>
          </w:p>
        </w:tc>
        <w:tc>
          <w:tcPr>
            <w:tcW w:w="1469" w:type="dxa"/>
            <w:tcBorders>
              <w:top w:val="single" w:sz="4" w:space="0" w:color="000000"/>
              <w:bottom w:val="single" w:sz="4" w:space="0" w:color="000000"/>
            </w:tcBorders>
          </w:tcPr>
          <w:p>
            <w:pPr>
              <w:pStyle w:val="TableParagraph"/>
              <w:spacing w:line="156" w:lineRule="auto" w:before="114"/>
              <w:ind w:left="68"/>
              <w:jc w:val="center"/>
              <w:rPr>
                <w:b/>
                <w:sz w:val="13"/>
              </w:rPr>
            </w:pPr>
            <w:r>
              <w:rPr>
                <w:b/>
                <w:spacing w:val="-5"/>
                <w:position w:val="-6"/>
                <w:sz w:val="20"/>
              </w:rPr>
              <w:t>R</w:t>
            </w:r>
            <w:r>
              <w:rPr>
                <w:b/>
                <w:spacing w:val="-5"/>
                <w:sz w:val="13"/>
              </w:rPr>
              <w:t>2</w:t>
            </w:r>
          </w:p>
        </w:tc>
        <w:tc>
          <w:tcPr>
            <w:tcW w:w="2089" w:type="dxa"/>
            <w:tcBorders>
              <w:top w:val="single" w:sz="4" w:space="0" w:color="000000"/>
              <w:bottom w:val="single" w:sz="4" w:space="0" w:color="000000"/>
            </w:tcBorders>
          </w:tcPr>
          <w:p>
            <w:pPr>
              <w:pStyle w:val="TableParagraph"/>
              <w:spacing w:line="212" w:lineRule="exact" w:before="78"/>
              <w:ind w:left="242" w:right="1"/>
              <w:jc w:val="center"/>
              <w:rPr>
                <w:b/>
                <w:sz w:val="20"/>
              </w:rPr>
            </w:pPr>
            <w:r>
              <w:rPr>
                <w:b/>
                <w:sz w:val="20"/>
              </w:rPr>
              <w:t>Faktör</w:t>
            </w:r>
            <w:r>
              <w:rPr>
                <w:b/>
                <w:spacing w:val="-6"/>
                <w:sz w:val="20"/>
              </w:rPr>
              <w:t> </w:t>
            </w:r>
            <w:r>
              <w:rPr>
                <w:b/>
                <w:spacing w:val="-2"/>
                <w:sz w:val="20"/>
              </w:rPr>
              <w:t>Yükleri</w:t>
            </w:r>
          </w:p>
        </w:tc>
      </w:tr>
      <w:tr>
        <w:trPr>
          <w:trHeight w:val="257" w:hRule="atLeast"/>
        </w:trPr>
        <w:tc>
          <w:tcPr>
            <w:tcW w:w="2278" w:type="dxa"/>
            <w:tcBorders>
              <w:top w:val="single" w:sz="4" w:space="0" w:color="000000"/>
            </w:tcBorders>
          </w:tcPr>
          <w:p>
            <w:pPr>
              <w:pStyle w:val="TableParagraph"/>
              <w:spacing w:line="228" w:lineRule="exact"/>
              <w:ind w:left="665"/>
              <w:rPr>
                <w:b/>
                <w:sz w:val="20"/>
              </w:rPr>
            </w:pPr>
            <w:r>
              <w:rPr>
                <w:b/>
                <w:spacing w:val="-2"/>
                <w:sz w:val="20"/>
              </w:rPr>
              <w:t>Hizmet</w:t>
            </w:r>
          </w:p>
        </w:tc>
        <w:tc>
          <w:tcPr>
            <w:tcW w:w="1669" w:type="dxa"/>
            <w:tcBorders>
              <w:top w:val="single" w:sz="4" w:space="0" w:color="000000"/>
            </w:tcBorders>
          </w:tcPr>
          <w:p>
            <w:pPr>
              <w:pStyle w:val="TableParagraph"/>
              <w:spacing w:line="228" w:lineRule="exact"/>
              <w:ind w:left="578"/>
              <w:rPr>
                <w:sz w:val="20"/>
              </w:rPr>
            </w:pPr>
            <w:r>
              <w:rPr>
                <w:spacing w:val="-10"/>
                <w:sz w:val="20"/>
              </w:rPr>
              <w:t>1</w:t>
            </w:r>
          </w:p>
        </w:tc>
        <w:tc>
          <w:tcPr>
            <w:tcW w:w="2167" w:type="dxa"/>
            <w:tcBorders>
              <w:top w:val="single" w:sz="4" w:space="0" w:color="000000"/>
            </w:tcBorders>
          </w:tcPr>
          <w:p>
            <w:pPr>
              <w:pStyle w:val="TableParagraph"/>
              <w:spacing w:line="228" w:lineRule="exact"/>
              <w:ind w:right="274"/>
              <w:jc w:val="center"/>
              <w:rPr>
                <w:sz w:val="20"/>
              </w:rPr>
            </w:pPr>
            <w:r>
              <w:rPr>
                <w:spacing w:val="-4"/>
                <w:sz w:val="20"/>
              </w:rPr>
              <w:t>.038</w:t>
            </w:r>
          </w:p>
        </w:tc>
        <w:tc>
          <w:tcPr>
            <w:tcW w:w="1469" w:type="dxa"/>
            <w:tcBorders>
              <w:top w:val="single" w:sz="4" w:space="0" w:color="000000"/>
            </w:tcBorders>
          </w:tcPr>
          <w:p>
            <w:pPr>
              <w:pStyle w:val="TableParagraph"/>
              <w:spacing w:line="228" w:lineRule="exact"/>
              <w:ind w:left="68"/>
              <w:jc w:val="center"/>
              <w:rPr>
                <w:sz w:val="20"/>
              </w:rPr>
            </w:pPr>
            <w:r>
              <w:rPr>
                <w:spacing w:val="-4"/>
                <w:sz w:val="20"/>
              </w:rPr>
              <w:t>.615</w:t>
            </w:r>
          </w:p>
        </w:tc>
        <w:tc>
          <w:tcPr>
            <w:tcW w:w="2089" w:type="dxa"/>
            <w:tcBorders>
              <w:top w:val="single" w:sz="4" w:space="0" w:color="000000"/>
            </w:tcBorders>
          </w:tcPr>
          <w:p>
            <w:pPr>
              <w:pStyle w:val="TableParagraph"/>
              <w:spacing w:line="228" w:lineRule="exact"/>
              <w:ind w:left="242"/>
              <w:jc w:val="center"/>
              <w:rPr>
                <w:sz w:val="20"/>
              </w:rPr>
            </w:pPr>
            <w:r>
              <w:rPr>
                <w:spacing w:val="-4"/>
                <w:sz w:val="20"/>
              </w:rPr>
              <w:t>.784</w:t>
            </w:r>
          </w:p>
        </w:tc>
      </w:tr>
      <w:tr>
        <w:trPr>
          <w:trHeight w:val="280" w:hRule="atLeast"/>
        </w:trPr>
        <w:tc>
          <w:tcPr>
            <w:tcW w:w="2278" w:type="dxa"/>
          </w:tcPr>
          <w:p>
            <w:pPr>
              <w:pStyle w:val="TableParagraph"/>
              <w:rPr>
                <w:sz w:val="20"/>
              </w:rPr>
            </w:pPr>
          </w:p>
        </w:tc>
        <w:tc>
          <w:tcPr>
            <w:tcW w:w="1669" w:type="dxa"/>
          </w:tcPr>
          <w:p>
            <w:pPr>
              <w:pStyle w:val="TableParagraph"/>
              <w:spacing w:before="21"/>
              <w:ind w:left="578"/>
              <w:rPr>
                <w:sz w:val="20"/>
              </w:rPr>
            </w:pPr>
            <w:r>
              <w:rPr>
                <w:spacing w:val="-10"/>
                <w:sz w:val="20"/>
              </w:rPr>
              <w:t>2</w:t>
            </w:r>
          </w:p>
        </w:tc>
        <w:tc>
          <w:tcPr>
            <w:tcW w:w="2167" w:type="dxa"/>
          </w:tcPr>
          <w:p>
            <w:pPr>
              <w:pStyle w:val="TableParagraph"/>
              <w:spacing w:before="21"/>
              <w:ind w:right="274"/>
              <w:jc w:val="center"/>
              <w:rPr>
                <w:sz w:val="20"/>
              </w:rPr>
            </w:pPr>
            <w:r>
              <w:rPr>
                <w:spacing w:val="-4"/>
                <w:sz w:val="20"/>
              </w:rPr>
              <w:t>.036</w:t>
            </w:r>
          </w:p>
        </w:tc>
        <w:tc>
          <w:tcPr>
            <w:tcW w:w="1469" w:type="dxa"/>
          </w:tcPr>
          <w:p>
            <w:pPr>
              <w:pStyle w:val="TableParagraph"/>
              <w:spacing w:before="21"/>
              <w:ind w:left="68"/>
              <w:jc w:val="center"/>
              <w:rPr>
                <w:sz w:val="20"/>
              </w:rPr>
            </w:pPr>
            <w:r>
              <w:rPr>
                <w:spacing w:val="-4"/>
                <w:sz w:val="20"/>
              </w:rPr>
              <w:t>.639</w:t>
            </w:r>
          </w:p>
        </w:tc>
        <w:tc>
          <w:tcPr>
            <w:tcW w:w="2089" w:type="dxa"/>
          </w:tcPr>
          <w:p>
            <w:pPr>
              <w:pStyle w:val="TableParagraph"/>
              <w:spacing w:before="21"/>
              <w:ind w:left="242"/>
              <w:jc w:val="center"/>
              <w:rPr>
                <w:sz w:val="20"/>
              </w:rPr>
            </w:pPr>
            <w:r>
              <w:rPr>
                <w:spacing w:val="-4"/>
                <w:sz w:val="20"/>
              </w:rPr>
              <w:t>.800</w:t>
            </w:r>
          </w:p>
        </w:tc>
      </w:tr>
      <w:tr>
        <w:trPr>
          <w:trHeight w:val="302" w:hRule="atLeast"/>
        </w:trPr>
        <w:tc>
          <w:tcPr>
            <w:tcW w:w="2278" w:type="dxa"/>
            <w:tcBorders>
              <w:bottom w:val="single" w:sz="4" w:space="0" w:color="000000"/>
            </w:tcBorders>
          </w:tcPr>
          <w:p>
            <w:pPr>
              <w:pStyle w:val="TableParagraph"/>
              <w:rPr>
                <w:sz w:val="20"/>
              </w:rPr>
            </w:pPr>
          </w:p>
        </w:tc>
        <w:tc>
          <w:tcPr>
            <w:tcW w:w="1669" w:type="dxa"/>
            <w:tcBorders>
              <w:bottom w:val="single" w:sz="4" w:space="0" w:color="000000"/>
            </w:tcBorders>
          </w:tcPr>
          <w:p>
            <w:pPr>
              <w:pStyle w:val="TableParagraph"/>
              <w:spacing w:before="20"/>
              <w:ind w:left="578"/>
              <w:rPr>
                <w:sz w:val="20"/>
              </w:rPr>
            </w:pPr>
            <w:r>
              <w:rPr>
                <w:spacing w:val="-10"/>
                <w:sz w:val="20"/>
              </w:rPr>
              <w:t>3</w:t>
            </w:r>
          </w:p>
        </w:tc>
        <w:tc>
          <w:tcPr>
            <w:tcW w:w="2167" w:type="dxa"/>
            <w:tcBorders>
              <w:bottom w:val="single" w:sz="4" w:space="0" w:color="000000"/>
            </w:tcBorders>
          </w:tcPr>
          <w:p>
            <w:pPr>
              <w:pStyle w:val="TableParagraph"/>
              <w:spacing w:before="20"/>
              <w:ind w:right="274"/>
              <w:jc w:val="center"/>
              <w:rPr>
                <w:sz w:val="20"/>
              </w:rPr>
            </w:pPr>
            <w:r>
              <w:rPr>
                <w:spacing w:val="-4"/>
                <w:sz w:val="20"/>
              </w:rPr>
              <w:t>.036</w:t>
            </w:r>
          </w:p>
        </w:tc>
        <w:tc>
          <w:tcPr>
            <w:tcW w:w="1469" w:type="dxa"/>
            <w:tcBorders>
              <w:bottom w:val="single" w:sz="4" w:space="0" w:color="000000"/>
            </w:tcBorders>
          </w:tcPr>
          <w:p>
            <w:pPr>
              <w:pStyle w:val="TableParagraph"/>
              <w:spacing w:before="20"/>
              <w:ind w:left="68"/>
              <w:jc w:val="center"/>
              <w:rPr>
                <w:sz w:val="20"/>
              </w:rPr>
            </w:pPr>
            <w:r>
              <w:rPr>
                <w:spacing w:val="-4"/>
                <w:sz w:val="20"/>
              </w:rPr>
              <w:t>.709</w:t>
            </w:r>
          </w:p>
        </w:tc>
        <w:tc>
          <w:tcPr>
            <w:tcW w:w="2089" w:type="dxa"/>
            <w:tcBorders>
              <w:bottom w:val="single" w:sz="4" w:space="0" w:color="000000"/>
            </w:tcBorders>
          </w:tcPr>
          <w:p>
            <w:pPr>
              <w:pStyle w:val="TableParagraph"/>
              <w:spacing w:before="20"/>
              <w:ind w:left="242"/>
              <w:jc w:val="center"/>
              <w:rPr>
                <w:sz w:val="20"/>
              </w:rPr>
            </w:pPr>
            <w:r>
              <w:rPr>
                <w:spacing w:val="-4"/>
                <w:sz w:val="20"/>
              </w:rPr>
              <w:t>.842</w:t>
            </w:r>
          </w:p>
        </w:tc>
      </w:tr>
      <w:tr>
        <w:trPr>
          <w:trHeight w:val="257" w:hRule="atLeast"/>
        </w:trPr>
        <w:tc>
          <w:tcPr>
            <w:tcW w:w="2278" w:type="dxa"/>
            <w:tcBorders>
              <w:top w:val="single" w:sz="4" w:space="0" w:color="000000"/>
            </w:tcBorders>
          </w:tcPr>
          <w:p>
            <w:pPr>
              <w:pStyle w:val="TableParagraph"/>
              <w:spacing w:line="228" w:lineRule="exact"/>
              <w:ind w:left="205"/>
              <w:rPr>
                <w:b/>
                <w:sz w:val="20"/>
              </w:rPr>
            </w:pPr>
            <w:r>
              <w:rPr>
                <w:b/>
                <w:sz w:val="20"/>
              </w:rPr>
              <w:t>Saha</w:t>
            </w:r>
            <w:r>
              <w:rPr>
                <w:b/>
                <w:spacing w:val="-5"/>
                <w:sz w:val="20"/>
              </w:rPr>
              <w:t> </w:t>
            </w:r>
            <w:r>
              <w:rPr>
                <w:b/>
                <w:spacing w:val="-2"/>
                <w:sz w:val="20"/>
              </w:rPr>
              <w:t>Performansı</w:t>
            </w:r>
          </w:p>
        </w:tc>
        <w:tc>
          <w:tcPr>
            <w:tcW w:w="1669" w:type="dxa"/>
            <w:tcBorders>
              <w:top w:val="single" w:sz="4" w:space="0" w:color="000000"/>
            </w:tcBorders>
          </w:tcPr>
          <w:p>
            <w:pPr>
              <w:pStyle w:val="TableParagraph"/>
              <w:spacing w:line="228" w:lineRule="exact"/>
              <w:ind w:left="578"/>
              <w:rPr>
                <w:sz w:val="20"/>
              </w:rPr>
            </w:pPr>
            <w:r>
              <w:rPr>
                <w:spacing w:val="-10"/>
                <w:sz w:val="20"/>
              </w:rPr>
              <w:t>4</w:t>
            </w:r>
          </w:p>
        </w:tc>
        <w:tc>
          <w:tcPr>
            <w:tcW w:w="2167" w:type="dxa"/>
            <w:tcBorders>
              <w:top w:val="single" w:sz="4" w:space="0" w:color="000000"/>
            </w:tcBorders>
          </w:tcPr>
          <w:p>
            <w:pPr>
              <w:pStyle w:val="TableParagraph"/>
              <w:spacing w:line="228" w:lineRule="exact"/>
              <w:ind w:right="274"/>
              <w:jc w:val="center"/>
              <w:rPr>
                <w:sz w:val="20"/>
              </w:rPr>
            </w:pPr>
            <w:r>
              <w:rPr>
                <w:spacing w:val="-4"/>
                <w:sz w:val="20"/>
              </w:rPr>
              <w:t>.068</w:t>
            </w:r>
          </w:p>
        </w:tc>
        <w:tc>
          <w:tcPr>
            <w:tcW w:w="1469" w:type="dxa"/>
            <w:tcBorders>
              <w:top w:val="single" w:sz="4" w:space="0" w:color="000000"/>
            </w:tcBorders>
          </w:tcPr>
          <w:p>
            <w:pPr>
              <w:pStyle w:val="TableParagraph"/>
              <w:spacing w:line="228" w:lineRule="exact"/>
              <w:ind w:left="68"/>
              <w:jc w:val="center"/>
              <w:rPr>
                <w:sz w:val="20"/>
              </w:rPr>
            </w:pPr>
            <w:r>
              <w:rPr>
                <w:spacing w:val="-4"/>
                <w:sz w:val="20"/>
              </w:rPr>
              <w:t>.506</w:t>
            </w:r>
          </w:p>
        </w:tc>
        <w:tc>
          <w:tcPr>
            <w:tcW w:w="2089" w:type="dxa"/>
            <w:tcBorders>
              <w:top w:val="single" w:sz="4" w:space="0" w:color="000000"/>
            </w:tcBorders>
          </w:tcPr>
          <w:p>
            <w:pPr>
              <w:pStyle w:val="TableParagraph"/>
              <w:spacing w:line="228" w:lineRule="exact"/>
              <w:ind w:left="242"/>
              <w:jc w:val="center"/>
              <w:rPr>
                <w:sz w:val="20"/>
              </w:rPr>
            </w:pPr>
            <w:r>
              <w:rPr>
                <w:spacing w:val="-4"/>
                <w:sz w:val="20"/>
              </w:rPr>
              <w:t>.711</w:t>
            </w:r>
          </w:p>
        </w:tc>
      </w:tr>
      <w:tr>
        <w:trPr>
          <w:trHeight w:val="277" w:hRule="atLeast"/>
        </w:trPr>
        <w:tc>
          <w:tcPr>
            <w:tcW w:w="2278" w:type="dxa"/>
          </w:tcPr>
          <w:p>
            <w:pPr>
              <w:pStyle w:val="TableParagraph"/>
              <w:rPr>
                <w:sz w:val="20"/>
              </w:rPr>
            </w:pPr>
          </w:p>
        </w:tc>
        <w:tc>
          <w:tcPr>
            <w:tcW w:w="1669" w:type="dxa"/>
          </w:tcPr>
          <w:p>
            <w:pPr>
              <w:pStyle w:val="TableParagraph"/>
              <w:spacing w:before="20"/>
              <w:ind w:left="578"/>
              <w:rPr>
                <w:sz w:val="20"/>
              </w:rPr>
            </w:pPr>
            <w:r>
              <w:rPr>
                <w:spacing w:val="-10"/>
                <w:sz w:val="20"/>
              </w:rPr>
              <w:t>5</w:t>
            </w:r>
          </w:p>
        </w:tc>
        <w:tc>
          <w:tcPr>
            <w:tcW w:w="2167" w:type="dxa"/>
          </w:tcPr>
          <w:p>
            <w:pPr>
              <w:pStyle w:val="TableParagraph"/>
              <w:spacing w:before="20"/>
              <w:ind w:right="274"/>
              <w:jc w:val="center"/>
              <w:rPr>
                <w:sz w:val="20"/>
              </w:rPr>
            </w:pPr>
            <w:r>
              <w:rPr>
                <w:spacing w:val="-4"/>
                <w:sz w:val="20"/>
              </w:rPr>
              <w:t>.057</w:t>
            </w:r>
          </w:p>
        </w:tc>
        <w:tc>
          <w:tcPr>
            <w:tcW w:w="1469" w:type="dxa"/>
          </w:tcPr>
          <w:p>
            <w:pPr>
              <w:pStyle w:val="TableParagraph"/>
              <w:spacing w:before="20"/>
              <w:ind w:left="68"/>
              <w:jc w:val="center"/>
              <w:rPr>
                <w:sz w:val="20"/>
              </w:rPr>
            </w:pPr>
            <w:r>
              <w:rPr>
                <w:spacing w:val="-4"/>
                <w:sz w:val="20"/>
              </w:rPr>
              <w:t>.602</w:t>
            </w:r>
          </w:p>
        </w:tc>
        <w:tc>
          <w:tcPr>
            <w:tcW w:w="2089" w:type="dxa"/>
          </w:tcPr>
          <w:p>
            <w:pPr>
              <w:pStyle w:val="TableParagraph"/>
              <w:spacing w:before="20"/>
              <w:ind w:left="242"/>
              <w:jc w:val="center"/>
              <w:rPr>
                <w:sz w:val="20"/>
              </w:rPr>
            </w:pPr>
            <w:r>
              <w:rPr>
                <w:spacing w:val="-4"/>
                <w:sz w:val="20"/>
              </w:rPr>
              <w:t>.776</w:t>
            </w:r>
          </w:p>
        </w:tc>
      </w:tr>
      <w:tr>
        <w:trPr>
          <w:trHeight w:val="299" w:hRule="atLeast"/>
        </w:trPr>
        <w:tc>
          <w:tcPr>
            <w:tcW w:w="2278" w:type="dxa"/>
            <w:tcBorders>
              <w:bottom w:val="single" w:sz="4" w:space="0" w:color="000000"/>
            </w:tcBorders>
          </w:tcPr>
          <w:p>
            <w:pPr>
              <w:pStyle w:val="TableParagraph"/>
              <w:rPr>
                <w:sz w:val="20"/>
              </w:rPr>
            </w:pPr>
          </w:p>
        </w:tc>
        <w:tc>
          <w:tcPr>
            <w:tcW w:w="1669" w:type="dxa"/>
            <w:tcBorders>
              <w:bottom w:val="single" w:sz="4" w:space="0" w:color="000000"/>
            </w:tcBorders>
          </w:tcPr>
          <w:p>
            <w:pPr>
              <w:pStyle w:val="TableParagraph"/>
              <w:spacing w:before="18"/>
              <w:ind w:left="578"/>
              <w:rPr>
                <w:sz w:val="20"/>
              </w:rPr>
            </w:pPr>
            <w:r>
              <w:rPr>
                <w:spacing w:val="-10"/>
                <w:sz w:val="20"/>
              </w:rPr>
              <w:t>6</w:t>
            </w:r>
          </w:p>
        </w:tc>
        <w:tc>
          <w:tcPr>
            <w:tcW w:w="2167" w:type="dxa"/>
            <w:tcBorders>
              <w:bottom w:val="single" w:sz="4" w:space="0" w:color="000000"/>
            </w:tcBorders>
          </w:tcPr>
          <w:p>
            <w:pPr>
              <w:pStyle w:val="TableParagraph"/>
              <w:spacing w:before="18"/>
              <w:ind w:right="274"/>
              <w:jc w:val="center"/>
              <w:rPr>
                <w:sz w:val="20"/>
              </w:rPr>
            </w:pPr>
            <w:r>
              <w:rPr>
                <w:spacing w:val="-4"/>
                <w:sz w:val="20"/>
              </w:rPr>
              <w:t>.082</w:t>
            </w:r>
          </w:p>
        </w:tc>
        <w:tc>
          <w:tcPr>
            <w:tcW w:w="1469" w:type="dxa"/>
            <w:tcBorders>
              <w:bottom w:val="single" w:sz="4" w:space="0" w:color="000000"/>
            </w:tcBorders>
          </w:tcPr>
          <w:p>
            <w:pPr>
              <w:pStyle w:val="TableParagraph"/>
              <w:spacing w:before="18"/>
              <w:ind w:left="68"/>
              <w:jc w:val="center"/>
              <w:rPr>
                <w:sz w:val="20"/>
              </w:rPr>
            </w:pPr>
            <w:r>
              <w:rPr>
                <w:spacing w:val="-4"/>
                <w:sz w:val="20"/>
              </w:rPr>
              <w:t>.448</w:t>
            </w:r>
          </w:p>
        </w:tc>
        <w:tc>
          <w:tcPr>
            <w:tcW w:w="2089" w:type="dxa"/>
            <w:tcBorders>
              <w:bottom w:val="single" w:sz="4" w:space="0" w:color="000000"/>
            </w:tcBorders>
          </w:tcPr>
          <w:p>
            <w:pPr>
              <w:pStyle w:val="TableParagraph"/>
              <w:spacing w:before="18"/>
              <w:ind w:left="242"/>
              <w:jc w:val="center"/>
              <w:rPr>
                <w:sz w:val="20"/>
              </w:rPr>
            </w:pPr>
            <w:r>
              <w:rPr>
                <w:spacing w:val="-4"/>
                <w:sz w:val="20"/>
              </w:rPr>
              <w:t>.670</w:t>
            </w:r>
          </w:p>
        </w:tc>
      </w:tr>
      <w:tr>
        <w:trPr>
          <w:trHeight w:val="257" w:hRule="atLeast"/>
        </w:trPr>
        <w:tc>
          <w:tcPr>
            <w:tcW w:w="2278" w:type="dxa"/>
            <w:tcBorders>
              <w:top w:val="single" w:sz="4" w:space="0" w:color="000000"/>
            </w:tcBorders>
          </w:tcPr>
          <w:p>
            <w:pPr>
              <w:pStyle w:val="TableParagraph"/>
              <w:spacing w:line="228" w:lineRule="exact"/>
              <w:ind w:left="340"/>
              <w:rPr>
                <w:b/>
                <w:sz w:val="20"/>
              </w:rPr>
            </w:pPr>
            <w:r>
              <w:rPr>
                <w:b/>
                <w:sz w:val="20"/>
              </w:rPr>
              <w:t>Kişisel</w:t>
            </w:r>
            <w:r>
              <w:rPr>
                <w:b/>
                <w:spacing w:val="-1"/>
                <w:sz w:val="20"/>
              </w:rPr>
              <w:t> </w:t>
            </w:r>
            <w:r>
              <w:rPr>
                <w:b/>
                <w:spacing w:val="-2"/>
                <w:sz w:val="20"/>
              </w:rPr>
              <w:t>Katılım</w:t>
            </w:r>
          </w:p>
        </w:tc>
        <w:tc>
          <w:tcPr>
            <w:tcW w:w="1669" w:type="dxa"/>
            <w:tcBorders>
              <w:top w:val="single" w:sz="4" w:space="0" w:color="000000"/>
            </w:tcBorders>
          </w:tcPr>
          <w:p>
            <w:pPr>
              <w:pStyle w:val="TableParagraph"/>
              <w:spacing w:line="228" w:lineRule="exact"/>
              <w:ind w:left="578"/>
              <w:rPr>
                <w:sz w:val="20"/>
              </w:rPr>
            </w:pPr>
            <w:r>
              <w:rPr>
                <w:spacing w:val="-10"/>
                <w:sz w:val="20"/>
              </w:rPr>
              <w:t>7</w:t>
            </w:r>
          </w:p>
        </w:tc>
        <w:tc>
          <w:tcPr>
            <w:tcW w:w="2167" w:type="dxa"/>
            <w:tcBorders>
              <w:top w:val="single" w:sz="4" w:space="0" w:color="000000"/>
            </w:tcBorders>
          </w:tcPr>
          <w:p>
            <w:pPr>
              <w:pStyle w:val="TableParagraph"/>
              <w:spacing w:line="228" w:lineRule="exact"/>
              <w:ind w:right="274"/>
              <w:jc w:val="center"/>
              <w:rPr>
                <w:sz w:val="20"/>
              </w:rPr>
            </w:pPr>
            <w:r>
              <w:rPr>
                <w:spacing w:val="-4"/>
                <w:sz w:val="20"/>
              </w:rPr>
              <w:t>.053</w:t>
            </w:r>
          </w:p>
        </w:tc>
        <w:tc>
          <w:tcPr>
            <w:tcW w:w="1469" w:type="dxa"/>
            <w:tcBorders>
              <w:top w:val="single" w:sz="4" w:space="0" w:color="000000"/>
            </w:tcBorders>
          </w:tcPr>
          <w:p>
            <w:pPr>
              <w:pStyle w:val="TableParagraph"/>
              <w:spacing w:line="228" w:lineRule="exact"/>
              <w:ind w:left="68"/>
              <w:jc w:val="center"/>
              <w:rPr>
                <w:sz w:val="20"/>
              </w:rPr>
            </w:pPr>
            <w:r>
              <w:rPr>
                <w:spacing w:val="-4"/>
                <w:sz w:val="20"/>
              </w:rPr>
              <w:t>.327</w:t>
            </w:r>
          </w:p>
        </w:tc>
        <w:tc>
          <w:tcPr>
            <w:tcW w:w="2089" w:type="dxa"/>
            <w:tcBorders>
              <w:top w:val="single" w:sz="4" w:space="0" w:color="000000"/>
            </w:tcBorders>
          </w:tcPr>
          <w:p>
            <w:pPr>
              <w:pStyle w:val="TableParagraph"/>
              <w:spacing w:line="228" w:lineRule="exact"/>
              <w:ind w:left="242"/>
              <w:jc w:val="center"/>
              <w:rPr>
                <w:sz w:val="20"/>
              </w:rPr>
            </w:pPr>
            <w:r>
              <w:rPr>
                <w:spacing w:val="-4"/>
                <w:sz w:val="20"/>
              </w:rPr>
              <w:t>.572</w:t>
            </w:r>
          </w:p>
        </w:tc>
      </w:tr>
      <w:tr>
        <w:trPr>
          <w:trHeight w:val="280" w:hRule="atLeast"/>
        </w:trPr>
        <w:tc>
          <w:tcPr>
            <w:tcW w:w="2278" w:type="dxa"/>
          </w:tcPr>
          <w:p>
            <w:pPr>
              <w:pStyle w:val="TableParagraph"/>
              <w:rPr>
                <w:sz w:val="20"/>
              </w:rPr>
            </w:pPr>
          </w:p>
        </w:tc>
        <w:tc>
          <w:tcPr>
            <w:tcW w:w="1669" w:type="dxa"/>
          </w:tcPr>
          <w:p>
            <w:pPr>
              <w:pStyle w:val="TableParagraph"/>
              <w:spacing w:before="21"/>
              <w:ind w:left="578"/>
              <w:rPr>
                <w:sz w:val="20"/>
              </w:rPr>
            </w:pPr>
            <w:r>
              <w:rPr>
                <w:spacing w:val="-10"/>
                <w:sz w:val="20"/>
              </w:rPr>
              <w:t>8</w:t>
            </w:r>
          </w:p>
        </w:tc>
        <w:tc>
          <w:tcPr>
            <w:tcW w:w="2167" w:type="dxa"/>
          </w:tcPr>
          <w:p>
            <w:pPr>
              <w:pStyle w:val="TableParagraph"/>
              <w:spacing w:before="21"/>
              <w:ind w:right="274"/>
              <w:jc w:val="center"/>
              <w:rPr>
                <w:sz w:val="20"/>
              </w:rPr>
            </w:pPr>
            <w:r>
              <w:rPr>
                <w:spacing w:val="-4"/>
                <w:sz w:val="20"/>
              </w:rPr>
              <w:t>.036</w:t>
            </w:r>
          </w:p>
        </w:tc>
        <w:tc>
          <w:tcPr>
            <w:tcW w:w="1469" w:type="dxa"/>
          </w:tcPr>
          <w:p>
            <w:pPr>
              <w:pStyle w:val="TableParagraph"/>
              <w:spacing w:before="21"/>
              <w:ind w:left="68"/>
              <w:jc w:val="center"/>
              <w:rPr>
                <w:sz w:val="20"/>
              </w:rPr>
            </w:pPr>
            <w:r>
              <w:rPr>
                <w:spacing w:val="-4"/>
                <w:sz w:val="20"/>
              </w:rPr>
              <w:t>.615</w:t>
            </w:r>
          </w:p>
        </w:tc>
        <w:tc>
          <w:tcPr>
            <w:tcW w:w="2089" w:type="dxa"/>
          </w:tcPr>
          <w:p>
            <w:pPr>
              <w:pStyle w:val="TableParagraph"/>
              <w:spacing w:before="21"/>
              <w:ind w:left="242"/>
              <w:jc w:val="center"/>
              <w:rPr>
                <w:sz w:val="20"/>
              </w:rPr>
            </w:pPr>
            <w:r>
              <w:rPr>
                <w:spacing w:val="-4"/>
                <w:sz w:val="20"/>
              </w:rPr>
              <w:t>.784</w:t>
            </w:r>
          </w:p>
        </w:tc>
      </w:tr>
      <w:tr>
        <w:trPr>
          <w:trHeight w:val="280" w:hRule="atLeast"/>
        </w:trPr>
        <w:tc>
          <w:tcPr>
            <w:tcW w:w="2278" w:type="dxa"/>
          </w:tcPr>
          <w:p>
            <w:pPr>
              <w:pStyle w:val="TableParagraph"/>
              <w:rPr>
                <w:sz w:val="20"/>
              </w:rPr>
            </w:pPr>
          </w:p>
        </w:tc>
        <w:tc>
          <w:tcPr>
            <w:tcW w:w="1669" w:type="dxa"/>
          </w:tcPr>
          <w:p>
            <w:pPr>
              <w:pStyle w:val="TableParagraph"/>
              <w:spacing w:before="20"/>
              <w:ind w:left="578"/>
              <w:rPr>
                <w:sz w:val="20"/>
              </w:rPr>
            </w:pPr>
            <w:r>
              <w:rPr>
                <w:spacing w:val="-10"/>
                <w:sz w:val="20"/>
              </w:rPr>
              <w:t>9</w:t>
            </w:r>
          </w:p>
        </w:tc>
        <w:tc>
          <w:tcPr>
            <w:tcW w:w="2167" w:type="dxa"/>
          </w:tcPr>
          <w:p>
            <w:pPr>
              <w:pStyle w:val="TableParagraph"/>
              <w:spacing w:before="20"/>
              <w:ind w:right="274"/>
              <w:jc w:val="center"/>
              <w:rPr>
                <w:sz w:val="20"/>
              </w:rPr>
            </w:pPr>
            <w:r>
              <w:rPr>
                <w:spacing w:val="-4"/>
                <w:sz w:val="20"/>
              </w:rPr>
              <w:t>.059</w:t>
            </w:r>
          </w:p>
        </w:tc>
        <w:tc>
          <w:tcPr>
            <w:tcW w:w="1469" w:type="dxa"/>
          </w:tcPr>
          <w:p>
            <w:pPr>
              <w:pStyle w:val="TableParagraph"/>
              <w:spacing w:before="20"/>
              <w:ind w:left="68"/>
              <w:jc w:val="center"/>
              <w:rPr>
                <w:sz w:val="20"/>
              </w:rPr>
            </w:pPr>
            <w:r>
              <w:rPr>
                <w:spacing w:val="-4"/>
                <w:sz w:val="20"/>
              </w:rPr>
              <w:t>.388</w:t>
            </w:r>
          </w:p>
        </w:tc>
        <w:tc>
          <w:tcPr>
            <w:tcW w:w="2089" w:type="dxa"/>
          </w:tcPr>
          <w:p>
            <w:pPr>
              <w:pStyle w:val="TableParagraph"/>
              <w:spacing w:before="20"/>
              <w:ind w:left="242"/>
              <w:jc w:val="center"/>
              <w:rPr>
                <w:sz w:val="20"/>
              </w:rPr>
            </w:pPr>
            <w:r>
              <w:rPr>
                <w:spacing w:val="-4"/>
                <w:sz w:val="20"/>
              </w:rPr>
              <w:t>.623</w:t>
            </w:r>
          </w:p>
        </w:tc>
      </w:tr>
      <w:tr>
        <w:trPr>
          <w:trHeight w:val="277" w:hRule="atLeast"/>
        </w:trPr>
        <w:tc>
          <w:tcPr>
            <w:tcW w:w="2278" w:type="dxa"/>
          </w:tcPr>
          <w:p>
            <w:pPr>
              <w:pStyle w:val="TableParagraph"/>
              <w:rPr>
                <w:sz w:val="20"/>
              </w:rPr>
            </w:pPr>
          </w:p>
        </w:tc>
        <w:tc>
          <w:tcPr>
            <w:tcW w:w="1669" w:type="dxa"/>
          </w:tcPr>
          <w:p>
            <w:pPr>
              <w:pStyle w:val="TableParagraph"/>
              <w:spacing w:before="20"/>
              <w:ind w:left="528"/>
              <w:rPr>
                <w:sz w:val="20"/>
              </w:rPr>
            </w:pPr>
            <w:r>
              <w:rPr>
                <w:spacing w:val="-5"/>
                <w:sz w:val="20"/>
              </w:rPr>
              <w:t>10</w:t>
            </w:r>
          </w:p>
        </w:tc>
        <w:tc>
          <w:tcPr>
            <w:tcW w:w="2167" w:type="dxa"/>
          </w:tcPr>
          <w:p>
            <w:pPr>
              <w:pStyle w:val="TableParagraph"/>
              <w:spacing w:before="20"/>
              <w:ind w:right="274"/>
              <w:jc w:val="center"/>
              <w:rPr>
                <w:sz w:val="20"/>
              </w:rPr>
            </w:pPr>
            <w:r>
              <w:rPr>
                <w:spacing w:val="-4"/>
                <w:sz w:val="20"/>
              </w:rPr>
              <w:t>.037</w:t>
            </w:r>
          </w:p>
        </w:tc>
        <w:tc>
          <w:tcPr>
            <w:tcW w:w="1469" w:type="dxa"/>
          </w:tcPr>
          <w:p>
            <w:pPr>
              <w:pStyle w:val="TableParagraph"/>
              <w:spacing w:before="20"/>
              <w:ind w:left="68"/>
              <w:jc w:val="center"/>
              <w:rPr>
                <w:sz w:val="20"/>
              </w:rPr>
            </w:pPr>
            <w:r>
              <w:rPr>
                <w:spacing w:val="-4"/>
                <w:sz w:val="20"/>
              </w:rPr>
              <w:t>.743</w:t>
            </w:r>
          </w:p>
        </w:tc>
        <w:tc>
          <w:tcPr>
            <w:tcW w:w="2089" w:type="dxa"/>
          </w:tcPr>
          <w:p>
            <w:pPr>
              <w:pStyle w:val="TableParagraph"/>
              <w:spacing w:before="20"/>
              <w:ind w:left="242"/>
              <w:jc w:val="center"/>
              <w:rPr>
                <w:sz w:val="20"/>
              </w:rPr>
            </w:pPr>
            <w:r>
              <w:rPr>
                <w:spacing w:val="-4"/>
                <w:sz w:val="20"/>
              </w:rPr>
              <w:t>.862</w:t>
            </w:r>
          </w:p>
        </w:tc>
      </w:tr>
      <w:tr>
        <w:trPr>
          <w:trHeight w:val="300" w:hRule="atLeast"/>
        </w:trPr>
        <w:tc>
          <w:tcPr>
            <w:tcW w:w="2278" w:type="dxa"/>
            <w:tcBorders>
              <w:bottom w:val="single" w:sz="4" w:space="0" w:color="000000"/>
            </w:tcBorders>
          </w:tcPr>
          <w:p>
            <w:pPr>
              <w:pStyle w:val="TableParagraph"/>
              <w:rPr>
                <w:sz w:val="20"/>
              </w:rPr>
            </w:pPr>
          </w:p>
        </w:tc>
        <w:tc>
          <w:tcPr>
            <w:tcW w:w="1669" w:type="dxa"/>
            <w:tcBorders>
              <w:bottom w:val="single" w:sz="4" w:space="0" w:color="000000"/>
            </w:tcBorders>
          </w:tcPr>
          <w:p>
            <w:pPr>
              <w:pStyle w:val="TableParagraph"/>
              <w:spacing w:before="18"/>
              <w:ind w:left="528"/>
              <w:rPr>
                <w:sz w:val="20"/>
              </w:rPr>
            </w:pPr>
            <w:r>
              <w:rPr>
                <w:spacing w:val="-5"/>
                <w:sz w:val="20"/>
              </w:rPr>
              <w:t>11</w:t>
            </w:r>
          </w:p>
        </w:tc>
        <w:tc>
          <w:tcPr>
            <w:tcW w:w="2167" w:type="dxa"/>
            <w:tcBorders>
              <w:bottom w:val="single" w:sz="4" w:space="0" w:color="000000"/>
            </w:tcBorders>
          </w:tcPr>
          <w:p>
            <w:pPr>
              <w:pStyle w:val="TableParagraph"/>
              <w:spacing w:before="18"/>
              <w:ind w:right="274"/>
              <w:jc w:val="center"/>
              <w:rPr>
                <w:sz w:val="20"/>
              </w:rPr>
            </w:pPr>
            <w:r>
              <w:rPr>
                <w:spacing w:val="-4"/>
                <w:sz w:val="20"/>
              </w:rPr>
              <w:t>.047</w:t>
            </w:r>
          </w:p>
        </w:tc>
        <w:tc>
          <w:tcPr>
            <w:tcW w:w="1469" w:type="dxa"/>
            <w:tcBorders>
              <w:bottom w:val="single" w:sz="4" w:space="0" w:color="000000"/>
            </w:tcBorders>
          </w:tcPr>
          <w:p>
            <w:pPr>
              <w:pStyle w:val="TableParagraph"/>
              <w:spacing w:before="18"/>
              <w:ind w:left="68"/>
              <w:jc w:val="center"/>
              <w:rPr>
                <w:sz w:val="20"/>
              </w:rPr>
            </w:pPr>
            <w:r>
              <w:rPr>
                <w:spacing w:val="-4"/>
                <w:sz w:val="20"/>
              </w:rPr>
              <w:t>.514</w:t>
            </w:r>
          </w:p>
        </w:tc>
        <w:tc>
          <w:tcPr>
            <w:tcW w:w="2089" w:type="dxa"/>
            <w:tcBorders>
              <w:bottom w:val="single" w:sz="4" w:space="0" w:color="000000"/>
            </w:tcBorders>
          </w:tcPr>
          <w:p>
            <w:pPr>
              <w:pStyle w:val="TableParagraph"/>
              <w:spacing w:before="18"/>
              <w:ind w:left="242"/>
              <w:jc w:val="center"/>
              <w:rPr>
                <w:sz w:val="20"/>
              </w:rPr>
            </w:pPr>
            <w:r>
              <w:rPr>
                <w:spacing w:val="-4"/>
                <w:sz w:val="20"/>
              </w:rPr>
              <w:t>.717</w:t>
            </w:r>
          </w:p>
        </w:tc>
      </w:tr>
      <w:tr>
        <w:trPr>
          <w:trHeight w:val="257" w:hRule="atLeast"/>
        </w:trPr>
        <w:tc>
          <w:tcPr>
            <w:tcW w:w="2278" w:type="dxa"/>
            <w:tcBorders>
              <w:top w:val="single" w:sz="4" w:space="0" w:color="000000"/>
            </w:tcBorders>
          </w:tcPr>
          <w:p>
            <w:pPr>
              <w:pStyle w:val="TableParagraph"/>
              <w:spacing w:line="228" w:lineRule="exact"/>
              <w:ind w:left="280"/>
              <w:rPr>
                <w:b/>
                <w:sz w:val="20"/>
              </w:rPr>
            </w:pPr>
            <w:r>
              <w:rPr>
                <w:b/>
                <w:sz w:val="20"/>
              </w:rPr>
              <w:t>Kulüp</w:t>
            </w:r>
            <w:r>
              <w:rPr>
                <w:b/>
                <w:spacing w:val="-7"/>
                <w:sz w:val="20"/>
              </w:rPr>
              <w:t> </w:t>
            </w:r>
            <w:r>
              <w:rPr>
                <w:b/>
                <w:spacing w:val="-2"/>
                <w:sz w:val="20"/>
              </w:rPr>
              <w:t>Yönetimi</w:t>
            </w:r>
          </w:p>
        </w:tc>
        <w:tc>
          <w:tcPr>
            <w:tcW w:w="1669" w:type="dxa"/>
            <w:tcBorders>
              <w:top w:val="single" w:sz="4" w:space="0" w:color="000000"/>
            </w:tcBorders>
          </w:tcPr>
          <w:p>
            <w:pPr>
              <w:pStyle w:val="TableParagraph"/>
              <w:spacing w:line="228" w:lineRule="exact"/>
              <w:ind w:left="528"/>
              <w:rPr>
                <w:sz w:val="20"/>
              </w:rPr>
            </w:pPr>
            <w:r>
              <w:rPr>
                <w:spacing w:val="-5"/>
                <w:sz w:val="20"/>
              </w:rPr>
              <w:t>12</w:t>
            </w:r>
          </w:p>
        </w:tc>
        <w:tc>
          <w:tcPr>
            <w:tcW w:w="2167" w:type="dxa"/>
            <w:tcBorders>
              <w:top w:val="single" w:sz="4" w:space="0" w:color="000000"/>
            </w:tcBorders>
          </w:tcPr>
          <w:p>
            <w:pPr>
              <w:pStyle w:val="TableParagraph"/>
              <w:spacing w:line="228" w:lineRule="exact"/>
              <w:ind w:right="274"/>
              <w:jc w:val="center"/>
              <w:rPr>
                <w:sz w:val="20"/>
              </w:rPr>
            </w:pPr>
            <w:r>
              <w:rPr>
                <w:spacing w:val="-4"/>
                <w:sz w:val="20"/>
              </w:rPr>
              <w:t>.064</w:t>
            </w:r>
          </w:p>
        </w:tc>
        <w:tc>
          <w:tcPr>
            <w:tcW w:w="1469" w:type="dxa"/>
            <w:tcBorders>
              <w:top w:val="single" w:sz="4" w:space="0" w:color="000000"/>
            </w:tcBorders>
          </w:tcPr>
          <w:p>
            <w:pPr>
              <w:pStyle w:val="TableParagraph"/>
              <w:spacing w:line="228" w:lineRule="exact"/>
              <w:ind w:left="68"/>
              <w:jc w:val="center"/>
              <w:rPr>
                <w:sz w:val="20"/>
              </w:rPr>
            </w:pPr>
            <w:r>
              <w:rPr>
                <w:spacing w:val="-4"/>
                <w:sz w:val="20"/>
              </w:rPr>
              <w:t>.666</w:t>
            </w:r>
          </w:p>
        </w:tc>
        <w:tc>
          <w:tcPr>
            <w:tcW w:w="2089" w:type="dxa"/>
            <w:tcBorders>
              <w:top w:val="single" w:sz="4" w:space="0" w:color="000000"/>
            </w:tcBorders>
          </w:tcPr>
          <w:p>
            <w:pPr>
              <w:pStyle w:val="TableParagraph"/>
              <w:spacing w:line="228" w:lineRule="exact"/>
              <w:ind w:left="242"/>
              <w:jc w:val="center"/>
              <w:rPr>
                <w:sz w:val="20"/>
              </w:rPr>
            </w:pPr>
            <w:r>
              <w:rPr>
                <w:spacing w:val="-4"/>
                <w:sz w:val="20"/>
              </w:rPr>
              <w:t>.816</w:t>
            </w:r>
          </w:p>
        </w:tc>
      </w:tr>
      <w:tr>
        <w:trPr>
          <w:trHeight w:val="280" w:hRule="atLeast"/>
        </w:trPr>
        <w:tc>
          <w:tcPr>
            <w:tcW w:w="2278" w:type="dxa"/>
          </w:tcPr>
          <w:p>
            <w:pPr>
              <w:pStyle w:val="TableParagraph"/>
              <w:rPr>
                <w:sz w:val="20"/>
              </w:rPr>
            </w:pPr>
          </w:p>
        </w:tc>
        <w:tc>
          <w:tcPr>
            <w:tcW w:w="1669" w:type="dxa"/>
          </w:tcPr>
          <w:p>
            <w:pPr>
              <w:pStyle w:val="TableParagraph"/>
              <w:spacing w:before="20"/>
              <w:ind w:left="528"/>
              <w:rPr>
                <w:sz w:val="20"/>
              </w:rPr>
            </w:pPr>
            <w:r>
              <w:rPr>
                <w:spacing w:val="-5"/>
                <w:sz w:val="20"/>
              </w:rPr>
              <w:t>13</w:t>
            </w:r>
          </w:p>
        </w:tc>
        <w:tc>
          <w:tcPr>
            <w:tcW w:w="2167" w:type="dxa"/>
          </w:tcPr>
          <w:p>
            <w:pPr>
              <w:pStyle w:val="TableParagraph"/>
              <w:spacing w:before="20"/>
              <w:ind w:right="274"/>
              <w:jc w:val="center"/>
              <w:rPr>
                <w:sz w:val="20"/>
              </w:rPr>
            </w:pPr>
            <w:r>
              <w:rPr>
                <w:spacing w:val="-4"/>
                <w:sz w:val="20"/>
              </w:rPr>
              <w:t>.048</w:t>
            </w:r>
          </w:p>
        </w:tc>
        <w:tc>
          <w:tcPr>
            <w:tcW w:w="1469" w:type="dxa"/>
          </w:tcPr>
          <w:p>
            <w:pPr>
              <w:pStyle w:val="TableParagraph"/>
              <w:spacing w:before="20"/>
              <w:ind w:left="68"/>
              <w:jc w:val="center"/>
              <w:rPr>
                <w:sz w:val="20"/>
              </w:rPr>
            </w:pPr>
            <w:r>
              <w:rPr>
                <w:spacing w:val="-4"/>
                <w:sz w:val="20"/>
              </w:rPr>
              <w:t>.599</w:t>
            </w:r>
          </w:p>
        </w:tc>
        <w:tc>
          <w:tcPr>
            <w:tcW w:w="2089" w:type="dxa"/>
          </w:tcPr>
          <w:p>
            <w:pPr>
              <w:pStyle w:val="TableParagraph"/>
              <w:spacing w:before="20"/>
              <w:ind w:left="242"/>
              <w:jc w:val="center"/>
              <w:rPr>
                <w:sz w:val="20"/>
              </w:rPr>
            </w:pPr>
            <w:r>
              <w:rPr>
                <w:spacing w:val="-4"/>
                <w:sz w:val="20"/>
              </w:rPr>
              <w:t>.774</w:t>
            </w:r>
          </w:p>
        </w:tc>
      </w:tr>
      <w:tr>
        <w:trPr>
          <w:trHeight w:val="302" w:hRule="atLeast"/>
        </w:trPr>
        <w:tc>
          <w:tcPr>
            <w:tcW w:w="2278" w:type="dxa"/>
            <w:tcBorders>
              <w:bottom w:val="single" w:sz="4" w:space="0" w:color="000000"/>
            </w:tcBorders>
          </w:tcPr>
          <w:p>
            <w:pPr>
              <w:pStyle w:val="TableParagraph"/>
              <w:rPr>
                <w:sz w:val="20"/>
              </w:rPr>
            </w:pPr>
          </w:p>
        </w:tc>
        <w:tc>
          <w:tcPr>
            <w:tcW w:w="1669" w:type="dxa"/>
            <w:tcBorders>
              <w:bottom w:val="single" w:sz="4" w:space="0" w:color="000000"/>
            </w:tcBorders>
          </w:tcPr>
          <w:p>
            <w:pPr>
              <w:pStyle w:val="TableParagraph"/>
              <w:spacing w:before="21"/>
              <w:ind w:left="528"/>
              <w:rPr>
                <w:sz w:val="20"/>
              </w:rPr>
            </w:pPr>
            <w:r>
              <w:rPr>
                <w:spacing w:val="-5"/>
                <w:sz w:val="20"/>
              </w:rPr>
              <w:t>14</w:t>
            </w:r>
          </w:p>
        </w:tc>
        <w:tc>
          <w:tcPr>
            <w:tcW w:w="2167" w:type="dxa"/>
            <w:tcBorders>
              <w:bottom w:val="single" w:sz="4" w:space="0" w:color="000000"/>
            </w:tcBorders>
          </w:tcPr>
          <w:p>
            <w:pPr>
              <w:pStyle w:val="TableParagraph"/>
              <w:spacing w:before="21"/>
              <w:ind w:right="274"/>
              <w:jc w:val="center"/>
              <w:rPr>
                <w:sz w:val="20"/>
              </w:rPr>
            </w:pPr>
            <w:r>
              <w:rPr>
                <w:spacing w:val="-4"/>
                <w:sz w:val="20"/>
              </w:rPr>
              <w:t>.037</w:t>
            </w:r>
          </w:p>
        </w:tc>
        <w:tc>
          <w:tcPr>
            <w:tcW w:w="1469" w:type="dxa"/>
            <w:tcBorders>
              <w:bottom w:val="single" w:sz="4" w:space="0" w:color="000000"/>
            </w:tcBorders>
          </w:tcPr>
          <w:p>
            <w:pPr>
              <w:pStyle w:val="TableParagraph"/>
              <w:spacing w:before="21"/>
              <w:ind w:left="68"/>
              <w:jc w:val="center"/>
              <w:rPr>
                <w:sz w:val="20"/>
              </w:rPr>
            </w:pPr>
            <w:r>
              <w:rPr>
                <w:spacing w:val="-4"/>
                <w:sz w:val="20"/>
              </w:rPr>
              <w:t>.509</w:t>
            </w:r>
          </w:p>
        </w:tc>
        <w:tc>
          <w:tcPr>
            <w:tcW w:w="2089" w:type="dxa"/>
            <w:tcBorders>
              <w:bottom w:val="single" w:sz="4" w:space="0" w:color="000000"/>
            </w:tcBorders>
          </w:tcPr>
          <w:p>
            <w:pPr>
              <w:pStyle w:val="TableParagraph"/>
              <w:spacing w:before="21"/>
              <w:ind w:left="242"/>
              <w:jc w:val="center"/>
              <w:rPr>
                <w:sz w:val="20"/>
              </w:rPr>
            </w:pPr>
            <w:r>
              <w:rPr>
                <w:spacing w:val="-4"/>
                <w:sz w:val="20"/>
              </w:rPr>
              <w:t>.713</w:t>
            </w:r>
          </w:p>
        </w:tc>
      </w:tr>
      <w:tr>
        <w:trPr>
          <w:trHeight w:val="255" w:hRule="atLeast"/>
        </w:trPr>
        <w:tc>
          <w:tcPr>
            <w:tcW w:w="2278" w:type="dxa"/>
            <w:tcBorders>
              <w:top w:val="single" w:sz="4" w:space="0" w:color="000000"/>
            </w:tcBorders>
          </w:tcPr>
          <w:p>
            <w:pPr>
              <w:pStyle w:val="TableParagraph"/>
              <w:spacing w:line="228" w:lineRule="exact"/>
              <w:ind w:left="560"/>
              <w:rPr>
                <w:b/>
                <w:sz w:val="20"/>
              </w:rPr>
            </w:pPr>
            <w:r>
              <w:rPr>
                <w:b/>
                <w:sz w:val="20"/>
              </w:rPr>
              <w:t>Ev</w:t>
            </w:r>
            <w:r>
              <w:rPr>
                <w:b/>
                <w:spacing w:val="-1"/>
                <w:sz w:val="20"/>
              </w:rPr>
              <w:t> </w:t>
            </w:r>
            <w:r>
              <w:rPr>
                <w:b/>
                <w:spacing w:val="-2"/>
                <w:sz w:val="20"/>
              </w:rPr>
              <w:t>Sahibi</w:t>
            </w:r>
          </w:p>
        </w:tc>
        <w:tc>
          <w:tcPr>
            <w:tcW w:w="1669" w:type="dxa"/>
            <w:tcBorders>
              <w:top w:val="single" w:sz="4" w:space="0" w:color="000000"/>
            </w:tcBorders>
          </w:tcPr>
          <w:p>
            <w:pPr>
              <w:pStyle w:val="TableParagraph"/>
              <w:spacing w:line="228" w:lineRule="exact"/>
              <w:ind w:left="528"/>
              <w:rPr>
                <w:sz w:val="20"/>
              </w:rPr>
            </w:pPr>
            <w:r>
              <w:rPr>
                <w:spacing w:val="-5"/>
                <w:sz w:val="20"/>
              </w:rPr>
              <w:t>15</w:t>
            </w:r>
          </w:p>
        </w:tc>
        <w:tc>
          <w:tcPr>
            <w:tcW w:w="2167" w:type="dxa"/>
            <w:tcBorders>
              <w:top w:val="single" w:sz="4" w:space="0" w:color="000000"/>
            </w:tcBorders>
          </w:tcPr>
          <w:p>
            <w:pPr>
              <w:pStyle w:val="TableParagraph"/>
              <w:spacing w:line="228" w:lineRule="exact"/>
              <w:ind w:right="274"/>
              <w:jc w:val="center"/>
              <w:rPr>
                <w:sz w:val="20"/>
              </w:rPr>
            </w:pPr>
            <w:r>
              <w:rPr>
                <w:spacing w:val="-4"/>
                <w:sz w:val="20"/>
              </w:rPr>
              <w:t>.065</w:t>
            </w:r>
          </w:p>
        </w:tc>
        <w:tc>
          <w:tcPr>
            <w:tcW w:w="1469" w:type="dxa"/>
            <w:tcBorders>
              <w:top w:val="single" w:sz="4" w:space="0" w:color="000000"/>
            </w:tcBorders>
          </w:tcPr>
          <w:p>
            <w:pPr>
              <w:pStyle w:val="TableParagraph"/>
              <w:spacing w:line="228" w:lineRule="exact"/>
              <w:ind w:left="68"/>
              <w:jc w:val="center"/>
              <w:rPr>
                <w:sz w:val="20"/>
              </w:rPr>
            </w:pPr>
            <w:r>
              <w:rPr>
                <w:spacing w:val="-4"/>
                <w:sz w:val="20"/>
              </w:rPr>
              <w:t>.395</w:t>
            </w:r>
          </w:p>
        </w:tc>
        <w:tc>
          <w:tcPr>
            <w:tcW w:w="2089" w:type="dxa"/>
            <w:tcBorders>
              <w:top w:val="single" w:sz="4" w:space="0" w:color="000000"/>
            </w:tcBorders>
          </w:tcPr>
          <w:p>
            <w:pPr>
              <w:pStyle w:val="TableParagraph"/>
              <w:spacing w:line="228" w:lineRule="exact"/>
              <w:ind w:left="242"/>
              <w:jc w:val="center"/>
              <w:rPr>
                <w:sz w:val="20"/>
              </w:rPr>
            </w:pPr>
            <w:r>
              <w:rPr>
                <w:spacing w:val="-4"/>
                <w:sz w:val="20"/>
              </w:rPr>
              <w:t>.628</w:t>
            </w:r>
          </w:p>
        </w:tc>
      </w:tr>
      <w:tr>
        <w:trPr>
          <w:trHeight w:val="299" w:hRule="atLeast"/>
        </w:trPr>
        <w:tc>
          <w:tcPr>
            <w:tcW w:w="2278" w:type="dxa"/>
            <w:tcBorders>
              <w:bottom w:val="single" w:sz="4" w:space="0" w:color="000000"/>
            </w:tcBorders>
          </w:tcPr>
          <w:p>
            <w:pPr>
              <w:pStyle w:val="TableParagraph"/>
              <w:rPr>
                <w:sz w:val="20"/>
              </w:rPr>
            </w:pPr>
          </w:p>
        </w:tc>
        <w:tc>
          <w:tcPr>
            <w:tcW w:w="1669" w:type="dxa"/>
            <w:tcBorders>
              <w:bottom w:val="single" w:sz="4" w:space="0" w:color="000000"/>
            </w:tcBorders>
          </w:tcPr>
          <w:p>
            <w:pPr>
              <w:pStyle w:val="TableParagraph"/>
              <w:spacing w:before="18"/>
              <w:ind w:left="528"/>
              <w:rPr>
                <w:sz w:val="20"/>
              </w:rPr>
            </w:pPr>
            <w:r>
              <w:rPr>
                <w:spacing w:val="-5"/>
                <w:sz w:val="20"/>
              </w:rPr>
              <w:t>16</w:t>
            </w:r>
          </w:p>
        </w:tc>
        <w:tc>
          <w:tcPr>
            <w:tcW w:w="2167" w:type="dxa"/>
            <w:tcBorders>
              <w:bottom w:val="single" w:sz="4" w:space="0" w:color="000000"/>
            </w:tcBorders>
          </w:tcPr>
          <w:p>
            <w:pPr>
              <w:pStyle w:val="TableParagraph"/>
              <w:spacing w:before="18"/>
              <w:ind w:right="274"/>
              <w:jc w:val="center"/>
              <w:rPr>
                <w:sz w:val="20"/>
              </w:rPr>
            </w:pPr>
            <w:r>
              <w:rPr>
                <w:spacing w:val="-4"/>
                <w:sz w:val="20"/>
              </w:rPr>
              <w:t>.060</w:t>
            </w:r>
          </w:p>
        </w:tc>
        <w:tc>
          <w:tcPr>
            <w:tcW w:w="1469" w:type="dxa"/>
            <w:tcBorders>
              <w:bottom w:val="single" w:sz="4" w:space="0" w:color="000000"/>
            </w:tcBorders>
          </w:tcPr>
          <w:p>
            <w:pPr>
              <w:pStyle w:val="TableParagraph"/>
              <w:spacing w:before="18"/>
              <w:ind w:left="68"/>
              <w:jc w:val="center"/>
              <w:rPr>
                <w:sz w:val="20"/>
              </w:rPr>
            </w:pPr>
            <w:r>
              <w:rPr>
                <w:spacing w:val="-4"/>
                <w:sz w:val="20"/>
              </w:rPr>
              <w:t>.690</w:t>
            </w:r>
          </w:p>
        </w:tc>
        <w:tc>
          <w:tcPr>
            <w:tcW w:w="2089" w:type="dxa"/>
            <w:tcBorders>
              <w:bottom w:val="single" w:sz="4" w:space="0" w:color="000000"/>
            </w:tcBorders>
          </w:tcPr>
          <w:p>
            <w:pPr>
              <w:pStyle w:val="TableParagraph"/>
              <w:spacing w:before="18"/>
              <w:ind w:left="242"/>
              <w:jc w:val="center"/>
              <w:rPr>
                <w:sz w:val="20"/>
              </w:rPr>
            </w:pPr>
            <w:r>
              <w:rPr>
                <w:spacing w:val="-4"/>
                <w:sz w:val="20"/>
              </w:rPr>
              <w:t>.831</w:t>
            </w:r>
          </w:p>
        </w:tc>
      </w:tr>
    </w:tbl>
    <w:p>
      <w:pPr>
        <w:pStyle w:val="BodyText"/>
        <w:spacing w:before="147"/>
      </w:pPr>
    </w:p>
    <w:p>
      <w:pPr>
        <w:pStyle w:val="BodyText"/>
        <w:spacing w:line="360" w:lineRule="auto"/>
        <w:ind w:left="735" w:right="870" w:firstLine="710"/>
        <w:jc w:val="both"/>
      </w:pPr>
      <w:r>
        <w:rPr/>
        <w:t>Tablo 3 incelendiğinde ölçek maddelerin faktör yüklerinin .57 ile .86 arasında değiştiği belirlenmiştir. Maddelerindeki hata varyanslarının da .90 altında olduğu görülmektedir. Uygun bir ölçme aracında faktör yüklerinin yüksek buna karşılık hata varyanslarının düşük olması beklenir (Gürbüz, 2021). Ortaya konulan doğrusal regresyon denkleminin örnekleme uygun olup olmadığını belirlemek için kullanılan R</w:t>
      </w:r>
      <w:r>
        <w:rPr>
          <w:vertAlign w:val="superscript"/>
        </w:rPr>
        <w:t>2</w:t>
      </w:r>
      <w:r>
        <w:rPr>
          <w:vertAlign w:val="baseline"/>
        </w:rPr>
        <w:t> analiz değerlerinin .39 ile .74 arasında değiştiği gözlenmektedir. Bu durum</w:t>
      </w:r>
      <w:r>
        <w:rPr>
          <w:spacing w:val="-13"/>
          <w:vertAlign w:val="baseline"/>
        </w:rPr>
        <w:t> </w:t>
      </w:r>
      <w:r>
        <w:rPr>
          <w:vertAlign w:val="baseline"/>
        </w:rPr>
        <w:t>tahmin</w:t>
      </w:r>
      <w:r>
        <w:rPr>
          <w:spacing w:val="-12"/>
          <w:vertAlign w:val="baseline"/>
        </w:rPr>
        <w:t> </w:t>
      </w:r>
      <w:r>
        <w:rPr>
          <w:vertAlign w:val="baseline"/>
        </w:rPr>
        <w:t>edilen</w:t>
      </w:r>
      <w:r>
        <w:rPr>
          <w:spacing w:val="-12"/>
          <w:vertAlign w:val="baseline"/>
        </w:rPr>
        <w:t> </w:t>
      </w:r>
      <w:r>
        <w:rPr>
          <w:vertAlign w:val="baseline"/>
        </w:rPr>
        <w:t>model</w:t>
      </w:r>
      <w:r>
        <w:rPr>
          <w:spacing w:val="-13"/>
          <w:vertAlign w:val="baseline"/>
        </w:rPr>
        <w:t> </w:t>
      </w:r>
      <w:r>
        <w:rPr>
          <w:vertAlign w:val="baseline"/>
        </w:rPr>
        <w:t>ile</w:t>
      </w:r>
      <w:r>
        <w:rPr>
          <w:spacing w:val="-13"/>
          <w:vertAlign w:val="baseline"/>
        </w:rPr>
        <w:t> </w:t>
      </w:r>
      <w:r>
        <w:rPr>
          <w:vertAlign w:val="baseline"/>
        </w:rPr>
        <w:t>analiz</w:t>
      </w:r>
      <w:r>
        <w:rPr>
          <w:spacing w:val="-13"/>
          <w:vertAlign w:val="baseline"/>
        </w:rPr>
        <w:t> </w:t>
      </w:r>
      <w:r>
        <w:rPr>
          <w:vertAlign w:val="baseline"/>
        </w:rPr>
        <w:t>sonucu</w:t>
      </w:r>
      <w:r>
        <w:rPr>
          <w:spacing w:val="-12"/>
          <w:vertAlign w:val="baseline"/>
        </w:rPr>
        <w:t> </w:t>
      </w:r>
      <w:r>
        <w:rPr>
          <w:vertAlign w:val="baseline"/>
        </w:rPr>
        <w:t>ortaya</w:t>
      </w:r>
      <w:r>
        <w:rPr>
          <w:spacing w:val="-13"/>
          <w:vertAlign w:val="baseline"/>
        </w:rPr>
        <w:t> </w:t>
      </w:r>
      <w:r>
        <w:rPr>
          <w:vertAlign w:val="baseline"/>
        </w:rPr>
        <w:t>çıkan</w:t>
      </w:r>
      <w:r>
        <w:rPr>
          <w:spacing w:val="-12"/>
          <w:vertAlign w:val="baseline"/>
        </w:rPr>
        <w:t> </w:t>
      </w:r>
      <w:r>
        <w:rPr>
          <w:vertAlign w:val="baseline"/>
        </w:rPr>
        <w:t>modelin</w:t>
      </w:r>
      <w:r>
        <w:rPr>
          <w:spacing w:val="-12"/>
          <w:vertAlign w:val="baseline"/>
        </w:rPr>
        <w:t> </w:t>
      </w:r>
      <w:r>
        <w:rPr>
          <w:vertAlign w:val="baseline"/>
        </w:rPr>
        <w:t>kabul</w:t>
      </w:r>
      <w:r>
        <w:rPr>
          <w:spacing w:val="-13"/>
          <w:vertAlign w:val="baseline"/>
        </w:rPr>
        <w:t> </w:t>
      </w:r>
      <w:r>
        <w:rPr>
          <w:vertAlign w:val="baseline"/>
        </w:rPr>
        <w:t>edilebilir</w:t>
      </w:r>
      <w:r>
        <w:rPr>
          <w:spacing w:val="-11"/>
          <w:vertAlign w:val="baseline"/>
        </w:rPr>
        <w:t> </w:t>
      </w:r>
      <w:r>
        <w:rPr>
          <w:vertAlign w:val="baseline"/>
        </w:rPr>
        <w:t>düzeyde</w:t>
      </w:r>
      <w:r>
        <w:rPr>
          <w:spacing w:val="-13"/>
          <w:vertAlign w:val="baseline"/>
        </w:rPr>
        <w:t> </w:t>
      </w:r>
      <w:r>
        <w:rPr>
          <w:vertAlign w:val="baseline"/>
        </w:rPr>
        <w:t>olduğunu göstermektedir (Gujarati, 2004).</w:t>
      </w:r>
    </w:p>
    <w:p>
      <w:pPr>
        <w:pStyle w:val="BodyText"/>
        <w:spacing w:before="243"/>
        <w:ind w:left="735"/>
      </w:pPr>
      <w:r>
        <w:rPr/>
        <w:t>Tablo</w:t>
      </w:r>
      <w:r>
        <w:rPr>
          <w:spacing w:val="-6"/>
        </w:rPr>
        <w:t> </w:t>
      </w:r>
      <w:r>
        <w:rPr>
          <w:spacing w:val="-10"/>
        </w:rPr>
        <w:t>4</w:t>
      </w:r>
    </w:p>
    <w:p>
      <w:pPr>
        <w:pStyle w:val="BodyText"/>
        <w:spacing w:before="134"/>
        <w:ind w:left="735"/>
      </w:pPr>
      <w:r>
        <w:rPr/>
        <w:t>SBSMÖ</w:t>
      </w:r>
      <w:r>
        <w:rPr>
          <w:spacing w:val="-1"/>
        </w:rPr>
        <w:t> </w:t>
      </w:r>
      <w:r>
        <w:rPr/>
        <w:t>Güvenirlik,</w:t>
      </w:r>
      <w:r>
        <w:rPr>
          <w:spacing w:val="-3"/>
        </w:rPr>
        <w:t> </w:t>
      </w:r>
      <w:r>
        <w:rPr/>
        <w:t>Geçerlik</w:t>
      </w:r>
      <w:r>
        <w:rPr>
          <w:spacing w:val="-2"/>
        </w:rPr>
        <w:t> </w:t>
      </w:r>
      <w:r>
        <w:rPr/>
        <w:t>ve</w:t>
      </w:r>
      <w:r>
        <w:rPr>
          <w:spacing w:val="-4"/>
        </w:rPr>
        <w:t> </w:t>
      </w:r>
      <w:r>
        <w:rPr/>
        <w:t>Korelasyon</w:t>
      </w:r>
      <w:r>
        <w:rPr>
          <w:spacing w:val="-1"/>
        </w:rPr>
        <w:t> </w:t>
      </w:r>
      <w:r>
        <w:rPr>
          <w:spacing w:val="-2"/>
        </w:rPr>
        <w:t>Değerleri</w:t>
      </w:r>
    </w:p>
    <w:p>
      <w:pPr>
        <w:pStyle w:val="BodyText"/>
        <w:spacing w:before="1"/>
        <w:rPr>
          <w:sz w:val="12"/>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875"/>
        <w:gridCol w:w="811"/>
        <w:gridCol w:w="880"/>
        <w:gridCol w:w="811"/>
        <w:gridCol w:w="809"/>
        <w:gridCol w:w="834"/>
        <w:gridCol w:w="837"/>
        <w:gridCol w:w="835"/>
        <w:gridCol w:w="1027"/>
      </w:tblGrid>
      <w:tr>
        <w:trPr>
          <w:trHeight w:val="340" w:hRule="atLeast"/>
        </w:trPr>
        <w:tc>
          <w:tcPr>
            <w:tcW w:w="1958" w:type="dxa"/>
            <w:tcBorders>
              <w:top w:val="single" w:sz="4" w:space="0" w:color="000000"/>
              <w:bottom w:val="single" w:sz="4" w:space="0" w:color="000000"/>
            </w:tcBorders>
          </w:tcPr>
          <w:p>
            <w:pPr>
              <w:pStyle w:val="TableParagraph"/>
              <w:spacing w:before="33"/>
              <w:ind w:left="120"/>
              <w:rPr>
                <w:b/>
                <w:sz w:val="20"/>
              </w:rPr>
            </w:pPr>
            <w:r>
              <w:rPr>
                <w:b/>
                <w:spacing w:val="-2"/>
                <w:sz w:val="20"/>
              </w:rPr>
              <w:t>Faktörler</w:t>
            </w:r>
          </w:p>
        </w:tc>
        <w:tc>
          <w:tcPr>
            <w:tcW w:w="875" w:type="dxa"/>
            <w:tcBorders>
              <w:top w:val="single" w:sz="4" w:space="0" w:color="000000"/>
              <w:bottom w:val="single" w:sz="4" w:space="0" w:color="000000"/>
            </w:tcBorders>
          </w:tcPr>
          <w:p>
            <w:pPr>
              <w:pStyle w:val="TableParagraph"/>
              <w:spacing w:before="33"/>
              <w:ind w:left="45" w:right="6"/>
              <w:jc w:val="center"/>
              <w:rPr>
                <w:b/>
                <w:sz w:val="20"/>
              </w:rPr>
            </w:pPr>
            <w:r>
              <w:rPr>
                <w:b/>
                <w:spacing w:val="-5"/>
                <w:sz w:val="20"/>
              </w:rPr>
              <w:t>AVE</w:t>
            </w:r>
          </w:p>
        </w:tc>
        <w:tc>
          <w:tcPr>
            <w:tcW w:w="811" w:type="dxa"/>
            <w:tcBorders>
              <w:top w:val="single" w:sz="4" w:space="0" w:color="000000"/>
              <w:bottom w:val="single" w:sz="4" w:space="0" w:color="000000"/>
            </w:tcBorders>
          </w:tcPr>
          <w:p>
            <w:pPr>
              <w:pStyle w:val="TableParagraph"/>
              <w:spacing w:before="33"/>
              <w:ind w:right="83"/>
              <w:jc w:val="center"/>
              <w:rPr>
                <w:b/>
                <w:sz w:val="20"/>
              </w:rPr>
            </w:pPr>
            <w:r>
              <w:rPr>
                <w:b/>
                <w:spacing w:val="-5"/>
                <w:sz w:val="20"/>
              </w:rPr>
              <w:t>CR</w:t>
            </w:r>
          </w:p>
        </w:tc>
        <w:tc>
          <w:tcPr>
            <w:tcW w:w="880" w:type="dxa"/>
            <w:tcBorders>
              <w:top w:val="single" w:sz="4" w:space="0" w:color="000000"/>
              <w:bottom w:val="single" w:sz="4" w:space="0" w:color="000000"/>
            </w:tcBorders>
          </w:tcPr>
          <w:p>
            <w:pPr>
              <w:pStyle w:val="TableParagraph"/>
              <w:spacing w:before="33"/>
              <w:ind w:left="93" w:right="44"/>
              <w:jc w:val="center"/>
              <w:rPr>
                <w:b/>
                <w:sz w:val="20"/>
              </w:rPr>
            </w:pPr>
            <w:r>
              <w:rPr>
                <w:b/>
                <w:spacing w:val="-5"/>
                <w:sz w:val="20"/>
              </w:rPr>
              <w:t>MSV</w:t>
            </w:r>
          </w:p>
        </w:tc>
        <w:tc>
          <w:tcPr>
            <w:tcW w:w="811" w:type="dxa"/>
            <w:tcBorders>
              <w:top w:val="single" w:sz="4" w:space="0" w:color="000000"/>
              <w:bottom w:val="single" w:sz="4" w:space="0" w:color="000000"/>
            </w:tcBorders>
          </w:tcPr>
          <w:p>
            <w:pPr>
              <w:pStyle w:val="TableParagraph"/>
              <w:spacing w:before="33"/>
              <w:ind w:left="193"/>
              <w:rPr>
                <w:b/>
                <w:sz w:val="20"/>
              </w:rPr>
            </w:pPr>
            <w:r>
              <w:rPr>
                <w:b/>
                <w:spacing w:val="-5"/>
                <w:sz w:val="20"/>
              </w:rPr>
              <w:t>ASV</w:t>
            </w:r>
          </w:p>
        </w:tc>
        <w:tc>
          <w:tcPr>
            <w:tcW w:w="809" w:type="dxa"/>
            <w:tcBorders>
              <w:top w:val="single" w:sz="4" w:space="0" w:color="000000"/>
              <w:bottom w:val="single" w:sz="4" w:space="0" w:color="000000"/>
            </w:tcBorders>
          </w:tcPr>
          <w:p>
            <w:pPr>
              <w:pStyle w:val="TableParagraph"/>
              <w:spacing w:before="33"/>
              <w:ind w:left="217"/>
              <w:rPr>
                <w:b/>
                <w:sz w:val="20"/>
              </w:rPr>
            </w:pPr>
            <w:r>
              <w:rPr>
                <w:b/>
                <w:spacing w:val="-10"/>
                <w:sz w:val="20"/>
              </w:rPr>
              <w:t>1</w:t>
            </w:r>
          </w:p>
        </w:tc>
        <w:tc>
          <w:tcPr>
            <w:tcW w:w="834" w:type="dxa"/>
            <w:tcBorders>
              <w:top w:val="single" w:sz="4" w:space="0" w:color="000000"/>
              <w:bottom w:val="single" w:sz="4" w:space="0" w:color="000000"/>
            </w:tcBorders>
          </w:tcPr>
          <w:p>
            <w:pPr>
              <w:pStyle w:val="TableParagraph"/>
              <w:spacing w:before="33"/>
              <w:ind w:left="238"/>
              <w:rPr>
                <w:b/>
                <w:sz w:val="20"/>
              </w:rPr>
            </w:pPr>
            <w:r>
              <w:rPr>
                <w:b/>
                <w:spacing w:val="-10"/>
                <w:sz w:val="20"/>
              </w:rPr>
              <w:t>2</w:t>
            </w:r>
          </w:p>
        </w:tc>
        <w:tc>
          <w:tcPr>
            <w:tcW w:w="837" w:type="dxa"/>
            <w:tcBorders>
              <w:top w:val="single" w:sz="4" w:space="0" w:color="000000"/>
              <w:bottom w:val="single" w:sz="4" w:space="0" w:color="000000"/>
            </w:tcBorders>
          </w:tcPr>
          <w:p>
            <w:pPr>
              <w:pStyle w:val="TableParagraph"/>
              <w:spacing w:before="33"/>
              <w:ind w:left="240"/>
              <w:rPr>
                <w:b/>
                <w:sz w:val="20"/>
              </w:rPr>
            </w:pPr>
            <w:r>
              <w:rPr>
                <w:b/>
                <w:spacing w:val="-10"/>
                <w:sz w:val="20"/>
              </w:rPr>
              <w:t>3</w:t>
            </w:r>
          </w:p>
        </w:tc>
        <w:tc>
          <w:tcPr>
            <w:tcW w:w="835" w:type="dxa"/>
            <w:tcBorders>
              <w:top w:val="single" w:sz="4" w:space="0" w:color="000000"/>
              <w:bottom w:val="single" w:sz="4" w:space="0" w:color="000000"/>
            </w:tcBorders>
          </w:tcPr>
          <w:p>
            <w:pPr>
              <w:pStyle w:val="TableParagraph"/>
              <w:spacing w:before="33"/>
              <w:ind w:left="238"/>
              <w:rPr>
                <w:b/>
                <w:sz w:val="20"/>
              </w:rPr>
            </w:pPr>
            <w:r>
              <w:rPr>
                <w:b/>
                <w:spacing w:val="-10"/>
                <w:sz w:val="20"/>
              </w:rPr>
              <w:t>4</w:t>
            </w:r>
          </w:p>
        </w:tc>
        <w:tc>
          <w:tcPr>
            <w:tcW w:w="1027" w:type="dxa"/>
            <w:tcBorders>
              <w:top w:val="single" w:sz="4" w:space="0" w:color="000000"/>
              <w:bottom w:val="single" w:sz="4" w:space="0" w:color="000000"/>
            </w:tcBorders>
          </w:tcPr>
          <w:p>
            <w:pPr>
              <w:pStyle w:val="TableParagraph"/>
              <w:spacing w:before="33"/>
              <w:ind w:left="234"/>
              <w:rPr>
                <w:b/>
                <w:sz w:val="20"/>
              </w:rPr>
            </w:pPr>
            <w:r>
              <w:rPr>
                <w:b/>
                <w:spacing w:val="-10"/>
                <w:sz w:val="20"/>
              </w:rPr>
              <w:t>5</w:t>
            </w:r>
          </w:p>
        </w:tc>
      </w:tr>
      <w:tr>
        <w:trPr>
          <w:trHeight w:val="322" w:hRule="atLeast"/>
        </w:trPr>
        <w:tc>
          <w:tcPr>
            <w:tcW w:w="1958" w:type="dxa"/>
            <w:tcBorders>
              <w:top w:val="single" w:sz="4" w:space="0" w:color="000000"/>
            </w:tcBorders>
          </w:tcPr>
          <w:p>
            <w:pPr>
              <w:pStyle w:val="TableParagraph"/>
              <w:spacing w:before="33"/>
              <w:ind w:left="120"/>
              <w:rPr>
                <w:sz w:val="20"/>
              </w:rPr>
            </w:pPr>
            <w:r>
              <w:rPr>
                <w:spacing w:val="-2"/>
                <w:sz w:val="20"/>
              </w:rPr>
              <w:t>1-Hizmet</w:t>
            </w:r>
          </w:p>
        </w:tc>
        <w:tc>
          <w:tcPr>
            <w:tcW w:w="875" w:type="dxa"/>
            <w:tcBorders>
              <w:top w:val="single" w:sz="4" w:space="0" w:color="000000"/>
            </w:tcBorders>
          </w:tcPr>
          <w:p>
            <w:pPr>
              <w:pStyle w:val="TableParagraph"/>
              <w:spacing w:before="33"/>
              <w:ind w:left="39" w:right="45"/>
              <w:jc w:val="center"/>
              <w:rPr>
                <w:sz w:val="20"/>
              </w:rPr>
            </w:pPr>
            <w:r>
              <w:rPr>
                <w:spacing w:val="-4"/>
                <w:sz w:val="20"/>
              </w:rPr>
              <w:t>0.65</w:t>
            </w:r>
          </w:p>
        </w:tc>
        <w:tc>
          <w:tcPr>
            <w:tcW w:w="811" w:type="dxa"/>
            <w:tcBorders>
              <w:top w:val="single" w:sz="4" w:space="0" w:color="000000"/>
            </w:tcBorders>
          </w:tcPr>
          <w:p>
            <w:pPr>
              <w:pStyle w:val="TableParagraph"/>
              <w:spacing w:before="33"/>
              <w:ind w:left="60" w:right="83"/>
              <w:jc w:val="center"/>
              <w:rPr>
                <w:sz w:val="20"/>
              </w:rPr>
            </w:pPr>
            <w:r>
              <w:rPr>
                <w:spacing w:val="-4"/>
                <w:sz w:val="20"/>
              </w:rPr>
              <w:t>0.85</w:t>
            </w:r>
          </w:p>
        </w:tc>
        <w:tc>
          <w:tcPr>
            <w:tcW w:w="880" w:type="dxa"/>
            <w:tcBorders>
              <w:top w:val="single" w:sz="4" w:space="0" w:color="000000"/>
            </w:tcBorders>
          </w:tcPr>
          <w:p>
            <w:pPr>
              <w:pStyle w:val="TableParagraph"/>
              <w:spacing w:before="33"/>
              <w:ind w:left="49" w:right="93"/>
              <w:jc w:val="center"/>
              <w:rPr>
                <w:b/>
                <w:sz w:val="20"/>
              </w:rPr>
            </w:pPr>
            <w:r>
              <w:rPr>
                <w:b/>
                <w:spacing w:val="-4"/>
                <w:sz w:val="20"/>
              </w:rPr>
              <w:t>0.73</w:t>
            </w:r>
          </w:p>
        </w:tc>
        <w:tc>
          <w:tcPr>
            <w:tcW w:w="811" w:type="dxa"/>
            <w:tcBorders>
              <w:top w:val="single" w:sz="4" w:space="0" w:color="000000"/>
            </w:tcBorders>
          </w:tcPr>
          <w:p>
            <w:pPr>
              <w:pStyle w:val="TableParagraph"/>
              <w:spacing w:before="33"/>
              <w:ind w:left="193"/>
              <w:rPr>
                <w:sz w:val="20"/>
              </w:rPr>
            </w:pPr>
            <w:r>
              <w:rPr>
                <w:spacing w:val="-4"/>
                <w:sz w:val="20"/>
              </w:rPr>
              <w:t>0.39</w:t>
            </w:r>
          </w:p>
        </w:tc>
        <w:tc>
          <w:tcPr>
            <w:tcW w:w="809" w:type="dxa"/>
            <w:tcBorders>
              <w:top w:val="single" w:sz="4" w:space="0" w:color="000000"/>
            </w:tcBorders>
          </w:tcPr>
          <w:p>
            <w:pPr>
              <w:pStyle w:val="TableParagraph"/>
              <w:spacing w:before="33"/>
              <w:ind w:left="217"/>
              <w:rPr>
                <w:sz w:val="20"/>
              </w:rPr>
            </w:pPr>
            <w:r>
              <w:rPr>
                <w:spacing w:val="-10"/>
                <w:sz w:val="20"/>
              </w:rPr>
              <w:t>-</w:t>
            </w:r>
          </w:p>
        </w:tc>
        <w:tc>
          <w:tcPr>
            <w:tcW w:w="834" w:type="dxa"/>
            <w:tcBorders>
              <w:top w:val="single" w:sz="4" w:space="0" w:color="000000"/>
            </w:tcBorders>
          </w:tcPr>
          <w:p>
            <w:pPr>
              <w:pStyle w:val="TableParagraph"/>
              <w:rPr>
                <w:sz w:val="20"/>
              </w:rPr>
            </w:pPr>
          </w:p>
        </w:tc>
        <w:tc>
          <w:tcPr>
            <w:tcW w:w="837" w:type="dxa"/>
            <w:tcBorders>
              <w:top w:val="single" w:sz="4" w:space="0" w:color="000000"/>
            </w:tcBorders>
          </w:tcPr>
          <w:p>
            <w:pPr>
              <w:pStyle w:val="TableParagraph"/>
              <w:rPr>
                <w:sz w:val="20"/>
              </w:rPr>
            </w:pPr>
          </w:p>
        </w:tc>
        <w:tc>
          <w:tcPr>
            <w:tcW w:w="835" w:type="dxa"/>
            <w:tcBorders>
              <w:top w:val="single" w:sz="4" w:space="0" w:color="000000"/>
            </w:tcBorders>
          </w:tcPr>
          <w:p>
            <w:pPr>
              <w:pStyle w:val="TableParagraph"/>
              <w:rPr>
                <w:sz w:val="20"/>
              </w:rPr>
            </w:pPr>
          </w:p>
        </w:tc>
        <w:tc>
          <w:tcPr>
            <w:tcW w:w="1027" w:type="dxa"/>
            <w:tcBorders>
              <w:top w:val="single" w:sz="4" w:space="0" w:color="000000"/>
            </w:tcBorders>
          </w:tcPr>
          <w:p>
            <w:pPr>
              <w:pStyle w:val="TableParagraph"/>
              <w:rPr>
                <w:sz w:val="20"/>
              </w:rPr>
            </w:pPr>
          </w:p>
        </w:tc>
      </w:tr>
      <w:tr>
        <w:trPr>
          <w:trHeight w:val="340" w:hRule="atLeast"/>
        </w:trPr>
        <w:tc>
          <w:tcPr>
            <w:tcW w:w="1958" w:type="dxa"/>
          </w:tcPr>
          <w:p>
            <w:pPr>
              <w:pStyle w:val="TableParagraph"/>
              <w:spacing w:before="51"/>
              <w:ind w:left="120"/>
              <w:rPr>
                <w:sz w:val="20"/>
              </w:rPr>
            </w:pPr>
            <w:r>
              <w:rPr>
                <w:sz w:val="20"/>
              </w:rPr>
              <w:t>2-Saha</w:t>
            </w:r>
            <w:r>
              <w:rPr>
                <w:spacing w:val="-2"/>
                <w:sz w:val="20"/>
              </w:rPr>
              <w:t> Performansı</w:t>
            </w:r>
          </w:p>
        </w:tc>
        <w:tc>
          <w:tcPr>
            <w:tcW w:w="875" w:type="dxa"/>
          </w:tcPr>
          <w:p>
            <w:pPr>
              <w:pStyle w:val="TableParagraph"/>
              <w:spacing w:before="51"/>
              <w:ind w:left="39" w:right="45"/>
              <w:jc w:val="center"/>
              <w:rPr>
                <w:sz w:val="20"/>
              </w:rPr>
            </w:pPr>
            <w:r>
              <w:rPr>
                <w:spacing w:val="-4"/>
                <w:sz w:val="20"/>
              </w:rPr>
              <w:t>0.52</w:t>
            </w:r>
          </w:p>
        </w:tc>
        <w:tc>
          <w:tcPr>
            <w:tcW w:w="811" w:type="dxa"/>
          </w:tcPr>
          <w:p>
            <w:pPr>
              <w:pStyle w:val="TableParagraph"/>
              <w:spacing w:before="51"/>
              <w:ind w:left="60" w:right="83"/>
              <w:jc w:val="center"/>
              <w:rPr>
                <w:sz w:val="20"/>
              </w:rPr>
            </w:pPr>
            <w:r>
              <w:rPr>
                <w:spacing w:val="-4"/>
                <w:sz w:val="20"/>
              </w:rPr>
              <w:t>0.76</w:t>
            </w:r>
          </w:p>
        </w:tc>
        <w:tc>
          <w:tcPr>
            <w:tcW w:w="880" w:type="dxa"/>
          </w:tcPr>
          <w:p>
            <w:pPr>
              <w:pStyle w:val="TableParagraph"/>
              <w:spacing w:before="51"/>
              <w:ind w:left="49" w:right="93"/>
              <w:jc w:val="center"/>
              <w:rPr>
                <w:sz w:val="20"/>
              </w:rPr>
            </w:pPr>
            <w:r>
              <w:rPr>
                <w:spacing w:val="-4"/>
                <w:sz w:val="20"/>
              </w:rPr>
              <w:t>0.08</w:t>
            </w:r>
          </w:p>
        </w:tc>
        <w:tc>
          <w:tcPr>
            <w:tcW w:w="811" w:type="dxa"/>
          </w:tcPr>
          <w:p>
            <w:pPr>
              <w:pStyle w:val="TableParagraph"/>
              <w:spacing w:before="51"/>
              <w:ind w:left="193"/>
              <w:rPr>
                <w:sz w:val="20"/>
              </w:rPr>
            </w:pPr>
            <w:r>
              <w:rPr>
                <w:spacing w:val="-4"/>
                <w:sz w:val="20"/>
              </w:rPr>
              <w:t>0.04</w:t>
            </w:r>
          </w:p>
        </w:tc>
        <w:tc>
          <w:tcPr>
            <w:tcW w:w="809" w:type="dxa"/>
          </w:tcPr>
          <w:p>
            <w:pPr>
              <w:pStyle w:val="TableParagraph"/>
              <w:spacing w:before="51"/>
              <w:ind w:left="217"/>
              <w:rPr>
                <w:sz w:val="20"/>
              </w:rPr>
            </w:pPr>
            <w:r>
              <w:rPr>
                <w:spacing w:val="-4"/>
                <w:sz w:val="20"/>
              </w:rPr>
              <w:t>0.11</w:t>
            </w:r>
          </w:p>
        </w:tc>
        <w:tc>
          <w:tcPr>
            <w:tcW w:w="834" w:type="dxa"/>
          </w:tcPr>
          <w:p>
            <w:pPr>
              <w:pStyle w:val="TableParagraph"/>
              <w:spacing w:before="51"/>
              <w:ind w:left="238"/>
              <w:rPr>
                <w:sz w:val="20"/>
              </w:rPr>
            </w:pPr>
            <w:r>
              <w:rPr>
                <w:spacing w:val="-10"/>
                <w:sz w:val="20"/>
              </w:rPr>
              <w:t>-</w:t>
            </w:r>
          </w:p>
        </w:tc>
        <w:tc>
          <w:tcPr>
            <w:tcW w:w="837" w:type="dxa"/>
          </w:tcPr>
          <w:p>
            <w:pPr>
              <w:pStyle w:val="TableParagraph"/>
              <w:rPr>
                <w:sz w:val="20"/>
              </w:rPr>
            </w:pPr>
          </w:p>
        </w:tc>
        <w:tc>
          <w:tcPr>
            <w:tcW w:w="835" w:type="dxa"/>
          </w:tcPr>
          <w:p>
            <w:pPr>
              <w:pStyle w:val="TableParagraph"/>
              <w:rPr>
                <w:sz w:val="20"/>
              </w:rPr>
            </w:pPr>
          </w:p>
        </w:tc>
        <w:tc>
          <w:tcPr>
            <w:tcW w:w="1027" w:type="dxa"/>
          </w:tcPr>
          <w:p>
            <w:pPr>
              <w:pStyle w:val="TableParagraph"/>
              <w:rPr>
                <w:sz w:val="20"/>
              </w:rPr>
            </w:pPr>
          </w:p>
        </w:tc>
      </w:tr>
      <w:tr>
        <w:trPr>
          <w:trHeight w:val="340" w:hRule="atLeast"/>
        </w:trPr>
        <w:tc>
          <w:tcPr>
            <w:tcW w:w="1958" w:type="dxa"/>
          </w:tcPr>
          <w:p>
            <w:pPr>
              <w:pStyle w:val="TableParagraph"/>
              <w:spacing w:before="50"/>
              <w:ind w:left="120"/>
              <w:rPr>
                <w:sz w:val="20"/>
              </w:rPr>
            </w:pPr>
            <w:r>
              <w:rPr>
                <w:sz w:val="20"/>
              </w:rPr>
              <w:t>3-Kişisel</w:t>
            </w:r>
            <w:r>
              <w:rPr>
                <w:spacing w:val="-2"/>
                <w:sz w:val="20"/>
              </w:rPr>
              <w:t> Katılım</w:t>
            </w:r>
          </w:p>
        </w:tc>
        <w:tc>
          <w:tcPr>
            <w:tcW w:w="875" w:type="dxa"/>
          </w:tcPr>
          <w:p>
            <w:pPr>
              <w:pStyle w:val="TableParagraph"/>
              <w:spacing w:before="50"/>
              <w:ind w:left="39" w:right="45"/>
              <w:jc w:val="center"/>
              <w:rPr>
                <w:sz w:val="20"/>
              </w:rPr>
            </w:pPr>
            <w:r>
              <w:rPr>
                <w:spacing w:val="-4"/>
                <w:sz w:val="20"/>
              </w:rPr>
              <w:t>0.55</w:t>
            </w:r>
          </w:p>
        </w:tc>
        <w:tc>
          <w:tcPr>
            <w:tcW w:w="811" w:type="dxa"/>
          </w:tcPr>
          <w:p>
            <w:pPr>
              <w:pStyle w:val="TableParagraph"/>
              <w:spacing w:before="50"/>
              <w:ind w:left="60" w:right="83"/>
              <w:jc w:val="center"/>
              <w:rPr>
                <w:sz w:val="20"/>
              </w:rPr>
            </w:pPr>
            <w:r>
              <w:rPr>
                <w:spacing w:val="-4"/>
                <w:sz w:val="20"/>
              </w:rPr>
              <w:t>0.85</w:t>
            </w:r>
          </w:p>
        </w:tc>
        <w:tc>
          <w:tcPr>
            <w:tcW w:w="880" w:type="dxa"/>
          </w:tcPr>
          <w:p>
            <w:pPr>
              <w:pStyle w:val="TableParagraph"/>
              <w:spacing w:before="50"/>
              <w:ind w:left="49" w:right="93"/>
              <w:jc w:val="center"/>
              <w:rPr>
                <w:sz w:val="20"/>
              </w:rPr>
            </w:pPr>
            <w:r>
              <w:rPr>
                <w:spacing w:val="-4"/>
                <w:sz w:val="20"/>
              </w:rPr>
              <w:t>0.45</w:t>
            </w:r>
          </w:p>
        </w:tc>
        <w:tc>
          <w:tcPr>
            <w:tcW w:w="811" w:type="dxa"/>
          </w:tcPr>
          <w:p>
            <w:pPr>
              <w:pStyle w:val="TableParagraph"/>
              <w:spacing w:before="50"/>
              <w:ind w:left="193"/>
              <w:rPr>
                <w:sz w:val="20"/>
              </w:rPr>
            </w:pPr>
            <w:r>
              <w:rPr>
                <w:spacing w:val="-4"/>
                <w:sz w:val="20"/>
              </w:rPr>
              <w:t>0.27</w:t>
            </w:r>
          </w:p>
        </w:tc>
        <w:tc>
          <w:tcPr>
            <w:tcW w:w="809" w:type="dxa"/>
          </w:tcPr>
          <w:p>
            <w:pPr>
              <w:pStyle w:val="TableParagraph"/>
              <w:spacing w:before="50"/>
              <w:ind w:left="217"/>
              <w:rPr>
                <w:sz w:val="20"/>
              </w:rPr>
            </w:pPr>
            <w:r>
              <w:rPr>
                <w:spacing w:val="-4"/>
                <w:sz w:val="20"/>
              </w:rPr>
              <w:t>0.40</w:t>
            </w:r>
          </w:p>
        </w:tc>
        <w:tc>
          <w:tcPr>
            <w:tcW w:w="834" w:type="dxa"/>
          </w:tcPr>
          <w:p>
            <w:pPr>
              <w:pStyle w:val="TableParagraph"/>
              <w:spacing w:before="50"/>
              <w:ind w:left="238"/>
              <w:rPr>
                <w:sz w:val="20"/>
              </w:rPr>
            </w:pPr>
            <w:r>
              <w:rPr>
                <w:spacing w:val="-4"/>
                <w:sz w:val="20"/>
              </w:rPr>
              <w:t>0.12</w:t>
            </w:r>
          </w:p>
        </w:tc>
        <w:tc>
          <w:tcPr>
            <w:tcW w:w="837" w:type="dxa"/>
          </w:tcPr>
          <w:p>
            <w:pPr>
              <w:pStyle w:val="TableParagraph"/>
              <w:spacing w:before="50"/>
              <w:ind w:left="240"/>
              <w:rPr>
                <w:sz w:val="20"/>
              </w:rPr>
            </w:pPr>
            <w:r>
              <w:rPr>
                <w:spacing w:val="-10"/>
                <w:sz w:val="20"/>
              </w:rPr>
              <w:t>-</w:t>
            </w:r>
          </w:p>
        </w:tc>
        <w:tc>
          <w:tcPr>
            <w:tcW w:w="835" w:type="dxa"/>
          </w:tcPr>
          <w:p>
            <w:pPr>
              <w:pStyle w:val="TableParagraph"/>
              <w:rPr>
                <w:sz w:val="20"/>
              </w:rPr>
            </w:pPr>
          </w:p>
        </w:tc>
        <w:tc>
          <w:tcPr>
            <w:tcW w:w="1027" w:type="dxa"/>
          </w:tcPr>
          <w:p>
            <w:pPr>
              <w:pStyle w:val="TableParagraph"/>
              <w:rPr>
                <w:sz w:val="20"/>
              </w:rPr>
            </w:pPr>
          </w:p>
        </w:tc>
      </w:tr>
      <w:tr>
        <w:trPr>
          <w:trHeight w:val="340" w:hRule="atLeast"/>
        </w:trPr>
        <w:tc>
          <w:tcPr>
            <w:tcW w:w="1958" w:type="dxa"/>
          </w:tcPr>
          <w:p>
            <w:pPr>
              <w:pStyle w:val="TableParagraph"/>
              <w:spacing w:before="51"/>
              <w:ind w:left="120"/>
              <w:rPr>
                <w:sz w:val="20"/>
              </w:rPr>
            </w:pPr>
            <w:r>
              <w:rPr>
                <w:sz w:val="20"/>
              </w:rPr>
              <w:t>4-Kulüp</w:t>
            </w:r>
            <w:r>
              <w:rPr>
                <w:spacing w:val="-8"/>
                <w:sz w:val="20"/>
              </w:rPr>
              <w:t> </w:t>
            </w:r>
            <w:r>
              <w:rPr>
                <w:spacing w:val="-2"/>
                <w:sz w:val="20"/>
              </w:rPr>
              <w:t>Yönetimi</w:t>
            </w:r>
          </w:p>
        </w:tc>
        <w:tc>
          <w:tcPr>
            <w:tcW w:w="875" w:type="dxa"/>
          </w:tcPr>
          <w:p>
            <w:pPr>
              <w:pStyle w:val="TableParagraph"/>
              <w:spacing w:before="51"/>
              <w:ind w:left="39" w:right="45"/>
              <w:jc w:val="center"/>
              <w:rPr>
                <w:sz w:val="20"/>
              </w:rPr>
            </w:pPr>
            <w:r>
              <w:rPr>
                <w:spacing w:val="-4"/>
                <w:sz w:val="20"/>
              </w:rPr>
              <w:t>0.59</w:t>
            </w:r>
          </w:p>
        </w:tc>
        <w:tc>
          <w:tcPr>
            <w:tcW w:w="811" w:type="dxa"/>
          </w:tcPr>
          <w:p>
            <w:pPr>
              <w:pStyle w:val="TableParagraph"/>
              <w:spacing w:before="51"/>
              <w:ind w:left="60" w:right="83"/>
              <w:jc w:val="center"/>
              <w:rPr>
                <w:sz w:val="20"/>
              </w:rPr>
            </w:pPr>
            <w:r>
              <w:rPr>
                <w:spacing w:val="-4"/>
                <w:sz w:val="20"/>
              </w:rPr>
              <w:t>0.81</w:t>
            </w:r>
          </w:p>
        </w:tc>
        <w:tc>
          <w:tcPr>
            <w:tcW w:w="880" w:type="dxa"/>
          </w:tcPr>
          <w:p>
            <w:pPr>
              <w:pStyle w:val="TableParagraph"/>
              <w:spacing w:before="51"/>
              <w:ind w:left="49" w:right="93"/>
              <w:jc w:val="center"/>
              <w:rPr>
                <w:b/>
                <w:sz w:val="20"/>
              </w:rPr>
            </w:pPr>
            <w:r>
              <w:rPr>
                <w:b/>
                <w:spacing w:val="-4"/>
                <w:sz w:val="20"/>
              </w:rPr>
              <w:t>0.73</w:t>
            </w:r>
          </w:p>
        </w:tc>
        <w:tc>
          <w:tcPr>
            <w:tcW w:w="811" w:type="dxa"/>
          </w:tcPr>
          <w:p>
            <w:pPr>
              <w:pStyle w:val="TableParagraph"/>
              <w:spacing w:before="51"/>
              <w:ind w:left="193"/>
              <w:rPr>
                <w:sz w:val="20"/>
              </w:rPr>
            </w:pPr>
            <w:r>
              <w:rPr>
                <w:spacing w:val="-4"/>
                <w:sz w:val="20"/>
              </w:rPr>
              <w:t>0.40</w:t>
            </w:r>
          </w:p>
        </w:tc>
        <w:tc>
          <w:tcPr>
            <w:tcW w:w="809" w:type="dxa"/>
          </w:tcPr>
          <w:p>
            <w:pPr>
              <w:pStyle w:val="TableParagraph"/>
              <w:spacing w:before="51"/>
              <w:ind w:left="217"/>
              <w:rPr>
                <w:sz w:val="20"/>
              </w:rPr>
            </w:pPr>
            <w:r>
              <w:rPr>
                <w:spacing w:val="-4"/>
                <w:sz w:val="20"/>
              </w:rPr>
              <w:t>0.62</w:t>
            </w:r>
          </w:p>
        </w:tc>
        <w:tc>
          <w:tcPr>
            <w:tcW w:w="834" w:type="dxa"/>
          </w:tcPr>
          <w:p>
            <w:pPr>
              <w:pStyle w:val="TableParagraph"/>
              <w:spacing w:before="51"/>
              <w:ind w:left="238"/>
              <w:rPr>
                <w:sz w:val="20"/>
              </w:rPr>
            </w:pPr>
            <w:r>
              <w:rPr>
                <w:spacing w:val="-4"/>
                <w:sz w:val="20"/>
              </w:rPr>
              <w:t>0.17</w:t>
            </w:r>
          </w:p>
        </w:tc>
        <w:tc>
          <w:tcPr>
            <w:tcW w:w="837" w:type="dxa"/>
          </w:tcPr>
          <w:p>
            <w:pPr>
              <w:pStyle w:val="TableParagraph"/>
              <w:spacing w:before="51"/>
              <w:ind w:left="240"/>
              <w:rPr>
                <w:sz w:val="20"/>
              </w:rPr>
            </w:pPr>
            <w:r>
              <w:rPr>
                <w:spacing w:val="-4"/>
                <w:sz w:val="20"/>
              </w:rPr>
              <w:t>0.42</w:t>
            </w:r>
          </w:p>
        </w:tc>
        <w:tc>
          <w:tcPr>
            <w:tcW w:w="835" w:type="dxa"/>
          </w:tcPr>
          <w:p>
            <w:pPr>
              <w:pStyle w:val="TableParagraph"/>
              <w:spacing w:before="51"/>
              <w:ind w:left="238"/>
              <w:rPr>
                <w:sz w:val="20"/>
              </w:rPr>
            </w:pPr>
            <w:r>
              <w:rPr>
                <w:spacing w:val="-10"/>
                <w:sz w:val="20"/>
              </w:rPr>
              <w:t>-</w:t>
            </w:r>
          </w:p>
        </w:tc>
        <w:tc>
          <w:tcPr>
            <w:tcW w:w="1027" w:type="dxa"/>
          </w:tcPr>
          <w:p>
            <w:pPr>
              <w:pStyle w:val="TableParagraph"/>
              <w:rPr>
                <w:sz w:val="20"/>
              </w:rPr>
            </w:pPr>
          </w:p>
        </w:tc>
      </w:tr>
      <w:tr>
        <w:trPr>
          <w:trHeight w:val="357" w:hRule="atLeast"/>
        </w:trPr>
        <w:tc>
          <w:tcPr>
            <w:tcW w:w="1958" w:type="dxa"/>
            <w:tcBorders>
              <w:bottom w:val="single" w:sz="4" w:space="0" w:color="000000"/>
            </w:tcBorders>
          </w:tcPr>
          <w:p>
            <w:pPr>
              <w:pStyle w:val="TableParagraph"/>
              <w:spacing w:before="51"/>
              <w:ind w:left="120"/>
              <w:rPr>
                <w:sz w:val="20"/>
              </w:rPr>
            </w:pPr>
            <w:r>
              <w:rPr>
                <w:sz w:val="20"/>
              </w:rPr>
              <w:t>5-Ev</w:t>
            </w:r>
            <w:r>
              <w:rPr>
                <w:spacing w:val="-7"/>
                <w:sz w:val="20"/>
              </w:rPr>
              <w:t> </w:t>
            </w:r>
            <w:r>
              <w:rPr>
                <w:spacing w:val="-2"/>
                <w:sz w:val="20"/>
              </w:rPr>
              <w:t>Sahibi</w:t>
            </w:r>
          </w:p>
        </w:tc>
        <w:tc>
          <w:tcPr>
            <w:tcW w:w="875" w:type="dxa"/>
            <w:tcBorders>
              <w:bottom w:val="single" w:sz="4" w:space="0" w:color="000000"/>
            </w:tcBorders>
          </w:tcPr>
          <w:p>
            <w:pPr>
              <w:pStyle w:val="TableParagraph"/>
              <w:spacing w:before="51"/>
              <w:ind w:left="39" w:right="45"/>
              <w:jc w:val="center"/>
              <w:rPr>
                <w:sz w:val="20"/>
              </w:rPr>
            </w:pPr>
            <w:r>
              <w:rPr>
                <w:spacing w:val="-4"/>
                <w:sz w:val="20"/>
              </w:rPr>
              <w:t>0.54</w:t>
            </w:r>
          </w:p>
        </w:tc>
        <w:tc>
          <w:tcPr>
            <w:tcW w:w="811" w:type="dxa"/>
            <w:tcBorders>
              <w:bottom w:val="single" w:sz="4" w:space="0" w:color="000000"/>
            </w:tcBorders>
          </w:tcPr>
          <w:p>
            <w:pPr>
              <w:pStyle w:val="TableParagraph"/>
              <w:spacing w:before="51"/>
              <w:ind w:left="60" w:right="83"/>
              <w:jc w:val="center"/>
              <w:rPr>
                <w:sz w:val="20"/>
              </w:rPr>
            </w:pPr>
            <w:r>
              <w:rPr>
                <w:spacing w:val="-4"/>
                <w:sz w:val="20"/>
              </w:rPr>
              <w:t>0.70</w:t>
            </w:r>
          </w:p>
        </w:tc>
        <w:tc>
          <w:tcPr>
            <w:tcW w:w="880" w:type="dxa"/>
            <w:tcBorders>
              <w:bottom w:val="single" w:sz="4" w:space="0" w:color="000000"/>
            </w:tcBorders>
          </w:tcPr>
          <w:p>
            <w:pPr>
              <w:pStyle w:val="TableParagraph"/>
              <w:spacing w:before="51"/>
              <w:ind w:left="49" w:right="93"/>
              <w:jc w:val="center"/>
              <w:rPr>
                <w:sz w:val="20"/>
              </w:rPr>
            </w:pPr>
            <w:r>
              <w:rPr>
                <w:spacing w:val="-4"/>
                <w:sz w:val="20"/>
              </w:rPr>
              <w:t>0.41</w:t>
            </w:r>
          </w:p>
        </w:tc>
        <w:tc>
          <w:tcPr>
            <w:tcW w:w="811" w:type="dxa"/>
            <w:tcBorders>
              <w:bottom w:val="single" w:sz="4" w:space="0" w:color="000000"/>
            </w:tcBorders>
          </w:tcPr>
          <w:p>
            <w:pPr>
              <w:pStyle w:val="TableParagraph"/>
              <w:spacing w:before="51"/>
              <w:ind w:left="193"/>
              <w:rPr>
                <w:sz w:val="20"/>
              </w:rPr>
            </w:pPr>
            <w:r>
              <w:rPr>
                <w:spacing w:val="-4"/>
                <w:sz w:val="20"/>
              </w:rPr>
              <w:t>0.22</w:t>
            </w:r>
          </w:p>
        </w:tc>
        <w:tc>
          <w:tcPr>
            <w:tcW w:w="809" w:type="dxa"/>
            <w:tcBorders>
              <w:bottom w:val="single" w:sz="4" w:space="0" w:color="000000"/>
            </w:tcBorders>
          </w:tcPr>
          <w:p>
            <w:pPr>
              <w:pStyle w:val="TableParagraph"/>
              <w:spacing w:before="51"/>
              <w:ind w:left="217"/>
              <w:rPr>
                <w:sz w:val="20"/>
              </w:rPr>
            </w:pPr>
            <w:r>
              <w:rPr>
                <w:spacing w:val="-4"/>
                <w:sz w:val="20"/>
              </w:rPr>
              <w:t>0.41</w:t>
            </w:r>
          </w:p>
        </w:tc>
        <w:tc>
          <w:tcPr>
            <w:tcW w:w="834" w:type="dxa"/>
            <w:tcBorders>
              <w:bottom w:val="single" w:sz="4" w:space="0" w:color="000000"/>
            </w:tcBorders>
          </w:tcPr>
          <w:p>
            <w:pPr>
              <w:pStyle w:val="TableParagraph"/>
              <w:spacing w:before="51"/>
              <w:ind w:left="238"/>
              <w:rPr>
                <w:sz w:val="20"/>
              </w:rPr>
            </w:pPr>
            <w:r>
              <w:rPr>
                <w:spacing w:val="-4"/>
                <w:sz w:val="20"/>
              </w:rPr>
              <w:t>0.04</w:t>
            </w:r>
          </w:p>
        </w:tc>
        <w:tc>
          <w:tcPr>
            <w:tcW w:w="837" w:type="dxa"/>
            <w:tcBorders>
              <w:bottom w:val="single" w:sz="4" w:space="0" w:color="000000"/>
            </w:tcBorders>
          </w:tcPr>
          <w:p>
            <w:pPr>
              <w:pStyle w:val="TableParagraph"/>
              <w:spacing w:before="51"/>
              <w:ind w:left="240"/>
              <w:rPr>
                <w:sz w:val="20"/>
              </w:rPr>
            </w:pPr>
            <w:r>
              <w:rPr>
                <w:spacing w:val="-4"/>
                <w:sz w:val="20"/>
              </w:rPr>
              <w:t>0.21</w:t>
            </w:r>
          </w:p>
        </w:tc>
        <w:tc>
          <w:tcPr>
            <w:tcW w:w="835" w:type="dxa"/>
            <w:tcBorders>
              <w:bottom w:val="single" w:sz="4" w:space="0" w:color="000000"/>
            </w:tcBorders>
          </w:tcPr>
          <w:p>
            <w:pPr>
              <w:pStyle w:val="TableParagraph"/>
              <w:spacing w:before="51"/>
              <w:ind w:left="238"/>
              <w:rPr>
                <w:sz w:val="20"/>
              </w:rPr>
            </w:pPr>
            <w:r>
              <w:rPr>
                <w:spacing w:val="-4"/>
                <w:sz w:val="20"/>
              </w:rPr>
              <w:t>0.35</w:t>
            </w:r>
          </w:p>
        </w:tc>
        <w:tc>
          <w:tcPr>
            <w:tcW w:w="1027" w:type="dxa"/>
            <w:tcBorders>
              <w:bottom w:val="single" w:sz="4" w:space="0" w:color="000000"/>
            </w:tcBorders>
          </w:tcPr>
          <w:p>
            <w:pPr>
              <w:pStyle w:val="TableParagraph"/>
              <w:spacing w:before="51"/>
              <w:ind w:left="234"/>
              <w:rPr>
                <w:sz w:val="20"/>
              </w:rPr>
            </w:pPr>
            <w:r>
              <w:rPr>
                <w:spacing w:val="-10"/>
                <w:sz w:val="20"/>
              </w:rPr>
              <w:t>-</w:t>
            </w:r>
          </w:p>
        </w:tc>
      </w:tr>
    </w:tbl>
    <w:p>
      <w:pPr>
        <w:pStyle w:val="BodyText"/>
        <w:spacing w:before="141"/>
      </w:pPr>
    </w:p>
    <w:p>
      <w:pPr>
        <w:pStyle w:val="BodyText"/>
        <w:spacing w:line="360" w:lineRule="auto"/>
        <w:ind w:left="735" w:right="868" w:firstLine="710"/>
        <w:jc w:val="both"/>
      </w:pPr>
      <w:r>
        <w:rPr/>
        <w:t>Tablo 4 incelendiğinde birleşim ve benzeşim geçerliği için, AVE ve CR değerleri, ayrışım geçerliği için MSV ve ASV değerlerine bakılmıştır. Benzeşim geçerliği kapsamında AVE değerlerinin .52 ile .65 ve birleşim geçerliği CR değerlerinin .70 ile .85 arasında değiştiği görülmektedir. Elde edilen veriler sonucunda benzeşim/birleşim geçerliğini sağlamanın koşulu olan CR</w:t>
      </w:r>
      <w:r>
        <w:rPr>
          <w:spacing w:val="33"/>
        </w:rPr>
        <w:t> </w:t>
      </w:r>
      <w:r>
        <w:rPr/>
        <w:t>katsayılarının</w:t>
      </w:r>
      <w:r>
        <w:rPr>
          <w:spacing w:val="33"/>
        </w:rPr>
        <w:t> </w:t>
      </w:r>
      <w:r>
        <w:rPr/>
        <w:t>AVE</w:t>
      </w:r>
      <w:r>
        <w:rPr>
          <w:spacing w:val="32"/>
        </w:rPr>
        <w:t> </w:t>
      </w:r>
      <w:r>
        <w:rPr/>
        <w:t>değerlerinden</w:t>
      </w:r>
      <w:r>
        <w:rPr>
          <w:spacing w:val="33"/>
        </w:rPr>
        <w:t> </w:t>
      </w:r>
      <w:r>
        <w:rPr/>
        <w:t>büyük</w:t>
      </w:r>
      <w:r>
        <w:rPr>
          <w:spacing w:val="33"/>
        </w:rPr>
        <w:t> </w:t>
      </w:r>
      <w:r>
        <w:rPr/>
        <w:t>olması</w:t>
      </w:r>
      <w:r>
        <w:rPr>
          <w:spacing w:val="32"/>
        </w:rPr>
        <w:t> </w:t>
      </w:r>
      <w:r>
        <w:rPr/>
        <w:t>ve</w:t>
      </w:r>
      <w:r>
        <w:rPr>
          <w:spacing w:val="32"/>
        </w:rPr>
        <w:t> </w:t>
      </w:r>
      <w:r>
        <w:rPr/>
        <w:t>AVE</w:t>
      </w:r>
      <w:r>
        <w:rPr>
          <w:spacing w:val="32"/>
        </w:rPr>
        <w:t> </w:t>
      </w:r>
      <w:r>
        <w:rPr/>
        <w:t>değerinin</w:t>
      </w:r>
      <w:r>
        <w:rPr>
          <w:spacing w:val="38"/>
        </w:rPr>
        <w:t> </w:t>
      </w:r>
      <w:r>
        <w:rPr/>
        <w:t>.50’den</w:t>
      </w:r>
      <w:r>
        <w:rPr>
          <w:spacing w:val="33"/>
        </w:rPr>
        <w:t> </w:t>
      </w:r>
      <w:r>
        <w:rPr/>
        <w:t>büyük</w:t>
      </w:r>
      <w:r>
        <w:rPr>
          <w:spacing w:val="33"/>
        </w:rPr>
        <w:t> </w:t>
      </w:r>
      <w:r>
        <w:rPr/>
        <w:t>olmasının</w:t>
      </w:r>
    </w:p>
    <w:p>
      <w:pPr>
        <w:spacing w:after="0" w:line="360" w:lineRule="auto"/>
        <w:jc w:val="both"/>
        <w:sectPr>
          <w:pgSz w:w="11910" w:h="16840"/>
          <w:pgMar w:header="442" w:footer="532" w:top="780" w:bottom="720" w:left="400" w:right="260"/>
        </w:sectPr>
      </w:pPr>
    </w:p>
    <w:p>
      <w:pPr>
        <w:pStyle w:val="BodyText"/>
        <w:spacing w:before="60"/>
      </w:pPr>
    </w:p>
    <w:p>
      <w:pPr>
        <w:pStyle w:val="BodyText"/>
        <w:spacing w:line="360" w:lineRule="auto" w:before="1"/>
        <w:ind w:left="735" w:right="867"/>
        <w:jc w:val="both"/>
      </w:pPr>
      <w:r>
        <w:rPr/>
        <w:t>sağlandığı görülmüştür. Bunun yanında ayrışım geçerliğini sağlamanın koşulu olan MSV değerlerinin, AVE değerlerinden küçük olması şartını sadece “hizmet” ve “kulüp yönetimi” alt boyutları için sağlamadığı belirlenmiştir. Ayrışım geçerliği için diğer bir parametre olan ASV değerlerinin, MSV değerlerinden küçük olması şartının sağlandığı belirlenmiştir.</w:t>
      </w:r>
    </w:p>
    <w:p>
      <w:pPr>
        <w:pStyle w:val="BodyText"/>
        <w:spacing w:before="239"/>
        <w:ind w:left="735"/>
      </w:pPr>
      <w:r>
        <w:rPr/>
        <w:t>Tablo</w:t>
      </w:r>
      <w:r>
        <w:rPr>
          <w:spacing w:val="-6"/>
        </w:rPr>
        <w:t> </w:t>
      </w:r>
      <w:r>
        <w:rPr>
          <w:spacing w:val="-10"/>
        </w:rPr>
        <w:t>5</w:t>
      </w:r>
    </w:p>
    <w:p>
      <w:pPr>
        <w:pStyle w:val="BodyText"/>
        <w:tabs>
          <w:tab w:pos="10364" w:val="left" w:leader="none"/>
        </w:tabs>
        <w:spacing w:before="139"/>
        <w:ind w:left="735"/>
      </w:pPr>
      <w:r>
        <w:rPr>
          <w:u w:val="single"/>
        </w:rPr>
        <w:t>SBSMÖ</w:t>
      </w:r>
      <w:r>
        <w:rPr>
          <w:spacing w:val="-4"/>
          <w:u w:val="single"/>
        </w:rPr>
        <w:t> </w:t>
      </w:r>
      <w:r>
        <w:rPr>
          <w:u w:val="single"/>
        </w:rPr>
        <w:t>Cronbach’s</w:t>
      </w:r>
      <w:r>
        <w:rPr>
          <w:spacing w:val="-1"/>
          <w:u w:val="single"/>
        </w:rPr>
        <w:t> </w:t>
      </w:r>
      <w:r>
        <w:rPr>
          <w:u w:val="single"/>
        </w:rPr>
        <w:t>Alpha</w:t>
      </w:r>
      <w:r>
        <w:rPr>
          <w:spacing w:val="-4"/>
          <w:u w:val="single"/>
        </w:rPr>
        <w:t> </w:t>
      </w:r>
      <w:r>
        <w:rPr>
          <w:u w:val="single"/>
        </w:rPr>
        <w:t>ve</w:t>
      </w:r>
      <w:r>
        <w:rPr>
          <w:spacing w:val="-4"/>
          <w:u w:val="single"/>
        </w:rPr>
        <w:t> </w:t>
      </w:r>
      <w:r>
        <w:rPr>
          <w:u w:val="single"/>
        </w:rPr>
        <w:t>Spearman</w:t>
      </w:r>
      <w:r>
        <w:rPr>
          <w:spacing w:val="-2"/>
          <w:u w:val="single"/>
        </w:rPr>
        <w:t> </w:t>
      </w:r>
      <w:r>
        <w:rPr>
          <w:u w:val="single"/>
        </w:rPr>
        <w:t>Brown</w:t>
      </w:r>
      <w:r>
        <w:rPr>
          <w:spacing w:val="-2"/>
          <w:u w:val="single"/>
        </w:rPr>
        <w:t> </w:t>
      </w:r>
      <w:r>
        <w:rPr>
          <w:u w:val="single"/>
        </w:rPr>
        <w:t>Katsayısı</w:t>
      </w:r>
      <w:r>
        <w:rPr>
          <w:spacing w:val="-4"/>
          <w:u w:val="single"/>
        </w:rPr>
        <w:t> </w:t>
      </w:r>
      <w:r>
        <w:rPr>
          <w:u w:val="single"/>
        </w:rPr>
        <w:t>(Eş</w:t>
      </w:r>
      <w:r>
        <w:rPr>
          <w:spacing w:val="-1"/>
          <w:u w:val="single"/>
        </w:rPr>
        <w:t> </w:t>
      </w:r>
      <w:r>
        <w:rPr>
          <w:u w:val="single"/>
        </w:rPr>
        <w:t>Değer</w:t>
      </w:r>
      <w:r>
        <w:rPr>
          <w:spacing w:val="-2"/>
          <w:u w:val="single"/>
        </w:rPr>
        <w:t> </w:t>
      </w:r>
      <w:r>
        <w:rPr>
          <w:u w:val="single"/>
        </w:rPr>
        <w:t>Yarılar)</w:t>
      </w:r>
      <w:r>
        <w:rPr>
          <w:spacing w:val="-2"/>
          <w:u w:val="single"/>
        </w:rPr>
        <w:t> Değerleri</w:t>
      </w:r>
      <w:r>
        <w:rPr>
          <w:u w:val="single"/>
        </w:rPr>
        <w:tab/>
      </w:r>
    </w:p>
    <w:p>
      <w:pPr>
        <w:pStyle w:val="BodyText"/>
        <w:spacing w:before="1" w:after="1"/>
        <w:rPr>
          <w:sz w:val="9"/>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3"/>
        <w:gridCol w:w="2107"/>
        <w:gridCol w:w="2173"/>
        <w:gridCol w:w="2867"/>
      </w:tblGrid>
      <w:tr>
        <w:trPr>
          <w:trHeight w:val="313" w:hRule="atLeast"/>
        </w:trPr>
        <w:tc>
          <w:tcPr>
            <w:tcW w:w="2483" w:type="dxa"/>
            <w:tcBorders>
              <w:bottom w:val="single" w:sz="4" w:space="0" w:color="000000"/>
            </w:tcBorders>
          </w:tcPr>
          <w:p>
            <w:pPr>
              <w:pStyle w:val="TableParagraph"/>
              <w:spacing w:line="221" w:lineRule="exact"/>
              <w:ind w:left="1020"/>
              <w:rPr>
                <w:b/>
                <w:sz w:val="20"/>
              </w:rPr>
            </w:pPr>
            <w:r>
              <w:rPr>
                <w:b/>
                <w:spacing w:val="-2"/>
                <w:sz w:val="20"/>
              </w:rPr>
              <w:t>Faktörler</w:t>
            </w:r>
          </w:p>
        </w:tc>
        <w:tc>
          <w:tcPr>
            <w:tcW w:w="2107" w:type="dxa"/>
            <w:tcBorders>
              <w:bottom w:val="single" w:sz="4" w:space="0" w:color="000000"/>
            </w:tcBorders>
          </w:tcPr>
          <w:p>
            <w:pPr>
              <w:pStyle w:val="TableParagraph"/>
              <w:spacing w:line="221" w:lineRule="exact"/>
              <w:ind w:left="330"/>
              <w:jc w:val="center"/>
              <w:rPr>
                <w:b/>
                <w:sz w:val="20"/>
              </w:rPr>
            </w:pPr>
            <w:r>
              <w:rPr>
                <w:b/>
                <w:sz w:val="20"/>
              </w:rPr>
              <w:t>Madde</w:t>
            </w:r>
            <w:r>
              <w:rPr>
                <w:b/>
                <w:spacing w:val="-3"/>
                <w:sz w:val="20"/>
              </w:rPr>
              <w:t> </w:t>
            </w:r>
            <w:r>
              <w:rPr>
                <w:b/>
                <w:spacing w:val="-2"/>
                <w:sz w:val="20"/>
              </w:rPr>
              <w:t>Sayısı</w:t>
            </w:r>
          </w:p>
        </w:tc>
        <w:tc>
          <w:tcPr>
            <w:tcW w:w="2173" w:type="dxa"/>
            <w:tcBorders>
              <w:bottom w:val="single" w:sz="4" w:space="0" w:color="000000"/>
            </w:tcBorders>
          </w:tcPr>
          <w:p>
            <w:pPr>
              <w:pStyle w:val="TableParagraph"/>
              <w:spacing w:line="221" w:lineRule="exact"/>
              <w:ind w:left="32" w:right="12"/>
              <w:jc w:val="center"/>
              <w:rPr>
                <w:b/>
                <w:sz w:val="20"/>
              </w:rPr>
            </w:pPr>
            <w:r>
              <w:rPr>
                <w:b/>
                <w:sz w:val="20"/>
              </w:rPr>
              <w:t>Cronbach’s</w:t>
            </w:r>
            <w:r>
              <w:rPr>
                <w:b/>
                <w:spacing w:val="-8"/>
                <w:sz w:val="20"/>
              </w:rPr>
              <w:t> </w:t>
            </w:r>
            <w:r>
              <w:rPr>
                <w:b/>
                <w:spacing w:val="-2"/>
                <w:sz w:val="20"/>
              </w:rPr>
              <w:t>Alpha</w:t>
            </w:r>
          </w:p>
        </w:tc>
        <w:tc>
          <w:tcPr>
            <w:tcW w:w="2867" w:type="dxa"/>
            <w:tcBorders>
              <w:bottom w:val="single" w:sz="4" w:space="0" w:color="000000"/>
            </w:tcBorders>
          </w:tcPr>
          <w:p>
            <w:pPr>
              <w:pStyle w:val="TableParagraph"/>
              <w:spacing w:line="221" w:lineRule="exact"/>
              <w:ind w:left="64" w:right="3"/>
              <w:jc w:val="center"/>
              <w:rPr>
                <w:b/>
                <w:sz w:val="20"/>
              </w:rPr>
            </w:pPr>
            <w:r>
              <w:rPr>
                <w:b/>
                <w:sz w:val="20"/>
              </w:rPr>
              <w:t>Spearman</w:t>
            </w:r>
            <w:r>
              <w:rPr>
                <w:b/>
                <w:spacing w:val="-2"/>
                <w:sz w:val="20"/>
              </w:rPr>
              <w:t> </w:t>
            </w:r>
            <w:r>
              <w:rPr>
                <w:b/>
                <w:sz w:val="20"/>
              </w:rPr>
              <w:t>Brown</w:t>
            </w:r>
            <w:r>
              <w:rPr>
                <w:b/>
                <w:spacing w:val="-1"/>
                <w:sz w:val="20"/>
              </w:rPr>
              <w:t> </w:t>
            </w:r>
            <w:r>
              <w:rPr>
                <w:b/>
                <w:spacing w:val="-2"/>
                <w:sz w:val="20"/>
              </w:rPr>
              <w:t>Katsayısı</w:t>
            </w:r>
          </w:p>
        </w:tc>
      </w:tr>
      <w:tr>
        <w:trPr>
          <w:trHeight w:val="255" w:hRule="atLeast"/>
        </w:trPr>
        <w:tc>
          <w:tcPr>
            <w:tcW w:w="2483" w:type="dxa"/>
            <w:tcBorders>
              <w:top w:val="single" w:sz="4" w:space="0" w:color="000000"/>
            </w:tcBorders>
          </w:tcPr>
          <w:p>
            <w:pPr>
              <w:pStyle w:val="TableParagraph"/>
              <w:spacing w:line="229" w:lineRule="exact"/>
              <w:ind w:left="120"/>
              <w:rPr>
                <w:sz w:val="20"/>
              </w:rPr>
            </w:pPr>
            <w:r>
              <w:rPr>
                <w:sz w:val="20"/>
              </w:rPr>
              <w:t>1-</w:t>
            </w:r>
            <w:r>
              <w:rPr>
                <w:spacing w:val="-2"/>
                <w:sz w:val="20"/>
              </w:rPr>
              <w:t> Hizmet</w:t>
            </w:r>
          </w:p>
        </w:tc>
        <w:tc>
          <w:tcPr>
            <w:tcW w:w="2107" w:type="dxa"/>
            <w:tcBorders>
              <w:top w:val="single" w:sz="4" w:space="0" w:color="000000"/>
            </w:tcBorders>
          </w:tcPr>
          <w:p>
            <w:pPr>
              <w:pStyle w:val="TableParagraph"/>
              <w:spacing w:line="222" w:lineRule="exact" w:before="14"/>
              <w:ind w:left="330"/>
              <w:jc w:val="center"/>
              <w:rPr>
                <w:sz w:val="20"/>
              </w:rPr>
            </w:pPr>
            <w:r>
              <w:rPr>
                <w:spacing w:val="-10"/>
                <w:sz w:val="20"/>
              </w:rPr>
              <w:t>3</w:t>
            </w:r>
          </w:p>
        </w:tc>
        <w:tc>
          <w:tcPr>
            <w:tcW w:w="2173" w:type="dxa"/>
            <w:tcBorders>
              <w:top w:val="single" w:sz="4" w:space="0" w:color="000000"/>
            </w:tcBorders>
          </w:tcPr>
          <w:p>
            <w:pPr>
              <w:pStyle w:val="TableParagraph"/>
              <w:spacing w:line="222" w:lineRule="exact" w:before="14"/>
              <w:ind w:left="32"/>
              <w:jc w:val="center"/>
              <w:rPr>
                <w:sz w:val="20"/>
              </w:rPr>
            </w:pPr>
            <w:r>
              <w:rPr>
                <w:spacing w:val="-4"/>
                <w:sz w:val="20"/>
              </w:rPr>
              <w:t>.849</w:t>
            </w:r>
          </w:p>
        </w:tc>
        <w:tc>
          <w:tcPr>
            <w:tcW w:w="2867" w:type="dxa"/>
            <w:tcBorders>
              <w:top w:val="single" w:sz="4" w:space="0" w:color="000000"/>
            </w:tcBorders>
          </w:tcPr>
          <w:p>
            <w:pPr>
              <w:pStyle w:val="TableParagraph"/>
              <w:rPr>
                <w:sz w:val="18"/>
              </w:rPr>
            </w:pPr>
          </w:p>
        </w:tc>
      </w:tr>
      <w:tr>
        <w:trPr>
          <w:trHeight w:val="260" w:hRule="atLeast"/>
        </w:trPr>
        <w:tc>
          <w:tcPr>
            <w:tcW w:w="2483" w:type="dxa"/>
          </w:tcPr>
          <w:p>
            <w:pPr>
              <w:pStyle w:val="TableParagraph"/>
              <w:spacing w:before="3"/>
              <w:ind w:left="120"/>
              <w:rPr>
                <w:sz w:val="20"/>
              </w:rPr>
            </w:pPr>
            <w:r>
              <w:rPr>
                <w:sz w:val="20"/>
              </w:rPr>
              <w:t>2-</w:t>
            </w:r>
            <w:r>
              <w:rPr>
                <w:spacing w:val="-3"/>
                <w:sz w:val="20"/>
              </w:rPr>
              <w:t> </w:t>
            </w:r>
            <w:r>
              <w:rPr>
                <w:sz w:val="20"/>
              </w:rPr>
              <w:t>Saha</w:t>
            </w:r>
            <w:r>
              <w:rPr>
                <w:spacing w:val="1"/>
                <w:sz w:val="20"/>
              </w:rPr>
              <w:t> </w:t>
            </w:r>
            <w:r>
              <w:rPr>
                <w:spacing w:val="-2"/>
                <w:sz w:val="20"/>
              </w:rPr>
              <w:t>Performansı</w:t>
            </w:r>
          </w:p>
        </w:tc>
        <w:tc>
          <w:tcPr>
            <w:tcW w:w="2107" w:type="dxa"/>
          </w:tcPr>
          <w:p>
            <w:pPr>
              <w:pStyle w:val="TableParagraph"/>
              <w:spacing w:line="222" w:lineRule="exact" w:before="18"/>
              <w:ind w:left="330"/>
              <w:jc w:val="center"/>
              <w:rPr>
                <w:sz w:val="20"/>
              </w:rPr>
            </w:pPr>
            <w:r>
              <w:rPr>
                <w:spacing w:val="-10"/>
                <w:sz w:val="20"/>
              </w:rPr>
              <w:t>3</w:t>
            </w:r>
          </w:p>
        </w:tc>
        <w:tc>
          <w:tcPr>
            <w:tcW w:w="2173" w:type="dxa"/>
          </w:tcPr>
          <w:p>
            <w:pPr>
              <w:pStyle w:val="TableParagraph"/>
              <w:spacing w:line="222" w:lineRule="exact" w:before="18"/>
              <w:ind w:left="32"/>
              <w:jc w:val="center"/>
              <w:rPr>
                <w:sz w:val="20"/>
              </w:rPr>
            </w:pPr>
            <w:r>
              <w:rPr>
                <w:spacing w:val="-4"/>
                <w:sz w:val="20"/>
              </w:rPr>
              <w:t>.756</w:t>
            </w:r>
          </w:p>
        </w:tc>
        <w:tc>
          <w:tcPr>
            <w:tcW w:w="2867" w:type="dxa"/>
          </w:tcPr>
          <w:p>
            <w:pPr>
              <w:pStyle w:val="TableParagraph"/>
              <w:rPr>
                <w:sz w:val="18"/>
              </w:rPr>
            </w:pPr>
          </w:p>
        </w:tc>
      </w:tr>
      <w:tr>
        <w:trPr>
          <w:trHeight w:val="260" w:hRule="atLeast"/>
        </w:trPr>
        <w:tc>
          <w:tcPr>
            <w:tcW w:w="2483" w:type="dxa"/>
          </w:tcPr>
          <w:p>
            <w:pPr>
              <w:pStyle w:val="TableParagraph"/>
              <w:spacing w:before="3"/>
              <w:ind w:left="120"/>
              <w:rPr>
                <w:sz w:val="20"/>
              </w:rPr>
            </w:pPr>
            <w:r>
              <w:rPr>
                <w:sz w:val="20"/>
              </w:rPr>
              <w:t>3-</w:t>
            </w:r>
            <w:r>
              <w:rPr>
                <w:spacing w:val="-2"/>
                <w:sz w:val="20"/>
              </w:rPr>
              <w:t> </w:t>
            </w:r>
            <w:r>
              <w:rPr>
                <w:sz w:val="20"/>
              </w:rPr>
              <w:t>Kişisel </w:t>
            </w:r>
            <w:r>
              <w:rPr>
                <w:spacing w:val="-2"/>
                <w:sz w:val="20"/>
              </w:rPr>
              <w:t>Katılım</w:t>
            </w:r>
          </w:p>
        </w:tc>
        <w:tc>
          <w:tcPr>
            <w:tcW w:w="2107" w:type="dxa"/>
          </w:tcPr>
          <w:p>
            <w:pPr>
              <w:pStyle w:val="TableParagraph"/>
              <w:spacing w:line="222" w:lineRule="exact" w:before="18"/>
              <w:ind w:left="330"/>
              <w:jc w:val="center"/>
              <w:rPr>
                <w:sz w:val="20"/>
              </w:rPr>
            </w:pPr>
            <w:r>
              <w:rPr>
                <w:spacing w:val="-10"/>
                <w:sz w:val="20"/>
              </w:rPr>
              <w:t>5</w:t>
            </w:r>
          </w:p>
        </w:tc>
        <w:tc>
          <w:tcPr>
            <w:tcW w:w="2173" w:type="dxa"/>
          </w:tcPr>
          <w:p>
            <w:pPr>
              <w:pStyle w:val="TableParagraph"/>
              <w:spacing w:line="222" w:lineRule="exact" w:before="18"/>
              <w:ind w:left="32"/>
              <w:jc w:val="center"/>
              <w:rPr>
                <w:sz w:val="20"/>
              </w:rPr>
            </w:pPr>
            <w:r>
              <w:rPr>
                <w:spacing w:val="-4"/>
                <w:sz w:val="20"/>
              </w:rPr>
              <w:t>.836</w:t>
            </w:r>
          </w:p>
        </w:tc>
        <w:tc>
          <w:tcPr>
            <w:tcW w:w="2867" w:type="dxa"/>
          </w:tcPr>
          <w:p>
            <w:pPr>
              <w:pStyle w:val="TableParagraph"/>
              <w:spacing w:line="222" w:lineRule="exact" w:before="18"/>
              <w:ind w:left="64"/>
              <w:jc w:val="center"/>
              <w:rPr>
                <w:sz w:val="20"/>
              </w:rPr>
            </w:pPr>
            <w:r>
              <w:rPr>
                <w:spacing w:val="-4"/>
                <w:sz w:val="20"/>
              </w:rPr>
              <w:t>.917</w:t>
            </w:r>
          </w:p>
        </w:tc>
      </w:tr>
      <w:tr>
        <w:trPr>
          <w:trHeight w:val="254" w:hRule="atLeast"/>
        </w:trPr>
        <w:tc>
          <w:tcPr>
            <w:tcW w:w="2483" w:type="dxa"/>
          </w:tcPr>
          <w:p>
            <w:pPr>
              <w:pStyle w:val="TableParagraph"/>
              <w:spacing w:before="3"/>
              <w:ind w:left="120"/>
              <w:rPr>
                <w:sz w:val="20"/>
              </w:rPr>
            </w:pPr>
            <w:r>
              <w:rPr>
                <w:sz w:val="20"/>
              </w:rPr>
              <w:t>4-</w:t>
            </w:r>
            <w:r>
              <w:rPr>
                <w:spacing w:val="-3"/>
                <w:sz w:val="20"/>
              </w:rPr>
              <w:t> </w:t>
            </w:r>
            <w:r>
              <w:rPr>
                <w:sz w:val="20"/>
              </w:rPr>
              <w:t>Kulüp </w:t>
            </w:r>
            <w:r>
              <w:rPr>
                <w:spacing w:val="-2"/>
                <w:sz w:val="20"/>
              </w:rPr>
              <w:t>Yönetimi</w:t>
            </w:r>
          </w:p>
        </w:tc>
        <w:tc>
          <w:tcPr>
            <w:tcW w:w="2107" w:type="dxa"/>
          </w:tcPr>
          <w:p>
            <w:pPr>
              <w:pStyle w:val="TableParagraph"/>
              <w:spacing w:line="222" w:lineRule="exact" w:before="13"/>
              <w:ind w:left="330"/>
              <w:jc w:val="center"/>
              <w:rPr>
                <w:sz w:val="20"/>
              </w:rPr>
            </w:pPr>
            <w:r>
              <w:rPr>
                <w:spacing w:val="-10"/>
                <w:sz w:val="20"/>
              </w:rPr>
              <w:t>3</w:t>
            </w:r>
          </w:p>
        </w:tc>
        <w:tc>
          <w:tcPr>
            <w:tcW w:w="2173" w:type="dxa"/>
          </w:tcPr>
          <w:p>
            <w:pPr>
              <w:pStyle w:val="TableParagraph"/>
              <w:spacing w:line="222" w:lineRule="exact" w:before="13"/>
              <w:ind w:left="32"/>
              <w:jc w:val="center"/>
              <w:rPr>
                <w:sz w:val="20"/>
              </w:rPr>
            </w:pPr>
            <w:r>
              <w:rPr>
                <w:spacing w:val="-4"/>
                <w:sz w:val="20"/>
              </w:rPr>
              <w:t>.809</w:t>
            </w:r>
          </w:p>
        </w:tc>
        <w:tc>
          <w:tcPr>
            <w:tcW w:w="2867" w:type="dxa"/>
          </w:tcPr>
          <w:p>
            <w:pPr>
              <w:pStyle w:val="TableParagraph"/>
              <w:rPr>
                <w:sz w:val="18"/>
              </w:rPr>
            </w:pPr>
          </w:p>
        </w:tc>
      </w:tr>
      <w:tr>
        <w:trPr>
          <w:trHeight w:val="260" w:hRule="atLeast"/>
        </w:trPr>
        <w:tc>
          <w:tcPr>
            <w:tcW w:w="2483" w:type="dxa"/>
          </w:tcPr>
          <w:p>
            <w:pPr>
              <w:pStyle w:val="TableParagraph"/>
              <w:spacing w:before="3"/>
              <w:ind w:left="120"/>
              <w:rPr>
                <w:sz w:val="20"/>
              </w:rPr>
            </w:pPr>
            <w:r>
              <w:rPr>
                <w:sz w:val="20"/>
              </w:rPr>
              <w:t>5-</w:t>
            </w:r>
            <w:r>
              <w:rPr>
                <w:spacing w:val="-6"/>
                <w:sz w:val="20"/>
              </w:rPr>
              <w:t> </w:t>
            </w:r>
            <w:r>
              <w:rPr>
                <w:sz w:val="20"/>
              </w:rPr>
              <w:t>Ev</w:t>
            </w:r>
            <w:r>
              <w:rPr>
                <w:spacing w:val="-1"/>
                <w:sz w:val="20"/>
              </w:rPr>
              <w:t> </w:t>
            </w:r>
            <w:r>
              <w:rPr>
                <w:spacing w:val="-2"/>
                <w:sz w:val="20"/>
              </w:rPr>
              <w:t>Sahibi</w:t>
            </w:r>
          </w:p>
        </w:tc>
        <w:tc>
          <w:tcPr>
            <w:tcW w:w="2107" w:type="dxa"/>
          </w:tcPr>
          <w:p>
            <w:pPr>
              <w:pStyle w:val="TableParagraph"/>
              <w:spacing w:line="222" w:lineRule="exact" w:before="18"/>
              <w:ind w:left="330"/>
              <w:jc w:val="center"/>
              <w:rPr>
                <w:sz w:val="20"/>
              </w:rPr>
            </w:pPr>
            <w:r>
              <w:rPr>
                <w:spacing w:val="-10"/>
                <w:sz w:val="20"/>
              </w:rPr>
              <w:t>2</w:t>
            </w:r>
          </w:p>
        </w:tc>
        <w:tc>
          <w:tcPr>
            <w:tcW w:w="2173" w:type="dxa"/>
          </w:tcPr>
          <w:p>
            <w:pPr>
              <w:pStyle w:val="TableParagraph"/>
              <w:spacing w:line="222" w:lineRule="exact" w:before="18"/>
              <w:ind w:left="32"/>
              <w:jc w:val="center"/>
              <w:rPr>
                <w:sz w:val="20"/>
              </w:rPr>
            </w:pPr>
            <w:r>
              <w:rPr>
                <w:spacing w:val="-4"/>
                <w:sz w:val="20"/>
              </w:rPr>
              <w:t>.685</w:t>
            </w:r>
          </w:p>
        </w:tc>
        <w:tc>
          <w:tcPr>
            <w:tcW w:w="2867" w:type="dxa"/>
          </w:tcPr>
          <w:p>
            <w:pPr>
              <w:pStyle w:val="TableParagraph"/>
              <w:rPr>
                <w:sz w:val="18"/>
              </w:rPr>
            </w:pPr>
          </w:p>
        </w:tc>
      </w:tr>
      <w:tr>
        <w:trPr>
          <w:trHeight w:val="264" w:hRule="atLeast"/>
        </w:trPr>
        <w:tc>
          <w:tcPr>
            <w:tcW w:w="2483" w:type="dxa"/>
            <w:tcBorders>
              <w:bottom w:val="single" w:sz="4" w:space="0" w:color="000000"/>
            </w:tcBorders>
          </w:tcPr>
          <w:p>
            <w:pPr>
              <w:pStyle w:val="TableParagraph"/>
              <w:spacing w:before="3"/>
              <w:ind w:left="120"/>
              <w:rPr>
                <w:sz w:val="20"/>
              </w:rPr>
            </w:pPr>
            <w:r>
              <w:rPr>
                <w:spacing w:val="-2"/>
                <w:sz w:val="20"/>
              </w:rPr>
              <w:t>Toplam</w:t>
            </w:r>
          </w:p>
        </w:tc>
        <w:tc>
          <w:tcPr>
            <w:tcW w:w="2107" w:type="dxa"/>
            <w:tcBorders>
              <w:bottom w:val="single" w:sz="4" w:space="0" w:color="000000"/>
            </w:tcBorders>
          </w:tcPr>
          <w:p>
            <w:pPr>
              <w:pStyle w:val="TableParagraph"/>
              <w:rPr>
                <w:sz w:val="18"/>
              </w:rPr>
            </w:pPr>
          </w:p>
        </w:tc>
        <w:tc>
          <w:tcPr>
            <w:tcW w:w="2173" w:type="dxa"/>
            <w:tcBorders>
              <w:bottom w:val="single" w:sz="4" w:space="0" w:color="000000"/>
            </w:tcBorders>
          </w:tcPr>
          <w:p>
            <w:pPr>
              <w:pStyle w:val="TableParagraph"/>
              <w:spacing w:line="227" w:lineRule="exact" w:before="18"/>
              <w:ind w:left="32"/>
              <w:jc w:val="center"/>
              <w:rPr>
                <w:sz w:val="20"/>
              </w:rPr>
            </w:pPr>
            <w:r>
              <w:rPr>
                <w:spacing w:val="-4"/>
                <w:sz w:val="20"/>
              </w:rPr>
              <w:t>.874</w:t>
            </w:r>
          </w:p>
        </w:tc>
        <w:tc>
          <w:tcPr>
            <w:tcW w:w="2867" w:type="dxa"/>
            <w:tcBorders>
              <w:bottom w:val="single" w:sz="4" w:space="0" w:color="000000"/>
            </w:tcBorders>
          </w:tcPr>
          <w:p>
            <w:pPr>
              <w:pStyle w:val="TableParagraph"/>
              <w:rPr>
                <w:sz w:val="18"/>
              </w:rPr>
            </w:pPr>
          </w:p>
        </w:tc>
      </w:tr>
    </w:tbl>
    <w:p>
      <w:pPr>
        <w:pStyle w:val="BodyText"/>
        <w:spacing w:before="148"/>
      </w:pPr>
    </w:p>
    <w:p>
      <w:pPr>
        <w:pStyle w:val="BodyText"/>
        <w:spacing w:line="360" w:lineRule="auto"/>
        <w:ind w:left="735" w:right="866" w:firstLine="710"/>
        <w:jc w:val="both"/>
      </w:pPr>
      <w:r>
        <w:rPr/>
        <w:t>Tablo 5 incelendiğinde SBSMÖ alt boyutlarının Cronbach’s Alpha katsayıları .68 ile .85 arasında</w:t>
      </w:r>
      <w:r>
        <w:rPr>
          <w:spacing w:val="-9"/>
        </w:rPr>
        <w:t> </w:t>
      </w:r>
      <w:r>
        <w:rPr/>
        <w:t>değiştiği</w:t>
      </w:r>
      <w:r>
        <w:rPr>
          <w:spacing w:val="-9"/>
        </w:rPr>
        <w:t> </w:t>
      </w:r>
      <w:r>
        <w:rPr/>
        <w:t>görülmektedir.</w:t>
      </w:r>
      <w:r>
        <w:rPr>
          <w:spacing w:val="-7"/>
        </w:rPr>
        <w:t> </w:t>
      </w:r>
      <w:r>
        <w:rPr/>
        <w:t>Cronbach</w:t>
      </w:r>
      <w:r>
        <w:rPr>
          <w:spacing w:val="-8"/>
        </w:rPr>
        <w:t> </w:t>
      </w:r>
      <w:r>
        <w:rPr/>
        <w:t>Alfa</w:t>
      </w:r>
      <w:r>
        <w:rPr>
          <w:spacing w:val="-9"/>
        </w:rPr>
        <w:t> </w:t>
      </w:r>
      <w:r>
        <w:rPr/>
        <w:t>katsayılarının,</w:t>
      </w:r>
      <w:r>
        <w:rPr>
          <w:spacing w:val="-8"/>
        </w:rPr>
        <w:t> </w:t>
      </w:r>
      <w:r>
        <w:rPr/>
        <w:t>.80</w:t>
      </w:r>
      <w:r>
        <w:rPr>
          <w:spacing w:val="-8"/>
        </w:rPr>
        <w:t> </w:t>
      </w:r>
      <w:r>
        <w:rPr/>
        <w:t>ile</w:t>
      </w:r>
      <w:r>
        <w:rPr>
          <w:spacing w:val="-9"/>
        </w:rPr>
        <w:t> </w:t>
      </w:r>
      <w:r>
        <w:rPr/>
        <w:t>.60</w:t>
      </w:r>
      <w:r>
        <w:rPr>
          <w:spacing w:val="-8"/>
        </w:rPr>
        <w:t> </w:t>
      </w:r>
      <w:r>
        <w:rPr/>
        <w:t>arasında</w:t>
      </w:r>
      <w:r>
        <w:rPr>
          <w:spacing w:val="-9"/>
        </w:rPr>
        <w:t> </w:t>
      </w:r>
      <w:r>
        <w:rPr/>
        <w:t>oldukça</w:t>
      </w:r>
      <w:r>
        <w:rPr>
          <w:spacing w:val="-9"/>
        </w:rPr>
        <w:t> </w:t>
      </w:r>
      <w:r>
        <w:rPr/>
        <w:t>güvenilir olduğunu belirtmektedir (Gürbüz, 2021).</w:t>
      </w:r>
      <w:r>
        <w:rPr>
          <w:spacing w:val="40"/>
        </w:rPr>
        <w:t> </w:t>
      </w:r>
      <w:r>
        <w:rPr/>
        <w:t>Elde edilen değerler iyi düzeyde ve güvenilir olarak yorumlanabilir</w:t>
      </w:r>
      <w:r>
        <w:rPr>
          <w:spacing w:val="-13"/>
        </w:rPr>
        <w:t> </w:t>
      </w:r>
      <w:r>
        <w:rPr/>
        <w:t>(Büyüköztürk,</w:t>
      </w:r>
      <w:r>
        <w:rPr>
          <w:spacing w:val="-11"/>
        </w:rPr>
        <w:t> </w:t>
      </w:r>
      <w:r>
        <w:rPr/>
        <w:t>2020;</w:t>
      </w:r>
      <w:r>
        <w:rPr>
          <w:spacing w:val="-14"/>
        </w:rPr>
        <w:t> </w:t>
      </w:r>
      <w:r>
        <w:rPr/>
        <w:t>Kılıç,</w:t>
      </w:r>
      <w:r>
        <w:rPr>
          <w:spacing w:val="-13"/>
        </w:rPr>
        <w:t> </w:t>
      </w:r>
      <w:r>
        <w:rPr/>
        <w:t>2016).</w:t>
      </w:r>
      <w:r>
        <w:rPr>
          <w:spacing w:val="-13"/>
        </w:rPr>
        <w:t> </w:t>
      </w:r>
      <w:r>
        <w:rPr/>
        <w:t>İki</w:t>
      </w:r>
      <w:r>
        <w:rPr>
          <w:spacing w:val="-5"/>
        </w:rPr>
        <w:t> </w:t>
      </w:r>
      <w:r>
        <w:rPr/>
        <w:t>yarı</w:t>
      </w:r>
      <w:r>
        <w:rPr>
          <w:spacing w:val="-14"/>
        </w:rPr>
        <w:t> </w:t>
      </w:r>
      <w:r>
        <w:rPr/>
        <w:t>yöntemi,</w:t>
      </w:r>
      <w:r>
        <w:rPr>
          <w:spacing w:val="-13"/>
        </w:rPr>
        <w:t> </w:t>
      </w:r>
      <w:r>
        <w:rPr/>
        <w:t>ölçekte</w:t>
      </w:r>
      <w:r>
        <w:rPr>
          <w:spacing w:val="-14"/>
        </w:rPr>
        <w:t> </w:t>
      </w:r>
      <w:r>
        <w:rPr/>
        <w:t>maddelerin</w:t>
      </w:r>
      <w:r>
        <w:rPr>
          <w:spacing w:val="-9"/>
        </w:rPr>
        <w:t> </w:t>
      </w:r>
      <w:r>
        <w:rPr/>
        <w:t>tek-çift</w:t>
      </w:r>
      <w:r>
        <w:rPr>
          <w:spacing w:val="-14"/>
        </w:rPr>
        <w:t> </w:t>
      </w:r>
      <w:r>
        <w:rPr/>
        <w:t>olarak ayrılarak testin iki yarısındaki ilişkiden hareketle Spearman Brown yöntemi kullanılarak hesaplanmaktadır. Bu hesaplama yöntemi test puanları arasındaki tutarlılığı gösterir (Büyüköztürk, 2020). Toplanan 298 veri ile gerçekleştirilen iki yarı test güvenirliği sonucunda Spearman Brown katsayısı .917 olarak bulunmuştur. Bu değer Büyüköztürk’e (2020) göre yüksek derecede güvenilir olarak değerlendirilmektedir.</w:t>
      </w:r>
    </w:p>
    <w:p>
      <w:pPr>
        <w:pStyle w:val="Heading1"/>
        <w:spacing w:before="240"/>
      </w:pPr>
      <w:r>
        <w:rPr/>
        <w:t>Tartışma</w:t>
      </w:r>
      <w:r>
        <w:rPr>
          <w:spacing w:val="-2"/>
        </w:rPr>
        <w:t> </w:t>
      </w:r>
      <w:r>
        <w:rPr/>
        <w:t>ve</w:t>
      </w:r>
      <w:r>
        <w:rPr>
          <w:spacing w:val="-2"/>
        </w:rPr>
        <w:t> </w:t>
      </w:r>
      <w:r>
        <w:rPr/>
        <w:t>Sonuç,</w:t>
      </w:r>
      <w:r>
        <w:rPr>
          <w:spacing w:val="-1"/>
        </w:rPr>
        <w:t> </w:t>
      </w:r>
      <w:r>
        <w:rPr>
          <w:spacing w:val="-2"/>
        </w:rPr>
        <w:t>Öneriler</w:t>
      </w:r>
    </w:p>
    <w:p>
      <w:pPr>
        <w:pStyle w:val="BodyText"/>
        <w:spacing w:before="103"/>
        <w:rPr>
          <w:b/>
        </w:rPr>
      </w:pPr>
    </w:p>
    <w:p>
      <w:pPr>
        <w:pStyle w:val="BodyText"/>
        <w:spacing w:line="360" w:lineRule="auto"/>
        <w:ind w:left="735" w:right="865" w:firstLine="710"/>
        <w:jc w:val="both"/>
      </w:pPr>
      <w:r>
        <w:rPr/>
        <w:t>Bu çalışmayla, profesyonel spor kulüpleri için taraftar memnuniyetine yönelik en etkili sezonluk (kombine) bilet paketi bileşenlerini belirleyen, “Measuring Season Ticket Holder Satisfaction” (McDonald vd., 2013) ölçeğinin Türkçe geçerlik ve güvenirlik çalışmasının yapılması amaçlanmıştır. Bu kapsamda ölçeğin beş faktörlü yapısı DFA ile incelenmiştir. Ölçeğin geçerliğine ilişkin DFA sonuçlarına göre SBSMÖ için 5 alt boyut ve 16 maddeden oluşan yapı desteklenmiştir. Ölçekteki</w:t>
      </w:r>
      <w:r>
        <w:rPr>
          <w:spacing w:val="-15"/>
        </w:rPr>
        <w:t> </w:t>
      </w:r>
      <w:r>
        <w:rPr/>
        <w:t>standardize</w:t>
      </w:r>
      <w:r>
        <w:rPr>
          <w:spacing w:val="-15"/>
        </w:rPr>
        <w:t> </w:t>
      </w:r>
      <w:r>
        <w:rPr/>
        <w:t>edilmiş</w:t>
      </w:r>
      <w:r>
        <w:rPr>
          <w:spacing w:val="-12"/>
        </w:rPr>
        <w:t> </w:t>
      </w:r>
      <w:r>
        <w:rPr/>
        <w:t>faktör</w:t>
      </w:r>
      <w:r>
        <w:rPr>
          <w:spacing w:val="-13"/>
        </w:rPr>
        <w:t> </w:t>
      </w:r>
      <w:r>
        <w:rPr/>
        <w:t>yüklerinin</w:t>
      </w:r>
      <w:r>
        <w:rPr>
          <w:spacing w:val="-14"/>
        </w:rPr>
        <w:t> </w:t>
      </w:r>
      <w:r>
        <w:rPr/>
        <w:t>.57</w:t>
      </w:r>
      <w:r>
        <w:rPr>
          <w:spacing w:val="-14"/>
        </w:rPr>
        <w:t> </w:t>
      </w:r>
      <w:r>
        <w:rPr/>
        <w:t>ile</w:t>
      </w:r>
      <w:r>
        <w:rPr>
          <w:spacing w:val="-15"/>
        </w:rPr>
        <w:t> </w:t>
      </w:r>
      <w:r>
        <w:rPr/>
        <w:t>.86</w:t>
      </w:r>
      <w:r>
        <w:rPr>
          <w:spacing w:val="-14"/>
        </w:rPr>
        <w:t> </w:t>
      </w:r>
      <w:r>
        <w:rPr/>
        <w:t>arasında</w:t>
      </w:r>
      <w:r>
        <w:rPr>
          <w:spacing w:val="-15"/>
        </w:rPr>
        <w:t> </w:t>
      </w:r>
      <w:r>
        <w:rPr/>
        <w:t>dağıldığı</w:t>
      </w:r>
      <w:r>
        <w:rPr>
          <w:spacing w:val="-15"/>
        </w:rPr>
        <w:t> </w:t>
      </w:r>
      <w:r>
        <w:rPr/>
        <w:t>ve</w:t>
      </w:r>
      <w:r>
        <w:rPr>
          <w:spacing w:val="-15"/>
        </w:rPr>
        <w:t> </w:t>
      </w:r>
      <w:r>
        <w:rPr/>
        <w:t>bu</w:t>
      </w:r>
      <w:r>
        <w:rPr>
          <w:spacing w:val="-14"/>
        </w:rPr>
        <w:t> </w:t>
      </w:r>
      <w:r>
        <w:rPr/>
        <w:t>değerlerin</w:t>
      </w:r>
      <w:r>
        <w:rPr>
          <w:spacing w:val="-14"/>
        </w:rPr>
        <w:t> </w:t>
      </w:r>
      <w:r>
        <w:rPr/>
        <w:t>(Çokluk vd.,</w:t>
      </w:r>
      <w:r>
        <w:rPr>
          <w:spacing w:val="-14"/>
        </w:rPr>
        <w:t> </w:t>
      </w:r>
      <w:r>
        <w:rPr/>
        <w:t>2021)</w:t>
      </w:r>
      <w:r>
        <w:rPr>
          <w:spacing w:val="-13"/>
        </w:rPr>
        <w:t> </w:t>
      </w:r>
      <w:r>
        <w:rPr/>
        <w:t>göre</w:t>
      </w:r>
      <w:r>
        <w:rPr>
          <w:spacing w:val="-14"/>
        </w:rPr>
        <w:t> </w:t>
      </w:r>
      <w:r>
        <w:rPr/>
        <w:t>iyi</w:t>
      </w:r>
      <w:r>
        <w:rPr>
          <w:spacing w:val="-15"/>
        </w:rPr>
        <w:t> </w:t>
      </w:r>
      <w:r>
        <w:rPr/>
        <w:t>ve</w:t>
      </w:r>
      <w:r>
        <w:rPr>
          <w:spacing w:val="-15"/>
        </w:rPr>
        <w:t> </w:t>
      </w:r>
      <w:r>
        <w:rPr/>
        <w:t>kabul</w:t>
      </w:r>
      <w:r>
        <w:rPr>
          <w:spacing w:val="-15"/>
        </w:rPr>
        <w:t> </w:t>
      </w:r>
      <w:r>
        <w:rPr/>
        <w:t>edilir</w:t>
      </w:r>
      <w:r>
        <w:rPr>
          <w:spacing w:val="-13"/>
        </w:rPr>
        <w:t> </w:t>
      </w:r>
      <w:r>
        <w:rPr/>
        <w:t>değerler</w:t>
      </w:r>
      <w:r>
        <w:rPr>
          <w:spacing w:val="-13"/>
        </w:rPr>
        <w:t> </w:t>
      </w:r>
      <w:r>
        <w:rPr/>
        <w:t>arasında</w:t>
      </w:r>
      <w:r>
        <w:rPr>
          <w:spacing w:val="-15"/>
        </w:rPr>
        <w:t> </w:t>
      </w:r>
      <w:r>
        <w:rPr/>
        <w:t>olduğu</w:t>
      </w:r>
      <w:r>
        <w:rPr>
          <w:spacing w:val="-14"/>
        </w:rPr>
        <w:t> </w:t>
      </w:r>
      <w:r>
        <w:rPr/>
        <w:t>belirtilmektedir.</w:t>
      </w:r>
      <w:r>
        <w:rPr>
          <w:spacing w:val="-8"/>
        </w:rPr>
        <w:t> </w:t>
      </w:r>
      <w:r>
        <w:rPr/>
        <w:t>Elde</w:t>
      </w:r>
      <w:r>
        <w:rPr>
          <w:spacing w:val="-15"/>
        </w:rPr>
        <w:t> </w:t>
      </w:r>
      <w:r>
        <w:rPr/>
        <w:t>edilen</w:t>
      </w:r>
      <w:r>
        <w:rPr>
          <w:spacing w:val="-14"/>
        </w:rPr>
        <w:t> </w:t>
      </w:r>
      <w:r>
        <w:rPr/>
        <w:t>faktör</w:t>
      </w:r>
      <w:r>
        <w:rPr>
          <w:spacing w:val="-13"/>
        </w:rPr>
        <w:t> </w:t>
      </w:r>
      <w:r>
        <w:rPr/>
        <w:t>yükleri dikkate alınarak “ev sahibi” alt boyutunda faktör yükü .50 altında olan bir madde ölçekten çıkarılmıştır. Ölçeğin orijinal formunda farklı olarak 16 maddelik bir yapı geçerliği sağlanmıştır. Bunun dışında yapının uyum iyiliği indekslerinin, herhangi bir düzeltme yapılmadan kabul edilir ve iyi</w:t>
      </w:r>
      <w:r>
        <w:rPr>
          <w:spacing w:val="-11"/>
        </w:rPr>
        <w:t> </w:t>
      </w:r>
      <w:r>
        <w:rPr/>
        <w:t>düzeyde</w:t>
      </w:r>
      <w:r>
        <w:rPr>
          <w:spacing w:val="-11"/>
        </w:rPr>
        <w:t> </w:t>
      </w:r>
      <w:r>
        <w:rPr/>
        <w:t>olduğu</w:t>
      </w:r>
      <w:r>
        <w:rPr>
          <w:spacing w:val="-10"/>
        </w:rPr>
        <w:t> </w:t>
      </w:r>
      <w:r>
        <w:rPr/>
        <w:t>görülmüştür</w:t>
      </w:r>
      <w:r>
        <w:rPr>
          <w:spacing w:val="-9"/>
        </w:rPr>
        <w:t> </w:t>
      </w:r>
      <w:r>
        <w:rPr/>
        <w:t>(χ2=183.957;</w:t>
      </w:r>
      <w:r>
        <w:rPr>
          <w:spacing w:val="-12"/>
        </w:rPr>
        <w:t> </w:t>
      </w:r>
      <w:r>
        <w:rPr/>
        <w:t>df=94;</w:t>
      </w:r>
      <w:r>
        <w:rPr>
          <w:spacing w:val="-7"/>
        </w:rPr>
        <w:t> </w:t>
      </w:r>
      <w:r>
        <w:rPr/>
        <w:t>χ2/df</w:t>
      </w:r>
      <w:r>
        <w:rPr>
          <w:spacing w:val="-9"/>
        </w:rPr>
        <w:t> </w:t>
      </w:r>
      <w:r>
        <w:rPr/>
        <w:t>=1.957;</w:t>
      </w:r>
      <w:r>
        <w:rPr>
          <w:spacing w:val="-12"/>
        </w:rPr>
        <w:t> </w:t>
      </w:r>
      <w:r>
        <w:rPr/>
        <w:t>RMSEA=0.057;</w:t>
      </w:r>
      <w:r>
        <w:rPr>
          <w:spacing w:val="-12"/>
        </w:rPr>
        <w:t> </w:t>
      </w:r>
      <w:r>
        <w:rPr/>
        <w:t>SRMR=0.0542; CFI=0.957) (Gürbüz, 2021; Hu ve Bentler, 1999).</w:t>
      </w:r>
    </w:p>
    <w:p>
      <w:pPr>
        <w:spacing w:after="0" w:line="360" w:lineRule="auto"/>
        <w:jc w:val="both"/>
        <w:sectPr>
          <w:pgSz w:w="11910" w:h="16840"/>
          <w:pgMar w:header="442" w:footer="532" w:top="780" w:bottom="720" w:left="400" w:right="260"/>
        </w:sectPr>
      </w:pPr>
    </w:p>
    <w:p>
      <w:pPr>
        <w:pStyle w:val="BodyText"/>
        <w:spacing w:before="60"/>
      </w:pPr>
    </w:p>
    <w:p>
      <w:pPr>
        <w:pStyle w:val="BodyText"/>
        <w:spacing w:line="360" w:lineRule="auto" w:before="1"/>
        <w:ind w:left="735" w:right="868" w:firstLine="710"/>
        <w:jc w:val="both"/>
      </w:pPr>
      <w:r>
        <w:rPr/>
        <w:t>Test</w:t>
      </w:r>
      <w:r>
        <w:rPr>
          <w:spacing w:val="-5"/>
        </w:rPr>
        <w:t> </w:t>
      </w:r>
      <w:r>
        <w:rPr/>
        <w:t>edilen</w:t>
      </w:r>
      <w:r>
        <w:rPr>
          <w:spacing w:val="-4"/>
        </w:rPr>
        <w:t> </w:t>
      </w:r>
      <w:r>
        <w:rPr/>
        <w:t>yapının</w:t>
      </w:r>
      <w:r>
        <w:rPr>
          <w:spacing w:val="-4"/>
        </w:rPr>
        <w:t> </w:t>
      </w:r>
      <w:r>
        <w:rPr/>
        <w:t>benzeşim</w:t>
      </w:r>
      <w:r>
        <w:rPr>
          <w:spacing w:val="-5"/>
        </w:rPr>
        <w:t> </w:t>
      </w:r>
      <w:r>
        <w:rPr/>
        <w:t>geçerliğinin</w:t>
      </w:r>
      <w:r>
        <w:rPr>
          <w:spacing w:val="-4"/>
        </w:rPr>
        <w:t> </w:t>
      </w:r>
      <w:r>
        <w:rPr/>
        <w:t>sağlanabilmesi</w:t>
      </w:r>
      <w:r>
        <w:rPr>
          <w:spacing w:val="-5"/>
        </w:rPr>
        <w:t> </w:t>
      </w:r>
      <w:r>
        <w:rPr/>
        <w:t>için</w:t>
      </w:r>
      <w:r>
        <w:rPr>
          <w:spacing w:val="-4"/>
        </w:rPr>
        <w:t> </w:t>
      </w:r>
      <w:r>
        <w:rPr/>
        <w:t>ölçeğe</w:t>
      </w:r>
      <w:r>
        <w:rPr>
          <w:spacing w:val="-5"/>
        </w:rPr>
        <w:t> </w:t>
      </w:r>
      <w:r>
        <w:rPr/>
        <w:t>ait</w:t>
      </w:r>
      <w:r>
        <w:rPr>
          <w:spacing w:val="-1"/>
        </w:rPr>
        <w:t> </w:t>
      </w:r>
      <w:r>
        <w:rPr/>
        <w:t>tüm</w:t>
      </w:r>
      <w:r>
        <w:rPr>
          <w:spacing w:val="-5"/>
        </w:rPr>
        <w:t> </w:t>
      </w:r>
      <w:r>
        <w:rPr/>
        <w:t>CR</w:t>
      </w:r>
      <w:r>
        <w:rPr>
          <w:spacing w:val="-4"/>
        </w:rPr>
        <w:t> </w:t>
      </w:r>
      <w:r>
        <w:rPr/>
        <w:t>değerlerinin AVE</w:t>
      </w:r>
      <w:r>
        <w:rPr>
          <w:spacing w:val="-3"/>
        </w:rPr>
        <w:t> </w:t>
      </w:r>
      <w:r>
        <w:rPr/>
        <w:t>değerlerinde</w:t>
      </w:r>
      <w:r>
        <w:rPr>
          <w:spacing w:val="-3"/>
        </w:rPr>
        <w:t> </w:t>
      </w:r>
      <w:r>
        <w:rPr/>
        <w:t>büyük</w:t>
      </w:r>
      <w:r>
        <w:rPr>
          <w:spacing w:val="-1"/>
        </w:rPr>
        <w:t> </w:t>
      </w:r>
      <w:r>
        <w:rPr/>
        <w:t>ve</w:t>
      </w:r>
      <w:r>
        <w:rPr>
          <w:spacing w:val="-3"/>
        </w:rPr>
        <w:t> </w:t>
      </w:r>
      <w:r>
        <w:rPr/>
        <w:t>AVE</w:t>
      </w:r>
      <w:r>
        <w:rPr>
          <w:spacing w:val="-3"/>
        </w:rPr>
        <w:t> </w:t>
      </w:r>
      <w:r>
        <w:rPr/>
        <w:t>değerlerinin</w:t>
      </w:r>
      <w:r>
        <w:rPr>
          <w:spacing w:val="-1"/>
        </w:rPr>
        <w:t> </w:t>
      </w:r>
      <w:r>
        <w:rPr/>
        <w:t>de</w:t>
      </w:r>
      <w:r>
        <w:rPr>
          <w:spacing w:val="-3"/>
        </w:rPr>
        <w:t> </w:t>
      </w:r>
      <w:r>
        <w:rPr/>
        <w:t>.50</w:t>
      </w:r>
      <w:r>
        <w:rPr>
          <w:spacing w:val="-1"/>
        </w:rPr>
        <w:t> </w:t>
      </w:r>
      <w:r>
        <w:rPr/>
        <w:t>‘den</w:t>
      </w:r>
      <w:r>
        <w:rPr>
          <w:spacing w:val="-1"/>
        </w:rPr>
        <w:t> </w:t>
      </w:r>
      <w:r>
        <w:rPr/>
        <w:t>büyük</w:t>
      </w:r>
      <w:r>
        <w:rPr>
          <w:spacing w:val="-1"/>
        </w:rPr>
        <w:t> </w:t>
      </w:r>
      <w:r>
        <w:rPr/>
        <w:t>olması gerekmektedir.</w:t>
      </w:r>
      <w:r>
        <w:rPr>
          <w:spacing w:val="-1"/>
        </w:rPr>
        <w:t> </w:t>
      </w:r>
      <w:r>
        <w:rPr/>
        <w:t>Elde edilen sonuçlar, benzeşim geçerliği için hesaplanan AVE ve CR değerlerinin bu şartı sağladığını göstermektedir</w:t>
      </w:r>
      <w:r>
        <w:rPr>
          <w:spacing w:val="-4"/>
        </w:rPr>
        <w:t> </w:t>
      </w:r>
      <w:r>
        <w:rPr/>
        <w:t>(CR&gt;AVE&gt;0.50).</w:t>
      </w:r>
      <w:r>
        <w:rPr>
          <w:spacing w:val="-4"/>
        </w:rPr>
        <w:t> </w:t>
      </w:r>
      <w:r>
        <w:rPr/>
        <w:t>Yapı</w:t>
      </w:r>
      <w:r>
        <w:rPr>
          <w:spacing w:val="-6"/>
        </w:rPr>
        <w:t> </w:t>
      </w:r>
      <w:r>
        <w:rPr/>
        <w:t>geçerliğinin sağlanabilmesi</w:t>
      </w:r>
      <w:r>
        <w:rPr>
          <w:spacing w:val="-6"/>
        </w:rPr>
        <w:t> </w:t>
      </w:r>
      <w:r>
        <w:rPr/>
        <w:t>için</w:t>
      </w:r>
      <w:r>
        <w:rPr>
          <w:spacing w:val="-4"/>
        </w:rPr>
        <w:t> </w:t>
      </w:r>
      <w:r>
        <w:rPr/>
        <w:t>başvurulan</w:t>
      </w:r>
      <w:r>
        <w:rPr>
          <w:spacing w:val="-4"/>
        </w:rPr>
        <w:t> </w:t>
      </w:r>
      <w:r>
        <w:rPr/>
        <w:t>bir</w:t>
      </w:r>
      <w:r>
        <w:rPr>
          <w:spacing w:val="-4"/>
        </w:rPr>
        <w:t> </w:t>
      </w:r>
      <w:r>
        <w:rPr/>
        <w:t>diğer</w:t>
      </w:r>
      <w:r>
        <w:rPr>
          <w:spacing w:val="-4"/>
        </w:rPr>
        <w:t> </w:t>
      </w:r>
      <w:r>
        <w:rPr/>
        <w:t>yöntem de ölçeğin ayrışım geçerliği için MSV ve ASV değerlerinin hesaplanmasıdır. Ayrışım geçerliğinin sağlanabilmesi için MSV değerlerinin AVE değerlerinden küçük, ASV değerlerinden ise büyük olması gereklidir (MSV&lt;AVE; ASV&lt;MSV). Hesaplanan MSV ve ASV değerlerinin ayrışım geçerliğini</w:t>
      </w:r>
      <w:r>
        <w:rPr>
          <w:spacing w:val="-15"/>
        </w:rPr>
        <w:t> </w:t>
      </w:r>
      <w:r>
        <w:rPr/>
        <w:t>büyük</w:t>
      </w:r>
      <w:r>
        <w:rPr>
          <w:spacing w:val="-15"/>
        </w:rPr>
        <w:t> </w:t>
      </w:r>
      <w:r>
        <w:rPr/>
        <w:t>oranda</w:t>
      </w:r>
      <w:r>
        <w:rPr>
          <w:spacing w:val="-15"/>
        </w:rPr>
        <w:t> </w:t>
      </w:r>
      <w:r>
        <w:rPr/>
        <w:t>desteklediğini</w:t>
      </w:r>
      <w:r>
        <w:rPr>
          <w:spacing w:val="-15"/>
        </w:rPr>
        <w:t> </w:t>
      </w:r>
      <w:r>
        <w:rPr/>
        <w:t>göstermektedir.</w:t>
      </w:r>
      <w:r>
        <w:rPr>
          <w:spacing w:val="-15"/>
        </w:rPr>
        <w:t> </w:t>
      </w:r>
      <w:r>
        <w:rPr/>
        <w:t>MSV</w:t>
      </w:r>
      <w:r>
        <w:rPr>
          <w:spacing w:val="-15"/>
        </w:rPr>
        <w:t> </w:t>
      </w:r>
      <w:r>
        <w:rPr/>
        <w:t>değerlerinin</w:t>
      </w:r>
      <w:r>
        <w:rPr>
          <w:spacing w:val="-15"/>
        </w:rPr>
        <w:t> </w:t>
      </w:r>
      <w:r>
        <w:rPr/>
        <w:t>AVE</w:t>
      </w:r>
      <w:r>
        <w:rPr>
          <w:spacing w:val="-15"/>
        </w:rPr>
        <w:t> </w:t>
      </w:r>
      <w:r>
        <w:rPr/>
        <w:t>değerlerinden</w:t>
      </w:r>
      <w:r>
        <w:rPr>
          <w:spacing w:val="-15"/>
        </w:rPr>
        <w:t> </w:t>
      </w:r>
      <w:r>
        <w:rPr/>
        <w:t>küçük olma şartının “hizmet” ve “kulüp yönetimi” alt boyutları için sağlanmadığı belirlenmiştir.</w:t>
      </w:r>
      <w:r>
        <w:rPr>
          <w:spacing w:val="40"/>
        </w:rPr>
        <w:t> </w:t>
      </w:r>
      <w:r>
        <w:rPr/>
        <w:t>MSV değerinin AVE değerinden yüksek çıktığı “hizmet” ve “kulüp yönetimi” alt boyutlarının yüksek korelasyona sahip olması bu sonucu ortaya koyan faktör olarak açıklanabilir. Spor organizasyonları tarafından sağlanan hizmetlerin kalitesinin, yönetim çıktılarına göre belirlenebileceği yapılan çalışmalarla açıklanmıştır. Bu durum müşterilerin katılımdan veya izlemekten olumlu bir sonuç çıkarma olasılığını artıran yüksek kalitede hizmet sunumu için yönetim çabalarını ve kaynaklarını kullanma</w:t>
      </w:r>
      <w:r>
        <w:rPr>
          <w:spacing w:val="-15"/>
        </w:rPr>
        <w:t> </w:t>
      </w:r>
      <w:r>
        <w:rPr/>
        <w:t>gerekliliği</w:t>
      </w:r>
      <w:r>
        <w:rPr>
          <w:spacing w:val="-15"/>
        </w:rPr>
        <w:t> </w:t>
      </w:r>
      <w:r>
        <w:rPr/>
        <w:t>ortaya</w:t>
      </w:r>
      <w:r>
        <w:rPr>
          <w:spacing w:val="-15"/>
        </w:rPr>
        <w:t> </w:t>
      </w:r>
      <w:r>
        <w:rPr/>
        <w:t>koyarak</w:t>
      </w:r>
      <w:r>
        <w:rPr>
          <w:spacing w:val="-15"/>
        </w:rPr>
        <w:t> </w:t>
      </w:r>
      <w:r>
        <w:rPr/>
        <w:t>bu</w:t>
      </w:r>
      <w:r>
        <w:rPr>
          <w:spacing w:val="-15"/>
        </w:rPr>
        <w:t> </w:t>
      </w:r>
      <w:r>
        <w:rPr/>
        <w:t>faktörlerin</w:t>
      </w:r>
      <w:r>
        <w:rPr>
          <w:spacing w:val="-15"/>
        </w:rPr>
        <w:t> </w:t>
      </w:r>
      <w:r>
        <w:rPr/>
        <w:t>aralarındaki</w:t>
      </w:r>
      <w:r>
        <w:rPr>
          <w:spacing w:val="-15"/>
        </w:rPr>
        <w:t> </w:t>
      </w:r>
      <w:r>
        <w:rPr/>
        <w:t>ilişkiyi</w:t>
      </w:r>
      <w:r>
        <w:rPr>
          <w:spacing w:val="-15"/>
        </w:rPr>
        <w:t> </w:t>
      </w:r>
      <w:r>
        <w:rPr/>
        <w:t>de</w:t>
      </w:r>
      <w:r>
        <w:rPr>
          <w:spacing w:val="-15"/>
        </w:rPr>
        <w:t> </w:t>
      </w:r>
      <w:r>
        <w:rPr/>
        <w:t>teorik</w:t>
      </w:r>
      <w:r>
        <w:rPr>
          <w:spacing w:val="-15"/>
        </w:rPr>
        <w:t> </w:t>
      </w:r>
      <w:r>
        <w:rPr/>
        <w:t>olarak</w:t>
      </w:r>
      <w:r>
        <w:rPr>
          <w:spacing w:val="-15"/>
        </w:rPr>
        <w:t> </w:t>
      </w:r>
      <w:r>
        <w:rPr/>
        <w:t>açıklamaktadır (Tsitskari vd., 2006).</w:t>
      </w:r>
    </w:p>
    <w:p>
      <w:pPr>
        <w:pStyle w:val="BodyText"/>
        <w:spacing w:line="360" w:lineRule="auto" w:before="238"/>
        <w:ind w:left="735" w:right="867" w:firstLine="710"/>
        <w:jc w:val="both"/>
      </w:pPr>
      <w:r>
        <w:rPr/>
        <w:t>Ölçeğin güvenirliğini sınamak için toplanan 298 verinin Cronbach’s Alpha ve Spearman Brown analizlerine</w:t>
      </w:r>
      <w:r>
        <w:rPr>
          <w:spacing w:val="-1"/>
        </w:rPr>
        <w:t> </w:t>
      </w:r>
      <w:r>
        <w:rPr/>
        <w:t>bakılmıştır (Gürbüz, 2021). Ölçek boyutlarının Cronbach’s Alpha</w:t>
      </w:r>
      <w:r>
        <w:rPr>
          <w:spacing w:val="-1"/>
        </w:rPr>
        <w:t> </w:t>
      </w:r>
      <w:r>
        <w:rPr/>
        <w:t>değerleri</w:t>
      </w:r>
      <w:r>
        <w:rPr>
          <w:spacing w:val="-1"/>
        </w:rPr>
        <w:t> </w:t>
      </w:r>
      <w:r>
        <w:rPr/>
        <w:t>.685 ile .849 arasında değiştiği görülmüştür. Bu değerler kabul edilir ve iyi düzeyde olarak değerlendirilmektedir</w:t>
      </w:r>
      <w:r>
        <w:rPr>
          <w:spacing w:val="-8"/>
        </w:rPr>
        <w:t> </w:t>
      </w:r>
      <w:r>
        <w:rPr/>
        <w:t>(Büyüköztürk,</w:t>
      </w:r>
      <w:r>
        <w:rPr>
          <w:spacing w:val="-7"/>
        </w:rPr>
        <w:t> </w:t>
      </w:r>
      <w:r>
        <w:rPr/>
        <w:t>2020;</w:t>
      </w:r>
      <w:r>
        <w:rPr>
          <w:spacing w:val="-4"/>
        </w:rPr>
        <w:t> </w:t>
      </w:r>
      <w:r>
        <w:rPr/>
        <w:t>Kılıç,</w:t>
      </w:r>
      <w:r>
        <w:rPr>
          <w:spacing w:val="-8"/>
        </w:rPr>
        <w:t> </w:t>
      </w:r>
      <w:r>
        <w:rPr/>
        <w:t>2016).</w:t>
      </w:r>
      <w:r>
        <w:rPr>
          <w:spacing w:val="-7"/>
        </w:rPr>
        <w:t> </w:t>
      </w:r>
      <w:r>
        <w:rPr/>
        <w:t>İki</w:t>
      </w:r>
      <w:r>
        <w:rPr>
          <w:spacing w:val="-9"/>
        </w:rPr>
        <w:t> </w:t>
      </w:r>
      <w:r>
        <w:rPr/>
        <w:t>yarı</w:t>
      </w:r>
      <w:r>
        <w:rPr>
          <w:spacing w:val="-9"/>
        </w:rPr>
        <w:t> </w:t>
      </w:r>
      <w:r>
        <w:rPr/>
        <w:t>yöntemi</w:t>
      </w:r>
      <w:r>
        <w:rPr>
          <w:spacing w:val="-4"/>
        </w:rPr>
        <w:t> </w:t>
      </w:r>
      <w:r>
        <w:rPr/>
        <w:t>ile</w:t>
      </w:r>
      <w:r>
        <w:rPr>
          <w:spacing w:val="-4"/>
        </w:rPr>
        <w:t> </w:t>
      </w:r>
      <w:r>
        <w:rPr/>
        <w:t>ölçek</w:t>
      </w:r>
      <w:r>
        <w:rPr>
          <w:spacing w:val="-8"/>
        </w:rPr>
        <w:t> </w:t>
      </w:r>
      <w:r>
        <w:rPr/>
        <w:t>maddeleri</w:t>
      </w:r>
      <w:r>
        <w:rPr>
          <w:spacing w:val="-9"/>
        </w:rPr>
        <w:t> </w:t>
      </w:r>
      <w:r>
        <w:rPr/>
        <w:t>tek-çift olarak ayrılmıştır ve Spearman Brown katsayısı .917 olarak bulunmuştur. Bu değer Büyüköztürk’e (2020) göre yüksek derecede güvenilirdir. Spor yönetimi alanında Türkçeye uyarlanan SBSMÖ, toplam 16 madde ve 5 alt faktörden (hizmet, saha performansı, kişisel katılım, kulüp yönetimi, ev sahibi) oluşmaktadır. Ölçekte maddeler 5’li likert tipidir ve ters madde bulunmamaktadır. Ölçek maddelerinin kısa ve anlaşılır olması önemli bir avantajdır. Yapılan analizler sonucunda ölçeğin geçerli ve güvenilir bir ölçme aracı olduğu görülmüştür.</w:t>
      </w:r>
    </w:p>
    <w:p>
      <w:pPr>
        <w:pStyle w:val="BodyText"/>
        <w:spacing w:line="360" w:lineRule="auto" w:before="242"/>
        <w:ind w:left="735" w:right="866" w:firstLine="710"/>
        <w:jc w:val="both"/>
      </w:pPr>
      <w:r>
        <w:rPr/>
        <w:t>Sezonluk</w:t>
      </w:r>
      <w:r>
        <w:rPr>
          <w:spacing w:val="-11"/>
        </w:rPr>
        <w:t> </w:t>
      </w:r>
      <w:r>
        <w:rPr/>
        <w:t>(kombine)</w:t>
      </w:r>
      <w:r>
        <w:rPr>
          <w:spacing w:val="-11"/>
        </w:rPr>
        <w:t> </w:t>
      </w:r>
      <w:r>
        <w:rPr/>
        <w:t>bilet</w:t>
      </w:r>
      <w:r>
        <w:rPr>
          <w:spacing w:val="-12"/>
        </w:rPr>
        <w:t> </w:t>
      </w:r>
      <w:r>
        <w:rPr/>
        <w:t>sahibi</w:t>
      </w:r>
      <w:r>
        <w:rPr>
          <w:spacing w:val="-12"/>
        </w:rPr>
        <w:t> </w:t>
      </w:r>
      <w:r>
        <w:rPr/>
        <w:t>müşterilerin</w:t>
      </w:r>
      <w:r>
        <w:rPr>
          <w:spacing w:val="-9"/>
        </w:rPr>
        <w:t> </w:t>
      </w:r>
      <w:r>
        <w:rPr/>
        <w:t>memnuniyetini</w:t>
      </w:r>
      <w:r>
        <w:rPr>
          <w:spacing w:val="-12"/>
        </w:rPr>
        <w:t> </w:t>
      </w:r>
      <w:r>
        <w:rPr/>
        <w:t>sağlamak</w:t>
      </w:r>
      <w:r>
        <w:rPr>
          <w:spacing w:val="-11"/>
        </w:rPr>
        <w:t> </w:t>
      </w:r>
      <w:r>
        <w:rPr/>
        <w:t>ve</w:t>
      </w:r>
      <w:r>
        <w:rPr>
          <w:spacing w:val="-12"/>
        </w:rPr>
        <w:t> </w:t>
      </w:r>
      <w:r>
        <w:rPr/>
        <w:t>sürdürmek,</w:t>
      </w:r>
      <w:r>
        <w:rPr>
          <w:spacing w:val="-11"/>
        </w:rPr>
        <w:t> </w:t>
      </w:r>
      <w:r>
        <w:rPr/>
        <w:t>bir</w:t>
      </w:r>
      <w:r>
        <w:rPr>
          <w:spacing w:val="-11"/>
        </w:rPr>
        <w:t> </w:t>
      </w:r>
      <w:r>
        <w:rPr/>
        <w:t>spor kulübü</w:t>
      </w:r>
      <w:r>
        <w:rPr>
          <w:spacing w:val="-15"/>
        </w:rPr>
        <w:t> </w:t>
      </w:r>
      <w:r>
        <w:rPr/>
        <w:t>veya</w:t>
      </w:r>
      <w:r>
        <w:rPr>
          <w:spacing w:val="-15"/>
        </w:rPr>
        <w:t> </w:t>
      </w:r>
      <w:r>
        <w:rPr/>
        <w:t>organizasyonu</w:t>
      </w:r>
      <w:r>
        <w:rPr>
          <w:spacing w:val="-15"/>
        </w:rPr>
        <w:t> </w:t>
      </w:r>
      <w:r>
        <w:rPr/>
        <w:t>için</w:t>
      </w:r>
      <w:r>
        <w:rPr>
          <w:spacing w:val="-15"/>
        </w:rPr>
        <w:t> </w:t>
      </w:r>
      <w:r>
        <w:rPr/>
        <w:t>son</w:t>
      </w:r>
      <w:r>
        <w:rPr>
          <w:spacing w:val="-15"/>
        </w:rPr>
        <w:t> </w:t>
      </w:r>
      <w:r>
        <w:rPr/>
        <w:t>derece</w:t>
      </w:r>
      <w:r>
        <w:rPr>
          <w:spacing w:val="-15"/>
        </w:rPr>
        <w:t> </w:t>
      </w:r>
      <w:r>
        <w:rPr/>
        <w:t>önemlidir.</w:t>
      </w:r>
      <w:r>
        <w:rPr>
          <w:spacing w:val="-15"/>
        </w:rPr>
        <w:t> </w:t>
      </w:r>
      <w:r>
        <w:rPr/>
        <w:t>Memnuniyet,</w:t>
      </w:r>
      <w:r>
        <w:rPr>
          <w:spacing w:val="-15"/>
        </w:rPr>
        <w:t> </w:t>
      </w:r>
      <w:r>
        <w:rPr/>
        <w:t>sadakati</w:t>
      </w:r>
      <w:r>
        <w:rPr>
          <w:spacing w:val="-15"/>
        </w:rPr>
        <w:t> </w:t>
      </w:r>
      <w:r>
        <w:rPr/>
        <w:t>artırır,</w:t>
      </w:r>
      <w:r>
        <w:rPr>
          <w:spacing w:val="-12"/>
        </w:rPr>
        <w:t> </w:t>
      </w:r>
      <w:r>
        <w:rPr/>
        <w:t>dolayısıyla</w:t>
      </w:r>
      <w:r>
        <w:rPr>
          <w:spacing w:val="-15"/>
        </w:rPr>
        <w:t> </w:t>
      </w:r>
      <w:r>
        <w:rPr/>
        <w:t>kulüp gelirlerini artırabilir</w:t>
      </w:r>
      <w:r>
        <w:rPr>
          <w:spacing w:val="-3"/>
        </w:rPr>
        <w:t> </w:t>
      </w:r>
      <w:r>
        <w:rPr/>
        <w:t>ve</w:t>
      </w:r>
      <w:r>
        <w:rPr>
          <w:spacing w:val="-5"/>
        </w:rPr>
        <w:t> </w:t>
      </w:r>
      <w:r>
        <w:rPr/>
        <w:t>genel</w:t>
      </w:r>
      <w:r>
        <w:rPr>
          <w:spacing w:val="-5"/>
        </w:rPr>
        <w:t> </w:t>
      </w:r>
      <w:r>
        <w:rPr/>
        <w:t>olarak</w:t>
      </w:r>
      <w:r>
        <w:rPr>
          <w:spacing w:val="-3"/>
        </w:rPr>
        <w:t> </w:t>
      </w:r>
      <w:r>
        <w:rPr/>
        <w:t>daha</w:t>
      </w:r>
      <w:r>
        <w:rPr>
          <w:spacing w:val="-5"/>
        </w:rPr>
        <w:t> </w:t>
      </w:r>
      <w:r>
        <w:rPr/>
        <w:t>olumlu</w:t>
      </w:r>
      <w:r>
        <w:rPr>
          <w:spacing w:val="-3"/>
        </w:rPr>
        <w:t> </w:t>
      </w:r>
      <w:r>
        <w:rPr/>
        <w:t>bir izlenim</w:t>
      </w:r>
      <w:r>
        <w:rPr>
          <w:spacing w:val="-5"/>
        </w:rPr>
        <w:t> </w:t>
      </w:r>
      <w:r>
        <w:rPr/>
        <w:t>yaratır.</w:t>
      </w:r>
      <w:r>
        <w:rPr>
          <w:spacing w:val="-3"/>
        </w:rPr>
        <w:t> </w:t>
      </w:r>
      <w:r>
        <w:rPr/>
        <w:t>Bu</w:t>
      </w:r>
      <w:r>
        <w:rPr>
          <w:spacing w:val="-3"/>
        </w:rPr>
        <w:t> </w:t>
      </w:r>
      <w:r>
        <w:rPr/>
        <w:t>sebeple sezonluk</w:t>
      </w:r>
      <w:r>
        <w:rPr>
          <w:spacing w:val="-3"/>
        </w:rPr>
        <w:t> </w:t>
      </w:r>
      <w:r>
        <w:rPr/>
        <w:t>(kombine) bilet sahiplerinin memnuniyetinin ölçülmesi önemlidir. Taraftarların, spor kulüpleri tarafından sunulan sezonluk biletleri satın almalarını ya da aboneliklerini yenilemelerini sağlayan faktörlerin anlaşılması,</w:t>
      </w:r>
      <w:r>
        <w:rPr>
          <w:spacing w:val="-15"/>
        </w:rPr>
        <w:t> </w:t>
      </w:r>
      <w:r>
        <w:rPr/>
        <w:t>ürün</w:t>
      </w:r>
      <w:r>
        <w:rPr>
          <w:spacing w:val="-15"/>
        </w:rPr>
        <w:t> </w:t>
      </w:r>
      <w:r>
        <w:rPr/>
        <w:t>ve</w:t>
      </w:r>
      <w:r>
        <w:rPr>
          <w:spacing w:val="-15"/>
        </w:rPr>
        <w:t> </w:t>
      </w:r>
      <w:r>
        <w:rPr/>
        <w:t>hizmetlerin</w:t>
      </w:r>
      <w:r>
        <w:rPr>
          <w:spacing w:val="-15"/>
        </w:rPr>
        <w:t> </w:t>
      </w:r>
      <w:r>
        <w:rPr/>
        <w:t>değerlendirilmesi</w:t>
      </w:r>
      <w:r>
        <w:rPr>
          <w:spacing w:val="-15"/>
        </w:rPr>
        <w:t> </w:t>
      </w:r>
      <w:r>
        <w:rPr/>
        <w:t>açısından</w:t>
      </w:r>
      <w:r>
        <w:rPr>
          <w:spacing w:val="-15"/>
        </w:rPr>
        <w:t> </w:t>
      </w:r>
      <w:r>
        <w:rPr/>
        <w:t>gereklidir.</w:t>
      </w:r>
      <w:r>
        <w:rPr>
          <w:spacing w:val="-15"/>
        </w:rPr>
        <w:t> </w:t>
      </w:r>
      <w:r>
        <w:rPr/>
        <w:t>Dolayısıyla,</w:t>
      </w:r>
      <w:r>
        <w:rPr>
          <w:spacing w:val="-15"/>
        </w:rPr>
        <w:t> </w:t>
      </w:r>
      <w:r>
        <w:rPr/>
        <w:t>müşteriler</w:t>
      </w:r>
      <w:r>
        <w:rPr>
          <w:spacing w:val="-15"/>
        </w:rPr>
        <w:t> </w:t>
      </w:r>
      <w:r>
        <w:rPr/>
        <w:t>olarak taraftarların sezonluk bilet ürününe yönelik tüketim kararlarında, memnuniyet gibi tutumların ölçülmesine</w:t>
      </w:r>
      <w:r>
        <w:rPr>
          <w:spacing w:val="14"/>
        </w:rPr>
        <w:t> </w:t>
      </w:r>
      <w:r>
        <w:rPr/>
        <w:t>olanak</w:t>
      </w:r>
      <w:r>
        <w:rPr>
          <w:spacing w:val="22"/>
        </w:rPr>
        <w:t> </w:t>
      </w:r>
      <w:r>
        <w:rPr/>
        <w:t>tanıyan</w:t>
      </w:r>
      <w:r>
        <w:rPr>
          <w:spacing w:val="18"/>
        </w:rPr>
        <w:t> </w:t>
      </w:r>
      <w:r>
        <w:rPr/>
        <w:t>bir</w:t>
      </w:r>
      <w:r>
        <w:rPr>
          <w:spacing w:val="22"/>
        </w:rPr>
        <w:t> </w:t>
      </w:r>
      <w:r>
        <w:rPr/>
        <w:t>ölçeğin</w:t>
      </w:r>
      <w:r>
        <w:rPr>
          <w:spacing w:val="17"/>
        </w:rPr>
        <w:t> </w:t>
      </w:r>
      <w:r>
        <w:rPr/>
        <w:t>Türk</w:t>
      </w:r>
      <w:r>
        <w:rPr>
          <w:spacing w:val="23"/>
        </w:rPr>
        <w:t> </w:t>
      </w:r>
      <w:r>
        <w:rPr/>
        <w:t>kültürüne</w:t>
      </w:r>
      <w:r>
        <w:rPr>
          <w:spacing w:val="16"/>
        </w:rPr>
        <w:t> </w:t>
      </w:r>
      <w:r>
        <w:rPr/>
        <w:t>uyarlanarak</w:t>
      </w:r>
      <w:r>
        <w:rPr>
          <w:spacing w:val="18"/>
        </w:rPr>
        <w:t> </w:t>
      </w:r>
      <w:r>
        <w:rPr/>
        <w:t>kullanılmasının</w:t>
      </w:r>
      <w:r>
        <w:rPr>
          <w:spacing w:val="17"/>
        </w:rPr>
        <w:t> </w:t>
      </w:r>
      <w:r>
        <w:rPr/>
        <w:t>önemli</w:t>
      </w:r>
      <w:r>
        <w:rPr>
          <w:spacing w:val="17"/>
        </w:rPr>
        <w:t> </w:t>
      </w:r>
      <w:r>
        <w:rPr>
          <w:spacing w:val="-2"/>
        </w:rPr>
        <w:t>olduğu</w:t>
      </w:r>
    </w:p>
    <w:p>
      <w:pPr>
        <w:spacing w:after="0" w:line="360" w:lineRule="auto"/>
        <w:jc w:val="both"/>
        <w:sectPr>
          <w:pgSz w:w="11910" w:h="16840"/>
          <w:pgMar w:header="442" w:footer="532" w:top="780" w:bottom="720" w:left="400" w:right="260"/>
        </w:sectPr>
      </w:pPr>
    </w:p>
    <w:p>
      <w:pPr>
        <w:pStyle w:val="BodyText"/>
        <w:spacing w:before="60"/>
      </w:pPr>
    </w:p>
    <w:p>
      <w:pPr>
        <w:pStyle w:val="BodyText"/>
        <w:spacing w:line="360" w:lineRule="auto" w:before="1"/>
        <w:ind w:left="735" w:right="867"/>
        <w:jc w:val="both"/>
      </w:pPr>
      <w:r>
        <w:rPr/>
        <w:t>anlaşılmaktadır.</w:t>
      </w:r>
      <w:r>
        <w:rPr>
          <w:spacing w:val="-15"/>
        </w:rPr>
        <w:t> </w:t>
      </w:r>
      <w:r>
        <w:rPr/>
        <w:t>Spor</w:t>
      </w:r>
      <w:r>
        <w:rPr>
          <w:spacing w:val="-15"/>
        </w:rPr>
        <w:t> </w:t>
      </w:r>
      <w:r>
        <w:rPr/>
        <w:t>yönetimi</w:t>
      </w:r>
      <w:r>
        <w:rPr>
          <w:spacing w:val="-15"/>
        </w:rPr>
        <w:t> </w:t>
      </w:r>
      <w:r>
        <w:rPr/>
        <w:t>alanında</w:t>
      </w:r>
      <w:r>
        <w:rPr>
          <w:spacing w:val="-15"/>
        </w:rPr>
        <w:t> </w:t>
      </w:r>
      <w:r>
        <w:rPr/>
        <w:t>kullanılabilecek</w:t>
      </w:r>
      <w:r>
        <w:rPr>
          <w:spacing w:val="-15"/>
        </w:rPr>
        <w:t> </w:t>
      </w:r>
      <w:r>
        <w:rPr/>
        <w:t>bu</w:t>
      </w:r>
      <w:r>
        <w:rPr>
          <w:spacing w:val="-15"/>
        </w:rPr>
        <w:t> </w:t>
      </w:r>
      <w:r>
        <w:rPr/>
        <w:t>tür</w:t>
      </w:r>
      <w:r>
        <w:rPr>
          <w:spacing w:val="-15"/>
        </w:rPr>
        <w:t> </w:t>
      </w:r>
      <w:r>
        <w:rPr/>
        <w:t>bir</w:t>
      </w:r>
      <w:r>
        <w:rPr>
          <w:spacing w:val="-15"/>
        </w:rPr>
        <w:t> </w:t>
      </w:r>
      <w:r>
        <w:rPr/>
        <w:t>ölçek,</w:t>
      </w:r>
      <w:r>
        <w:rPr>
          <w:spacing w:val="-15"/>
        </w:rPr>
        <w:t> </w:t>
      </w:r>
      <w:r>
        <w:rPr/>
        <w:t>müşteri</w:t>
      </w:r>
      <w:r>
        <w:rPr>
          <w:spacing w:val="-15"/>
        </w:rPr>
        <w:t> </w:t>
      </w:r>
      <w:r>
        <w:rPr/>
        <w:t>kayıplarını</w:t>
      </w:r>
      <w:r>
        <w:rPr>
          <w:spacing w:val="-15"/>
        </w:rPr>
        <w:t> </w:t>
      </w:r>
      <w:r>
        <w:rPr/>
        <w:t>önlemek ve ürünleri yeni müşterilere ulaştırmak için gereken öngörüyü sağlamamıza izin verebilir. Yurtiçindeki alan yazın incelendiğinde, sezonluk (kombine) bilet sahibi müşterilerin memnuniyetlerini</w:t>
      </w:r>
      <w:r>
        <w:rPr>
          <w:spacing w:val="-11"/>
        </w:rPr>
        <w:t> </w:t>
      </w:r>
      <w:r>
        <w:rPr/>
        <w:t>ölçmeye</w:t>
      </w:r>
      <w:r>
        <w:rPr>
          <w:spacing w:val="-11"/>
        </w:rPr>
        <w:t> </w:t>
      </w:r>
      <w:r>
        <w:rPr/>
        <w:t>yönelik</w:t>
      </w:r>
      <w:r>
        <w:rPr>
          <w:spacing w:val="-10"/>
        </w:rPr>
        <w:t> </w:t>
      </w:r>
      <w:r>
        <w:rPr/>
        <w:t>bir</w:t>
      </w:r>
      <w:r>
        <w:rPr>
          <w:spacing w:val="-10"/>
        </w:rPr>
        <w:t> </w:t>
      </w:r>
      <w:r>
        <w:rPr/>
        <w:t>çalışmanın</w:t>
      </w:r>
      <w:r>
        <w:rPr>
          <w:spacing w:val="-10"/>
        </w:rPr>
        <w:t> </w:t>
      </w:r>
      <w:r>
        <w:rPr/>
        <w:t>yapılmadığı</w:t>
      </w:r>
      <w:r>
        <w:rPr>
          <w:spacing w:val="-11"/>
        </w:rPr>
        <w:t> </w:t>
      </w:r>
      <w:r>
        <w:rPr/>
        <w:t>görülmüştür.</w:t>
      </w:r>
      <w:r>
        <w:rPr>
          <w:spacing w:val="-9"/>
        </w:rPr>
        <w:t> </w:t>
      </w:r>
      <w:r>
        <w:rPr/>
        <w:t>Bu</w:t>
      </w:r>
      <w:r>
        <w:rPr>
          <w:spacing w:val="-10"/>
        </w:rPr>
        <w:t> </w:t>
      </w:r>
      <w:r>
        <w:rPr/>
        <w:t>nedenle</w:t>
      </w:r>
      <w:r>
        <w:rPr>
          <w:spacing w:val="-6"/>
        </w:rPr>
        <w:t> </w:t>
      </w:r>
      <w:r>
        <w:rPr/>
        <w:t>araştırmanın temel amacı taraftarların, sezonluk bilet ürününe yönelik memnuniyetlerini belirlemede kullanılabilecek</w:t>
      </w:r>
      <w:r>
        <w:rPr>
          <w:spacing w:val="-9"/>
        </w:rPr>
        <w:t> </w:t>
      </w:r>
      <w:r>
        <w:rPr/>
        <w:t>geçerli</w:t>
      </w:r>
      <w:r>
        <w:rPr>
          <w:spacing w:val="-10"/>
        </w:rPr>
        <w:t> </w:t>
      </w:r>
      <w:r>
        <w:rPr/>
        <w:t>ve</w:t>
      </w:r>
      <w:r>
        <w:rPr>
          <w:spacing w:val="-10"/>
        </w:rPr>
        <w:t> </w:t>
      </w:r>
      <w:r>
        <w:rPr/>
        <w:t>güvenilir</w:t>
      </w:r>
      <w:r>
        <w:rPr>
          <w:spacing w:val="-9"/>
        </w:rPr>
        <w:t> </w:t>
      </w:r>
      <w:r>
        <w:rPr/>
        <w:t>bir</w:t>
      </w:r>
      <w:r>
        <w:rPr>
          <w:spacing w:val="-9"/>
        </w:rPr>
        <w:t> </w:t>
      </w:r>
      <w:r>
        <w:rPr/>
        <w:t>ölçüm</w:t>
      </w:r>
      <w:r>
        <w:rPr>
          <w:spacing w:val="-10"/>
        </w:rPr>
        <w:t> </w:t>
      </w:r>
      <w:r>
        <w:rPr/>
        <w:t>aracını</w:t>
      </w:r>
      <w:r>
        <w:rPr>
          <w:spacing w:val="-10"/>
        </w:rPr>
        <w:t> </w:t>
      </w:r>
      <w:r>
        <w:rPr/>
        <w:t>alan</w:t>
      </w:r>
      <w:r>
        <w:rPr>
          <w:spacing w:val="-9"/>
        </w:rPr>
        <w:t> </w:t>
      </w:r>
      <w:r>
        <w:rPr/>
        <w:t>yazına</w:t>
      </w:r>
      <w:r>
        <w:rPr>
          <w:spacing w:val="-10"/>
        </w:rPr>
        <w:t> </w:t>
      </w:r>
      <w:r>
        <w:rPr/>
        <w:t>sunmaktır.</w:t>
      </w:r>
      <w:r>
        <w:rPr>
          <w:spacing w:val="-6"/>
        </w:rPr>
        <w:t> </w:t>
      </w:r>
      <w:r>
        <w:rPr/>
        <w:t>Çalışmamız</w:t>
      </w:r>
      <w:r>
        <w:rPr>
          <w:spacing w:val="-9"/>
        </w:rPr>
        <w:t> </w:t>
      </w:r>
      <w:r>
        <w:rPr/>
        <w:t>bu</w:t>
      </w:r>
      <w:r>
        <w:rPr>
          <w:spacing w:val="-9"/>
        </w:rPr>
        <w:t> </w:t>
      </w:r>
      <w:r>
        <w:rPr/>
        <w:t>noktada bir eksikliği giderecektir.</w:t>
      </w:r>
    </w:p>
    <w:p>
      <w:pPr>
        <w:pStyle w:val="BodyText"/>
        <w:spacing w:line="360" w:lineRule="auto" w:before="238"/>
        <w:ind w:left="735" w:right="867" w:firstLine="710"/>
        <w:jc w:val="both"/>
      </w:pPr>
      <w:r>
        <w:rPr/>
        <w:t>Sezonluk</w:t>
      </w:r>
      <w:r>
        <w:rPr>
          <w:spacing w:val="-14"/>
        </w:rPr>
        <w:t> </w:t>
      </w:r>
      <w:r>
        <w:rPr/>
        <w:t>(kombine)</w:t>
      </w:r>
      <w:r>
        <w:rPr>
          <w:spacing w:val="-13"/>
        </w:rPr>
        <w:t> </w:t>
      </w:r>
      <w:r>
        <w:rPr/>
        <w:t>bilet</w:t>
      </w:r>
      <w:r>
        <w:rPr>
          <w:spacing w:val="-15"/>
        </w:rPr>
        <w:t> </w:t>
      </w:r>
      <w:r>
        <w:rPr/>
        <w:t>paketleri</w:t>
      </w:r>
      <w:r>
        <w:rPr>
          <w:spacing w:val="-14"/>
        </w:rPr>
        <w:t> </w:t>
      </w:r>
      <w:r>
        <w:rPr/>
        <w:t>ve</w:t>
      </w:r>
      <w:r>
        <w:rPr>
          <w:spacing w:val="-15"/>
        </w:rPr>
        <w:t> </w:t>
      </w:r>
      <w:r>
        <w:rPr/>
        <w:t>özellikleri</w:t>
      </w:r>
      <w:r>
        <w:rPr>
          <w:spacing w:val="-15"/>
        </w:rPr>
        <w:t> </w:t>
      </w:r>
      <w:r>
        <w:rPr/>
        <w:t>branşlara</w:t>
      </w:r>
      <w:r>
        <w:rPr>
          <w:spacing w:val="-15"/>
        </w:rPr>
        <w:t> </w:t>
      </w:r>
      <w:r>
        <w:rPr/>
        <w:t>yönelik</w:t>
      </w:r>
      <w:r>
        <w:rPr>
          <w:spacing w:val="-15"/>
        </w:rPr>
        <w:t> </w:t>
      </w:r>
      <w:r>
        <w:rPr/>
        <w:t>farklılıklar</w:t>
      </w:r>
      <w:r>
        <w:rPr>
          <w:spacing w:val="-14"/>
        </w:rPr>
        <w:t> </w:t>
      </w:r>
      <w:r>
        <w:rPr/>
        <w:t>göstermektedir. Araştırmamız yalnızca futbol bağlamına odaklandığı için gelecekte yapılacak araştırmalarda farklı spor branşlarına yönelik çalışmalar gerçekleştirilebilir. Bunun yanında branşlara özgü bilet paketlerinin</w:t>
      </w:r>
      <w:r>
        <w:rPr>
          <w:spacing w:val="-3"/>
        </w:rPr>
        <w:t> </w:t>
      </w:r>
      <w:r>
        <w:rPr/>
        <w:t>farklılığına</w:t>
      </w:r>
      <w:r>
        <w:rPr>
          <w:spacing w:val="-5"/>
        </w:rPr>
        <w:t> </w:t>
      </w:r>
      <w:r>
        <w:rPr/>
        <w:t>yönelik</w:t>
      </w:r>
      <w:r>
        <w:rPr>
          <w:spacing w:val="-3"/>
        </w:rPr>
        <w:t> </w:t>
      </w:r>
      <w:r>
        <w:rPr/>
        <w:t>uyarlamalar</w:t>
      </w:r>
      <w:r>
        <w:rPr>
          <w:spacing w:val="-3"/>
        </w:rPr>
        <w:t> </w:t>
      </w:r>
      <w:r>
        <w:rPr/>
        <w:t>ve</w:t>
      </w:r>
      <w:r>
        <w:rPr>
          <w:spacing w:val="-5"/>
        </w:rPr>
        <w:t> </w:t>
      </w:r>
      <w:r>
        <w:rPr/>
        <w:t>eklemeler</w:t>
      </w:r>
      <w:r>
        <w:rPr>
          <w:spacing w:val="-3"/>
        </w:rPr>
        <w:t> </w:t>
      </w:r>
      <w:r>
        <w:rPr/>
        <w:t>yapılarak</w:t>
      </w:r>
      <w:r>
        <w:rPr>
          <w:spacing w:val="-3"/>
        </w:rPr>
        <w:t> </w:t>
      </w:r>
      <w:r>
        <w:rPr/>
        <w:t>ölçeğin</w:t>
      </w:r>
      <w:r>
        <w:rPr>
          <w:spacing w:val="-3"/>
        </w:rPr>
        <w:t> </w:t>
      </w:r>
      <w:r>
        <w:rPr/>
        <w:t>kapsamı</w:t>
      </w:r>
      <w:r>
        <w:rPr>
          <w:spacing w:val="-5"/>
        </w:rPr>
        <w:t> </w:t>
      </w:r>
      <w:r>
        <w:rPr/>
        <w:t>genişletilebilir. Bunların yanında McDonald vd. (2013) tarafından önerilen farklı faktörler (bilet teslimat hızı) çalışmalara eklenerek taraftarların memnuniyetine yönelik etkileri araştırılabilir. Ayrıca bu bilgiler ışığında</w:t>
      </w:r>
      <w:r>
        <w:rPr>
          <w:spacing w:val="-1"/>
        </w:rPr>
        <w:t> </w:t>
      </w:r>
      <w:r>
        <w:rPr/>
        <w:t>çalışmamızın spor yönetimi</w:t>
      </w:r>
      <w:r>
        <w:rPr>
          <w:spacing w:val="-1"/>
        </w:rPr>
        <w:t> </w:t>
      </w:r>
      <w:r>
        <w:rPr/>
        <w:t>literatürüne</w:t>
      </w:r>
      <w:r>
        <w:rPr>
          <w:spacing w:val="-1"/>
        </w:rPr>
        <w:t> </w:t>
      </w:r>
      <w:r>
        <w:rPr/>
        <w:t>teorik ve</w:t>
      </w:r>
      <w:r>
        <w:rPr>
          <w:spacing w:val="-1"/>
        </w:rPr>
        <w:t> </w:t>
      </w:r>
      <w:r>
        <w:rPr/>
        <w:t>pratik katkılar sunacağı</w:t>
      </w:r>
      <w:r>
        <w:rPr>
          <w:spacing w:val="-1"/>
        </w:rPr>
        <w:t> </w:t>
      </w:r>
      <w:r>
        <w:rPr/>
        <w:t>düşünülmektedir. Tekrar satın almayı etkileyen önemli faktörlerden biri olduğu düşünülen memnuniyetin, spor kulüpleri ve sezonluk (kombine) bilet sahibi taraftarlar arasındaki ilişkiye yönelik daha fazla bilgi edinme fırsatı verebilir. Yöneticiler açısından, sezonluk bilet sahibi taraftarların algılarını yönetmek için</w:t>
      </w:r>
      <w:r>
        <w:rPr>
          <w:spacing w:val="-15"/>
        </w:rPr>
        <w:t> </w:t>
      </w:r>
      <w:r>
        <w:rPr/>
        <w:t>gereken</w:t>
      </w:r>
      <w:r>
        <w:rPr>
          <w:spacing w:val="-15"/>
        </w:rPr>
        <w:t> </w:t>
      </w:r>
      <w:r>
        <w:rPr/>
        <w:t>bütünsel</w:t>
      </w:r>
      <w:r>
        <w:rPr>
          <w:spacing w:val="-15"/>
        </w:rPr>
        <w:t> </w:t>
      </w:r>
      <w:r>
        <w:rPr/>
        <w:t>yaklaşım,</w:t>
      </w:r>
      <w:r>
        <w:rPr>
          <w:spacing w:val="-15"/>
        </w:rPr>
        <w:t> </w:t>
      </w:r>
      <w:r>
        <w:rPr/>
        <w:t>organizasyonun</w:t>
      </w:r>
      <w:r>
        <w:rPr>
          <w:spacing w:val="-15"/>
        </w:rPr>
        <w:t> </w:t>
      </w:r>
      <w:r>
        <w:rPr/>
        <w:t>tüm</w:t>
      </w:r>
      <w:r>
        <w:rPr>
          <w:spacing w:val="-15"/>
        </w:rPr>
        <w:t> </w:t>
      </w:r>
      <w:r>
        <w:rPr/>
        <w:t>seviyelerinin</w:t>
      </w:r>
      <w:r>
        <w:rPr>
          <w:spacing w:val="-15"/>
        </w:rPr>
        <w:t> </w:t>
      </w:r>
      <w:r>
        <w:rPr/>
        <w:t>tesis,</w:t>
      </w:r>
      <w:r>
        <w:rPr>
          <w:spacing w:val="-15"/>
        </w:rPr>
        <w:t> </w:t>
      </w:r>
      <w:r>
        <w:rPr/>
        <w:t>personel,</w:t>
      </w:r>
      <w:r>
        <w:rPr>
          <w:spacing w:val="-15"/>
        </w:rPr>
        <w:t> </w:t>
      </w:r>
      <w:r>
        <w:rPr/>
        <w:t>yönetim,</w:t>
      </w:r>
      <w:r>
        <w:rPr>
          <w:spacing w:val="-15"/>
        </w:rPr>
        <w:t> </w:t>
      </w:r>
      <w:r>
        <w:rPr/>
        <w:t>oyuncular ve hizmet sağlayıcıların maç deneyimini şekillendirmede oynadığı önemli rolün farkına varılmasını </w:t>
      </w:r>
      <w:r>
        <w:rPr>
          <w:spacing w:val="-2"/>
        </w:rPr>
        <w:t>gerektirmektedir.</w:t>
      </w:r>
    </w:p>
    <w:p>
      <w:pPr>
        <w:pStyle w:val="Heading1"/>
        <w:spacing w:before="245"/>
      </w:pPr>
      <w:r>
        <w:rPr/>
        <w:t>Etik</w:t>
      </w:r>
      <w:r>
        <w:rPr>
          <w:spacing w:val="-2"/>
        </w:rPr>
        <w:t> </w:t>
      </w:r>
      <w:r>
        <w:rPr/>
        <w:t>Kurul</w:t>
      </w:r>
      <w:r>
        <w:rPr>
          <w:spacing w:val="-4"/>
        </w:rPr>
        <w:t> </w:t>
      </w:r>
      <w:r>
        <w:rPr/>
        <w:t>İzin</w:t>
      </w:r>
      <w:r>
        <w:rPr>
          <w:spacing w:val="-1"/>
        </w:rPr>
        <w:t> </w:t>
      </w:r>
      <w:r>
        <w:rPr>
          <w:spacing w:val="-2"/>
        </w:rPr>
        <w:t>Bilgileri</w:t>
      </w:r>
    </w:p>
    <w:p>
      <w:pPr>
        <w:pStyle w:val="BodyText"/>
        <w:spacing w:line="360" w:lineRule="auto" w:before="254"/>
        <w:ind w:left="735" w:right="876"/>
        <w:jc w:val="both"/>
      </w:pPr>
      <w:r>
        <w:rPr/>
        <w:t>Etik değerlendirme kurulu: Kırıkkale Üniversitesi Sosyal ve Beşerî Bilimler Araştırmaları Etik </w:t>
      </w:r>
      <w:r>
        <w:rPr>
          <w:spacing w:val="-2"/>
        </w:rPr>
        <w:t>Kurulu</w:t>
      </w:r>
    </w:p>
    <w:p>
      <w:pPr>
        <w:pStyle w:val="BodyText"/>
        <w:spacing w:before="122"/>
        <w:ind w:left="735"/>
      </w:pPr>
      <w:r>
        <w:rPr/>
        <w:t>Etik</w:t>
      </w:r>
      <w:r>
        <w:rPr>
          <w:spacing w:val="-5"/>
        </w:rPr>
        <w:t> </w:t>
      </w:r>
      <w:r>
        <w:rPr/>
        <w:t>değerlendirme</w:t>
      </w:r>
      <w:r>
        <w:rPr>
          <w:spacing w:val="-6"/>
        </w:rPr>
        <w:t> </w:t>
      </w:r>
      <w:r>
        <w:rPr/>
        <w:t>belgesinin</w:t>
      </w:r>
      <w:r>
        <w:rPr>
          <w:spacing w:val="-1"/>
        </w:rPr>
        <w:t> </w:t>
      </w:r>
      <w:r>
        <w:rPr/>
        <w:t>tarihi:</w:t>
      </w:r>
      <w:r>
        <w:rPr>
          <w:spacing w:val="-3"/>
        </w:rPr>
        <w:t> </w:t>
      </w:r>
      <w:r>
        <w:rPr>
          <w:spacing w:val="-2"/>
        </w:rPr>
        <w:t>29.03.2023</w:t>
      </w:r>
    </w:p>
    <w:p>
      <w:pPr>
        <w:pStyle w:val="BodyText"/>
        <w:spacing w:before="259"/>
        <w:ind w:left="735"/>
      </w:pPr>
      <w:r>
        <w:rPr/>
        <w:t>Etik</w:t>
      </w:r>
      <w:r>
        <w:rPr>
          <w:spacing w:val="-3"/>
        </w:rPr>
        <w:t> </w:t>
      </w:r>
      <w:r>
        <w:rPr/>
        <w:t>değerlendirme</w:t>
      </w:r>
      <w:r>
        <w:rPr>
          <w:spacing w:val="-5"/>
        </w:rPr>
        <w:t> </w:t>
      </w:r>
      <w:r>
        <w:rPr/>
        <w:t>belgesinin</w:t>
      </w:r>
      <w:r>
        <w:rPr>
          <w:spacing w:val="-3"/>
        </w:rPr>
        <w:t> </w:t>
      </w:r>
      <w:r>
        <w:rPr/>
        <w:t>sayı</w:t>
      </w:r>
      <w:r>
        <w:rPr>
          <w:spacing w:val="-5"/>
        </w:rPr>
        <w:t> </w:t>
      </w:r>
      <w:r>
        <w:rPr/>
        <w:t>numarası: </w:t>
      </w:r>
      <w:r>
        <w:rPr>
          <w:spacing w:val="-2"/>
        </w:rPr>
        <w:t>161283</w:t>
      </w:r>
    </w:p>
    <w:p>
      <w:pPr>
        <w:pStyle w:val="Heading1"/>
        <w:spacing w:before="259"/>
      </w:pPr>
      <w:r>
        <w:rPr/>
        <w:t>Araştırmacıların</w:t>
      </w:r>
      <w:r>
        <w:rPr>
          <w:spacing w:val="-5"/>
        </w:rPr>
        <w:t> </w:t>
      </w:r>
      <w:r>
        <w:rPr/>
        <w:t>Katkı</w:t>
      </w:r>
      <w:r>
        <w:rPr>
          <w:spacing w:val="-8"/>
        </w:rPr>
        <w:t> </w:t>
      </w:r>
      <w:r>
        <w:rPr/>
        <w:t>Oranları</w:t>
      </w:r>
      <w:r>
        <w:rPr>
          <w:spacing w:val="-7"/>
        </w:rPr>
        <w:t> </w:t>
      </w:r>
      <w:r>
        <w:rPr>
          <w:spacing w:val="-2"/>
        </w:rPr>
        <w:t>Beyanı</w:t>
      </w:r>
    </w:p>
    <w:p>
      <w:pPr>
        <w:pStyle w:val="BodyText"/>
        <w:spacing w:before="255"/>
        <w:ind w:left="735"/>
      </w:pPr>
      <w:r>
        <w:rPr/>
        <w:t>Araştırmanın tüm</w:t>
      </w:r>
      <w:r>
        <w:rPr>
          <w:spacing w:val="-4"/>
        </w:rPr>
        <w:t> </w:t>
      </w:r>
      <w:r>
        <w:rPr/>
        <w:t>aşamalarında</w:t>
      </w:r>
      <w:r>
        <w:rPr>
          <w:spacing w:val="-4"/>
        </w:rPr>
        <w:t> </w:t>
      </w:r>
      <w:r>
        <w:rPr/>
        <w:t>iki</w:t>
      </w:r>
      <w:r>
        <w:rPr>
          <w:spacing w:val="-4"/>
        </w:rPr>
        <w:t> </w:t>
      </w:r>
      <w:r>
        <w:rPr/>
        <w:t>yazar</w:t>
      </w:r>
      <w:r>
        <w:rPr>
          <w:spacing w:val="-1"/>
        </w:rPr>
        <w:t> </w:t>
      </w:r>
      <w:r>
        <w:rPr/>
        <w:t>da</w:t>
      </w:r>
      <w:r>
        <w:rPr>
          <w:spacing w:val="-4"/>
        </w:rPr>
        <w:t> </w:t>
      </w:r>
      <w:r>
        <w:rPr/>
        <w:t>eşit</w:t>
      </w:r>
      <w:r>
        <w:rPr>
          <w:spacing w:val="-4"/>
        </w:rPr>
        <w:t> </w:t>
      </w:r>
      <w:r>
        <w:rPr/>
        <w:t>katkıda</w:t>
      </w:r>
      <w:r>
        <w:rPr>
          <w:spacing w:val="-3"/>
        </w:rPr>
        <w:t> </w:t>
      </w:r>
      <w:r>
        <w:rPr>
          <w:spacing w:val="-2"/>
        </w:rPr>
        <w:t>bulunmuştur.</w:t>
      </w:r>
    </w:p>
    <w:p>
      <w:pPr>
        <w:pStyle w:val="Heading1"/>
        <w:spacing w:before="259"/>
      </w:pPr>
      <w:r>
        <w:rPr/>
        <w:t>Çatışma </w:t>
      </w:r>
      <w:r>
        <w:rPr>
          <w:spacing w:val="-2"/>
        </w:rPr>
        <w:t>Beyanı</w:t>
      </w:r>
    </w:p>
    <w:p>
      <w:pPr>
        <w:pStyle w:val="BodyText"/>
        <w:spacing w:before="259"/>
        <w:ind w:left="735"/>
      </w:pPr>
      <w:r>
        <w:rPr/>
        <w:t>Yazarların</w:t>
      </w:r>
      <w:r>
        <w:rPr>
          <w:spacing w:val="-2"/>
        </w:rPr>
        <w:t> </w:t>
      </w:r>
      <w:r>
        <w:rPr/>
        <w:t>araştırma</w:t>
      </w:r>
      <w:r>
        <w:rPr>
          <w:spacing w:val="-3"/>
        </w:rPr>
        <w:t> </w:t>
      </w:r>
      <w:r>
        <w:rPr/>
        <w:t>ile</w:t>
      </w:r>
      <w:r>
        <w:rPr>
          <w:spacing w:val="-4"/>
        </w:rPr>
        <w:t> </w:t>
      </w:r>
      <w:r>
        <w:rPr/>
        <w:t>ilgili</w:t>
      </w:r>
      <w:r>
        <w:rPr>
          <w:spacing w:val="-3"/>
        </w:rPr>
        <w:t> </w:t>
      </w:r>
      <w:r>
        <w:rPr/>
        <w:t>bir</w:t>
      </w:r>
      <w:r>
        <w:rPr>
          <w:spacing w:val="-2"/>
        </w:rPr>
        <w:t> </w:t>
      </w:r>
      <w:r>
        <w:rPr/>
        <w:t>çatışma</w:t>
      </w:r>
      <w:r>
        <w:rPr>
          <w:spacing w:val="-3"/>
        </w:rPr>
        <w:t> </w:t>
      </w:r>
      <w:r>
        <w:rPr/>
        <w:t>beyanı</w:t>
      </w:r>
      <w:r>
        <w:rPr>
          <w:spacing w:val="-3"/>
        </w:rPr>
        <w:t> </w:t>
      </w:r>
      <w:r>
        <w:rPr>
          <w:spacing w:val="-2"/>
        </w:rPr>
        <w:t>bulunmamaktadır.</w:t>
      </w:r>
    </w:p>
    <w:p>
      <w:pPr>
        <w:pStyle w:val="BodyText"/>
      </w:pPr>
    </w:p>
    <w:p>
      <w:pPr>
        <w:pStyle w:val="BodyText"/>
        <w:spacing w:before="122"/>
      </w:pPr>
    </w:p>
    <w:p>
      <w:pPr>
        <w:spacing w:before="1"/>
        <w:ind w:left="1446" w:right="0" w:firstLine="0"/>
        <w:jc w:val="left"/>
        <w:rPr>
          <w:sz w:val="24"/>
        </w:rPr>
      </w:pPr>
      <w:r>
        <w:rPr>
          <w:spacing w:val="-10"/>
          <w:sz w:val="24"/>
        </w:rPr>
        <w:t>.</w:t>
      </w:r>
    </w:p>
    <w:p>
      <w:pPr>
        <w:spacing w:after="0"/>
        <w:jc w:val="left"/>
        <w:rPr>
          <w:sz w:val="24"/>
        </w:rPr>
        <w:sectPr>
          <w:pgSz w:w="11910" w:h="16840"/>
          <w:pgMar w:header="442" w:footer="532" w:top="780" w:bottom="720" w:left="400" w:right="260"/>
        </w:sectPr>
      </w:pPr>
    </w:p>
    <w:p>
      <w:pPr>
        <w:pStyle w:val="BodyText"/>
        <w:spacing w:before="60"/>
      </w:pPr>
    </w:p>
    <w:p>
      <w:pPr>
        <w:pStyle w:val="Heading1"/>
      </w:pPr>
      <w:r>
        <w:rPr>
          <w:spacing w:val="-2"/>
        </w:rPr>
        <w:t>Kaynakça</w:t>
      </w:r>
    </w:p>
    <w:p>
      <w:pPr>
        <w:pStyle w:val="BodyText"/>
        <w:spacing w:before="235"/>
        <w:rPr>
          <w:b/>
        </w:rPr>
      </w:pPr>
    </w:p>
    <w:p>
      <w:pPr>
        <w:spacing w:before="0"/>
        <w:ind w:left="1300" w:right="863" w:hanging="565"/>
        <w:jc w:val="both"/>
        <w:rPr>
          <w:sz w:val="20"/>
        </w:rPr>
      </w:pPr>
      <w:r>
        <w:rPr>
          <w:sz w:val="20"/>
        </w:rPr>
        <w:t>Altunışık, R., Coşkun, R., Bayraktaroğlu, S., ve Yıldırım, E. (2010). </w:t>
      </w:r>
      <w:r>
        <w:rPr>
          <w:i/>
          <w:sz w:val="20"/>
        </w:rPr>
        <w:t>Sosyal bilimlerde araştırma yöntemleri SPSS</w:t>
      </w:r>
      <w:r>
        <w:rPr>
          <w:i/>
          <w:sz w:val="20"/>
        </w:rPr>
        <w:t> uygulamalı </w:t>
      </w:r>
      <w:r>
        <w:rPr>
          <w:sz w:val="20"/>
        </w:rPr>
        <w:t>(6. Baskı). Sakarya Yayıncılık.</w:t>
      </w:r>
    </w:p>
    <w:p>
      <w:pPr>
        <w:spacing w:before="160"/>
        <w:ind w:left="1300" w:right="863" w:hanging="565"/>
        <w:jc w:val="both"/>
        <w:rPr>
          <w:sz w:val="20"/>
        </w:rPr>
      </w:pPr>
      <w:r>
        <w:rPr>
          <w:sz w:val="20"/>
        </w:rPr>
        <w:t>Beccarini, C. ve Ferrand, A. (2006). Factors affecting soccer club season ticket holders’ satisfaction: The Influence of Club Image and Fans’ Motives. </w:t>
      </w:r>
      <w:r>
        <w:rPr>
          <w:i/>
          <w:sz w:val="20"/>
        </w:rPr>
        <w:t>European Sport Management Quarterly</w:t>
      </w:r>
      <w:r>
        <w:rPr>
          <w:sz w:val="20"/>
        </w:rPr>
        <w:t>, </w:t>
      </w:r>
      <w:r>
        <w:rPr>
          <w:i/>
          <w:sz w:val="20"/>
        </w:rPr>
        <w:t>6</w:t>
      </w:r>
      <w:r>
        <w:rPr>
          <w:sz w:val="20"/>
        </w:rPr>
        <w:t>(1), 1-22. </w:t>
      </w:r>
      <w:r>
        <w:rPr>
          <w:spacing w:val="-2"/>
          <w:sz w:val="20"/>
        </w:rPr>
        <w:t>https://doi.org/10.1080/16184740600799154</w:t>
      </w:r>
    </w:p>
    <w:p>
      <w:pPr>
        <w:spacing w:before="161"/>
        <w:ind w:left="735" w:right="0" w:firstLine="0"/>
        <w:jc w:val="left"/>
        <w:rPr>
          <w:sz w:val="20"/>
        </w:rPr>
      </w:pPr>
      <w:r>
        <w:rPr>
          <w:sz w:val="20"/>
        </w:rPr>
        <w:t>Brislin,</w:t>
      </w:r>
      <w:r>
        <w:rPr>
          <w:spacing w:val="41"/>
          <w:sz w:val="20"/>
        </w:rPr>
        <w:t> </w:t>
      </w:r>
      <w:r>
        <w:rPr>
          <w:sz w:val="20"/>
        </w:rPr>
        <w:t>R.</w:t>
      </w:r>
      <w:r>
        <w:rPr>
          <w:spacing w:val="43"/>
          <w:sz w:val="20"/>
        </w:rPr>
        <w:t> </w:t>
      </w:r>
      <w:r>
        <w:rPr>
          <w:sz w:val="20"/>
        </w:rPr>
        <w:t>W.</w:t>
      </w:r>
      <w:r>
        <w:rPr>
          <w:spacing w:val="44"/>
          <w:sz w:val="20"/>
        </w:rPr>
        <w:t> </w:t>
      </w:r>
      <w:r>
        <w:rPr>
          <w:sz w:val="20"/>
        </w:rPr>
        <w:t>(1980).</w:t>
      </w:r>
      <w:r>
        <w:rPr>
          <w:spacing w:val="46"/>
          <w:sz w:val="20"/>
        </w:rPr>
        <w:t> </w:t>
      </w:r>
      <w:r>
        <w:rPr>
          <w:sz w:val="20"/>
        </w:rPr>
        <w:t>Cross-cultural</w:t>
      </w:r>
      <w:r>
        <w:rPr>
          <w:spacing w:val="43"/>
          <w:sz w:val="20"/>
        </w:rPr>
        <w:t> </w:t>
      </w:r>
      <w:r>
        <w:rPr>
          <w:sz w:val="20"/>
        </w:rPr>
        <w:t>research</w:t>
      </w:r>
      <w:r>
        <w:rPr>
          <w:spacing w:val="44"/>
          <w:sz w:val="20"/>
        </w:rPr>
        <w:t> </w:t>
      </w:r>
      <w:r>
        <w:rPr>
          <w:sz w:val="20"/>
        </w:rPr>
        <w:t>methods.</w:t>
      </w:r>
      <w:r>
        <w:rPr>
          <w:spacing w:val="47"/>
          <w:sz w:val="20"/>
        </w:rPr>
        <w:t> </w:t>
      </w:r>
      <w:r>
        <w:rPr>
          <w:sz w:val="20"/>
        </w:rPr>
        <w:t>İçinde</w:t>
      </w:r>
      <w:r>
        <w:rPr>
          <w:spacing w:val="46"/>
          <w:sz w:val="20"/>
        </w:rPr>
        <w:t> </w:t>
      </w:r>
      <w:r>
        <w:rPr>
          <w:sz w:val="20"/>
        </w:rPr>
        <w:t>I.</w:t>
      </w:r>
      <w:r>
        <w:rPr>
          <w:spacing w:val="43"/>
          <w:sz w:val="20"/>
        </w:rPr>
        <w:t> </w:t>
      </w:r>
      <w:r>
        <w:rPr>
          <w:sz w:val="20"/>
        </w:rPr>
        <w:t>Altman,</w:t>
      </w:r>
      <w:r>
        <w:rPr>
          <w:spacing w:val="43"/>
          <w:sz w:val="20"/>
        </w:rPr>
        <w:t> </w:t>
      </w:r>
      <w:r>
        <w:rPr>
          <w:sz w:val="20"/>
        </w:rPr>
        <w:t>A.</w:t>
      </w:r>
      <w:r>
        <w:rPr>
          <w:spacing w:val="44"/>
          <w:sz w:val="20"/>
        </w:rPr>
        <w:t> </w:t>
      </w:r>
      <w:r>
        <w:rPr>
          <w:sz w:val="20"/>
        </w:rPr>
        <w:t>Rapoport</w:t>
      </w:r>
      <w:r>
        <w:rPr>
          <w:spacing w:val="43"/>
          <w:sz w:val="20"/>
        </w:rPr>
        <w:t> </w:t>
      </w:r>
      <w:r>
        <w:rPr>
          <w:sz w:val="20"/>
        </w:rPr>
        <w:t>ve</w:t>
      </w:r>
      <w:r>
        <w:rPr>
          <w:spacing w:val="44"/>
          <w:sz w:val="20"/>
        </w:rPr>
        <w:t> </w:t>
      </w:r>
      <w:r>
        <w:rPr>
          <w:sz w:val="20"/>
        </w:rPr>
        <w:t>J.</w:t>
      </w:r>
      <w:r>
        <w:rPr>
          <w:spacing w:val="44"/>
          <w:sz w:val="20"/>
        </w:rPr>
        <w:t> </w:t>
      </w:r>
      <w:r>
        <w:rPr>
          <w:sz w:val="20"/>
        </w:rPr>
        <w:t>F.</w:t>
      </w:r>
      <w:r>
        <w:rPr>
          <w:spacing w:val="43"/>
          <w:sz w:val="20"/>
        </w:rPr>
        <w:t> </w:t>
      </w:r>
      <w:r>
        <w:rPr>
          <w:sz w:val="20"/>
        </w:rPr>
        <w:t>Wohlwill</w:t>
      </w:r>
      <w:r>
        <w:rPr>
          <w:spacing w:val="49"/>
          <w:sz w:val="20"/>
        </w:rPr>
        <w:t> </w:t>
      </w:r>
      <w:r>
        <w:rPr>
          <w:spacing w:val="-2"/>
          <w:sz w:val="20"/>
        </w:rPr>
        <w:t>(Eds.),</w:t>
      </w:r>
    </w:p>
    <w:p>
      <w:pPr>
        <w:spacing w:before="0"/>
        <w:ind w:left="1300" w:right="0" w:firstLine="0"/>
        <w:jc w:val="left"/>
        <w:rPr>
          <w:sz w:val="20"/>
        </w:rPr>
      </w:pPr>
      <w:r>
        <w:rPr>
          <w:i/>
          <w:sz w:val="20"/>
        </w:rPr>
        <w:t>Environment</w:t>
      </w:r>
      <w:r>
        <w:rPr>
          <w:i/>
          <w:spacing w:val="-7"/>
          <w:sz w:val="20"/>
        </w:rPr>
        <w:t> </w:t>
      </w:r>
      <w:r>
        <w:rPr>
          <w:i/>
          <w:sz w:val="20"/>
        </w:rPr>
        <w:t>and</w:t>
      </w:r>
      <w:r>
        <w:rPr>
          <w:i/>
          <w:spacing w:val="-3"/>
          <w:sz w:val="20"/>
        </w:rPr>
        <w:t> </w:t>
      </w:r>
      <w:r>
        <w:rPr>
          <w:i/>
          <w:sz w:val="20"/>
        </w:rPr>
        <w:t>Culture </w:t>
      </w:r>
      <w:r>
        <w:rPr>
          <w:sz w:val="20"/>
        </w:rPr>
        <w:t>(ss.</w:t>
      </w:r>
      <w:r>
        <w:rPr>
          <w:spacing w:val="-3"/>
          <w:sz w:val="20"/>
        </w:rPr>
        <w:t> </w:t>
      </w:r>
      <w:r>
        <w:rPr>
          <w:sz w:val="20"/>
        </w:rPr>
        <w:t>47–82),</w:t>
      </w:r>
      <w:r>
        <w:rPr>
          <w:spacing w:val="-3"/>
          <w:sz w:val="20"/>
        </w:rPr>
        <w:t> </w:t>
      </w:r>
      <w:r>
        <w:rPr>
          <w:sz w:val="20"/>
        </w:rPr>
        <w:t>Springer.</w:t>
      </w:r>
      <w:r>
        <w:rPr>
          <w:spacing w:val="-3"/>
          <w:sz w:val="20"/>
        </w:rPr>
        <w:t> </w:t>
      </w:r>
      <w:r>
        <w:rPr>
          <w:sz w:val="20"/>
        </w:rPr>
        <w:t>https://doi.org/10.1007/978-1-4899-0451-</w:t>
      </w:r>
      <w:r>
        <w:rPr>
          <w:spacing w:val="-5"/>
          <w:sz w:val="20"/>
        </w:rPr>
        <w:t>5_3</w:t>
      </w:r>
    </w:p>
    <w:p>
      <w:pPr>
        <w:spacing w:before="160"/>
        <w:ind w:left="1300" w:right="864" w:hanging="565"/>
        <w:jc w:val="both"/>
        <w:rPr>
          <w:sz w:val="20"/>
        </w:rPr>
      </w:pPr>
      <w:r>
        <w:rPr>
          <w:sz w:val="20"/>
        </w:rPr>
        <w:t>Büyüköztürk, Ş. (2020). </w:t>
      </w:r>
      <w:r>
        <w:rPr>
          <w:i/>
          <w:sz w:val="20"/>
        </w:rPr>
        <w:t>Sosyal bilimler için veri analizi el kitabı </w:t>
      </w:r>
      <w:r>
        <w:rPr>
          <w:sz w:val="20"/>
        </w:rPr>
        <w:t>(28. Baskı). Pegem Akademi. </w:t>
      </w:r>
      <w:r>
        <w:rPr>
          <w:spacing w:val="-2"/>
          <w:sz w:val="20"/>
        </w:rPr>
        <w:t>https://doi.org/10.145279789756802748</w:t>
      </w:r>
    </w:p>
    <w:p>
      <w:pPr>
        <w:spacing w:before="160"/>
        <w:ind w:left="735" w:right="0" w:firstLine="0"/>
        <w:jc w:val="left"/>
        <w:rPr>
          <w:sz w:val="20"/>
        </w:rPr>
      </w:pPr>
      <w:r>
        <w:rPr>
          <w:sz w:val="20"/>
        </w:rPr>
        <w:t>Byrne,</w:t>
      </w:r>
      <w:r>
        <w:rPr>
          <w:spacing w:val="23"/>
          <w:sz w:val="20"/>
        </w:rPr>
        <w:t> </w:t>
      </w:r>
      <w:r>
        <w:rPr>
          <w:sz w:val="20"/>
        </w:rPr>
        <w:t>B.</w:t>
      </w:r>
      <w:r>
        <w:rPr>
          <w:spacing w:val="24"/>
          <w:sz w:val="20"/>
        </w:rPr>
        <w:t> </w:t>
      </w:r>
      <w:r>
        <w:rPr>
          <w:sz w:val="20"/>
        </w:rPr>
        <w:t>M.</w:t>
      </w:r>
      <w:r>
        <w:rPr>
          <w:spacing w:val="23"/>
          <w:sz w:val="20"/>
        </w:rPr>
        <w:t> </w:t>
      </w:r>
      <w:r>
        <w:rPr>
          <w:sz w:val="20"/>
        </w:rPr>
        <w:t>(2016).</w:t>
      </w:r>
      <w:r>
        <w:rPr>
          <w:spacing w:val="27"/>
          <w:sz w:val="20"/>
        </w:rPr>
        <w:t> </w:t>
      </w:r>
      <w:r>
        <w:rPr>
          <w:i/>
          <w:sz w:val="20"/>
        </w:rPr>
        <w:t>Structural</w:t>
      </w:r>
      <w:r>
        <w:rPr>
          <w:i/>
          <w:spacing w:val="23"/>
          <w:sz w:val="20"/>
        </w:rPr>
        <w:t> </w:t>
      </w:r>
      <w:r>
        <w:rPr>
          <w:i/>
          <w:sz w:val="20"/>
        </w:rPr>
        <w:t>equation</w:t>
      </w:r>
      <w:r>
        <w:rPr>
          <w:i/>
          <w:spacing w:val="24"/>
          <w:sz w:val="20"/>
        </w:rPr>
        <w:t> </w:t>
      </w:r>
      <w:r>
        <w:rPr>
          <w:i/>
          <w:sz w:val="20"/>
        </w:rPr>
        <w:t>modeling</w:t>
      </w:r>
      <w:r>
        <w:rPr>
          <w:i/>
          <w:spacing w:val="24"/>
          <w:sz w:val="20"/>
        </w:rPr>
        <w:t> </w:t>
      </w:r>
      <w:r>
        <w:rPr>
          <w:i/>
          <w:sz w:val="20"/>
        </w:rPr>
        <w:t>with</w:t>
      </w:r>
      <w:r>
        <w:rPr>
          <w:i/>
          <w:spacing w:val="23"/>
          <w:sz w:val="20"/>
        </w:rPr>
        <w:t> </w:t>
      </w:r>
      <w:r>
        <w:rPr>
          <w:i/>
          <w:sz w:val="20"/>
        </w:rPr>
        <w:t>AMOS:</w:t>
      </w:r>
      <w:r>
        <w:rPr>
          <w:i/>
          <w:spacing w:val="23"/>
          <w:sz w:val="20"/>
        </w:rPr>
        <w:t> </w:t>
      </w:r>
      <w:r>
        <w:rPr>
          <w:i/>
          <w:sz w:val="20"/>
        </w:rPr>
        <w:t>Basic</w:t>
      </w:r>
      <w:r>
        <w:rPr>
          <w:i/>
          <w:spacing w:val="24"/>
          <w:sz w:val="20"/>
        </w:rPr>
        <w:t> </w:t>
      </w:r>
      <w:r>
        <w:rPr>
          <w:i/>
          <w:sz w:val="20"/>
        </w:rPr>
        <w:t>concepts,</w:t>
      </w:r>
      <w:r>
        <w:rPr>
          <w:i/>
          <w:spacing w:val="24"/>
          <w:sz w:val="20"/>
        </w:rPr>
        <w:t> </w:t>
      </w:r>
      <w:r>
        <w:rPr>
          <w:i/>
          <w:sz w:val="20"/>
        </w:rPr>
        <w:t>applications,</w:t>
      </w:r>
      <w:r>
        <w:rPr>
          <w:i/>
          <w:spacing w:val="23"/>
          <w:sz w:val="20"/>
        </w:rPr>
        <w:t> </w:t>
      </w:r>
      <w:r>
        <w:rPr>
          <w:i/>
          <w:sz w:val="20"/>
        </w:rPr>
        <w:t>and</w:t>
      </w:r>
      <w:r>
        <w:rPr>
          <w:i/>
          <w:spacing w:val="24"/>
          <w:sz w:val="20"/>
        </w:rPr>
        <w:t> </w:t>
      </w:r>
      <w:r>
        <w:rPr>
          <w:i/>
          <w:sz w:val="20"/>
        </w:rPr>
        <w:t>programming</w:t>
      </w:r>
      <w:r>
        <w:rPr>
          <w:i/>
          <w:spacing w:val="34"/>
          <w:sz w:val="20"/>
        </w:rPr>
        <w:t> </w:t>
      </w:r>
      <w:r>
        <w:rPr>
          <w:spacing w:val="-5"/>
          <w:sz w:val="20"/>
        </w:rPr>
        <w:t>(3.</w:t>
      </w:r>
    </w:p>
    <w:p>
      <w:pPr>
        <w:spacing w:before="0"/>
        <w:ind w:left="1300" w:right="0" w:firstLine="0"/>
        <w:jc w:val="left"/>
        <w:rPr>
          <w:sz w:val="20"/>
        </w:rPr>
      </w:pPr>
      <w:r>
        <w:rPr>
          <w:sz w:val="20"/>
        </w:rPr>
        <w:t>Baskı).</w:t>
      </w:r>
      <w:r>
        <w:rPr>
          <w:spacing w:val="1"/>
          <w:sz w:val="20"/>
        </w:rPr>
        <w:t> </w:t>
      </w:r>
      <w:r>
        <w:rPr>
          <w:spacing w:val="-2"/>
          <w:sz w:val="20"/>
        </w:rPr>
        <w:t>Routledge.</w:t>
      </w:r>
    </w:p>
    <w:p>
      <w:pPr>
        <w:spacing w:before="160"/>
        <w:ind w:left="1300" w:right="868" w:hanging="565"/>
        <w:jc w:val="both"/>
        <w:rPr>
          <w:sz w:val="20"/>
        </w:rPr>
      </w:pPr>
      <w:r>
        <w:rPr>
          <w:sz w:val="20"/>
        </w:rPr>
        <w:t>Cattell, R. B. (1978). </w:t>
      </w:r>
      <w:r>
        <w:rPr>
          <w:i/>
          <w:sz w:val="20"/>
        </w:rPr>
        <w:t>The scientific use of factor analysis in behavioral and life sciences</w:t>
      </w:r>
      <w:r>
        <w:rPr>
          <w:sz w:val="20"/>
        </w:rPr>
        <w:t>. Springer. </w:t>
      </w:r>
      <w:r>
        <w:rPr>
          <w:spacing w:val="-2"/>
          <w:sz w:val="20"/>
        </w:rPr>
        <w:t>https://doi.org/10.1007/978-1-4684-2262-7</w:t>
      </w:r>
    </w:p>
    <w:p>
      <w:pPr>
        <w:spacing w:before="161"/>
        <w:ind w:left="1300" w:right="868" w:hanging="565"/>
        <w:jc w:val="both"/>
        <w:rPr>
          <w:sz w:val="20"/>
        </w:rPr>
      </w:pPr>
      <w:r>
        <w:rPr>
          <w:sz w:val="20"/>
        </w:rPr>
        <w:t>Çokluk, Ö., Şekercioğlu, G., ve Büyüköztürk, Ş. (2021). </w:t>
      </w:r>
      <w:r>
        <w:rPr>
          <w:i/>
          <w:sz w:val="20"/>
        </w:rPr>
        <w:t>Sosyal bilimler için çok değişkenli istatistik SPSS ve LISREL</w:t>
      </w:r>
      <w:r>
        <w:rPr>
          <w:i/>
          <w:sz w:val="20"/>
        </w:rPr>
        <w:t> uygulamaları </w:t>
      </w:r>
      <w:r>
        <w:rPr>
          <w:sz w:val="20"/>
        </w:rPr>
        <w:t>(6. Baskı). Pegem Akademi. https://doi.org/10.14527/ 9786055885670</w:t>
      </w:r>
    </w:p>
    <w:p>
      <w:pPr>
        <w:spacing w:before="160"/>
        <w:ind w:left="1300" w:right="876" w:hanging="565"/>
        <w:jc w:val="both"/>
        <w:rPr>
          <w:sz w:val="20"/>
        </w:rPr>
      </w:pPr>
      <w:r>
        <w:rPr>
          <w:sz w:val="20"/>
        </w:rPr>
        <w:t>Cusumano, M. A., Kahl, S. J., ve Suarez, F. F. (2015). Services, industry evolution, and the competitive strategies of product firms. </w:t>
      </w:r>
      <w:r>
        <w:rPr>
          <w:i/>
          <w:sz w:val="20"/>
        </w:rPr>
        <w:t>Strategic Management Journal</w:t>
      </w:r>
      <w:r>
        <w:rPr>
          <w:sz w:val="20"/>
        </w:rPr>
        <w:t>, </w:t>
      </w:r>
      <w:r>
        <w:rPr>
          <w:i/>
          <w:sz w:val="20"/>
        </w:rPr>
        <w:t>36</w:t>
      </w:r>
      <w:r>
        <w:rPr>
          <w:sz w:val="20"/>
        </w:rPr>
        <w:t>(4), 559–575. https://doi.org/10.1002/smj.2235</w:t>
      </w:r>
    </w:p>
    <w:p>
      <w:pPr>
        <w:spacing w:before="160"/>
        <w:ind w:left="1300" w:right="866" w:hanging="565"/>
        <w:jc w:val="both"/>
        <w:rPr>
          <w:sz w:val="20"/>
        </w:rPr>
      </w:pPr>
      <w:r>
        <w:rPr>
          <w:spacing w:val="-2"/>
          <w:sz w:val="20"/>
        </w:rPr>
        <w:t>Dawes,</w:t>
      </w:r>
      <w:r>
        <w:rPr>
          <w:spacing w:val="-11"/>
          <w:sz w:val="20"/>
        </w:rPr>
        <w:t> </w:t>
      </w:r>
      <w:r>
        <w:rPr>
          <w:spacing w:val="-2"/>
          <w:sz w:val="20"/>
        </w:rPr>
        <w:t>J.</w:t>
      </w:r>
      <w:r>
        <w:rPr>
          <w:spacing w:val="-10"/>
          <w:sz w:val="20"/>
        </w:rPr>
        <w:t> </w:t>
      </w:r>
      <w:r>
        <w:rPr>
          <w:spacing w:val="-2"/>
          <w:sz w:val="20"/>
        </w:rPr>
        <w:t>(2004).</w:t>
      </w:r>
      <w:r>
        <w:rPr>
          <w:spacing w:val="-8"/>
          <w:sz w:val="20"/>
        </w:rPr>
        <w:t> </w:t>
      </w:r>
      <w:r>
        <w:rPr>
          <w:spacing w:val="-2"/>
          <w:sz w:val="20"/>
        </w:rPr>
        <w:t>Price</w:t>
      </w:r>
      <w:r>
        <w:rPr>
          <w:spacing w:val="-7"/>
          <w:sz w:val="20"/>
        </w:rPr>
        <w:t> </w:t>
      </w:r>
      <w:r>
        <w:rPr>
          <w:spacing w:val="-2"/>
          <w:sz w:val="20"/>
        </w:rPr>
        <w:t>changes</w:t>
      </w:r>
      <w:r>
        <w:rPr>
          <w:spacing w:val="-7"/>
          <w:sz w:val="20"/>
        </w:rPr>
        <w:t> </w:t>
      </w:r>
      <w:r>
        <w:rPr>
          <w:spacing w:val="-2"/>
          <w:sz w:val="20"/>
        </w:rPr>
        <w:t>and</w:t>
      </w:r>
      <w:r>
        <w:rPr>
          <w:spacing w:val="-8"/>
          <w:sz w:val="20"/>
        </w:rPr>
        <w:t> </w:t>
      </w:r>
      <w:r>
        <w:rPr>
          <w:spacing w:val="-2"/>
          <w:sz w:val="20"/>
        </w:rPr>
        <w:t>defection</w:t>
      </w:r>
      <w:r>
        <w:rPr>
          <w:spacing w:val="-8"/>
          <w:sz w:val="20"/>
        </w:rPr>
        <w:t> </w:t>
      </w:r>
      <w:r>
        <w:rPr>
          <w:spacing w:val="-2"/>
          <w:sz w:val="20"/>
        </w:rPr>
        <w:t>levels</w:t>
      </w:r>
      <w:r>
        <w:rPr>
          <w:spacing w:val="-7"/>
          <w:sz w:val="20"/>
        </w:rPr>
        <w:t> </w:t>
      </w:r>
      <w:r>
        <w:rPr>
          <w:spacing w:val="-2"/>
          <w:sz w:val="20"/>
        </w:rPr>
        <w:t>in</w:t>
      </w:r>
      <w:r>
        <w:rPr>
          <w:spacing w:val="-9"/>
          <w:sz w:val="20"/>
        </w:rPr>
        <w:t> </w:t>
      </w:r>
      <w:r>
        <w:rPr>
          <w:spacing w:val="-2"/>
          <w:sz w:val="20"/>
        </w:rPr>
        <w:t>a</w:t>
      </w:r>
      <w:r>
        <w:rPr>
          <w:spacing w:val="-11"/>
          <w:sz w:val="20"/>
        </w:rPr>
        <w:t> </w:t>
      </w:r>
      <w:r>
        <w:rPr>
          <w:spacing w:val="-2"/>
          <w:sz w:val="20"/>
        </w:rPr>
        <w:t>subscription‐type</w:t>
      </w:r>
      <w:r>
        <w:rPr>
          <w:spacing w:val="-6"/>
          <w:sz w:val="20"/>
        </w:rPr>
        <w:t> </w:t>
      </w:r>
      <w:r>
        <w:rPr>
          <w:spacing w:val="-2"/>
          <w:sz w:val="20"/>
        </w:rPr>
        <w:t>market: Can</w:t>
      </w:r>
      <w:r>
        <w:rPr>
          <w:spacing w:val="-8"/>
          <w:sz w:val="20"/>
        </w:rPr>
        <w:t> </w:t>
      </w:r>
      <w:r>
        <w:rPr>
          <w:spacing w:val="-2"/>
          <w:sz w:val="20"/>
        </w:rPr>
        <w:t>an</w:t>
      </w:r>
      <w:r>
        <w:rPr>
          <w:spacing w:val="-8"/>
          <w:sz w:val="20"/>
        </w:rPr>
        <w:t> </w:t>
      </w:r>
      <w:r>
        <w:rPr>
          <w:spacing w:val="-2"/>
          <w:sz w:val="20"/>
        </w:rPr>
        <w:t>estimation</w:t>
      </w:r>
      <w:r>
        <w:rPr>
          <w:spacing w:val="-8"/>
          <w:sz w:val="20"/>
        </w:rPr>
        <w:t> </w:t>
      </w:r>
      <w:r>
        <w:rPr>
          <w:spacing w:val="-2"/>
          <w:sz w:val="20"/>
        </w:rPr>
        <w:t>model</w:t>
      </w:r>
      <w:r>
        <w:rPr>
          <w:spacing w:val="-9"/>
          <w:sz w:val="20"/>
        </w:rPr>
        <w:t> </w:t>
      </w:r>
      <w:r>
        <w:rPr>
          <w:spacing w:val="-2"/>
          <w:sz w:val="20"/>
        </w:rPr>
        <w:t>really</w:t>
      </w:r>
      <w:r>
        <w:rPr>
          <w:spacing w:val="-8"/>
          <w:sz w:val="20"/>
        </w:rPr>
        <w:t> </w:t>
      </w:r>
      <w:r>
        <w:rPr>
          <w:spacing w:val="-2"/>
          <w:sz w:val="20"/>
        </w:rPr>
        <w:t>predict </w:t>
      </w:r>
      <w:r>
        <w:rPr>
          <w:sz w:val="20"/>
        </w:rPr>
        <w:t>defection levels? </w:t>
      </w:r>
      <w:r>
        <w:rPr>
          <w:i/>
          <w:sz w:val="20"/>
        </w:rPr>
        <w:t>Journal of Services Marketing</w:t>
      </w:r>
      <w:r>
        <w:rPr>
          <w:sz w:val="20"/>
        </w:rPr>
        <w:t>, </w:t>
      </w:r>
      <w:r>
        <w:rPr>
          <w:i/>
          <w:sz w:val="20"/>
        </w:rPr>
        <w:t>18</w:t>
      </w:r>
      <w:r>
        <w:rPr>
          <w:sz w:val="20"/>
        </w:rPr>
        <w:t>(1), 35–44. https://doi.org/10.1108/08876040410520690</w:t>
      </w:r>
    </w:p>
    <w:p>
      <w:pPr>
        <w:spacing w:before="160"/>
        <w:ind w:left="1300" w:right="868" w:hanging="565"/>
        <w:jc w:val="both"/>
        <w:rPr>
          <w:sz w:val="20"/>
        </w:rPr>
      </w:pPr>
      <w:r>
        <w:rPr>
          <w:sz w:val="20"/>
        </w:rPr>
        <w:t>Doyle, J. P., Filo, K., McDonald, H., ve Funk, D. C. (2013). Exploring sport brand double jeopardy: The link between team market share and attitudinal loyalty. </w:t>
      </w:r>
      <w:r>
        <w:rPr>
          <w:i/>
          <w:sz w:val="20"/>
        </w:rPr>
        <w:t>Sport Management Review</w:t>
      </w:r>
      <w:r>
        <w:rPr>
          <w:sz w:val="20"/>
        </w:rPr>
        <w:t>, </w:t>
      </w:r>
      <w:r>
        <w:rPr>
          <w:i/>
          <w:sz w:val="20"/>
        </w:rPr>
        <w:t>16</w:t>
      </w:r>
      <w:r>
        <w:rPr>
          <w:sz w:val="20"/>
        </w:rPr>
        <w:t>(3), 285–297. </w:t>
      </w:r>
      <w:r>
        <w:rPr>
          <w:spacing w:val="-2"/>
          <w:sz w:val="20"/>
        </w:rPr>
        <w:t>https://doi.org/10.1016/J.SMR.2012.11.001</w:t>
      </w:r>
    </w:p>
    <w:p>
      <w:pPr>
        <w:spacing w:before="160"/>
        <w:ind w:left="1300" w:right="862" w:hanging="565"/>
        <w:jc w:val="both"/>
        <w:rPr>
          <w:sz w:val="20"/>
        </w:rPr>
      </w:pPr>
      <w:r>
        <w:rPr>
          <w:sz w:val="20"/>
        </w:rPr>
        <w:t>Frow, P. E., ve Payne, A. F. (2009). Customer relationship management: A strategic perspective. </w:t>
      </w:r>
      <w:r>
        <w:rPr>
          <w:i/>
          <w:sz w:val="20"/>
        </w:rPr>
        <w:t>Journal of Business</w:t>
      </w:r>
      <w:r>
        <w:rPr>
          <w:i/>
          <w:sz w:val="20"/>
        </w:rPr>
        <w:t> Market Management</w:t>
      </w:r>
      <w:r>
        <w:rPr>
          <w:sz w:val="20"/>
        </w:rPr>
        <w:t>, </w:t>
      </w:r>
      <w:r>
        <w:rPr>
          <w:i/>
          <w:sz w:val="20"/>
        </w:rPr>
        <w:t>3</w:t>
      </w:r>
      <w:r>
        <w:rPr>
          <w:sz w:val="20"/>
        </w:rPr>
        <w:t>(1), 7–27. https://doi.org/10.1007/s12087-008-0035-8</w:t>
      </w:r>
    </w:p>
    <w:p>
      <w:pPr>
        <w:spacing w:before="161"/>
        <w:ind w:left="1300" w:right="863" w:hanging="565"/>
        <w:jc w:val="both"/>
        <w:rPr>
          <w:sz w:val="20"/>
        </w:rPr>
      </w:pPr>
      <w:r>
        <w:rPr>
          <w:sz w:val="20"/>
        </w:rPr>
        <w:t>Funk, D. C., ve James, J. D. (2015). The psychological continuum model. İçinde G. B. Cunningham, J. S. Fink ve A. Doherty (Eds.) </w:t>
      </w:r>
      <w:r>
        <w:rPr>
          <w:i/>
          <w:sz w:val="20"/>
        </w:rPr>
        <w:t>Routledge Handbook of Theory in Sport Management </w:t>
      </w:r>
      <w:r>
        <w:rPr>
          <w:sz w:val="20"/>
        </w:rPr>
        <w:t>(ss. 247–262). Routledge. </w:t>
      </w:r>
      <w:r>
        <w:rPr>
          <w:spacing w:val="-2"/>
          <w:sz w:val="20"/>
        </w:rPr>
        <w:t>https://doi.org/10.4324/9781315753461-21</w:t>
      </w:r>
    </w:p>
    <w:p>
      <w:pPr>
        <w:spacing w:before="160"/>
        <w:ind w:left="1300" w:right="868" w:hanging="565"/>
        <w:jc w:val="both"/>
        <w:rPr>
          <w:sz w:val="20"/>
        </w:rPr>
      </w:pPr>
      <w:r>
        <w:rPr>
          <w:sz w:val="20"/>
        </w:rPr>
        <w:t>Greenwell,</w:t>
      </w:r>
      <w:r>
        <w:rPr>
          <w:spacing w:val="-3"/>
          <w:sz w:val="20"/>
        </w:rPr>
        <w:t> </w:t>
      </w:r>
      <w:r>
        <w:rPr>
          <w:sz w:val="20"/>
        </w:rPr>
        <w:t>T.</w:t>
      </w:r>
      <w:r>
        <w:rPr>
          <w:spacing w:val="-3"/>
          <w:sz w:val="20"/>
        </w:rPr>
        <w:t> </w:t>
      </w:r>
      <w:r>
        <w:rPr>
          <w:sz w:val="20"/>
        </w:rPr>
        <w:t>C.,</w:t>
      </w:r>
      <w:r>
        <w:rPr>
          <w:spacing w:val="-3"/>
          <w:sz w:val="20"/>
        </w:rPr>
        <w:t> </w:t>
      </w:r>
      <w:r>
        <w:rPr>
          <w:sz w:val="20"/>
        </w:rPr>
        <w:t>Fink,</w:t>
      </w:r>
      <w:r>
        <w:rPr>
          <w:spacing w:val="-3"/>
          <w:sz w:val="20"/>
        </w:rPr>
        <w:t> </w:t>
      </w:r>
      <w:r>
        <w:rPr>
          <w:sz w:val="20"/>
        </w:rPr>
        <w:t>J.</w:t>
      </w:r>
      <w:r>
        <w:rPr>
          <w:spacing w:val="-8"/>
          <w:sz w:val="20"/>
        </w:rPr>
        <w:t> </w:t>
      </w:r>
      <w:r>
        <w:rPr>
          <w:sz w:val="20"/>
        </w:rPr>
        <w:t>S.,</w:t>
      </w:r>
      <w:r>
        <w:rPr>
          <w:spacing w:val="-1"/>
          <w:sz w:val="20"/>
        </w:rPr>
        <w:t> </w:t>
      </w:r>
      <w:r>
        <w:rPr>
          <w:sz w:val="20"/>
        </w:rPr>
        <w:t>ve</w:t>
      </w:r>
      <w:r>
        <w:rPr>
          <w:spacing w:val="-2"/>
          <w:sz w:val="20"/>
        </w:rPr>
        <w:t> </w:t>
      </w:r>
      <w:r>
        <w:rPr>
          <w:sz w:val="20"/>
        </w:rPr>
        <w:t>Pastore,</w:t>
      </w:r>
      <w:r>
        <w:rPr>
          <w:spacing w:val="-3"/>
          <w:sz w:val="20"/>
        </w:rPr>
        <w:t> </w:t>
      </w:r>
      <w:r>
        <w:rPr>
          <w:sz w:val="20"/>
        </w:rPr>
        <w:t>D.</w:t>
      </w:r>
      <w:r>
        <w:rPr>
          <w:spacing w:val="-3"/>
          <w:sz w:val="20"/>
        </w:rPr>
        <w:t> </w:t>
      </w:r>
      <w:r>
        <w:rPr>
          <w:sz w:val="20"/>
        </w:rPr>
        <w:t>L.</w:t>
      </w:r>
      <w:r>
        <w:rPr>
          <w:spacing w:val="-3"/>
          <w:sz w:val="20"/>
        </w:rPr>
        <w:t> </w:t>
      </w:r>
      <w:r>
        <w:rPr>
          <w:sz w:val="20"/>
        </w:rPr>
        <w:t>(2002).</w:t>
      </w:r>
      <w:r>
        <w:rPr>
          <w:spacing w:val="-2"/>
          <w:sz w:val="20"/>
        </w:rPr>
        <w:t> </w:t>
      </w:r>
      <w:r>
        <w:rPr>
          <w:sz w:val="20"/>
        </w:rPr>
        <w:t>Assessing</w:t>
      </w:r>
      <w:r>
        <w:rPr>
          <w:spacing w:val="-3"/>
          <w:sz w:val="20"/>
        </w:rPr>
        <w:t> </w:t>
      </w:r>
      <w:r>
        <w:rPr>
          <w:sz w:val="20"/>
        </w:rPr>
        <w:t>the</w:t>
      </w:r>
      <w:r>
        <w:rPr>
          <w:spacing w:val="-2"/>
          <w:sz w:val="20"/>
        </w:rPr>
        <w:t> </w:t>
      </w:r>
      <w:r>
        <w:rPr>
          <w:sz w:val="20"/>
        </w:rPr>
        <w:t>influence</w:t>
      </w:r>
      <w:r>
        <w:rPr>
          <w:spacing w:val="-2"/>
          <w:sz w:val="20"/>
        </w:rPr>
        <w:t> </w:t>
      </w:r>
      <w:r>
        <w:rPr>
          <w:sz w:val="20"/>
        </w:rPr>
        <w:t>of</w:t>
      </w:r>
      <w:r>
        <w:rPr>
          <w:spacing w:val="-5"/>
          <w:sz w:val="20"/>
        </w:rPr>
        <w:t> </w:t>
      </w:r>
      <w:r>
        <w:rPr>
          <w:sz w:val="20"/>
        </w:rPr>
        <w:t>the</w:t>
      </w:r>
      <w:r>
        <w:rPr>
          <w:spacing w:val="-2"/>
          <w:sz w:val="20"/>
        </w:rPr>
        <w:t> </w:t>
      </w:r>
      <w:r>
        <w:rPr>
          <w:sz w:val="20"/>
        </w:rPr>
        <w:t>physical</w:t>
      </w:r>
      <w:r>
        <w:rPr>
          <w:spacing w:val="-9"/>
          <w:sz w:val="20"/>
        </w:rPr>
        <w:t> </w:t>
      </w:r>
      <w:r>
        <w:rPr>
          <w:sz w:val="20"/>
        </w:rPr>
        <w:t>sports</w:t>
      </w:r>
      <w:r>
        <w:rPr>
          <w:spacing w:val="-2"/>
          <w:sz w:val="20"/>
        </w:rPr>
        <w:t> </w:t>
      </w:r>
      <w:r>
        <w:rPr>
          <w:sz w:val="20"/>
        </w:rPr>
        <w:t>facility</w:t>
      </w:r>
      <w:r>
        <w:rPr>
          <w:spacing w:val="-3"/>
          <w:sz w:val="20"/>
        </w:rPr>
        <w:t> </w:t>
      </w:r>
      <w:r>
        <w:rPr>
          <w:sz w:val="20"/>
        </w:rPr>
        <w:t>on</w:t>
      </w:r>
      <w:r>
        <w:rPr>
          <w:spacing w:val="-8"/>
          <w:sz w:val="20"/>
        </w:rPr>
        <w:t> </w:t>
      </w:r>
      <w:r>
        <w:rPr>
          <w:sz w:val="20"/>
        </w:rPr>
        <w:t>customer satisfaction within the context of the service experience. </w:t>
      </w:r>
      <w:r>
        <w:rPr>
          <w:i/>
          <w:sz w:val="20"/>
        </w:rPr>
        <w:t>Sport Management Review</w:t>
      </w:r>
      <w:r>
        <w:rPr>
          <w:sz w:val="20"/>
        </w:rPr>
        <w:t>, </w:t>
      </w:r>
      <w:r>
        <w:rPr>
          <w:i/>
          <w:sz w:val="20"/>
        </w:rPr>
        <w:t>5</w:t>
      </w:r>
      <w:r>
        <w:rPr>
          <w:sz w:val="20"/>
        </w:rPr>
        <w:t>(2), 129–148. </w:t>
      </w:r>
      <w:r>
        <w:rPr>
          <w:spacing w:val="-2"/>
          <w:sz w:val="20"/>
        </w:rPr>
        <w:t>https://doi.org/10.1016/S1441-3523(02)70064-8</w:t>
      </w:r>
    </w:p>
    <w:p>
      <w:pPr>
        <w:spacing w:before="160"/>
        <w:ind w:left="1300" w:right="863" w:hanging="565"/>
        <w:jc w:val="both"/>
        <w:rPr>
          <w:sz w:val="20"/>
        </w:rPr>
      </w:pPr>
      <w:r>
        <w:rPr>
          <w:sz w:val="20"/>
        </w:rPr>
        <w:t>Grönroos,</w:t>
      </w:r>
      <w:r>
        <w:rPr>
          <w:spacing w:val="-7"/>
          <w:sz w:val="20"/>
        </w:rPr>
        <w:t> </w:t>
      </w:r>
      <w:r>
        <w:rPr>
          <w:sz w:val="20"/>
        </w:rPr>
        <w:t>C.</w:t>
      </w:r>
      <w:r>
        <w:rPr>
          <w:spacing w:val="-7"/>
          <w:sz w:val="20"/>
        </w:rPr>
        <w:t> </w:t>
      </w:r>
      <w:r>
        <w:rPr>
          <w:sz w:val="20"/>
        </w:rPr>
        <w:t>(2007).</w:t>
      </w:r>
      <w:r>
        <w:rPr>
          <w:spacing w:val="-6"/>
          <w:sz w:val="20"/>
        </w:rPr>
        <w:t> </w:t>
      </w:r>
      <w:r>
        <w:rPr>
          <w:i/>
          <w:sz w:val="20"/>
        </w:rPr>
        <w:t>Service</w:t>
      </w:r>
      <w:r>
        <w:rPr>
          <w:i/>
          <w:spacing w:val="-6"/>
          <w:sz w:val="20"/>
        </w:rPr>
        <w:t> </w:t>
      </w:r>
      <w:r>
        <w:rPr>
          <w:i/>
          <w:sz w:val="20"/>
        </w:rPr>
        <w:t>management</w:t>
      </w:r>
      <w:r>
        <w:rPr>
          <w:i/>
          <w:spacing w:val="-8"/>
          <w:sz w:val="20"/>
        </w:rPr>
        <w:t> </w:t>
      </w:r>
      <w:r>
        <w:rPr>
          <w:i/>
          <w:sz w:val="20"/>
        </w:rPr>
        <w:t>and</w:t>
      </w:r>
      <w:r>
        <w:rPr>
          <w:i/>
          <w:spacing w:val="-7"/>
          <w:sz w:val="20"/>
        </w:rPr>
        <w:t> </w:t>
      </w:r>
      <w:r>
        <w:rPr>
          <w:i/>
          <w:sz w:val="20"/>
        </w:rPr>
        <w:t>marketing:</w:t>
      </w:r>
      <w:r>
        <w:rPr>
          <w:i/>
          <w:spacing w:val="-8"/>
          <w:sz w:val="20"/>
        </w:rPr>
        <w:t> </w:t>
      </w:r>
      <w:r>
        <w:rPr>
          <w:i/>
          <w:sz w:val="20"/>
        </w:rPr>
        <w:t>Customer</w:t>
      </w:r>
      <w:r>
        <w:rPr>
          <w:i/>
          <w:spacing w:val="-5"/>
          <w:sz w:val="20"/>
        </w:rPr>
        <w:t> </w:t>
      </w:r>
      <w:r>
        <w:rPr>
          <w:i/>
          <w:sz w:val="20"/>
        </w:rPr>
        <w:t>management</w:t>
      </w:r>
      <w:r>
        <w:rPr>
          <w:i/>
          <w:spacing w:val="-8"/>
          <w:sz w:val="20"/>
        </w:rPr>
        <w:t> </w:t>
      </w:r>
      <w:r>
        <w:rPr>
          <w:i/>
          <w:sz w:val="20"/>
        </w:rPr>
        <w:t>in</w:t>
      </w:r>
      <w:r>
        <w:rPr>
          <w:i/>
          <w:spacing w:val="-8"/>
          <w:sz w:val="20"/>
        </w:rPr>
        <w:t> </w:t>
      </w:r>
      <w:r>
        <w:rPr>
          <w:i/>
          <w:sz w:val="20"/>
        </w:rPr>
        <w:t>service</w:t>
      </w:r>
      <w:r>
        <w:rPr>
          <w:i/>
          <w:spacing w:val="-6"/>
          <w:sz w:val="20"/>
        </w:rPr>
        <w:t> </w:t>
      </w:r>
      <w:r>
        <w:rPr>
          <w:i/>
          <w:sz w:val="20"/>
        </w:rPr>
        <w:t>competition</w:t>
      </w:r>
      <w:r>
        <w:rPr>
          <w:i/>
          <w:spacing w:val="-3"/>
          <w:sz w:val="20"/>
        </w:rPr>
        <w:t> </w:t>
      </w:r>
      <w:r>
        <w:rPr>
          <w:sz w:val="20"/>
        </w:rPr>
        <w:t>(3.</w:t>
      </w:r>
      <w:r>
        <w:rPr>
          <w:spacing w:val="-7"/>
          <w:sz w:val="20"/>
        </w:rPr>
        <w:t> </w:t>
      </w:r>
      <w:r>
        <w:rPr>
          <w:sz w:val="20"/>
        </w:rPr>
        <w:t>Baskı).</w:t>
      </w:r>
      <w:r>
        <w:rPr>
          <w:spacing w:val="-7"/>
          <w:sz w:val="20"/>
        </w:rPr>
        <w:t> </w:t>
      </w:r>
      <w:r>
        <w:rPr>
          <w:sz w:val="20"/>
        </w:rPr>
        <w:t>John Wiley and Sons Ltd.</w:t>
      </w:r>
    </w:p>
    <w:p>
      <w:pPr>
        <w:spacing w:before="160"/>
        <w:ind w:left="735" w:right="0" w:firstLine="0"/>
        <w:jc w:val="left"/>
        <w:rPr>
          <w:sz w:val="20"/>
        </w:rPr>
      </w:pPr>
      <w:r>
        <w:rPr>
          <w:sz w:val="20"/>
        </w:rPr>
        <w:t>Gujarati,</w:t>
      </w:r>
      <w:r>
        <w:rPr>
          <w:spacing w:val="-2"/>
          <w:sz w:val="20"/>
        </w:rPr>
        <w:t> </w:t>
      </w:r>
      <w:r>
        <w:rPr>
          <w:sz w:val="20"/>
        </w:rPr>
        <w:t>D.</w:t>
      </w:r>
      <w:r>
        <w:rPr>
          <w:spacing w:val="-2"/>
          <w:sz w:val="20"/>
        </w:rPr>
        <w:t> </w:t>
      </w:r>
      <w:r>
        <w:rPr>
          <w:sz w:val="20"/>
        </w:rPr>
        <w:t>N.</w:t>
      </w:r>
      <w:r>
        <w:rPr>
          <w:spacing w:val="-2"/>
          <w:sz w:val="20"/>
        </w:rPr>
        <w:t> </w:t>
      </w:r>
      <w:r>
        <w:rPr>
          <w:sz w:val="20"/>
        </w:rPr>
        <w:t>(2004).</w:t>
      </w:r>
      <w:r>
        <w:rPr>
          <w:spacing w:val="3"/>
          <w:sz w:val="20"/>
        </w:rPr>
        <w:t> </w:t>
      </w:r>
      <w:r>
        <w:rPr>
          <w:i/>
          <w:sz w:val="20"/>
        </w:rPr>
        <w:t>Basic</w:t>
      </w:r>
      <w:r>
        <w:rPr>
          <w:i/>
          <w:spacing w:val="-2"/>
          <w:sz w:val="20"/>
        </w:rPr>
        <w:t> </w:t>
      </w:r>
      <w:r>
        <w:rPr>
          <w:i/>
          <w:sz w:val="20"/>
        </w:rPr>
        <w:t>econometrics</w:t>
      </w:r>
      <w:r>
        <w:rPr>
          <w:i/>
          <w:spacing w:val="1"/>
          <w:sz w:val="20"/>
        </w:rPr>
        <w:t> </w:t>
      </w:r>
      <w:r>
        <w:rPr>
          <w:sz w:val="20"/>
        </w:rPr>
        <w:t>(4.</w:t>
      </w:r>
      <w:r>
        <w:rPr>
          <w:spacing w:val="-2"/>
          <w:sz w:val="20"/>
        </w:rPr>
        <w:t> </w:t>
      </w:r>
      <w:r>
        <w:rPr>
          <w:sz w:val="20"/>
        </w:rPr>
        <w:t>Baskı).</w:t>
      </w:r>
      <w:r>
        <w:rPr>
          <w:spacing w:val="-2"/>
          <w:sz w:val="20"/>
        </w:rPr>
        <w:t> </w:t>
      </w:r>
      <w:r>
        <w:rPr>
          <w:sz w:val="20"/>
        </w:rPr>
        <w:t>The</w:t>
      </w:r>
      <w:r>
        <w:rPr>
          <w:spacing w:val="-6"/>
          <w:sz w:val="20"/>
        </w:rPr>
        <w:t> </w:t>
      </w:r>
      <w:r>
        <w:rPr>
          <w:sz w:val="20"/>
        </w:rPr>
        <w:t>MacGraw</w:t>
      </w:r>
      <w:r>
        <w:rPr>
          <w:spacing w:val="-1"/>
          <w:sz w:val="20"/>
        </w:rPr>
        <w:t> </w:t>
      </w:r>
      <w:r>
        <w:rPr>
          <w:spacing w:val="-2"/>
          <w:sz w:val="20"/>
        </w:rPr>
        <w:t>Hill.</w:t>
      </w:r>
    </w:p>
    <w:p>
      <w:pPr>
        <w:spacing w:before="161"/>
        <w:ind w:left="735" w:right="0" w:firstLine="0"/>
        <w:jc w:val="left"/>
        <w:rPr>
          <w:sz w:val="20"/>
        </w:rPr>
      </w:pPr>
      <w:r>
        <w:rPr>
          <w:sz w:val="20"/>
        </w:rPr>
        <w:t>Gürbüz,</w:t>
      </w:r>
      <w:r>
        <w:rPr>
          <w:spacing w:val="-5"/>
          <w:sz w:val="20"/>
        </w:rPr>
        <w:t> </w:t>
      </w:r>
      <w:r>
        <w:rPr>
          <w:sz w:val="20"/>
        </w:rPr>
        <w:t>S.</w:t>
      </w:r>
      <w:r>
        <w:rPr>
          <w:spacing w:val="2"/>
          <w:sz w:val="20"/>
        </w:rPr>
        <w:t> </w:t>
      </w:r>
      <w:r>
        <w:rPr>
          <w:sz w:val="20"/>
        </w:rPr>
        <w:t>(2021).</w:t>
      </w:r>
      <w:r>
        <w:rPr>
          <w:spacing w:val="-2"/>
          <w:sz w:val="20"/>
        </w:rPr>
        <w:t> </w:t>
      </w:r>
      <w:r>
        <w:rPr>
          <w:i/>
          <w:sz w:val="20"/>
        </w:rPr>
        <w:t>AMOS</w:t>
      </w:r>
      <w:r>
        <w:rPr>
          <w:i/>
          <w:spacing w:val="-2"/>
          <w:sz w:val="20"/>
        </w:rPr>
        <w:t> </w:t>
      </w:r>
      <w:r>
        <w:rPr>
          <w:i/>
          <w:sz w:val="20"/>
        </w:rPr>
        <w:t>ile</w:t>
      </w:r>
      <w:r>
        <w:rPr>
          <w:i/>
          <w:spacing w:val="-1"/>
          <w:sz w:val="20"/>
        </w:rPr>
        <w:t> </w:t>
      </w:r>
      <w:r>
        <w:rPr>
          <w:i/>
          <w:sz w:val="20"/>
        </w:rPr>
        <w:t>yapısal</w:t>
      </w:r>
      <w:r>
        <w:rPr>
          <w:i/>
          <w:spacing w:val="-4"/>
          <w:sz w:val="20"/>
        </w:rPr>
        <w:t> </w:t>
      </w:r>
      <w:r>
        <w:rPr>
          <w:i/>
          <w:sz w:val="20"/>
        </w:rPr>
        <w:t>eşitlik</w:t>
      </w:r>
      <w:r>
        <w:rPr>
          <w:i/>
          <w:spacing w:val="-1"/>
          <w:sz w:val="20"/>
        </w:rPr>
        <w:t> </w:t>
      </w:r>
      <w:r>
        <w:rPr>
          <w:i/>
          <w:sz w:val="20"/>
        </w:rPr>
        <w:t>modellemesi </w:t>
      </w:r>
      <w:r>
        <w:rPr>
          <w:sz w:val="20"/>
        </w:rPr>
        <w:t>(2.</w:t>
      </w:r>
      <w:r>
        <w:rPr>
          <w:spacing w:val="-2"/>
          <w:sz w:val="20"/>
        </w:rPr>
        <w:t> </w:t>
      </w:r>
      <w:r>
        <w:rPr>
          <w:sz w:val="20"/>
        </w:rPr>
        <w:t>Baskı).</w:t>
      </w:r>
      <w:r>
        <w:rPr>
          <w:spacing w:val="-2"/>
          <w:sz w:val="20"/>
        </w:rPr>
        <w:t> </w:t>
      </w:r>
      <w:r>
        <w:rPr>
          <w:sz w:val="20"/>
        </w:rPr>
        <w:t>Seçkin</w:t>
      </w:r>
      <w:r>
        <w:rPr>
          <w:spacing w:val="-2"/>
          <w:sz w:val="20"/>
        </w:rPr>
        <w:t> Yayıncılık.</w:t>
      </w:r>
    </w:p>
    <w:p>
      <w:pPr>
        <w:spacing w:before="160"/>
        <w:ind w:left="1300" w:right="876" w:hanging="565"/>
        <w:jc w:val="both"/>
        <w:rPr>
          <w:sz w:val="20"/>
        </w:rPr>
      </w:pPr>
      <w:r>
        <w:rPr>
          <w:sz w:val="20"/>
        </w:rPr>
        <w:t>Hu, L. T., ve</w:t>
      </w:r>
      <w:r>
        <w:rPr>
          <w:spacing w:val="-1"/>
          <w:sz w:val="20"/>
        </w:rPr>
        <w:t> </w:t>
      </w:r>
      <w:r>
        <w:rPr>
          <w:sz w:val="20"/>
        </w:rPr>
        <w:t>Bentler, P. M. (1999). Cutoff criteria for fit indexes in covariance structure analysis:</w:t>
      </w:r>
      <w:r>
        <w:rPr>
          <w:spacing w:val="-3"/>
          <w:sz w:val="20"/>
        </w:rPr>
        <w:t> </w:t>
      </w:r>
      <w:r>
        <w:rPr>
          <w:sz w:val="20"/>
        </w:rPr>
        <w:t>Conventional criteria versus new alternatives. </w:t>
      </w:r>
      <w:r>
        <w:rPr>
          <w:i/>
          <w:sz w:val="20"/>
        </w:rPr>
        <w:t>Structural Equation Modeling</w:t>
      </w:r>
      <w:r>
        <w:rPr>
          <w:sz w:val="20"/>
        </w:rPr>
        <w:t>, </w:t>
      </w:r>
      <w:r>
        <w:rPr>
          <w:i/>
          <w:sz w:val="20"/>
        </w:rPr>
        <w:t>6</w:t>
      </w:r>
      <w:r>
        <w:rPr>
          <w:sz w:val="20"/>
        </w:rPr>
        <w:t>(1), 1–55. https://doi.org/10.1080/10705519909540118</w:t>
      </w:r>
    </w:p>
    <w:p>
      <w:pPr>
        <w:spacing w:before="160"/>
        <w:ind w:left="1300" w:right="857" w:hanging="565"/>
        <w:jc w:val="both"/>
        <w:rPr>
          <w:sz w:val="20"/>
        </w:rPr>
      </w:pPr>
      <w:r>
        <w:rPr>
          <w:sz w:val="20"/>
        </w:rPr>
        <w:t>Iacobucci,</w:t>
      </w:r>
      <w:r>
        <w:rPr>
          <w:spacing w:val="-4"/>
          <w:sz w:val="20"/>
        </w:rPr>
        <w:t> </w:t>
      </w:r>
      <w:r>
        <w:rPr>
          <w:sz w:val="20"/>
        </w:rPr>
        <w:t>D.,</w:t>
      </w:r>
      <w:r>
        <w:rPr>
          <w:spacing w:val="-3"/>
          <w:sz w:val="20"/>
        </w:rPr>
        <w:t> </w:t>
      </w:r>
      <w:r>
        <w:rPr>
          <w:sz w:val="20"/>
        </w:rPr>
        <w:t>Ostrom,</w:t>
      </w:r>
      <w:r>
        <w:rPr>
          <w:spacing w:val="-3"/>
          <w:sz w:val="20"/>
        </w:rPr>
        <w:t> </w:t>
      </w:r>
      <w:r>
        <w:rPr>
          <w:sz w:val="20"/>
        </w:rPr>
        <w:t>A.,</w:t>
      </w:r>
      <w:r>
        <w:rPr>
          <w:spacing w:val="-1"/>
          <w:sz w:val="20"/>
        </w:rPr>
        <w:t> </w:t>
      </w:r>
      <w:r>
        <w:rPr>
          <w:sz w:val="20"/>
        </w:rPr>
        <w:t>ve</w:t>
      </w:r>
      <w:r>
        <w:rPr>
          <w:spacing w:val="-2"/>
          <w:sz w:val="20"/>
        </w:rPr>
        <w:t> </w:t>
      </w:r>
      <w:r>
        <w:rPr>
          <w:sz w:val="20"/>
        </w:rPr>
        <w:t>Grayson,</w:t>
      </w:r>
      <w:r>
        <w:rPr>
          <w:spacing w:val="-3"/>
          <w:sz w:val="20"/>
        </w:rPr>
        <w:t> </w:t>
      </w:r>
      <w:r>
        <w:rPr>
          <w:sz w:val="20"/>
        </w:rPr>
        <w:t>K.</w:t>
      </w:r>
      <w:r>
        <w:rPr>
          <w:spacing w:val="-3"/>
          <w:sz w:val="20"/>
        </w:rPr>
        <w:t> </w:t>
      </w:r>
      <w:r>
        <w:rPr>
          <w:sz w:val="20"/>
        </w:rPr>
        <w:t>(1995).</w:t>
      </w:r>
      <w:r>
        <w:rPr>
          <w:spacing w:val="-3"/>
          <w:sz w:val="20"/>
        </w:rPr>
        <w:t> </w:t>
      </w:r>
      <w:r>
        <w:rPr>
          <w:sz w:val="20"/>
        </w:rPr>
        <w:t>Distinguishing</w:t>
      </w:r>
      <w:r>
        <w:rPr>
          <w:spacing w:val="-3"/>
          <w:sz w:val="20"/>
        </w:rPr>
        <w:t> </w:t>
      </w:r>
      <w:r>
        <w:rPr>
          <w:sz w:val="20"/>
        </w:rPr>
        <w:t>service</w:t>
      </w:r>
      <w:r>
        <w:rPr>
          <w:spacing w:val="-2"/>
          <w:sz w:val="20"/>
        </w:rPr>
        <w:t> </w:t>
      </w:r>
      <w:r>
        <w:rPr>
          <w:sz w:val="20"/>
        </w:rPr>
        <w:t>quality</w:t>
      </w:r>
      <w:r>
        <w:rPr>
          <w:spacing w:val="-4"/>
          <w:sz w:val="20"/>
        </w:rPr>
        <w:t> </w:t>
      </w:r>
      <w:r>
        <w:rPr>
          <w:sz w:val="20"/>
        </w:rPr>
        <w:t>and</w:t>
      </w:r>
      <w:r>
        <w:rPr>
          <w:spacing w:val="-3"/>
          <w:sz w:val="20"/>
        </w:rPr>
        <w:t> </w:t>
      </w:r>
      <w:r>
        <w:rPr>
          <w:sz w:val="20"/>
        </w:rPr>
        <w:t>customer</w:t>
      </w:r>
      <w:r>
        <w:rPr>
          <w:spacing w:val="-5"/>
          <w:sz w:val="20"/>
        </w:rPr>
        <w:t> </w:t>
      </w:r>
      <w:r>
        <w:rPr>
          <w:sz w:val="20"/>
        </w:rPr>
        <w:t>satisfaction:</w:t>
      </w:r>
      <w:r>
        <w:rPr>
          <w:spacing w:val="-4"/>
          <w:sz w:val="20"/>
        </w:rPr>
        <w:t> </w:t>
      </w:r>
      <w:r>
        <w:rPr>
          <w:sz w:val="20"/>
        </w:rPr>
        <w:t>The</w:t>
      </w:r>
      <w:r>
        <w:rPr>
          <w:spacing w:val="-7"/>
          <w:sz w:val="20"/>
        </w:rPr>
        <w:t> </w:t>
      </w:r>
      <w:r>
        <w:rPr>
          <w:sz w:val="20"/>
        </w:rPr>
        <w:t>voice</w:t>
      </w:r>
      <w:r>
        <w:rPr>
          <w:spacing w:val="-2"/>
          <w:sz w:val="20"/>
        </w:rPr>
        <w:t> </w:t>
      </w:r>
      <w:r>
        <w:rPr>
          <w:sz w:val="20"/>
        </w:rPr>
        <w:t>of the consumer. </w:t>
      </w:r>
      <w:r>
        <w:rPr>
          <w:i/>
          <w:sz w:val="20"/>
        </w:rPr>
        <w:t>Journal of Consumer Psychology</w:t>
      </w:r>
      <w:r>
        <w:rPr>
          <w:sz w:val="20"/>
        </w:rPr>
        <w:t>, </w:t>
      </w:r>
      <w:r>
        <w:rPr>
          <w:i/>
          <w:sz w:val="20"/>
        </w:rPr>
        <w:t>4</w:t>
      </w:r>
      <w:r>
        <w:rPr>
          <w:sz w:val="20"/>
        </w:rPr>
        <w:t>(3), 277–303. https://doi.org/10.1207/S15327663JCP0403_04</w:t>
      </w:r>
    </w:p>
    <w:p>
      <w:pPr>
        <w:spacing w:before="160"/>
        <w:ind w:left="1300" w:right="863" w:hanging="565"/>
        <w:jc w:val="both"/>
        <w:rPr>
          <w:sz w:val="20"/>
        </w:rPr>
      </w:pPr>
      <w:r>
        <w:rPr>
          <w:sz w:val="20"/>
        </w:rPr>
        <w:t>Kılıç, S. (2016). Cronbach’s alpha reliability coefficient. </w:t>
      </w:r>
      <w:r>
        <w:rPr>
          <w:i/>
          <w:sz w:val="20"/>
        </w:rPr>
        <w:t>Journal of Mood Disorders</w:t>
      </w:r>
      <w:r>
        <w:rPr>
          <w:sz w:val="20"/>
        </w:rPr>
        <w:t>, </w:t>
      </w:r>
      <w:r>
        <w:rPr>
          <w:i/>
          <w:sz w:val="20"/>
        </w:rPr>
        <w:t>6</w:t>
      </w:r>
      <w:r>
        <w:rPr>
          <w:sz w:val="20"/>
        </w:rPr>
        <w:t>(1), 47. </w:t>
      </w:r>
      <w:r>
        <w:rPr>
          <w:spacing w:val="-2"/>
          <w:sz w:val="20"/>
        </w:rPr>
        <w:t>https://doi.org/10.5455/jmood.20160307122823</w:t>
      </w:r>
    </w:p>
    <w:p>
      <w:pPr>
        <w:spacing w:before="160"/>
        <w:ind w:left="735" w:right="0" w:firstLine="0"/>
        <w:jc w:val="left"/>
        <w:rPr>
          <w:sz w:val="20"/>
        </w:rPr>
      </w:pPr>
      <w:r>
        <w:rPr>
          <w:sz w:val="20"/>
        </w:rPr>
        <w:t>Kline,</w:t>
      </w:r>
      <w:r>
        <w:rPr>
          <w:spacing w:val="-2"/>
          <w:sz w:val="20"/>
        </w:rPr>
        <w:t> </w:t>
      </w:r>
      <w:r>
        <w:rPr>
          <w:sz w:val="20"/>
        </w:rPr>
        <w:t>R.</w:t>
      </w:r>
      <w:r>
        <w:rPr>
          <w:spacing w:val="-2"/>
          <w:sz w:val="20"/>
        </w:rPr>
        <w:t> </w:t>
      </w:r>
      <w:r>
        <w:rPr>
          <w:sz w:val="20"/>
        </w:rPr>
        <w:t>B.</w:t>
      </w:r>
      <w:r>
        <w:rPr>
          <w:spacing w:val="-1"/>
          <w:sz w:val="20"/>
        </w:rPr>
        <w:t> </w:t>
      </w:r>
      <w:r>
        <w:rPr>
          <w:sz w:val="20"/>
        </w:rPr>
        <w:t>(2023).</w:t>
      </w:r>
      <w:r>
        <w:rPr>
          <w:spacing w:val="-1"/>
          <w:sz w:val="20"/>
        </w:rPr>
        <w:t> </w:t>
      </w:r>
      <w:r>
        <w:rPr>
          <w:i/>
          <w:sz w:val="20"/>
        </w:rPr>
        <w:t>Principles and</w:t>
      </w:r>
      <w:r>
        <w:rPr>
          <w:i/>
          <w:spacing w:val="-1"/>
          <w:sz w:val="20"/>
        </w:rPr>
        <w:t> </w:t>
      </w:r>
      <w:r>
        <w:rPr>
          <w:i/>
          <w:sz w:val="20"/>
        </w:rPr>
        <w:t>practice</w:t>
      </w:r>
      <w:r>
        <w:rPr>
          <w:i/>
          <w:spacing w:val="-1"/>
          <w:sz w:val="20"/>
        </w:rPr>
        <w:t> </w:t>
      </w:r>
      <w:r>
        <w:rPr>
          <w:i/>
          <w:sz w:val="20"/>
        </w:rPr>
        <w:t>of</w:t>
      </w:r>
      <w:r>
        <w:rPr>
          <w:i/>
          <w:spacing w:val="-3"/>
          <w:sz w:val="20"/>
        </w:rPr>
        <w:t> </w:t>
      </w:r>
      <w:r>
        <w:rPr>
          <w:i/>
          <w:sz w:val="20"/>
        </w:rPr>
        <w:t>structural</w:t>
      </w:r>
      <w:r>
        <w:rPr>
          <w:i/>
          <w:spacing w:val="-2"/>
          <w:sz w:val="20"/>
        </w:rPr>
        <w:t> </w:t>
      </w:r>
      <w:r>
        <w:rPr>
          <w:i/>
          <w:sz w:val="20"/>
        </w:rPr>
        <w:t>equation</w:t>
      </w:r>
      <w:r>
        <w:rPr>
          <w:i/>
          <w:spacing w:val="-2"/>
          <w:sz w:val="20"/>
        </w:rPr>
        <w:t> </w:t>
      </w:r>
      <w:r>
        <w:rPr>
          <w:i/>
          <w:sz w:val="20"/>
        </w:rPr>
        <w:t>modeling</w:t>
      </w:r>
      <w:r>
        <w:rPr>
          <w:i/>
          <w:spacing w:val="3"/>
          <w:sz w:val="20"/>
        </w:rPr>
        <w:t> </w:t>
      </w:r>
      <w:r>
        <w:rPr>
          <w:sz w:val="20"/>
        </w:rPr>
        <w:t>(5.</w:t>
      </w:r>
      <w:r>
        <w:rPr>
          <w:spacing w:val="-2"/>
          <w:sz w:val="20"/>
        </w:rPr>
        <w:t> </w:t>
      </w:r>
      <w:r>
        <w:rPr>
          <w:sz w:val="20"/>
        </w:rPr>
        <w:t>Baskı).</w:t>
      </w:r>
      <w:r>
        <w:rPr>
          <w:spacing w:val="-2"/>
          <w:sz w:val="20"/>
        </w:rPr>
        <w:t> </w:t>
      </w:r>
      <w:r>
        <w:rPr>
          <w:sz w:val="20"/>
        </w:rPr>
        <w:t>The</w:t>
      </w:r>
      <w:r>
        <w:rPr>
          <w:spacing w:val="-1"/>
          <w:sz w:val="20"/>
        </w:rPr>
        <w:t> </w:t>
      </w:r>
      <w:r>
        <w:rPr>
          <w:sz w:val="20"/>
        </w:rPr>
        <w:t>Guilford</w:t>
      </w:r>
      <w:r>
        <w:rPr>
          <w:spacing w:val="-1"/>
          <w:sz w:val="20"/>
        </w:rPr>
        <w:t> </w:t>
      </w:r>
      <w:r>
        <w:rPr>
          <w:spacing w:val="-2"/>
          <w:sz w:val="20"/>
        </w:rPr>
        <w:t>Press.</w:t>
      </w:r>
    </w:p>
    <w:p>
      <w:pPr>
        <w:spacing w:before="161"/>
        <w:ind w:left="1300" w:right="861" w:hanging="565"/>
        <w:jc w:val="both"/>
        <w:rPr>
          <w:sz w:val="20"/>
        </w:rPr>
      </w:pPr>
      <w:r>
        <w:rPr>
          <w:sz w:val="20"/>
        </w:rPr>
        <w:t>Kotler,</w:t>
      </w:r>
      <w:r>
        <w:rPr>
          <w:spacing w:val="-7"/>
          <w:sz w:val="20"/>
        </w:rPr>
        <w:t> </w:t>
      </w:r>
      <w:r>
        <w:rPr>
          <w:sz w:val="20"/>
        </w:rPr>
        <w:t>P.,</w:t>
      </w:r>
      <w:r>
        <w:rPr>
          <w:spacing w:val="-7"/>
          <w:sz w:val="20"/>
        </w:rPr>
        <w:t> </w:t>
      </w:r>
      <w:r>
        <w:rPr>
          <w:sz w:val="20"/>
        </w:rPr>
        <w:t>Kartajaya,</w:t>
      </w:r>
      <w:r>
        <w:rPr>
          <w:spacing w:val="-7"/>
          <w:sz w:val="20"/>
        </w:rPr>
        <w:t> </w:t>
      </w:r>
      <w:r>
        <w:rPr>
          <w:sz w:val="20"/>
        </w:rPr>
        <w:t>H.,</w:t>
      </w:r>
      <w:r>
        <w:rPr>
          <w:spacing w:val="-5"/>
          <w:sz w:val="20"/>
        </w:rPr>
        <w:t> </w:t>
      </w:r>
      <w:r>
        <w:rPr>
          <w:sz w:val="20"/>
        </w:rPr>
        <w:t>ve</w:t>
      </w:r>
      <w:r>
        <w:rPr>
          <w:spacing w:val="-6"/>
          <w:sz w:val="20"/>
        </w:rPr>
        <w:t> </w:t>
      </w:r>
      <w:r>
        <w:rPr>
          <w:sz w:val="20"/>
        </w:rPr>
        <w:t>Setiawan,</w:t>
      </w:r>
      <w:r>
        <w:rPr>
          <w:spacing w:val="-7"/>
          <w:sz w:val="20"/>
        </w:rPr>
        <w:t> </w:t>
      </w:r>
      <w:r>
        <w:rPr>
          <w:sz w:val="20"/>
        </w:rPr>
        <w:t>I.</w:t>
      </w:r>
      <w:r>
        <w:rPr>
          <w:spacing w:val="-7"/>
          <w:sz w:val="20"/>
        </w:rPr>
        <w:t> </w:t>
      </w:r>
      <w:r>
        <w:rPr>
          <w:sz w:val="20"/>
        </w:rPr>
        <w:t>(2019).</w:t>
      </w:r>
      <w:r>
        <w:rPr>
          <w:spacing w:val="-6"/>
          <w:sz w:val="20"/>
        </w:rPr>
        <w:t> </w:t>
      </w:r>
      <w:r>
        <w:rPr>
          <w:i/>
          <w:sz w:val="20"/>
        </w:rPr>
        <w:t>Marketing</w:t>
      </w:r>
      <w:r>
        <w:rPr>
          <w:i/>
          <w:spacing w:val="-7"/>
          <w:sz w:val="20"/>
        </w:rPr>
        <w:t> </w:t>
      </w:r>
      <w:r>
        <w:rPr>
          <w:i/>
          <w:sz w:val="20"/>
        </w:rPr>
        <w:t>3.0:</w:t>
      </w:r>
      <w:r>
        <w:rPr>
          <w:i/>
          <w:spacing w:val="-9"/>
          <w:sz w:val="20"/>
        </w:rPr>
        <w:t> </w:t>
      </w:r>
      <w:r>
        <w:rPr>
          <w:i/>
          <w:sz w:val="20"/>
        </w:rPr>
        <w:t>From</w:t>
      </w:r>
      <w:r>
        <w:rPr>
          <w:i/>
          <w:spacing w:val="-7"/>
          <w:sz w:val="20"/>
        </w:rPr>
        <w:t> </w:t>
      </w:r>
      <w:r>
        <w:rPr>
          <w:i/>
          <w:sz w:val="20"/>
        </w:rPr>
        <w:t>products</w:t>
      </w:r>
      <w:r>
        <w:rPr>
          <w:i/>
          <w:spacing w:val="-6"/>
          <w:sz w:val="20"/>
        </w:rPr>
        <w:t> </w:t>
      </w:r>
      <w:r>
        <w:rPr>
          <w:i/>
          <w:sz w:val="20"/>
        </w:rPr>
        <w:t>to</w:t>
      </w:r>
      <w:r>
        <w:rPr>
          <w:i/>
          <w:spacing w:val="-8"/>
          <w:sz w:val="20"/>
        </w:rPr>
        <w:t> </w:t>
      </w:r>
      <w:r>
        <w:rPr>
          <w:i/>
          <w:sz w:val="20"/>
        </w:rPr>
        <w:t>customers</w:t>
      </w:r>
      <w:r>
        <w:rPr>
          <w:i/>
          <w:spacing w:val="-5"/>
          <w:sz w:val="20"/>
        </w:rPr>
        <w:t> </w:t>
      </w:r>
      <w:r>
        <w:rPr>
          <w:i/>
          <w:sz w:val="20"/>
        </w:rPr>
        <w:t>to</w:t>
      </w:r>
      <w:r>
        <w:rPr>
          <w:i/>
          <w:spacing w:val="-8"/>
          <w:sz w:val="20"/>
        </w:rPr>
        <w:t> </w:t>
      </w:r>
      <w:r>
        <w:rPr>
          <w:i/>
          <w:sz w:val="20"/>
        </w:rPr>
        <w:t>the</w:t>
      </w:r>
      <w:r>
        <w:rPr>
          <w:i/>
          <w:spacing w:val="-6"/>
          <w:sz w:val="20"/>
        </w:rPr>
        <w:t> </w:t>
      </w:r>
      <w:r>
        <w:rPr>
          <w:i/>
          <w:sz w:val="20"/>
        </w:rPr>
        <w:t>human</w:t>
      </w:r>
      <w:r>
        <w:rPr>
          <w:i/>
          <w:spacing w:val="-7"/>
          <w:sz w:val="20"/>
        </w:rPr>
        <w:t> </w:t>
      </w:r>
      <w:r>
        <w:rPr>
          <w:i/>
          <w:sz w:val="20"/>
        </w:rPr>
        <w:t>spirit</w:t>
      </w:r>
      <w:r>
        <w:rPr>
          <w:i/>
          <w:spacing w:val="-3"/>
          <w:sz w:val="20"/>
        </w:rPr>
        <w:t> </w:t>
      </w:r>
      <w:r>
        <w:rPr>
          <w:sz w:val="20"/>
        </w:rPr>
        <w:t>(ss.</w:t>
      </w:r>
      <w:r>
        <w:rPr>
          <w:spacing w:val="-7"/>
          <w:sz w:val="20"/>
        </w:rPr>
        <w:t> </w:t>
      </w:r>
      <w:r>
        <w:rPr>
          <w:sz w:val="20"/>
        </w:rPr>
        <w:t>139- 156). Springer Singapore.</w:t>
      </w:r>
    </w:p>
    <w:p>
      <w:pPr>
        <w:spacing w:before="160"/>
        <w:ind w:left="1300" w:right="867" w:hanging="565"/>
        <w:jc w:val="both"/>
        <w:rPr>
          <w:sz w:val="20"/>
        </w:rPr>
      </w:pPr>
      <w:r>
        <w:rPr>
          <w:sz w:val="20"/>
        </w:rPr>
        <w:t>Laverie, D. A., ve Arnett, D. B. (2000). Factors affecting fan attendance: The influence of identity salience and satisfaction. </w:t>
      </w:r>
      <w:r>
        <w:rPr>
          <w:i/>
          <w:sz w:val="20"/>
        </w:rPr>
        <w:t>Journal of Leisure Research</w:t>
      </w:r>
      <w:r>
        <w:rPr>
          <w:sz w:val="20"/>
        </w:rPr>
        <w:t>, </w:t>
      </w:r>
      <w:r>
        <w:rPr>
          <w:i/>
          <w:sz w:val="20"/>
        </w:rPr>
        <w:t>32</w:t>
      </w:r>
      <w:r>
        <w:rPr>
          <w:sz w:val="20"/>
        </w:rPr>
        <w:t>(2), 225–246. https://doi.org/10.1080/00222216.2000.11949915</w:t>
      </w:r>
    </w:p>
    <w:p>
      <w:pPr>
        <w:spacing w:after="0"/>
        <w:jc w:val="both"/>
        <w:rPr>
          <w:sz w:val="20"/>
        </w:rPr>
        <w:sectPr>
          <w:pgSz w:w="11910" w:h="16840"/>
          <w:pgMar w:header="442" w:footer="532" w:top="780" w:bottom="720" w:left="400" w:right="260"/>
        </w:sectPr>
      </w:pPr>
    </w:p>
    <w:p>
      <w:pPr>
        <w:pStyle w:val="BodyText"/>
        <w:spacing w:before="104"/>
        <w:rPr>
          <w:sz w:val="20"/>
        </w:rPr>
      </w:pPr>
    </w:p>
    <w:p>
      <w:pPr>
        <w:spacing w:before="0"/>
        <w:ind w:left="1300" w:right="864" w:hanging="565"/>
        <w:jc w:val="both"/>
        <w:rPr>
          <w:sz w:val="20"/>
        </w:rPr>
      </w:pPr>
      <w:r>
        <w:rPr>
          <w:sz w:val="20"/>
        </w:rPr>
        <w:t>Lawrence, H. J., O’Reilly, N., Speck, A., Ullrich, C., ve Robles, K. (2020). The determinants of season ticket holder advocacy in the NCAA football bowl subdivision. </w:t>
      </w:r>
      <w:r>
        <w:rPr>
          <w:i/>
          <w:sz w:val="20"/>
        </w:rPr>
        <w:t>Sport, Business and Management: An International Journal</w:t>
      </w:r>
      <w:r>
        <w:rPr>
          <w:sz w:val="20"/>
        </w:rPr>
        <w:t>, </w:t>
      </w:r>
      <w:r>
        <w:rPr>
          <w:i/>
          <w:sz w:val="20"/>
        </w:rPr>
        <w:t>10</w:t>
      </w:r>
      <w:r>
        <w:rPr>
          <w:sz w:val="20"/>
        </w:rPr>
        <w:t>(3), 335–358. https://doi.org/10.1108/SBM-05-2019-0035</w:t>
      </w:r>
    </w:p>
    <w:p>
      <w:pPr>
        <w:spacing w:before="160"/>
        <w:ind w:left="1300" w:right="864" w:hanging="565"/>
        <w:jc w:val="both"/>
        <w:rPr>
          <w:sz w:val="20"/>
        </w:rPr>
      </w:pPr>
      <w:r>
        <w:rPr>
          <w:sz w:val="20"/>
        </w:rPr>
        <w:t>Lock, D., ve Heere, B. (2017). Identity crisis: A theoretical analysis of ‘team identification’ research. </w:t>
      </w:r>
      <w:r>
        <w:rPr>
          <w:i/>
          <w:sz w:val="20"/>
        </w:rPr>
        <w:t>European Sport</w:t>
      </w:r>
      <w:r>
        <w:rPr>
          <w:i/>
          <w:sz w:val="20"/>
        </w:rPr>
        <w:t> Management Quarterly</w:t>
      </w:r>
      <w:r>
        <w:rPr>
          <w:sz w:val="20"/>
        </w:rPr>
        <w:t>, </w:t>
      </w:r>
      <w:r>
        <w:rPr>
          <w:i/>
          <w:sz w:val="20"/>
        </w:rPr>
        <w:t>17</w:t>
      </w:r>
      <w:r>
        <w:rPr>
          <w:sz w:val="20"/>
        </w:rPr>
        <w:t>(4), 413–435. https://doi.org/10.1080/16184742.2017.1306872</w:t>
      </w:r>
    </w:p>
    <w:p>
      <w:pPr>
        <w:spacing w:before="160"/>
        <w:ind w:left="1300" w:right="858" w:hanging="565"/>
        <w:jc w:val="both"/>
        <w:rPr>
          <w:sz w:val="20"/>
        </w:rPr>
      </w:pPr>
      <w:r>
        <w:rPr>
          <w:sz w:val="20"/>
        </w:rPr>
        <w:t>Mason,</w:t>
      </w:r>
      <w:r>
        <w:rPr>
          <w:spacing w:val="-13"/>
          <w:sz w:val="20"/>
        </w:rPr>
        <w:t> </w:t>
      </w:r>
      <w:r>
        <w:rPr>
          <w:sz w:val="20"/>
        </w:rPr>
        <w:t>D.</w:t>
      </w:r>
      <w:r>
        <w:rPr>
          <w:spacing w:val="-7"/>
          <w:sz w:val="20"/>
        </w:rPr>
        <w:t> </w:t>
      </w:r>
      <w:r>
        <w:rPr>
          <w:sz w:val="20"/>
        </w:rPr>
        <w:t>S.</w:t>
      </w:r>
      <w:r>
        <w:rPr>
          <w:spacing w:val="-7"/>
          <w:sz w:val="20"/>
        </w:rPr>
        <w:t> </w:t>
      </w:r>
      <w:r>
        <w:rPr>
          <w:sz w:val="20"/>
        </w:rPr>
        <w:t>(1999).</w:t>
      </w:r>
      <w:r>
        <w:rPr>
          <w:spacing w:val="-7"/>
          <w:sz w:val="20"/>
        </w:rPr>
        <w:t> </w:t>
      </w:r>
      <w:r>
        <w:rPr>
          <w:sz w:val="20"/>
        </w:rPr>
        <w:t>What</w:t>
      </w:r>
      <w:r>
        <w:rPr>
          <w:spacing w:val="-8"/>
          <w:sz w:val="20"/>
        </w:rPr>
        <w:t> </w:t>
      </w:r>
      <w:r>
        <w:rPr>
          <w:sz w:val="20"/>
        </w:rPr>
        <w:t>is</w:t>
      </w:r>
      <w:r>
        <w:rPr>
          <w:spacing w:val="-11"/>
          <w:sz w:val="20"/>
        </w:rPr>
        <w:t> </w:t>
      </w:r>
      <w:r>
        <w:rPr>
          <w:sz w:val="20"/>
        </w:rPr>
        <w:t>the</w:t>
      </w:r>
      <w:r>
        <w:rPr>
          <w:spacing w:val="-11"/>
          <w:sz w:val="20"/>
        </w:rPr>
        <w:t> </w:t>
      </w:r>
      <w:r>
        <w:rPr>
          <w:sz w:val="20"/>
        </w:rPr>
        <w:t>sports</w:t>
      </w:r>
      <w:r>
        <w:rPr>
          <w:spacing w:val="-7"/>
          <w:sz w:val="20"/>
        </w:rPr>
        <w:t> </w:t>
      </w:r>
      <w:r>
        <w:rPr>
          <w:sz w:val="20"/>
        </w:rPr>
        <w:t>product</w:t>
      </w:r>
      <w:r>
        <w:rPr>
          <w:spacing w:val="-13"/>
          <w:sz w:val="20"/>
        </w:rPr>
        <w:t> </w:t>
      </w:r>
      <w:r>
        <w:rPr>
          <w:sz w:val="20"/>
        </w:rPr>
        <w:t>and</w:t>
      </w:r>
      <w:r>
        <w:rPr>
          <w:spacing w:val="-7"/>
          <w:sz w:val="20"/>
        </w:rPr>
        <w:t> </w:t>
      </w:r>
      <w:r>
        <w:rPr>
          <w:sz w:val="20"/>
        </w:rPr>
        <w:t>who</w:t>
      </w:r>
      <w:r>
        <w:rPr>
          <w:spacing w:val="-12"/>
          <w:sz w:val="20"/>
        </w:rPr>
        <w:t> </w:t>
      </w:r>
      <w:r>
        <w:rPr>
          <w:sz w:val="20"/>
        </w:rPr>
        <w:t>buys</w:t>
      </w:r>
      <w:r>
        <w:rPr>
          <w:spacing w:val="-10"/>
          <w:sz w:val="20"/>
        </w:rPr>
        <w:t> </w:t>
      </w:r>
      <w:r>
        <w:rPr>
          <w:sz w:val="20"/>
        </w:rPr>
        <w:t>it?</w:t>
      </w:r>
      <w:r>
        <w:rPr>
          <w:spacing w:val="-7"/>
          <w:sz w:val="20"/>
        </w:rPr>
        <w:t> </w:t>
      </w:r>
      <w:r>
        <w:rPr>
          <w:sz w:val="20"/>
        </w:rPr>
        <w:t>The</w:t>
      </w:r>
      <w:r>
        <w:rPr>
          <w:spacing w:val="-7"/>
          <w:sz w:val="20"/>
        </w:rPr>
        <w:t> </w:t>
      </w:r>
      <w:r>
        <w:rPr>
          <w:sz w:val="20"/>
        </w:rPr>
        <w:t>marketing</w:t>
      </w:r>
      <w:r>
        <w:rPr>
          <w:spacing w:val="-7"/>
          <w:sz w:val="20"/>
        </w:rPr>
        <w:t> </w:t>
      </w:r>
      <w:r>
        <w:rPr>
          <w:sz w:val="20"/>
        </w:rPr>
        <w:t>of</w:t>
      </w:r>
      <w:r>
        <w:rPr>
          <w:spacing w:val="-9"/>
          <w:sz w:val="20"/>
        </w:rPr>
        <w:t> </w:t>
      </w:r>
      <w:r>
        <w:rPr>
          <w:sz w:val="20"/>
        </w:rPr>
        <w:t>professional</w:t>
      </w:r>
      <w:r>
        <w:rPr>
          <w:spacing w:val="-13"/>
          <w:sz w:val="20"/>
        </w:rPr>
        <w:t> </w:t>
      </w:r>
      <w:r>
        <w:rPr>
          <w:sz w:val="20"/>
        </w:rPr>
        <w:t>sports</w:t>
      </w:r>
      <w:r>
        <w:rPr>
          <w:spacing w:val="-6"/>
          <w:sz w:val="20"/>
        </w:rPr>
        <w:t> </w:t>
      </w:r>
      <w:r>
        <w:rPr>
          <w:sz w:val="20"/>
        </w:rPr>
        <w:t>leagues.</w:t>
      </w:r>
      <w:r>
        <w:rPr>
          <w:spacing w:val="-4"/>
          <w:sz w:val="20"/>
        </w:rPr>
        <w:t> </w:t>
      </w:r>
      <w:r>
        <w:rPr>
          <w:i/>
          <w:sz w:val="20"/>
        </w:rPr>
        <w:t>European</w:t>
      </w:r>
      <w:r>
        <w:rPr>
          <w:i/>
          <w:sz w:val="20"/>
        </w:rPr>
        <w:t> Journal of Marketing</w:t>
      </w:r>
      <w:r>
        <w:rPr>
          <w:sz w:val="20"/>
        </w:rPr>
        <w:t>, </w:t>
      </w:r>
      <w:r>
        <w:rPr>
          <w:i/>
          <w:sz w:val="20"/>
        </w:rPr>
        <w:t>33</w:t>
      </w:r>
      <w:r>
        <w:rPr>
          <w:sz w:val="20"/>
        </w:rPr>
        <w:t>(3/4), 402–419. https://doi.org/10.1108/03090569910253251</w:t>
      </w:r>
    </w:p>
    <w:p>
      <w:pPr>
        <w:spacing w:before="161"/>
        <w:ind w:left="1300" w:right="863" w:hanging="565"/>
        <w:jc w:val="both"/>
        <w:rPr>
          <w:sz w:val="20"/>
        </w:rPr>
      </w:pPr>
      <w:r>
        <w:rPr>
          <w:sz w:val="20"/>
        </w:rPr>
        <w:t>McDonald, H. (2010). The factors influencing churn rates among season ticket holders: An empirical analysis. </w:t>
      </w:r>
      <w:r>
        <w:rPr>
          <w:i/>
          <w:sz w:val="20"/>
        </w:rPr>
        <w:t>Journal</w:t>
      </w:r>
      <w:r>
        <w:rPr>
          <w:i/>
          <w:sz w:val="20"/>
        </w:rPr>
        <w:t> of Sport Management</w:t>
      </w:r>
      <w:r>
        <w:rPr>
          <w:sz w:val="20"/>
        </w:rPr>
        <w:t>, </w:t>
      </w:r>
      <w:r>
        <w:rPr>
          <w:i/>
          <w:sz w:val="20"/>
        </w:rPr>
        <w:t>24</w:t>
      </w:r>
      <w:r>
        <w:rPr>
          <w:sz w:val="20"/>
        </w:rPr>
        <w:t>(6), 676-701. https://doi.org/10.1123/jsm.24.6.676</w:t>
      </w:r>
    </w:p>
    <w:p>
      <w:pPr>
        <w:spacing w:before="160"/>
        <w:ind w:left="1300" w:right="863" w:hanging="565"/>
        <w:jc w:val="both"/>
        <w:rPr>
          <w:sz w:val="20"/>
        </w:rPr>
      </w:pPr>
      <w:r>
        <w:rPr>
          <w:sz w:val="20"/>
        </w:rPr>
        <w:t>McDonald, H., Karg, A. J., ve Vocino, A. (2013). Measuring season ticket holder satisfaction: Rationale, scale development and longitudinal validation. </w:t>
      </w:r>
      <w:r>
        <w:rPr>
          <w:i/>
          <w:sz w:val="20"/>
        </w:rPr>
        <w:t>Sport Management Review</w:t>
      </w:r>
      <w:r>
        <w:rPr>
          <w:sz w:val="20"/>
        </w:rPr>
        <w:t>, </w:t>
      </w:r>
      <w:r>
        <w:rPr>
          <w:i/>
          <w:sz w:val="20"/>
        </w:rPr>
        <w:t>16</w:t>
      </w:r>
      <w:r>
        <w:rPr>
          <w:sz w:val="20"/>
        </w:rPr>
        <w:t>(1), 41–53. </w:t>
      </w:r>
      <w:r>
        <w:rPr>
          <w:spacing w:val="-2"/>
          <w:sz w:val="20"/>
        </w:rPr>
        <w:t>https://doi.org/10.1016/j.smr.2012.05.003</w:t>
      </w:r>
    </w:p>
    <w:p>
      <w:pPr>
        <w:spacing w:before="160"/>
        <w:ind w:left="735" w:right="0" w:firstLine="0"/>
        <w:jc w:val="left"/>
        <w:rPr>
          <w:sz w:val="20"/>
        </w:rPr>
      </w:pPr>
      <w:r>
        <w:rPr>
          <w:sz w:val="20"/>
        </w:rPr>
        <w:t>McDonald,</w:t>
      </w:r>
      <w:r>
        <w:rPr>
          <w:spacing w:val="3"/>
          <w:sz w:val="20"/>
        </w:rPr>
        <w:t> </w:t>
      </w:r>
      <w:r>
        <w:rPr>
          <w:sz w:val="20"/>
        </w:rPr>
        <w:t>H.,</w:t>
      </w:r>
      <w:r>
        <w:rPr>
          <w:spacing w:val="8"/>
          <w:sz w:val="20"/>
        </w:rPr>
        <w:t> </w:t>
      </w:r>
      <w:r>
        <w:rPr>
          <w:sz w:val="20"/>
        </w:rPr>
        <w:t>Karg,</w:t>
      </w:r>
      <w:r>
        <w:rPr>
          <w:spacing w:val="3"/>
          <w:sz w:val="20"/>
        </w:rPr>
        <w:t> </w:t>
      </w:r>
      <w:r>
        <w:rPr>
          <w:sz w:val="20"/>
        </w:rPr>
        <w:t>A.</w:t>
      </w:r>
      <w:r>
        <w:rPr>
          <w:spacing w:val="8"/>
          <w:sz w:val="20"/>
        </w:rPr>
        <w:t> </w:t>
      </w:r>
      <w:r>
        <w:rPr>
          <w:sz w:val="20"/>
        </w:rPr>
        <w:t>J.,</w:t>
      </w:r>
      <w:r>
        <w:rPr>
          <w:spacing w:val="7"/>
          <w:sz w:val="20"/>
        </w:rPr>
        <w:t> </w:t>
      </w:r>
      <w:r>
        <w:rPr>
          <w:sz w:val="20"/>
        </w:rPr>
        <w:t>ve</w:t>
      </w:r>
      <w:r>
        <w:rPr>
          <w:spacing w:val="6"/>
          <w:sz w:val="20"/>
        </w:rPr>
        <w:t> </w:t>
      </w:r>
      <w:r>
        <w:rPr>
          <w:sz w:val="20"/>
        </w:rPr>
        <w:t>Leckie,</w:t>
      </w:r>
      <w:r>
        <w:rPr>
          <w:spacing w:val="3"/>
          <w:sz w:val="20"/>
        </w:rPr>
        <w:t> </w:t>
      </w:r>
      <w:r>
        <w:rPr>
          <w:sz w:val="20"/>
        </w:rPr>
        <w:t>C.</w:t>
      </w:r>
      <w:r>
        <w:rPr>
          <w:spacing w:val="9"/>
          <w:sz w:val="20"/>
        </w:rPr>
        <w:t> </w:t>
      </w:r>
      <w:r>
        <w:rPr>
          <w:sz w:val="20"/>
        </w:rPr>
        <w:t>(2014)</w:t>
      </w:r>
      <w:r>
        <w:rPr>
          <w:spacing w:val="7"/>
          <w:sz w:val="20"/>
        </w:rPr>
        <w:t> </w:t>
      </w:r>
      <w:r>
        <w:rPr>
          <w:sz w:val="20"/>
        </w:rPr>
        <w:t>Predicting</w:t>
      </w:r>
      <w:r>
        <w:rPr>
          <w:spacing w:val="8"/>
          <w:sz w:val="20"/>
        </w:rPr>
        <w:t> </w:t>
      </w:r>
      <w:r>
        <w:rPr>
          <w:sz w:val="20"/>
        </w:rPr>
        <w:t>which</w:t>
      </w:r>
      <w:r>
        <w:rPr>
          <w:spacing w:val="8"/>
          <w:sz w:val="20"/>
        </w:rPr>
        <w:t> </w:t>
      </w:r>
      <w:r>
        <w:rPr>
          <w:sz w:val="20"/>
        </w:rPr>
        <w:t>season</w:t>
      </w:r>
      <w:r>
        <w:rPr>
          <w:spacing w:val="8"/>
          <w:sz w:val="20"/>
        </w:rPr>
        <w:t> </w:t>
      </w:r>
      <w:r>
        <w:rPr>
          <w:sz w:val="20"/>
        </w:rPr>
        <w:t>ticket</w:t>
      </w:r>
      <w:r>
        <w:rPr>
          <w:spacing w:val="9"/>
          <w:sz w:val="20"/>
        </w:rPr>
        <w:t> </w:t>
      </w:r>
      <w:r>
        <w:rPr>
          <w:sz w:val="20"/>
        </w:rPr>
        <w:t>holders</w:t>
      </w:r>
      <w:r>
        <w:rPr>
          <w:spacing w:val="6"/>
          <w:sz w:val="20"/>
        </w:rPr>
        <w:t> </w:t>
      </w:r>
      <w:r>
        <w:rPr>
          <w:sz w:val="20"/>
        </w:rPr>
        <w:t>will</w:t>
      </w:r>
      <w:r>
        <w:rPr>
          <w:spacing w:val="8"/>
          <w:sz w:val="20"/>
        </w:rPr>
        <w:t> </w:t>
      </w:r>
      <w:r>
        <w:rPr>
          <w:sz w:val="20"/>
        </w:rPr>
        <w:t>renew</w:t>
      </w:r>
      <w:r>
        <w:rPr>
          <w:spacing w:val="4"/>
          <w:sz w:val="20"/>
        </w:rPr>
        <w:t> </w:t>
      </w:r>
      <w:r>
        <w:rPr>
          <w:sz w:val="20"/>
        </w:rPr>
        <w:t>and</w:t>
      </w:r>
      <w:r>
        <w:rPr>
          <w:spacing w:val="3"/>
          <w:sz w:val="20"/>
        </w:rPr>
        <w:t> </w:t>
      </w:r>
      <w:r>
        <w:rPr>
          <w:sz w:val="20"/>
        </w:rPr>
        <w:t>which</w:t>
      </w:r>
      <w:r>
        <w:rPr>
          <w:spacing w:val="8"/>
          <w:sz w:val="20"/>
        </w:rPr>
        <w:t> </w:t>
      </w:r>
      <w:r>
        <w:rPr>
          <w:sz w:val="20"/>
        </w:rPr>
        <w:t>will</w:t>
      </w:r>
      <w:r>
        <w:rPr>
          <w:spacing w:val="9"/>
          <w:sz w:val="20"/>
        </w:rPr>
        <w:t> </w:t>
      </w:r>
      <w:r>
        <w:rPr>
          <w:spacing w:val="-4"/>
          <w:sz w:val="20"/>
        </w:rPr>
        <w:t>not,</w:t>
      </w:r>
    </w:p>
    <w:p>
      <w:pPr>
        <w:spacing w:before="0"/>
        <w:ind w:left="1300" w:right="0" w:firstLine="0"/>
        <w:jc w:val="left"/>
        <w:rPr>
          <w:sz w:val="20"/>
        </w:rPr>
      </w:pPr>
      <w:r>
        <w:rPr>
          <w:i/>
          <w:sz w:val="20"/>
        </w:rPr>
        <w:t>European</w:t>
      </w:r>
      <w:r>
        <w:rPr>
          <w:i/>
          <w:spacing w:val="-2"/>
          <w:sz w:val="20"/>
        </w:rPr>
        <w:t> </w:t>
      </w:r>
      <w:r>
        <w:rPr>
          <w:i/>
          <w:sz w:val="20"/>
        </w:rPr>
        <w:t>Sport</w:t>
      </w:r>
      <w:r>
        <w:rPr>
          <w:i/>
          <w:spacing w:val="-1"/>
          <w:sz w:val="20"/>
        </w:rPr>
        <w:t> </w:t>
      </w:r>
      <w:r>
        <w:rPr>
          <w:i/>
          <w:sz w:val="20"/>
        </w:rPr>
        <w:t>Management</w:t>
      </w:r>
      <w:r>
        <w:rPr>
          <w:i/>
          <w:spacing w:val="-1"/>
          <w:sz w:val="20"/>
        </w:rPr>
        <w:t> </w:t>
      </w:r>
      <w:r>
        <w:rPr>
          <w:i/>
          <w:sz w:val="20"/>
        </w:rPr>
        <w:t>Quarterly</w:t>
      </w:r>
      <w:r>
        <w:rPr>
          <w:sz w:val="20"/>
        </w:rPr>
        <w:t>, </w:t>
      </w:r>
      <w:r>
        <w:rPr>
          <w:i/>
          <w:sz w:val="20"/>
        </w:rPr>
        <w:t>14</w:t>
      </w:r>
      <w:r>
        <w:rPr>
          <w:sz w:val="20"/>
        </w:rPr>
        <w:t>(5), 503-520. </w:t>
      </w:r>
      <w:r>
        <w:rPr>
          <w:spacing w:val="-2"/>
          <w:sz w:val="20"/>
        </w:rPr>
        <w:t>https://doi.org/10.1080/16184742.2014.944199</w:t>
      </w:r>
    </w:p>
    <w:p>
      <w:pPr>
        <w:spacing w:before="160"/>
        <w:ind w:left="1300" w:right="863" w:hanging="565"/>
        <w:jc w:val="both"/>
        <w:rPr>
          <w:sz w:val="20"/>
        </w:rPr>
      </w:pPr>
      <w:r>
        <w:rPr>
          <w:sz w:val="20"/>
        </w:rPr>
        <w:t>McDonald,</w:t>
      </w:r>
      <w:r>
        <w:rPr>
          <w:spacing w:val="-3"/>
          <w:sz w:val="20"/>
        </w:rPr>
        <w:t> </w:t>
      </w:r>
      <w:r>
        <w:rPr>
          <w:sz w:val="20"/>
        </w:rPr>
        <w:t>H.,</w:t>
      </w:r>
      <w:r>
        <w:rPr>
          <w:spacing w:val="-8"/>
          <w:sz w:val="20"/>
        </w:rPr>
        <w:t> </w:t>
      </w:r>
      <w:r>
        <w:rPr>
          <w:sz w:val="20"/>
        </w:rPr>
        <w:t>Dunn,</w:t>
      </w:r>
      <w:r>
        <w:rPr>
          <w:spacing w:val="-3"/>
          <w:sz w:val="20"/>
        </w:rPr>
        <w:t> </w:t>
      </w:r>
      <w:r>
        <w:rPr>
          <w:sz w:val="20"/>
        </w:rPr>
        <w:t>S.,</w:t>
      </w:r>
      <w:r>
        <w:rPr>
          <w:spacing w:val="-8"/>
          <w:sz w:val="20"/>
        </w:rPr>
        <w:t> </w:t>
      </w:r>
      <w:r>
        <w:rPr>
          <w:sz w:val="20"/>
        </w:rPr>
        <w:t>Schreyer,</w:t>
      </w:r>
      <w:r>
        <w:rPr>
          <w:spacing w:val="-3"/>
          <w:sz w:val="20"/>
        </w:rPr>
        <w:t> </w:t>
      </w:r>
      <w:r>
        <w:rPr>
          <w:sz w:val="20"/>
        </w:rPr>
        <w:t>D., ve</w:t>
      </w:r>
      <w:r>
        <w:rPr>
          <w:spacing w:val="-2"/>
          <w:sz w:val="20"/>
        </w:rPr>
        <w:t> </w:t>
      </w:r>
      <w:r>
        <w:rPr>
          <w:sz w:val="20"/>
        </w:rPr>
        <w:t>Sharp,</w:t>
      </w:r>
      <w:r>
        <w:rPr>
          <w:spacing w:val="-8"/>
          <w:sz w:val="20"/>
        </w:rPr>
        <w:t> </w:t>
      </w:r>
      <w:r>
        <w:rPr>
          <w:sz w:val="20"/>
        </w:rPr>
        <w:t>B.</w:t>
      </w:r>
      <w:r>
        <w:rPr>
          <w:spacing w:val="-3"/>
          <w:sz w:val="20"/>
        </w:rPr>
        <w:t> </w:t>
      </w:r>
      <w:r>
        <w:rPr>
          <w:sz w:val="20"/>
        </w:rPr>
        <w:t>(2023).</w:t>
      </w:r>
      <w:r>
        <w:rPr>
          <w:spacing w:val="-3"/>
          <w:sz w:val="20"/>
        </w:rPr>
        <w:t> </w:t>
      </w:r>
      <w:r>
        <w:rPr>
          <w:sz w:val="20"/>
        </w:rPr>
        <w:t>Understanding</w:t>
      </w:r>
      <w:r>
        <w:rPr>
          <w:spacing w:val="-3"/>
          <w:sz w:val="20"/>
        </w:rPr>
        <w:t> </w:t>
      </w:r>
      <w:r>
        <w:rPr>
          <w:sz w:val="20"/>
        </w:rPr>
        <w:t>consumer</w:t>
      </w:r>
      <w:r>
        <w:rPr>
          <w:spacing w:val="-5"/>
          <w:sz w:val="20"/>
        </w:rPr>
        <w:t> </w:t>
      </w:r>
      <w:r>
        <w:rPr>
          <w:sz w:val="20"/>
        </w:rPr>
        <w:t>behaviour</w:t>
      </w:r>
      <w:r>
        <w:rPr>
          <w:spacing w:val="-5"/>
          <w:sz w:val="20"/>
        </w:rPr>
        <w:t> </w:t>
      </w:r>
      <w:r>
        <w:rPr>
          <w:sz w:val="20"/>
        </w:rPr>
        <w:t>in</w:t>
      </w:r>
      <w:r>
        <w:rPr>
          <w:spacing w:val="-8"/>
          <w:sz w:val="20"/>
        </w:rPr>
        <w:t> </w:t>
      </w:r>
      <w:r>
        <w:rPr>
          <w:sz w:val="20"/>
        </w:rPr>
        <w:t>evolving</w:t>
      </w:r>
      <w:r>
        <w:rPr>
          <w:spacing w:val="-3"/>
          <w:sz w:val="20"/>
        </w:rPr>
        <w:t> </w:t>
      </w:r>
      <w:r>
        <w:rPr>
          <w:sz w:val="20"/>
        </w:rPr>
        <w:t>subscription markets–lessons from sports season tickets research. </w:t>
      </w:r>
      <w:r>
        <w:rPr>
          <w:i/>
          <w:sz w:val="20"/>
        </w:rPr>
        <w:t>Journal of Service Management</w:t>
      </w:r>
      <w:r>
        <w:rPr>
          <w:sz w:val="20"/>
        </w:rPr>
        <w:t>. </w:t>
      </w:r>
      <w:r>
        <w:rPr>
          <w:spacing w:val="-2"/>
          <w:sz w:val="20"/>
        </w:rPr>
        <w:t>https://doi.org/10.1108/JOSM-03-2022-0116</w:t>
      </w:r>
    </w:p>
    <w:p>
      <w:pPr>
        <w:spacing w:before="161"/>
        <w:ind w:left="735" w:right="0" w:firstLine="0"/>
        <w:jc w:val="left"/>
        <w:rPr>
          <w:sz w:val="20"/>
        </w:rPr>
      </w:pPr>
      <w:r>
        <w:rPr>
          <w:sz w:val="20"/>
        </w:rPr>
        <w:t>Milano,</w:t>
      </w:r>
      <w:r>
        <w:rPr>
          <w:spacing w:val="4"/>
          <w:sz w:val="20"/>
        </w:rPr>
        <w:t> </w:t>
      </w:r>
      <w:r>
        <w:rPr>
          <w:sz w:val="20"/>
        </w:rPr>
        <w:t>M.,</w:t>
      </w:r>
      <w:r>
        <w:rPr>
          <w:spacing w:val="6"/>
          <w:sz w:val="20"/>
        </w:rPr>
        <w:t> </w:t>
      </w:r>
      <w:r>
        <w:rPr>
          <w:sz w:val="20"/>
        </w:rPr>
        <w:t>ve</w:t>
      </w:r>
      <w:r>
        <w:rPr>
          <w:spacing w:val="6"/>
          <w:sz w:val="20"/>
        </w:rPr>
        <w:t> </w:t>
      </w:r>
      <w:r>
        <w:rPr>
          <w:sz w:val="20"/>
        </w:rPr>
        <w:t>Chelladurai,</w:t>
      </w:r>
      <w:r>
        <w:rPr>
          <w:spacing w:val="4"/>
          <w:sz w:val="20"/>
        </w:rPr>
        <w:t> </w:t>
      </w:r>
      <w:r>
        <w:rPr>
          <w:sz w:val="20"/>
        </w:rPr>
        <w:t>P.</w:t>
      </w:r>
      <w:r>
        <w:rPr>
          <w:spacing w:val="4"/>
          <w:sz w:val="20"/>
        </w:rPr>
        <w:t> </w:t>
      </w:r>
      <w:r>
        <w:rPr>
          <w:sz w:val="20"/>
        </w:rPr>
        <w:t>(2011).</w:t>
      </w:r>
      <w:r>
        <w:rPr>
          <w:spacing w:val="12"/>
          <w:sz w:val="20"/>
        </w:rPr>
        <w:t> </w:t>
      </w:r>
      <w:r>
        <w:rPr>
          <w:sz w:val="20"/>
        </w:rPr>
        <w:t>Gross</w:t>
      </w:r>
      <w:r>
        <w:rPr>
          <w:spacing w:val="6"/>
          <w:sz w:val="20"/>
        </w:rPr>
        <w:t> </w:t>
      </w:r>
      <w:r>
        <w:rPr>
          <w:sz w:val="20"/>
        </w:rPr>
        <w:t>domestic</w:t>
      </w:r>
      <w:r>
        <w:rPr>
          <w:spacing w:val="5"/>
          <w:sz w:val="20"/>
        </w:rPr>
        <w:t> </w:t>
      </w:r>
      <w:r>
        <w:rPr>
          <w:sz w:val="20"/>
        </w:rPr>
        <w:t>sport</w:t>
      </w:r>
      <w:r>
        <w:rPr>
          <w:spacing w:val="4"/>
          <w:sz w:val="20"/>
        </w:rPr>
        <w:t> </w:t>
      </w:r>
      <w:r>
        <w:rPr>
          <w:sz w:val="20"/>
        </w:rPr>
        <w:t>product:</w:t>
      </w:r>
      <w:r>
        <w:rPr>
          <w:spacing w:val="5"/>
          <w:sz w:val="20"/>
        </w:rPr>
        <w:t> </w:t>
      </w:r>
      <w:r>
        <w:rPr>
          <w:sz w:val="20"/>
        </w:rPr>
        <w:t>The</w:t>
      </w:r>
      <w:r>
        <w:rPr>
          <w:spacing w:val="5"/>
          <w:sz w:val="20"/>
        </w:rPr>
        <w:t> </w:t>
      </w:r>
      <w:r>
        <w:rPr>
          <w:sz w:val="20"/>
        </w:rPr>
        <w:t>size</w:t>
      </w:r>
      <w:r>
        <w:rPr>
          <w:spacing w:val="5"/>
          <w:sz w:val="20"/>
        </w:rPr>
        <w:t> </w:t>
      </w:r>
      <w:r>
        <w:rPr>
          <w:sz w:val="20"/>
        </w:rPr>
        <w:t>of</w:t>
      </w:r>
      <w:r>
        <w:rPr>
          <w:spacing w:val="3"/>
          <w:sz w:val="20"/>
        </w:rPr>
        <w:t> </w:t>
      </w:r>
      <w:r>
        <w:rPr>
          <w:sz w:val="20"/>
        </w:rPr>
        <w:t>the</w:t>
      </w:r>
      <w:r>
        <w:rPr>
          <w:spacing w:val="8"/>
          <w:sz w:val="20"/>
        </w:rPr>
        <w:t> </w:t>
      </w:r>
      <w:r>
        <w:rPr>
          <w:sz w:val="20"/>
        </w:rPr>
        <w:t>sport</w:t>
      </w:r>
      <w:r>
        <w:rPr>
          <w:spacing w:val="4"/>
          <w:sz w:val="20"/>
        </w:rPr>
        <w:t> </w:t>
      </w:r>
      <w:r>
        <w:rPr>
          <w:sz w:val="20"/>
        </w:rPr>
        <w:t>industry</w:t>
      </w:r>
      <w:r>
        <w:rPr>
          <w:spacing w:val="4"/>
          <w:sz w:val="20"/>
        </w:rPr>
        <w:t> </w:t>
      </w:r>
      <w:r>
        <w:rPr>
          <w:sz w:val="20"/>
        </w:rPr>
        <w:t>in</w:t>
      </w:r>
      <w:r>
        <w:rPr>
          <w:spacing w:val="9"/>
          <w:sz w:val="20"/>
        </w:rPr>
        <w:t> </w:t>
      </w:r>
      <w:r>
        <w:rPr>
          <w:sz w:val="20"/>
        </w:rPr>
        <w:t>the</w:t>
      </w:r>
      <w:r>
        <w:rPr>
          <w:spacing w:val="5"/>
          <w:sz w:val="20"/>
        </w:rPr>
        <w:t> </w:t>
      </w:r>
      <w:r>
        <w:rPr>
          <w:sz w:val="20"/>
        </w:rPr>
        <w:t>united</w:t>
      </w:r>
      <w:r>
        <w:rPr>
          <w:spacing w:val="5"/>
          <w:sz w:val="20"/>
        </w:rPr>
        <w:t> </w:t>
      </w:r>
      <w:r>
        <w:rPr>
          <w:spacing w:val="-2"/>
          <w:sz w:val="20"/>
        </w:rPr>
        <w:t>states.</w:t>
      </w:r>
    </w:p>
    <w:p>
      <w:pPr>
        <w:spacing w:before="0"/>
        <w:ind w:left="1300" w:right="0" w:firstLine="0"/>
        <w:jc w:val="left"/>
        <w:rPr>
          <w:sz w:val="20"/>
        </w:rPr>
      </w:pPr>
      <w:r>
        <w:rPr>
          <w:i/>
          <w:sz w:val="20"/>
        </w:rPr>
        <w:t>Journal</w:t>
      </w:r>
      <w:r>
        <w:rPr>
          <w:i/>
          <w:spacing w:val="-1"/>
          <w:sz w:val="20"/>
        </w:rPr>
        <w:t> </w:t>
      </w:r>
      <w:r>
        <w:rPr>
          <w:i/>
          <w:sz w:val="20"/>
        </w:rPr>
        <w:t>of</w:t>
      </w:r>
      <w:r>
        <w:rPr>
          <w:i/>
          <w:spacing w:val="-1"/>
          <w:sz w:val="20"/>
        </w:rPr>
        <w:t> </w:t>
      </w:r>
      <w:r>
        <w:rPr>
          <w:i/>
          <w:sz w:val="20"/>
        </w:rPr>
        <w:t>Sport Management</w:t>
      </w:r>
      <w:r>
        <w:rPr>
          <w:sz w:val="20"/>
        </w:rPr>
        <w:t>, </w:t>
      </w:r>
      <w:r>
        <w:rPr>
          <w:i/>
          <w:sz w:val="20"/>
        </w:rPr>
        <w:t>25</w:t>
      </w:r>
      <w:r>
        <w:rPr>
          <w:sz w:val="20"/>
        </w:rPr>
        <w:t>(1),</w:t>
      </w:r>
      <w:r>
        <w:rPr>
          <w:spacing w:val="1"/>
          <w:sz w:val="20"/>
        </w:rPr>
        <w:t> </w:t>
      </w:r>
      <w:r>
        <w:rPr>
          <w:sz w:val="20"/>
        </w:rPr>
        <w:t>24–35.</w:t>
      </w:r>
      <w:r>
        <w:rPr>
          <w:spacing w:val="1"/>
          <w:sz w:val="20"/>
        </w:rPr>
        <w:t> </w:t>
      </w:r>
      <w:r>
        <w:rPr>
          <w:spacing w:val="-2"/>
          <w:sz w:val="20"/>
        </w:rPr>
        <w:t>https://doi.org/10.1123/jsm.25.1.24</w:t>
      </w:r>
    </w:p>
    <w:p>
      <w:pPr>
        <w:spacing w:before="160"/>
        <w:ind w:left="1300" w:right="868" w:hanging="565"/>
        <w:jc w:val="both"/>
        <w:rPr>
          <w:sz w:val="20"/>
        </w:rPr>
      </w:pPr>
      <w:r>
        <w:rPr>
          <w:sz w:val="20"/>
        </w:rPr>
        <w:t>Oliver, R. L. (1999). Whence Consumer Loyalty? </w:t>
      </w:r>
      <w:r>
        <w:rPr>
          <w:i/>
          <w:sz w:val="20"/>
        </w:rPr>
        <w:t>Journal of Marketing</w:t>
      </w:r>
      <w:r>
        <w:rPr>
          <w:sz w:val="20"/>
        </w:rPr>
        <w:t>, </w:t>
      </w:r>
      <w:r>
        <w:rPr>
          <w:i/>
          <w:sz w:val="20"/>
        </w:rPr>
        <w:t>63</w:t>
      </w:r>
      <w:r>
        <w:rPr>
          <w:sz w:val="20"/>
        </w:rPr>
        <w:t>(4), 33–44. </w:t>
      </w:r>
      <w:r>
        <w:rPr>
          <w:spacing w:val="-2"/>
          <w:sz w:val="20"/>
        </w:rPr>
        <w:t>https://doi.org/10.1177/00222429990634s105</w:t>
      </w:r>
    </w:p>
    <w:p>
      <w:pPr>
        <w:spacing w:before="160"/>
        <w:ind w:left="1300" w:right="869" w:hanging="565"/>
        <w:jc w:val="both"/>
        <w:rPr>
          <w:sz w:val="20"/>
        </w:rPr>
      </w:pPr>
      <w:r>
        <w:rPr>
          <w:sz w:val="20"/>
        </w:rPr>
        <w:t>Penmetsa, N., Gal-Or, E., ve May, J. (2015). Dynamic pricing of new services in subscription markets. </w:t>
      </w:r>
      <w:r>
        <w:rPr>
          <w:i/>
          <w:sz w:val="20"/>
        </w:rPr>
        <w:t>Production and</w:t>
      </w:r>
      <w:r>
        <w:rPr>
          <w:i/>
          <w:sz w:val="20"/>
        </w:rPr>
        <w:t> Operations Management</w:t>
      </w:r>
      <w:r>
        <w:rPr>
          <w:sz w:val="20"/>
        </w:rPr>
        <w:t>, 24(6), 896–916. https://doi.org/10.1111/poms.12317</w:t>
      </w:r>
    </w:p>
    <w:p>
      <w:pPr>
        <w:spacing w:before="160"/>
        <w:ind w:left="1300" w:right="864" w:hanging="565"/>
        <w:jc w:val="both"/>
        <w:rPr>
          <w:sz w:val="20"/>
        </w:rPr>
      </w:pPr>
      <w:r>
        <w:rPr>
          <w:sz w:val="20"/>
        </w:rPr>
        <w:t>Pituch, K. A., ve Stevens, J. P. (2015). </w:t>
      </w:r>
      <w:r>
        <w:rPr>
          <w:i/>
          <w:sz w:val="20"/>
        </w:rPr>
        <w:t>Applied multivariate statistics for the social sciences </w:t>
      </w:r>
      <w:r>
        <w:rPr>
          <w:sz w:val="20"/>
        </w:rPr>
        <w:t>(6. Baskı). Routledge. </w:t>
      </w:r>
      <w:r>
        <w:rPr>
          <w:spacing w:val="-2"/>
          <w:sz w:val="20"/>
        </w:rPr>
        <w:t>https://doi.org/10.4324/9781315814919</w:t>
      </w:r>
    </w:p>
    <w:p>
      <w:pPr>
        <w:spacing w:before="160"/>
        <w:ind w:left="1300" w:right="877" w:hanging="565"/>
        <w:jc w:val="both"/>
        <w:rPr>
          <w:sz w:val="20"/>
        </w:rPr>
      </w:pPr>
      <w:r>
        <w:rPr>
          <w:sz w:val="20"/>
        </w:rPr>
        <w:t>Schoefer, K. (2008). The role of cognition and affect in the formation of customer satisfaction judgements concerning service recovery encounters. </w:t>
      </w:r>
      <w:r>
        <w:rPr>
          <w:i/>
          <w:sz w:val="20"/>
        </w:rPr>
        <w:t>Journal of Consumer Behaviour</w:t>
      </w:r>
      <w:r>
        <w:rPr>
          <w:sz w:val="20"/>
        </w:rPr>
        <w:t>, </w:t>
      </w:r>
      <w:r>
        <w:rPr>
          <w:i/>
          <w:sz w:val="20"/>
        </w:rPr>
        <w:t>7</w:t>
      </w:r>
      <w:r>
        <w:rPr>
          <w:sz w:val="20"/>
        </w:rPr>
        <w:t>(3), 210–221. https://doi.org/10.1002/cb.246</w:t>
      </w:r>
    </w:p>
    <w:p>
      <w:pPr>
        <w:spacing w:before="161"/>
        <w:ind w:left="735" w:right="0" w:firstLine="0"/>
        <w:jc w:val="left"/>
        <w:rPr>
          <w:sz w:val="20"/>
        </w:rPr>
      </w:pPr>
      <w:r>
        <w:rPr>
          <w:sz w:val="20"/>
        </w:rPr>
        <w:t>Sharp,</w:t>
      </w:r>
      <w:r>
        <w:rPr>
          <w:spacing w:val="-2"/>
          <w:sz w:val="20"/>
        </w:rPr>
        <w:t> </w:t>
      </w:r>
      <w:r>
        <w:rPr>
          <w:sz w:val="20"/>
        </w:rPr>
        <w:t>B.</w:t>
      </w:r>
      <w:r>
        <w:rPr>
          <w:spacing w:val="-2"/>
          <w:sz w:val="20"/>
        </w:rPr>
        <w:t> </w:t>
      </w:r>
      <w:r>
        <w:rPr>
          <w:sz w:val="20"/>
        </w:rPr>
        <w:t>(2010).</w:t>
      </w:r>
      <w:r>
        <w:rPr>
          <w:spacing w:val="-2"/>
          <w:sz w:val="20"/>
        </w:rPr>
        <w:t> </w:t>
      </w:r>
      <w:r>
        <w:rPr>
          <w:i/>
          <w:sz w:val="20"/>
        </w:rPr>
        <w:t>How</w:t>
      </w:r>
      <w:r>
        <w:rPr>
          <w:i/>
          <w:spacing w:val="-1"/>
          <w:sz w:val="20"/>
        </w:rPr>
        <w:t> </w:t>
      </w:r>
      <w:r>
        <w:rPr>
          <w:i/>
          <w:sz w:val="20"/>
        </w:rPr>
        <w:t>brands</w:t>
      </w:r>
      <w:r>
        <w:rPr>
          <w:i/>
          <w:spacing w:val="-1"/>
          <w:sz w:val="20"/>
        </w:rPr>
        <w:t> </w:t>
      </w:r>
      <w:r>
        <w:rPr>
          <w:i/>
          <w:sz w:val="20"/>
        </w:rPr>
        <w:t>grow:</w:t>
      </w:r>
      <w:r>
        <w:rPr>
          <w:i/>
          <w:spacing w:val="-4"/>
          <w:sz w:val="20"/>
        </w:rPr>
        <w:t> </w:t>
      </w:r>
      <w:r>
        <w:rPr>
          <w:i/>
          <w:sz w:val="20"/>
        </w:rPr>
        <w:t>What</w:t>
      </w:r>
      <w:r>
        <w:rPr>
          <w:i/>
          <w:spacing w:val="-3"/>
          <w:sz w:val="20"/>
        </w:rPr>
        <w:t> </w:t>
      </w:r>
      <w:r>
        <w:rPr>
          <w:i/>
          <w:sz w:val="20"/>
        </w:rPr>
        <w:t>marketers</w:t>
      </w:r>
      <w:r>
        <w:rPr>
          <w:i/>
          <w:spacing w:val="-1"/>
          <w:sz w:val="20"/>
        </w:rPr>
        <w:t> </w:t>
      </w:r>
      <w:r>
        <w:rPr>
          <w:i/>
          <w:sz w:val="20"/>
        </w:rPr>
        <w:t>don’t</w:t>
      </w:r>
      <w:r>
        <w:rPr>
          <w:i/>
          <w:spacing w:val="-3"/>
          <w:sz w:val="20"/>
        </w:rPr>
        <w:t> </w:t>
      </w:r>
      <w:r>
        <w:rPr>
          <w:i/>
          <w:sz w:val="20"/>
        </w:rPr>
        <w:t>know</w:t>
      </w:r>
      <w:r>
        <w:rPr>
          <w:sz w:val="20"/>
        </w:rPr>
        <w:t>.</w:t>
      </w:r>
      <w:r>
        <w:rPr>
          <w:spacing w:val="-2"/>
          <w:sz w:val="20"/>
        </w:rPr>
        <w:t> </w:t>
      </w:r>
      <w:r>
        <w:rPr>
          <w:sz w:val="20"/>
        </w:rPr>
        <w:t>Oxford</w:t>
      </w:r>
      <w:r>
        <w:rPr>
          <w:spacing w:val="-2"/>
          <w:sz w:val="20"/>
        </w:rPr>
        <w:t> </w:t>
      </w:r>
      <w:r>
        <w:rPr>
          <w:sz w:val="20"/>
        </w:rPr>
        <w:t>University</w:t>
      </w:r>
      <w:r>
        <w:rPr>
          <w:spacing w:val="-1"/>
          <w:sz w:val="20"/>
        </w:rPr>
        <w:t> </w:t>
      </w:r>
      <w:r>
        <w:rPr>
          <w:spacing w:val="-2"/>
          <w:sz w:val="20"/>
        </w:rPr>
        <w:t>Press.</w:t>
      </w:r>
    </w:p>
    <w:p>
      <w:pPr>
        <w:spacing w:before="160"/>
        <w:ind w:left="1300" w:right="871" w:hanging="565"/>
        <w:jc w:val="both"/>
        <w:rPr>
          <w:sz w:val="20"/>
        </w:rPr>
      </w:pPr>
      <w:r>
        <w:rPr>
          <w:sz w:val="20"/>
        </w:rPr>
        <w:t>Sharp, B., Wright, M., ve Goodhardt, G. (2002). Purchase loyalty is polarised into either repertoire or subscription patterns. </w:t>
      </w:r>
      <w:r>
        <w:rPr>
          <w:i/>
          <w:sz w:val="20"/>
        </w:rPr>
        <w:t>Australasian Marketing Journal</w:t>
      </w:r>
      <w:r>
        <w:rPr>
          <w:sz w:val="20"/>
        </w:rPr>
        <w:t>, </w:t>
      </w:r>
      <w:r>
        <w:rPr>
          <w:i/>
          <w:sz w:val="20"/>
        </w:rPr>
        <w:t>10</w:t>
      </w:r>
      <w:r>
        <w:rPr>
          <w:sz w:val="20"/>
        </w:rPr>
        <w:t>(3), 7–20. https://doi.org/10.1016/S1441-3582(02)70155-9</w:t>
      </w:r>
    </w:p>
    <w:p>
      <w:pPr>
        <w:spacing w:before="160"/>
        <w:ind w:left="1300" w:right="863" w:hanging="565"/>
        <w:jc w:val="both"/>
        <w:rPr>
          <w:sz w:val="20"/>
        </w:rPr>
      </w:pPr>
      <w:r>
        <w:rPr>
          <w:sz w:val="20"/>
        </w:rPr>
        <w:t>Taylor,</w:t>
      </w:r>
      <w:r>
        <w:rPr>
          <w:spacing w:val="-7"/>
          <w:sz w:val="20"/>
        </w:rPr>
        <w:t> </w:t>
      </w:r>
      <w:r>
        <w:rPr>
          <w:sz w:val="20"/>
        </w:rPr>
        <w:t>S.</w:t>
      </w:r>
      <w:r>
        <w:rPr>
          <w:spacing w:val="-7"/>
          <w:sz w:val="20"/>
        </w:rPr>
        <w:t> </w:t>
      </w:r>
      <w:r>
        <w:rPr>
          <w:sz w:val="20"/>
        </w:rPr>
        <w:t>A.,</w:t>
      </w:r>
      <w:r>
        <w:rPr>
          <w:spacing w:val="-6"/>
          <w:sz w:val="20"/>
        </w:rPr>
        <w:t> </w:t>
      </w:r>
      <w:r>
        <w:rPr>
          <w:sz w:val="20"/>
        </w:rPr>
        <w:t>ve</w:t>
      </w:r>
      <w:r>
        <w:rPr>
          <w:spacing w:val="-6"/>
          <w:sz w:val="20"/>
        </w:rPr>
        <w:t> </w:t>
      </w:r>
      <w:r>
        <w:rPr>
          <w:sz w:val="20"/>
        </w:rPr>
        <w:t>Baker,</w:t>
      </w:r>
      <w:r>
        <w:rPr>
          <w:spacing w:val="-7"/>
          <w:sz w:val="20"/>
        </w:rPr>
        <w:t> </w:t>
      </w:r>
      <w:r>
        <w:rPr>
          <w:sz w:val="20"/>
        </w:rPr>
        <w:t>T.</w:t>
      </w:r>
      <w:r>
        <w:rPr>
          <w:spacing w:val="-7"/>
          <w:sz w:val="20"/>
        </w:rPr>
        <w:t> </w:t>
      </w:r>
      <w:r>
        <w:rPr>
          <w:sz w:val="20"/>
        </w:rPr>
        <w:t>L.</w:t>
      </w:r>
      <w:r>
        <w:rPr>
          <w:spacing w:val="-7"/>
          <w:sz w:val="20"/>
        </w:rPr>
        <w:t> </w:t>
      </w:r>
      <w:r>
        <w:rPr>
          <w:sz w:val="20"/>
        </w:rPr>
        <w:t>(1994).</w:t>
      </w:r>
      <w:r>
        <w:rPr>
          <w:spacing w:val="-7"/>
          <w:sz w:val="20"/>
        </w:rPr>
        <w:t> </w:t>
      </w:r>
      <w:r>
        <w:rPr>
          <w:sz w:val="20"/>
        </w:rPr>
        <w:t>An</w:t>
      </w:r>
      <w:r>
        <w:rPr>
          <w:spacing w:val="-7"/>
          <w:sz w:val="20"/>
        </w:rPr>
        <w:t> </w:t>
      </w:r>
      <w:r>
        <w:rPr>
          <w:sz w:val="20"/>
        </w:rPr>
        <w:t>assessment</w:t>
      </w:r>
      <w:r>
        <w:rPr>
          <w:spacing w:val="-8"/>
          <w:sz w:val="20"/>
        </w:rPr>
        <w:t> </w:t>
      </w:r>
      <w:r>
        <w:rPr>
          <w:sz w:val="20"/>
        </w:rPr>
        <w:t>of</w:t>
      </w:r>
      <w:r>
        <w:rPr>
          <w:spacing w:val="-9"/>
          <w:sz w:val="20"/>
        </w:rPr>
        <w:t> </w:t>
      </w:r>
      <w:r>
        <w:rPr>
          <w:sz w:val="20"/>
        </w:rPr>
        <w:t>the</w:t>
      </w:r>
      <w:r>
        <w:rPr>
          <w:spacing w:val="-6"/>
          <w:sz w:val="20"/>
        </w:rPr>
        <w:t> </w:t>
      </w:r>
      <w:r>
        <w:rPr>
          <w:sz w:val="20"/>
        </w:rPr>
        <w:t>relationship</w:t>
      </w:r>
      <w:r>
        <w:rPr>
          <w:spacing w:val="-7"/>
          <w:sz w:val="20"/>
        </w:rPr>
        <w:t> </w:t>
      </w:r>
      <w:r>
        <w:rPr>
          <w:sz w:val="20"/>
        </w:rPr>
        <w:t>between</w:t>
      </w:r>
      <w:r>
        <w:rPr>
          <w:spacing w:val="-12"/>
          <w:sz w:val="20"/>
        </w:rPr>
        <w:t> </w:t>
      </w:r>
      <w:r>
        <w:rPr>
          <w:sz w:val="20"/>
        </w:rPr>
        <w:t>service</w:t>
      </w:r>
      <w:r>
        <w:rPr>
          <w:spacing w:val="-6"/>
          <w:sz w:val="20"/>
        </w:rPr>
        <w:t> </w:t>
      </w:r>
      <w:r>
        <w:rPr>
          <w:sz w:val="20"/>
        </w:rPr>
        <w:t>quality</w:t>
      </w:r>
      <w:r>
        <w:rPr>
          <w:spacing w:val="-8"/>
          <w:sz w:val="20"/>
        </w:rPr>
        <w:t> </w:t>
      </w:r>
      <w:r>
        <w:rPr>
          <w:sz w:val="20"/>
        </w:rPr>
        <w:t>and</w:t>
      </w:r>
      <w:r>
        <w:rPr>
          <w:spacing w:val="-12"/>
          <w:sz w:val="20"/>
        </w:rPr>
        <w:t> </w:t>
      </w:r>
      <w:r>
        <w:rPr>
          <w:sz w:val="20"/>
        </w:rPr>
        <w:t>customer</w:t>
      </w:r>
      <w:r>
        <w:rPr>
          <w:spacing w:val="-13"/>
          <w:sz w:val="20"/>
        </w:rPr>
        <w:t> </w:t>
      </w:r>
      <w:r>
        <w:rPr>
          <w:sz w:val="20"/>
        </w:rPr>
        <w:t>satisfaction in the formation of consumers’ purchase intentions. </w:t>
      </w:r>
      <w:r>
        <w:rPr>
          <w:i/>
          <w:sz w:val="20"/>
        </w:rPr>
        <w:t>Journal of Retailing</w:t>
      </w:r>
      <w:r>
        <w:rPr>
          <w:sz w:val="20"/>
        </w:rPr>
        <w:t>, </w:t>
      </w:r>
      <w:r>
        <w:rPr>
          <w:i/>
          <w:sz w:val="20"/>
        </w:rPr>
        <w:t>70</w:t>
      </w:r>
      <w:r>
        <w:rPr>
          <w:sz w:val="20"/>
        </w:rPr>
        <w:t>(2), 163–178. </w:t>
      </w:r>
      <w:r>
        <w:rPr>
          <w:spacing w:val="-2"/>
          <w:sz w:val="20"/>
        </w:rPr>
        <w:t>https://doi.org/10.1016/0022-4359(94)90013-2</w:t>
      </w:r>
    </w:p>
    <w:p>
      <w:pPr>
        <w:spacing w:before="160"/>
        <w:ind w:left="1300" w:right="868" w:hanging="565"/>
        <w:jc w:val="both"/>
        <w:rPr>
          <w:sz w:val="20"/>
        </w:rPr>
      </w:pPr>
      <w:r>
        <w:rPr>
          <w:sz w:val="20"/>
        </w:rPr>
        <w:t>Theodorakis, N. D., Koustelios, A., Robinson, L., ve Barlas, A. (2009). Moderating role of team identification on the relationship</w:t>
      </w:r>
      <w:r>
        <w:rPr>
          <w:spacing w:val="-7"/>
          <w:sz w:val="20"/>
        </w:rPr>
        <w:t> </w:t>
      </w:r>
      <w:r>
        <w:rPr>
          <w:sz w:val="20"/>
        </w:rPr>
        <w:t>between</w:t>
      </w:r>
      <w:r>
        <w:rPr>
          <w:spacing w:val="-7"/>
          <w:sz w:val="20"/>
        </w:rPr>
        <w:t> </w:t>
      </w:r>
      <w:r>
        <w:rPr>
          <w:sz w:val="20"/>
        </w:rPr>
        <w:t>service</w:t>
      </w:r>
      <w:r>
        <w:rPr>
          <w:spacing w:val="-7"/>
          <w:sz w:val="20"/>
        </w:rPr>
        <w:t> </w:t>
      </w:r>
      <w:r>
        <w:rPr>
          <w:sz w:val="20"/>
        </w:rPr>
        <w:t>quality</w:t>
      </w:r>
      <w:r>
        <w:rPr>
          <w:spacing w:val="-8"/>
          <w:sz w:val="20"/>
        </w:rPr>
        <w:t> </w:t>
      </w:r>
      <w:r>
        <w:rPr>
          <w:sz w:val="20"/>
        </w:rPr>
        <w:t>and</w:t>
      </w:r>
      <w:r>
        <w:rPr>
          <w:spacing w:val="-7"/>
          <w:sz w:val="20"/>
        </w:rPr>
        <w:t> </w:t>
      </w:r>
      <w:r>
        <w:rPr>
          <w:sz w:val="20"/>
        </w:rPr>
        <w:t>repurchase</w:t>
      </w:r>
      <w:r>
        <w:rPr>
          <w:spacing w:val="-7"/>
          <w:sz w:val="20"/>
        </w:rPr>
        <w:t> </w:t>
      </w:r>
      <w:r>
        <w:rPr>
          <w:sz w:val="20"/>
        </w:rPr>
        <w:t>intentions</w:t>
      </w:r>
      <w:r>
        <w:rPr>
          <w:spacing w:val="-6"/>
          <w:sz w:val="20"/>
        </w:rPr>
        <w:t> </w:t>
      </w:r>
      <w:r>
        <w:rPr>
          <w:sz w:val="20"/>
        </w:rPr>
        <w:t>among</w:t>
      </w:r>
      <w:r>
        <w:rPr>
          <w:spacing w:val="-7"/>
          <w:sz w:val="20"/>
        </w:rPr>
        <w:t> </w:t>
      </w:r>
      <w:r>
        <w:rPr>
          <w:sz w:val="20"/>
        </w:rPr>
        <w:t>spectators</w:t>
      </w:r>
      <w:r>
        <w:rPr>
          <w:spacing w:val="-6"/>
          <w:sz w:val="20"/>
        </w:rPr>
        <w:t> </w:t>
      </w:r>
      <w:r>
        <w:rPr>
          <w:sz w:val="20"/>
        </w:rPr>
        <w:t>of</w:t>
      </w:r>
      <w:r>
        <w:rPr>
          <w:spacing w:val="-9"/>
          <w:sz w:val="20"/>
        </w:rPr>
        <w:t> </w:t>
      </w:r>
      <w:r>
        <w:rPr>
          <w:sz w:val="20"/>
        </w:rPr>
        <w:t>professional</w:t>
      </w:r>
      <w:r>
        <w:rPr>
          <w:spacing w:val="-8"/>
          <w:sz w:val="20"/>
        </w:rPr>
        <w:t> </w:t>
      </w:r>
      <w:r>
        <w:rPr>
          <w:sz w:val="20"/>
        </w:rPr>
        <w:t>sports. </w:t>
      </w:r>
      <w:r>
        <w:rPr>
          <w:i/>
          <w:sz w:val="20"/>
        </w:rPr>
        <w:t>Managing</w:t>
      </w:r>
      <w:r>
        <w:rPr>
          <w:i/>
          <w:sz w:val="20"/>
        </w:rPr>
        <w:t> Service Quality: An International Journal</w:t>
      </w:r>
      <w:r>
        <w:rPr>
          <w:sz w:val="20"/>
        </w:rPr>
        <w:t>, </w:t>
      </w:r>
      <w:r>
        <w:rPr>
          <w:i/>
          <w:sz w:val="20"/>
        </w:rPr>
        <w:t>19</w:t>
      </w:r>
      <w:r>
        <w:rPr>
          <w:sz w:val="20"/>
        </w:rPr>
        <w:t>(4), 456–473. https://doi.org/10.1108/09604520910971557</w:t>
      </w:r>
    </w:p>
    <w:p>
      <w:pPr>
        <w:spacing w:before="160"/>
        <w:ind w:left="1300" w:right="866" w:hanging="565"/>
        <w:jc w:val="both"/>
        <w:rPr>
          <w:sz w:val="20"/>
        </w:rPr>
      </w:pPr>
      <w:r>
        <w:rPr>
          <w:sz w:val="20"/>
        </w:rPr>
        <w:t>Tsitskari,</w:t>
      </w:r>
      <w:r>
        <w:rPr>
          <w:spacing w:val="-4"/>
          <w:sz w:val="20"/>
        </w:rPr>
        <w:t> </w:t>
      </w:r>
      <w:r>
        <w:rPr>
          <w:sz w:val="20"/>
        </w:rPr>
        <w:t>E.,</w:t>
      </w:r>
      <w:r>
        <w:rPr>
          <w:spacing w:val="-8"/>
          <w:sz w:val="20"/>
        </w:rPr>
        <w:t> </w:t>
      </w:r>
      <w:r>
        <w:rPr>
          <w:sz w:val="20"/>
        </w:rPr>
        <w:t>Tsiotras,</w:t>
      </w:r>
      <w:r>
        <w:rPr>
          <w:spacing w:val="-8"/>
          <w:sz w:val="20"/>
        </w:rPr>
        <w:t> </w:t>
      </w:r>
      <w:r>
        <w:rPr>
          <w:sz w:val="20"/>
        </w:rPr>
        <w:t>D., ve</w:t>
      </w:r>
      <w:r>
        <w:rPr>
          <w:spacing w:val="-7"/>
          <w:sz w:val="20"/>
        </w:rPr>
        <w:t> </w:t>
      </w:r>
      <w:r>
        <w:rPr>
          <w:sz w:val="20"/>
        </w:rPr>
        <w:t>Tsiotras,</w:t>
      </w:r>
      <w:r>
        <w:rPr>
          <w:spacing w:val="-3"/>
          <w:sz w:val="20"/>
        </w:rPr>
        <w:t> </w:t>
      </w:r>
      <w:r>
        <w:rPr>
          <w:sz w:val="20"/>
        </w:rPr>
        <w:t>G.</w:t>
      </w:r>
      <w:r>
        <w:rPr>
          <w:spacing w:val="-3"/>
          <w:sz w:val="20"/>
        </w:rPr>
        <w:t> </w:t>
      </w:r>
      <w:r>
        <w:rPr>
          <w:sz w:val="20"/>
        </w:rPr>
        <w:t>(2006).</w:t>
      </w:r>
      <w:r>
        <w:rPr>
          <w:spacing w:val="-3"/>
          <w:sz w:val="20"/>
        </w:rPr>
        <w:t> </w:t>
      </w:r>
      <w:r>
        <w:rPr>
          <w:sz w:val="20"/>
        </w:rPr>
        <w:t>Measuring</w:t>
      </w:r>
      <w:r>
        <w:rPr>
          <w:spacing w:val="-3"/>
          <w:sz w:val="20"/>
        </w:rPr>
        <w:t> </w:t>
      </w:r>
      <w:r>
        <w:rPr>
          <w:sz w:val="20"/>
        </w:rPr>
        <w:t>service</w:t>
      </w:r>
      <w:r>
        <w:rPr>
          <w:spacing w:val="-2"/>
          <w:sz w:val="20"/>
        </w:rPr>
        <w:t> </w:t>
      </w:r>
      <w:r>
        <w:rPr>
          <w:sz w:val="20"/>
        </w:rPr>
        <w:t>quality</w:t>
      </w:r>
      <w:r>
        <w:rPr>
          <w:spacing w:val="-4"/>
          <w:sz w:val="20"/>
        </w:rPr>
        <w:t> </w:t>
      </w:r>
      <w:r>
        <w:rPr>
          <w:sz w:val="20"/>
        </w:rPr>
        <w:t>in</w:t>
      </w:r>
      <w:r>
        <w:rPr>
          <w:spacing w:val="-8"/>
          <w:sz w:val="20"/>
        </w:rPr>
        <w:t> </w:t>
      </w:r>
      <w:r>
        <w:rPr>
          <w:sz w:val="20"/>
        </w:rPr>
        <w:t>sport</w:t>
      </w:r>
      <w:r>
        <w:rPr>
          <w:spacing w:val="-4"/>
          <w:sz w:val="20"/>
        </w:rPr>
        <w:t> </w:t>
      </w:r>
      <w:r>
        <w:rPr>
          <w:sz w:val="20"/>
        </w:rPr>
        <w:t>services. </w:t>
      </w:r>
      <w:r>
        <w:rPr>
          <w:i/>
          <w:sz w:val="20"/>
        </w:rPr>
        <w:t>Total</w:t>
      </w:r>
      <w:r>
        <w:rPr>
          <w:i/>
          <w:spacing w:val="-4"/>
          <w:sz w:val="20"/>
        </w:rPr>
        <w:t> </w:t>
      </w:r>
      <w:r>
        <w:rPr>
          <w:i/>
          <w:sz w:val="20"/>
        </w:rPr>
        <w:t>Quality</w:t>
      </w:r>
      <w:r>
        <w:rPr>
          <w:i/>
          <w:spacing w:val="-2"/>
          <w:sz w:val="20"/>
        </w:rPr>
        <w:t> </w:t>
      </w:r>
      <w:r>
        <w:rPr>
          <w:i/>
          <w:sz w:val="20"/>
        </w:rPr>
        <w:t>Management</w:t>
      </w:r>
      <w:r>
        <w:rPr>
          <w:i/>
          <w:sz w:val="20"/>
        </w:rPr>
        <w:t> &amp; Business Excellence</w:t>
      </w:r>
      <w:r>
        <w:rPr>
          <w:sz w:val="20"/>
        </w:rPr>
        <w:t>, 17(5), 623–631. https://doi.org/10.1080/14783360600588190</w:t>
      </w:r>
    </w:p>
    <w:p>
      <w:pPr>
        <w:spacing w:before="161"/>
        <w:ind w:left="1300" w:right="863" w:hanging="565"/>
        <w:jc w:val="both"/>
        <w:rPr>
          <w:sz w:val="20"/>
        </w:rPr>
      </w:pPr>
      <w:r>
        <w:rPr>
          <w:sz w:val="20"/>
        </w:rPr>
        <w:t>Wann,</w:t>
      </w:r>
      <w:r>
        <w:rPr>
          <w:spacing w:val="-8"/>
          <w:sz w:val="20"/>
        </w:rPr>
        <w:t> </w:t>
      </w:r>
      <w:r>
        <w:rPr>
          <w:sz w:val="20"/>
        </w:rPr>
        <w:t>D.</w:t>
      </w:r>
      <w:r>
        <w:rPr>
          <w:spacing w:val="-8"/>
          <w:sz w:val="20"/>
        </w:rPr>
        <w:t> </w:t>
      </w:r>
      <w:r>
        <w:rPr>
          <w:sz w:val="20"/>
        </w:rPr>
        <w:t>L.,</w:t>
      </w:r>
      <w:r>
        <w:rPr>
          <w:spacing w:val="-7"/>
          <w:sz w:val="20"/>
        </w:rPr>
        <w:t> </w:t>
      </w:r>
      <w:r>
        <w:rPr>
          <w:sz w:val="20"/>
        </w:rPr>
        <w:t>ve</w:t>
      </w:r>
      <w:r>
        <w:rPr>
          <w:spacing w:val="-7"/>
          <w:sz w:val="20"/>
        </w:rPr>
        <w:t> </w:t>
      </w:r>
      <w:r>
        <w:rPr>
          <w:sz w:val="20"/>
        </w:rPr>
        <w:t>Branscombe,</w:t>
      </w:r>
      <w:r>
        <w:rPr>
          <w:spacing w:val="-8"/>
          <w:sz w:val="20"/>
        </w:rPr>
        <w:t> </w:t>
      </w:r>
      <w:r>
        <w:rPr>
          <w:sz w:val="20"/>
        </w:rPr>
        <w:t>N.</w:t>
      </w:r>
      <w:r>
        <w:rPr>
          <w:spacing w:val="-8"/>
          <w:sz w:val="20"/>
        </w:rPr>
        <w:t> </w:t>
      </w:r>
      <w:r>
        <w:rPr>
          <w:sz w:val="20"/>
        </w:rPr>
        <w:t>R.</w:t>
      </w:r>
      <w:r>
        <w:rPr>
          <w:spacing w:val="-12"/>
          <w:sz w:val="20"/>
        </w:rPr>
        <w:t> </w:t>
      </w:r>
      <w:r>
        <w:rPr>
          <w:sz w:val="20"/>
        </w:rPr>
        <w:t>(1993).</w:t>
      </w:r>
      <w:r>
        <w:rPr>
          <w:spacing w:val="-8"/>
          <w:sz w:val="20"/>
        </w:rPr>
        <w:t> </w:t>
      </w:r>
      <w:r>
        <w:rPr>
          <w:sz w:val="20"/>
        </w:rPr>
        <w:t>Sports</w:t>
      </w:r>
      <w:r>
        <w:rPr>
          <w:spacing w:val="-7"/>
          <w:sz w:val="20"/>
        </w:rPr>
        <w:t> </w:t>
      </w:r>
      <w:r>
        <w:rPr>
          <w:sz w:val="20"/>
        </w:rPr>
        <w:t>fans:</w:t>
      </w:r>
      <w:r>
        <w:rPr>
          <w:spacing w:val="-9"/>
          <w:sz w:val="20"/>
        </w:rPr>
        <w:t> </w:t>
      </w:r>
      <w:r>
        <w:rPr>
          <w:sz w:val="20"/>
        </w:rPr>
        <w:t>Measuring</w:t>
      </w:r>
      <w:r>
        <w:rPr>
          <w:spacing w:val="-8"/>
          <w:sz w:val="20"/>
        </w:rPr>
        <w:t> </w:t>
      </w:r>
      <w:r>
        <w:rPr>
          <w:sz w:val="20"/>
        </w:rPr>
        <w:t>degree</w:t>
      </w:r>
      <w:r>
        <w:rPr>
          <w:spacing w:val="-7"/>
          <w:sz w:val="20"/>
        </w:rPr>
        <w:t> </w:t>
      </w:r>
      <w:r>
        <w:rPr>
          <w:sz w:val="20"/>
        </w:rPr>
        <w:t>of</w:t>
      </w:r>
      <w:r>
        <w:rPr>
          <w:spacing w:val="-9"/>
          <w:sz w:val="20"/>
        </w:rPr>
        <w:t> </w:t>
      </w:r>
      <w:r>
        <w:rPr>
          <w:sz w:val="20"/>
        </w:rPr>
        <w:t>identification</w:t>
      </w:r>
      <w:r>
        <w:rPr>
          <w:spacing w:val="-8"/>
          <w:sz w:val="20"/>
        </w:rPr>
        <w:t> </w:t>
      </w:r>
      <w:r>
        <w:rPr>
          <w:sz w:val="20"/>
        </w:rPr>
        <w:t>with</w:t>
      </w:r>
      <w:r>
        <w:rPr>
          <w:spacing w:val="-8"/>
          <w:sz w:val="20"/>
        </w:rPr>
        <w:t> </w:t>
      </w:r>
      <w:r>
        <w:rPr>
          <w:sz w:val="20"/>
        </w:rPr>
        <w:t>their</w:t>
      </w:r>
      <w:r>
        <w:rPr>
          <w:spacing w:val="-10"/>
          <w:sz w:val="20"/>
        </w:rPr>
        <w:t> </w:t>
      </w:r>
      <w:r>
        <w:rPr>
          <w:sz w:val="20"/>
        </w:rPr>
        <w:t>team. </w:t>
      </w:r>
      <w:r>
        <w:rPr>
          <w:i/>
          <w:sz w:val="20"/>
        </w:rPr>
        <w:t>International</w:t>
      </w:r>
      <w:r>
        <w:rPr>
          <w:i/>
          <w:sz w:val="20"/>
        </w:rPr>
        <w:t> Journal of Sport Psychology</w:t>
      </w:r>
      <w:r>
        <w:rPr>
          <w:sz w:val="20"/>
        </w:rPr>
        <w:t>, </w:t>
      </w:r>
      <w:r>
        <w:rPr>
          <w:i/>
          <w:sz w:val="20"/>
        </w:rPr>
        <w:t>24</w:t>
      </w:r>
      <w:r>
        <w:rPr>
          <w:sz w:val="20"/>
        </w:rPr>
        <w:t>(1), 1–17.</w:t>
      </w:r>
    </w:p>
    <w:p>
      <w:pPr>
        <w:spacing w:before="160"/>
        <w:ind w:left="735" w:right="0" w:firstLine="0"/>
        <w:jc w:val="left"/>
        <w:rPr>
          <w:sz w:val="20"/>
        </w:rPr>
      </w:pPr>
      <w:r>
        <w:rPr>
          <w:sz w:val="20"/>
        </w:rPr>
        <w:t>Wann,</w:t>
      </w:r>
      <w:r>
        <w:rPr>
          <w:spacing w:val="-3"/>
          <w:sz w:val="20"/>
        </w:rPr>
        <w:t> </w:t>
      </w:r>
      <w:r>
        <w:rPr>
          <w:sz w:val="20"/>
        </w:rPr>
        <w:t>D. L., ve</w:t>
      </w:r>
      <w:r>
        <w:rPr>
          <w:spacing w:val="1"/>
          <w:sz w:val="20"/>
        </w:rPr>
        <w:t> </w:t>
      </w:r>
      <w:r>
        <w:rPr>
          <w:sz w:val="20"/>
        </w:rPr>
        <w:t>James, J. D. (2018).</w:t>
      </w:r>
      <w:r>
        <w:rPr>
          <w:spacing w:val="1"/>
          <w:sz w:val="20"/>
        </w:rPr>
        <w:t> </w:t>
      </w:r>
      <w:r>
        <w:rPr>
          <w:i/>
          <w:sz w:val="20"/>
        </w:rPr>
        <w:t>Sport</w:t>
      </w:r>
      <w:r>
        <w:rPr>
          <w:i/>
          <w:spacing w:val="-2"/>
          <w:sz w:val="20"/>
        </w:rPr>
        <w:t> </w:t>
      </w:r>
      <w:r>
        <w:rPr>
          <w:i/>
          <w:sz w:val="20"/>
        </w:rPr>
        <w:t>fans:</w:t>
      </w:r>
      <w:r>
        <w:rPr>
          <w:i/>
          <w:spacing w:val="-2"/>
          <w:sz w:val="20"/>
        </w:rPr>
        <w:t> </w:t>
      </w:r>
      <w:r>
        <w:rPr>
          <w:i/>
          <w:sz w:val="20"/>
        </w:rPr>
        <w:t>The</w:t>
      </w:r>
      <w:r>
        <w:rPr>
          <w:i/>
          <w:spacing w:val="1"/>
          <w:sz w:val="20"/>
        </w:rPr>
        <w:t> </w:t>
      </w:r>
      <w:r>
        <w:rPr>
          <w:i/>
          <w:sz w:val="20"/>
        </w:rPr>
        <w:t>psychology</w:t>
      </w:r>
      <w:r>
        <w:rPr>
          <w:i/>
          <w:spacing w:val="1"/>
          <w:sz w:val="20"/>
        </w:rPr>
        <w:t> </w:t>
      </w:r>
      <w:r>
        <w:rPr>
          <w:i/>
          <w:sz w:val="20"/>
        </w:rPr>
        <w:t>and social</w:t>
      </w:r>
      <w:r>
        <w:rPr>
          <w:i/>
          <w:spacing w:val="-1"/>
          <w:sz w:val="20"/>
        </w:rPr>
        <w:t> </w:t>
      </w:r>
      <w:r>
        <w:rPr>
          <w:i/>
          <w:sz w:val="20"/>
        </w:rPr>
        <w:t>impact</w:t>
      </w:r>
      <w:r>
        <w:rPr>
          <w:i/>
          <w:spacing w:val="-1"/>
          <w:sz w:val="20"/>
        </w:rPr>
        <w:t> </w:t>
      </w:r>
      <w:r>
        <w:rPr>
          <w:i/>
          <w:sz w:val="20"/>
        </w:rPr>
        <w:t>of</w:t>
      </w:r>
      <w:r>
        <w:rPr>
          <w:i/>
          <w:spacing w:val="-1"/>
          <w:sz w:val="20"/>
        </w:rPr>
        <w:t> </w:t>
      </w:r>
      <w:r>
        <w:rPr>
          <w:i/>
          <w:sz w:val="20"/>
        </w:rPr>
        <w:t>fandom</w:t>
      </w:r>
      <w:r>
        <w:rPr>
          <w:sz w:val="20"/>
        </w:rPr>
        <w:t>. </w:t>
      </w:r>
      <w:r>
        <w:rPr>
          <w:spacing w:val="-2"/>
          <w:sz w:val="20"/>
        </w:rPr>
        <w:t>Routledge.</w:t>
      </w:r>
    </w:p>
    <w:p>
      <w:pPr>
        <w:spacing w:before="160"/>
        <w:ind w:left="1300" w:right="870" w:hanging="565"/>
        <w:jc w:val="both"/>
        <w:rPr>
          <w:sz w:val="20"/>
        </w:rPr>
      </w:pPr>
      <w:r>
        <w:rPr>
          <w:sz w:val="20"/>
        </w:rPr>
        <w:t>Won,</w:t>
      </w:r>
      <w:r>
        <w:rPr>
          <w:spacing w:val="-11"/>
          <w:sz w:val="20"/>
        </w:rPr>
        <w:t> </w:t>
      </w:r>
      <w:r>
        <w:rPr>
          <w:sz w:val="20"/>
        </w:rPr>
        <w:t>D.</w:t>
      </w:r>
      <w:r>
        <w:rPr>
          <w:spacing w:val="-11"/>
          <w:sz w:val="20"/>
        </w:rPr>
        <w:t> </w:t>
      </w:r>
      <w:r>
        <w:rPr>
          <w:sz w:val="20"/>
        </w:rPr>
        <w:t>and</w:t>
      </w:r>
      <w:r>
        <w:rPr>
          <w:spacing w:val="-11"/>
          <w:sz w:val="20"/>
        </w:rPr>
        <w:t> </w:t>
      </w:r>
      <w:r>
        <w:rPr>
          <w:sz w:val="20"/>
        </w:rPr>
        <w:t>Lee,</w:t>
      </w:r>
      <w:r>
        <w:rPr>
          <w:spacing w:val="-11"/>
          <w:sz w:val="20"/>
        </w:rPr>
        <w:t> </w:t>
      </w:r>
      <w:r>
        <w:rPr>
          <w:sz w:val="20"/>
        </w:rPr>
        <w:t>C.</w:t>
      </w:r>
      <w:r>
        <w:rPr>
          <w:spacing w:val="-11"/>
          <w:sz w:val="20"/>
        </w:rPr>
        <w:t> </w:t>
      </w:r>
      <w:r>
        <w:rPr>
          <w:sz w:val="20"/>
        </w:rPr>
        <w:t>(2022),</w:t>
      </w:r>
      <w:r>
        <w:rPr>
          <w:spacing w:val="-11"/>
          <w:sz w:val="20"/>
        </w:rPr>
        <w:t> </w:t>
      </w:r>
      <w:r>
        <w:rPr>
          <w:sz w:val="20"/>
        </w:rPr>
        <w:t>What</w:t>
      </w:r>
      <w:r>
        <w:rPr>
          <w:spacing w:val="-12"/>
          <w:sz w:val="20"/>
        </w:rPr>
        <w:t> </w:t>
      </w:r>
      <w:r>
        <w:rPr>
          <w:sz w:val="20"/>
        </w:rPr>
        <w:t>influences</w:t>
      </w:r>
      <w:r>
        <w:rPr>
          <w:spacing w:val="-9"/>
          <w:sz w:val="20"/>
        </w:rPr>
        <w:t> </w:t>
      </w:r>
      <w:r>
        <w:rPr>
          <w:sz w:val="20"/>
        </w:rPr>
        <w:t>season</w:t>
      </w:r>
      <w:r>
        <w:rPr>
          <w:spacing w:val="-11"/>
          <w:sz w:val="20"/>
        </w:rPr>
        <w:t> </w:t>
      </w:r>
      <w:r>
        <w:rPr>
          <w:sz w:val="20"/>
        </w:rPr>
        <w:t>ticket</w:t>
      </w:r>
      <w:r>
        <w:rPr>
          <w:spacing w:val="-5"/>
          <w:sz w:val="20"/>
        </w:rPr>
        <w:t> </w:t>
      </w:r>
      <w:r>
        <w:rPr>
          <w:sz w:val="20"/>
        </w:rPr>
        <w:t>holders’</w:t>
      </w:r>
      <w:r>
        <w:rPr>
          <w:spacing w:val="-13"/>
          <w:sz w:val="20"/>
        </w:rPr>
        <w:t> </w:t>
      </w:r>
      <w:r>
        <w:rPr>
          <w:sz w:val="20"/>
        </w:rPr>
        <w:t>satisfaction</w:t>
      </w:r>
      <w:r>
        <w:rPr>
          <w:spacing w:val="-10"/>
          <w:sz w:val="20"/>
        </w:rPr>
        <w:t> </w:t>
      </w:r>
      <w:r>
        <w:rPr>
          <w:sz w:val="20"/>
        </w:rPr>
        <w:t>and</w:t>
      </w:r>
      <w:r>
        <w:rPr>
          <w:spacing w:val="-11"/>
          <w:sz w:val="20"/>
        </w:rPr>
        <w:t> </w:t>
      </w:r>
      <w:r>
        <w:rPr>
          <w:sz w:val="20"/>
        </w:rPr>
        <w:t>renewal</w:t>
      </w:r>
      <w:r>
        <w:rPr>
          <w:spacing w:val="-12"/>
          <w:sz w:val="20"/>
        </w:rPr>
        <w:t> </w:t>
      </w:r>
      <w:r>
        <w:rPr>
          <w:sz w:val="20"/>
        </w:rPr>
        <w:t>intention?</w:t>
      </w:r>
      <w:r>
        <w:rPr>
          <w:spacing w:val="-6"/>
          <w:sz w:val="20"/>
        </w:rPr>
        <w:t> </w:t>
      </w:r>
      <w:r>
        <w:rPr>
          <w:sz w:val="20"/>
        </w:rPr>
        <w:t>The</w:t>
      </w:r>
      <w:r>
        <w:rPr>
          <w:spacing w:val="-10"/>
          <w:sz w:val="20"/>
        </w:rPr>
        <w:t> </w:t>
      </w:r>
      <w:r>
        <w:rPr>
          <w:sz w:val="20"/>
        </w:rPr>
        <w:t>role</w:t>
      </w:r>
      <w:r>
        <w:rPr>
          <w:spacing w:val="-10"/>
          <w:sz w:val="20"/>
        </w:rPr>
        <w:t> </w:t>
      </w:r>
      <w:r>
        <w:rPr>
          <w:sz w:val="20"/>
        </w:rPr>
        <w:t>of</w:t>
      </w:r>
      <w:r>
        <w:rPr>
          <w:spacing w:val="-13"/>
          <w:sz w:val="20"/>
        </w:rPr>
        <w:t> </w:t>
      </w:r>
      <w:r>
        <w:rPr>
          <w:sz w:val="20"/>
        </w:rPr>
        <w:t>season ticket service quality. </w:t>
      </w:r>
      <w:r>
        <w:rPr>
          <w:i/>
          <w:sz w:val="20"/>
        </w:rPr>
        <w:t>Managing Sport and Leisure</w:t>
      </w:r>
      <w:r>
        <w:rPr>
          <w:sz w:val="20"/>
        </w:rPr>
        <w:t>, 1–19. https://doi.org/10.1080/23750472.2022.2072372.</w:t>
      </w:r>
    </w:p>
    <w:p>
      <w:pPr>
        <w:spacing w:before="160"/>
        <w:ind w:left="1300" w:right="869" w:hanging="565"/>
        <w:jc w:val="both"/>
        <w:rPr>
          <w:sz w:val="20"/>
        </w:rPr>
      </w:pPr>
      <w:r>
        <w:rPr>
          <w:sz w:val="20"/>
        </w:rPr>
        <w:t>Woo,</w:t>
      </w:r>
      <w:r>
        <w:rPr>
          <w:spacing w:val="-2"/>
          <w:sz w:val="20"/>
        </w:rPr>
        <w:t> </w:t>
      </w:r>
      <w:r>
        <w:rPr>
          <w:sz w:val="20"/>
        </w:rPr>
        <w:t>B.,</w:t>
      </w:r>
      <w:r>
        <w:rPr>
          <w:spacing w:val="-2"/>
          <w:sz w:val="20"/>
        </w:rPr>
        <w:t> </w:t>
      </w:r>
      <w:r>
        <w:rPr>
          <w:sz w:val="20"/>
        </w:rPr>
        <w:t>Trail,</w:t>
      </w:r>
      <w:r>
        <w:rPr>
          <w:spacing w:val="-2"/>
          <w:sz w:val="20"/>
        </w:rPr>
        <w:t> </w:t>
      </w:r>
      <w:r>
        <w:rPr>
          <w:sz w:val="20"/>
        </w:rPr>
        <w:t>G.</w:t>
      </w:r>
      <w:r>
        <w:rPr>
          <w:spacing w:val="-2"/>
          <w:sz w:val="20"/>
        </w:rPr>
        <w:t> </w:t>
      </w:r>
      <w:r>
        <w:rPr>
          <w:sz w:val="20"/>
        </w:rPr>
        <w:t>T.,</w:t>
      </w:r>
      <w:r>
        <w:rPr>
          <w:spacing w:val="-2"/>
          <w:sz w:val="20"/>
        </w:rPr>
        <w:t> </w:t>
      </w:r>
      <w:r>
        <w:rPr>
          <w:sz w:val="20"/>
        </w:rPr>
        <w:t>Kwon,</w:t>
      </w:r>
      <w:r>
        <w:rPr>
          <w:spacing w:val="-2"/>
          <w:sz w:val="20"/>
        </w:rPr>
        <w:t> </w:t>
      </w:r>
      <w:r>
        <w:rPr>
          <w:sz w:val="20"/>
        </w:rPr>
        <w:t>H.</w:t>
      </w:r>
      <w:r>
        <w:rPr>
          <w:spacing w:val="-2"/>
          <w:sz w:val="20"/>
        </w:rPr>
        <w:t> </w:t>
      </w:r>
      <w:r>
        <w:rPr>
          <w:sz w:val="20"/>
        </w:rPr>
        <w:t>H.,</w:t>
      </w:r>
      <w:r>
        <w:rPr>
          <w:spacing w:val="-1"/>
          <w:sz w:val="20"/>
        </w:rPr>
        <w:t> </w:t>
      </w:r>
      <w:r>
        <w:rPr>
          <w:sz w:val="20"/>
        </w:rPr>
        <w:t>ve</w:t>
      </w:r>
      <w:r>
        <w:rPr>
          <w:spacing w:val="-2"/>
          <w:sz w:val="20"/>
        </w:rPr>
        <w:t> </w:t>
      </w:r>
      <w:r>
        <w:rPr>
          <w:sz w:val="20"/>
        </w:rPr>
        <w:t>Anderson,</w:t>
      </w:r>
      <w:r>
        <w:rPr>
          <w:spacing w:val="-2"/>
          <w:sz w:val="20"/>
        </w:rPr>
        <w:t> </w:t>
      </w:r>
      <w:r>
        <w:rPr>
          <w:sz w:val="20"/>
        </w:rPr>
        <w:t>D.</w:t>
      </w:r>
      <w:r>
        <w:rPr>
          <w:spacing w:val="-2"/>
          <w:sz w:val="20"/>
        </w:rPr>
        <w:t> </w:t>
      </w:r>
      <w:r>
        <w:rPr>
          <w:sz w:val="20"/>
        </w:rPr>
        <w:t>(2009).</w:t>
      </w:r>
      <w:r>
        <w:rPr>
          <w:spacing w:val="-2"/>
          <w:sz w:val="20"/>
        </w:rPr>
        <w:t> </w:t>
      </w:r>
      <w:r>
        <w:rPr>
          <w:sz w:val="20"/>
        </w:rPr>
        <w:t>Testing</w:t>
      </w:r>
      <w:r>
        <w:rPr>
          <w:spacing w:val="-2"/>
          <w:sz w:val="20"/>
        </w:rPr>
        <w:t> </w:t>
      </w:r>
      <w:r>
        <w:rPr>
          <w:sz w:val="20"/>
        </w:rPr>
        <w:t>models</w:t>
      </w:r>
      <w:r>
        <w:rPr>
          <w:spacing w:val="-2"/>
          <w:sz w:val="20"/>
        </w:rPr>
        <w:t> </w:t>
      </w:r>
      <w:r>
        <w:rPr>
          <w:sz w:val="20"/>
        </w:rPr>
        <w:t>of</w:t>
      </w:r>
      <w:r>
        <w:rPr>
          <w:spacing w:val="-4"/>
          <w:sz w:val="20"/>
        </w:rPr>
        <w:t> </w:t>
      </w:r>
      <w:r>
        <w:rPr>
          <w:sz w:val="20"/>
        </w:rPr>
        <w:t>motives</w:t>
      </w:r>
      <w:r>
        <w:rPr>
          <w:spacing w:val="-1"/>
          <w:sz w:val="20"/>
        </w:rPr>
        <w:t> </w:t>
      </w:r>
      <w:r>
        <w:rPr>
          <w:sz w:val="20"/>
        </w:rPr>
        <w:t>and</w:t>
      </w:r>
      <w:r>
        <w:rPr>
          <w:spacing w:val="-2"/>
          <w:sz w:val="20"/>
        </w:rPr>
        <w:t> </w:t>
      </w:r>
      <w:r>
        <w:rPr>
          <w:sz w:val="20"/>
        </w:rPr>
        <w:t>points</w:t>
      </w:r>
      <w:r>
        <w:rPr>
          <w:spacing w:val="-1"/>
          <w:sz w:val="20"/>
        </w:rPr>
        <w:t> </w:t>
      </w:r>
      <w:r>
        <w:rPr>
          <w:sz w:val="20"/>
        </w:rPr>
        <w:t>of</w:t>
      </w:r>
      <w:r>
        <w:rPr>
          <w:spacing w:val="-4"/>
          <w:sz w:val="20"/>
        </w:rPr>
        <w:t> </w:t>
      </w:r>
      <w:r>
        <w:rPr>
          <w:sz w:val="20"/>
        </w:rPr>
        <w:t>attachment</w:t>
      </w:r>
      <w:r>
        <w:rPr>
          <w:spacing w:val="-3"/>
          <w:sz w:val="20"/>
        </w:rPr>
        <w:t> </w:t>
      </w:r>
      <w:r>
        <w:rPr>
          <w:sz w:val="20"/>
        </w:rPr>
        <w:t>among spectators in college football. </w:t>
      </w:r>
      <w:r>
        <w:rPr>
          <w:i/>
          <w:sz w:val="20"/>
        </w:rPr>
        <w:t>Sport Marketing Quarterly</w:t>
      </w:r>
      <w:r>
        <w:rPr>
          <w:sz w:val="20"/>
        </w:rPr>
        <w:t>, </w:t>
      </w:r>
      <w:r>
        <w:rPr>
          <w:i/>
          <w:sz w:val="20"/>
        </w:rPr>
        <w:t>18</w:t>
      </w:r>
      <w:r>
        <w:rPr>
          <w:sz w:val="20"/>
        </w:rPr>
        <w:t>(1), 38-53.</w:t>
      </w:r>
    </w:p>
    <w:p>
      <w:pPr>
        <w:spacing w:before="161"/>
        <w:ind w:left="1300" w:right="863" w:hanging="565"/>
        <w:jc w:val="both"/>
        <w:rPr>
          <w:sz w:val="20"/>
        </w:rPr>
      </w:pPr>
      <w:r>
        <w:rPr>
          <w:sz w:val="20"/>
        </w:rPr>
        <w:t>Woratschek, H., Horbel, C., ve Popp, B. (2014). The sport value framework – a new fundamental logic for analyses in sport management. </w:t>
      </w:r>
      <w:r>
        <w:rPr>
          <w:i/>
          <w:sz w:val="20"/>
        </w:rPr>
        <w:t>European Sport Management Quarterly</w:t>
      </w:r>
      <w:r>
        <w:rPr>
          <w:sz w:val="20"/>
        </w:rPr>
        <w:t>, </w:t>
      </w:r>
      <w:r>
        <w:rPr>
          <w:i/>
          <w:sz w:val="20"/>
        </w:rPr>
        <w:t>14</w:t>
      </w:r>
      <w:r>
        <w:rPr>
          <w:sz w:val="20"/>
        </w:rPr>
        <w:t>(1), 6–24. </w:t>
      </w:r>
      <w:r>
        <w:rPr>
          <w:spacing w:val="-2"/>
          <w:sz w:val="20"/>
        </w:rPr>
        <w:t>https://doi.org/10.1080/16184742.2013.865776</w:t>
      </w:r>
    </w:p>
    <w:p>
      <w:pPr>
        <w:spacing w:after="0"/>
        <w:jc w:val="both"/>
        <w:rPr>
          <w:sz w:val="20"/>
        </w:rPr>
        <w:sectPr>
          <w:pgSz w:w="11910" w:h="16840"/>
          <w:pgMar w:header="442" w:footer="532" w:top="780" w:bottom="720" w:left="400" w:right="260"/>
        </w:sectPr>
      </w:pPr>
    </w:p>
    <w:p>
      <w:pPr>
        <w:pStyle w:val="BodyText"/>
        <w:spacing w:before="104"/>
        <w:rPr>
          <w:sz w:val="20"/>
        </w:rPr>
      </w:pPr>
    </w:p>
    <w:p>
      <w:pPr>
        <w:tabs>
          <w:tab w:pos="2951" w:val="left" w:leader="none"/>
          <w:tab w:pos="3936" w:val="left" w:leader="none"/>
          <w:tab w:pos="5211" w:val="left" w:leader="none"/>
          <w:tab w:pos="6691" w:val="left" w:leader="none"/>
          <w:tab w:pos="8053" w:val="left" w:leader="none"/>
          <w:tab w:pos="9619" w:val="left" w:leader="none"/>
        </w:tabs>
        <w:spacing w:before="0"/>
        <w:ind w:left="1300" w:right="868" w:hanging="565"/>
        <w:jc w:val="both"/>
        <w:rPr>
          <w:sz w:val="20"/>
        </w:rPr>
      </w:pPr>
      <w:r>
        <w:rPr>
          <w:sz w:val="20"/>
        </w:rPr>
        <w:t>Woratschek,</w:t>
      </w:r>
      <w:r>
        <w:rPr>
          <w:spacing w:val="-1"/>
          <w:sz w:val="20"/>
        </w:rPr>
        <w:t> </w:t>
      </w:r>
      <w:r>
        <w:rPr>
          <w:sz w:val="20"/>
        </w:rPr>
        <w:t>H.,</w:t>
      </w:r>
      <w:r>
        <w:rPr>
          <w:spacing w:val="-1"/>
          <w:sz w:val="20"/>
        </w:rPr>
        <w:t> </w:t>
      </w:r>
      <w:r>
        <w:rPr>
          <w:sz w:val="20"/>
        </w:rPr>
        <w:t>Horbel,</w:t>
      </w:r>
      <w:r>
        <w:rPr>
          <w:spacing w:val="-2"/>
          <w:sz w:val="20"/>
        </w:rPr>
        <w:t> </w:t>
      </w:r>
      <w:r>
        <w:rPr>
          <w:sz w:val="20"/>
        </w:rPr>
        <w:t>C., ve Popp,</w:t>
      </w:r>
      <w:r>
        <w:rPr>
          <w:spacing w:val="-1"/>
          <w:sz w:val="20"/>
        </w:rPr>
        <w:t> </w:t>
      </w:r>
      <w:r>
        <w:rPr>
          <w:sz w:val="20"/>
        </w:rPr>
        <w:t>B.</w:t>
      </w:r>
      <w:r>
        <w:rPr>
          <w:spacing w:val="-1"/>
          <w:sz w:val="20"/>
        </w:rPr>
        <w:t> </w:t>
      </w:r>
      <w:r>
        <w:rPr>
          <w:sz w:val="20"/>
        </w:rPr>
        <w:t>(2020).</w:t>
      </w:r>
      <w:r>
        <w:rPr>
          <w:spacing w:val="-1"/>
          <w:sz w:val="20"/>
        </w:rPr>
        <w:t> </w:t>
      </w:r>
      <w:r>
        <w:rPr>
          <w:sz w:val="20"/>
        </w:rPr>
        <w:t>Determining</w:t>
      </w:r>
      <w:r>
        <w:rPr>
          <w:spacing w:val="-1"/>
          <w:sz w:val="20"/>
        </w:rPr>
        <w:t> </w:t>
      </w:r>
      <w:r>
        <w:rPr>
          <w:sz w:val="20"/>
        </w:rPr>
        <w:t>customer</w:t>
      </w:r>
      <w:r>
        <w:rPr>
          <w:spacing w:val="-3"/>
          <w:sz w:val="20"/>
        </w:rPr>
        <w:t> </w:t>
      </w:r>
      <w:r>
        <w:rPr>
          <w:sz w:val="20"/>
        </w:rPr>
        <w:t>satisfaction</w:t>
      </w:r>
      <w:r>
        <w:rPr>
          <w:spacing w:val="-1"/>
          <w:sz w:val="20"/>
        </w:rPr>
        <w:t> </w:t>
      </w:r>
      <w:r>
        <w:rPr>
          <w:sz w:val="20"/>
        </w:rPr>
        <w:t>and</w:t>
      </w:r>
      <w:r>
        <w:rPr>
          <w:spacing w:val="-1"/>
          <w:sz w:val="20"/>
        </w:rPr>
        <w:t> </w:t>
      </w:r>
      <w:r>
        <w:rPr>
          <w:sz w:val="20"/>
        </w:rPr>
        <w:t>loyalty</w:t>
      </w:r>
      <w:r>
        <w:rPr>
          <w:spacing w:val="-1"/>
          <w:sz w:val="20"/>
        </w:rPr>
        <w:t> </w:t>
      </w:r>
      <w:r>
        <w:rPr>
          <w:sz w:val="20"/>
        </w:rPr>
        <w:t>from</w:t>
      </w:r>
      <w:r>
        <w:rPr>
          <w:spacing w:val="-2"/>
          <w:sz w:val="20"/>
        </w:rPr>
        <w:t> </w:t>
      </w:r>
      <w:r>
        <w:rPr>
          <w:sz w:val="20"/>
        </w:rPr>
        <w:t>a value co-creation </w:t>
      </w:r>
      <w:r>
        <w:rPr>
          <w:spacing w:val="-2"/>
          <w:sz w:val="20"/>
        </w:rPr>
        <w:t>perspective.</w:t>
      </w:r>
      <w:r>
        <w:rPr>
          <w:sz w:val="20"/>
        </w:rPr>
        <w:tab/>
      </w:r>
      <w:r>
        <w:rPr>
          <w:i/>
          <w:spacing w:val="-4"/>
          <w:sz w:val="20"/>
        </w:rPr>
        <w:t>The</w:t>
      </w:r>
      <w:r>
        <w:rPr>
          <w:i/>
          <w:sz w:val="20"/>
        </w:rPr>
        <w:tab/>
      </w:r>
      <w:r>
        <w:rPr>
          <w:i/>
          <w:spacing w:val="-2"/>
          <w:sz w:val="20"/>
        </w:rPr>
        <w:t>Service</w:t>
      </w:r>
      <w:r>
        <w:rPr>
          <w:i/>
          <w:sz w:val="20"/>
        </w:rPr>
        <w:tab/>
      </w:r>
      <w:r>
        <w:rPr>
          <w:i/>
          <w:spacing w:val="-2"/>
          <w:sz w:val="20"/>
        </w:rPr>
        <w:t>Industries</w:t>
      </w:r>
      <w:r>
        <w:rPr>
          <w:i/>
          <w:sz w:val="20"/>
        </w:rPr>
        <w:tab/>
      </w:r>
      <w:r>
        <w:rPr>
          <w:i/>
          <w:spacing w:val="-2"/>
          <w:sz w:val="20"/>
        </w:rPr>
        <w:t>Journal</w:t>
      </w:r>
      <w:r>
        <w:rPr>
          <w:spacing w:val="-2"/>
          <w:sz w:val="20"/>
        </w:rPr>
        <w:t>,</w:t>
      </w:r>
      <w:r>
        <w:rPr>
          <w:sz w:val="20"/>
        </w:rPr>
        <w:tab/>
      </w:r>
      <w:r>
        <w:rPr>
          <w:i/>
          <w:spacing w:val="-2"/>
          <w:sz w:val="20"/>
        </w:rPr>
        <w:t>40</w:t>
      </w:r>
      <w:r>
        <w:rPr>
          <w:spacing w:val="-2"/>
          <w:sz w:val="20"/>
        </w:rPr>
        <w:t>(11–12),</w:t>
      </w:r>
      <w:r>
        <w:rPr>
          <w:sz w:val="20"/>
        </w:rPr>
        <w:tab/>
      </w:r>
      <w:r>
        <w:rPr>
          <w:spacing w:val="-2"/>
          <w:sz w:val="20"/>
        </w:rPr>
        <w:t>777–799. </w:t>
      </w:r>
      <w:hyperlink r:id="rId15">
        <w:r>
          <w:rPr>
            <w:spacing w:val="-2"/>
            <w:sz w:val="20"/>
          </w:rPr>
          <w:t>https://doi.org/10.1080/02642069.2019.1606213</w:t>
        </w:r>
      </w:hyperlink>
    </w:p>
    <w:p>
      <w:pPr>
        <w:pStyle w:val="BodyText"/>
        <w:rPr>
          <w:sz w:val="20"/>
        </w:rPr>
      </w:pPr>
    </w:p>
    <w:p>
      <w:pPr>
        <w:pStyle w:val="BodyText"/>
        <w:rPr>
          <w:sz w:val="20"/>
        </w:rPr>
      </w:pPr>
    </w:p>
    <w:p>
      <w:pPr>
        <w:pStyle w:val="BodyText"/>
        <w:spacing w:before="227"/>
        <w:rPr>
          <w:sz w:val="20"/>
        </w:rPr>
      </w:pPr>
      <w:r>
        <w:rPr/>
        <w:drawing>
          <wp:anchor distT="0" distB="0" distL="0" distR="0" allowOverlap="1" layoutInCell="1" locked="0" behindDoc="1" simplePos="0" relativeHeight="487589376">
            <wp:simplePos x="0" y="0"/>
            <wp:positionH relativeFrom="page">
              <wp:posOffset>720090</wp:posOffset>
            </wp:positionH>
            <wp:positionV relativeFrom="paragraph">
              <wp:posOffset>305820</wp:posOffset>
            </wp:positionV>
            <wp:extent cx="844638" cy="304133"/>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844638" cy="304133"/>
                    </a:xfrm>
                    <a:prstGeom prst="rect">
                      <a:avLst/>
                    </a:prstGeom>
                  </pic:spPr>
                </pic:pic>
              </a:graphicData>
            </a:graphic>
          </wp:anchor>
        </w:drawing>
      </w:r>
    </w:p>
    <w:p>
      <w:pPr>
        <w:spacing w:before="46"/>
        <w:ind w:left="735" w:right="0" w:firstLine="0"/>
        <w:jc w:val="left"/>
        <w:rPr>
          <w:sz w:val="21"/>
        </w:rPr>
      </w:pPr>
      <w:r>
        <w:rPr>
          <w:sz w:val="21"/>
        </w:rPr>
        <w:t>Bu</w:t>
      </w:r>
      <w:r>
        <w:rPr>
          <w:spacing w:val="-5"/>
          <w:sz w:val="21"/>
        </w:rPr>
        <w:t> </w:t>
      </w:r>
      <w:r>
        <w:rPr>
          <w:sz w:val="21"/>
        </w:rPr>
        <w:t>eser</w:t>
      </w:r>
      <w:r>
        <w:rPr>
          <w:spacing w:val="-2"/>
          <w:sz w:val="21"/>
        </w:rPr>
        <w:t> </w:t>
      </w:r>
      <w:hyperlink r:id="rId17">
        <w:r>
          <w:rPr>
            <w:b/>
            <w:color w:val="0462C1"/>
            <w:sz w:val="21"/>
            <w:u w:val="single" w:color="0462C1"/>
          </w:rPr>
          <w:t>Creative</w:t>
        </w:r>
        <w:r>
          <w:rPr>
            <w:b/>
            <w:color w:val="0462C1"/>
            <w:spacing w:val="-5"/>
            <w:sz w:val="21"/>
            <w:u w:val="single" w:color="0462C1"/>
          </w:rPr>
          <w:t> </w:t>
        </w:r>
        <w:r>
          <w:rPr>
            <w:b/>
            <w:color w:val="0462C1"/>
            <w:sz w:val="21"/>
            <w:u w:val="single" w:color="0462C1"/>
          </w:rPr>
          <w:t>Commons</w:t>
        </w:r>
        <w:r>
          <w:rPr>
            <w:b/>
            <w:color w:val="0462C1"/>
            <w:spacing w:val="-4"/>
            <w:sz w:val="21"/>
            <w:u w:val="single" w:color="0462C1"/>
          </w:rPr>
          <w:t> </w:t>
        </w:r>
        <w:r>
          <w:rPr>
            <w:b/>
            <w:color w:val="0462C1"/>
            <w:sz w:val="21"/>
            <w:u w:val="single" w:color="0462C1"/>
          </w:rPr>
          <w:t>Atıf-GayriTicari</w:t>
        </w:r>
        <w:r>
          <w:rPr>
            <w:b/>
            <w:color w:val="0462C1"/>
            <w:spacing w:val="-2"/>
            <w:sz w:val="21"/>
            <w:u w:val="single" w:color="0462C1"/>
          </w:rPr>
          <w:t> </w:t>
        </w:r>
        <w:r>
          <w:rPr>
            <w:b/>
            <w:color w:val="0462C1"/>
            <w:sz w:val="21"/>
            <w:u w:val="single" w:color="0462C1"/>
          </w:rPr>
          <w:t>4.0</w:t>
        </w:r>
        <w:r>
          <w:rPr>
            <w:b/>
            <w:color w:val="0462C1"/>
            <w:spacing w:val="-3"/>
            <w:sz w:val="21"/>
            <w:u w:val="single" w:color="0462C1"/>
          </w:rPr>
          <w:t> </w:t>
        </w:r>
        <w:r>
          <w:rPr>
            <w:b/>
            <w:color w:val="0462C1"/>
            <w:sz w:val="21"/>
            <w:u w:val="single" w:color="0462C1"/>
          </w:rPr>
          <w:t>Uluslararası</w:t>
        </w:r>
        <w:r>
          <w:rPr>
            <w:b/>
            <w:color w:val="0462C1"/>
            <w:spacing w:val="-1"/>
            <w:sz w:val="21"/>
            <w:u w:val="single" w:color="0462C1"/>
          </w:rPr>
          <w:t> </w:t>
        </w:r>
        <w:r>
          <w:rPr>
            <w:b/>
            <w:color w:val="0462C1"/>
            <w:sz w:val="21"/>
            <w:u w:val="single" w:color="0462C1"/>
          </w:rPr>
          <w:t>Lisansı</w:t>
        </w:r>
      </w:hyperlink>
      <w:r>
        <w:rPr>
          <w:b/>
          <w:color w:val="0462C1"/>
          <w:spacing w:val="3"/>
          <w:sz w:val="21"/>
          <w:u w:val="single" w:color="0462C1"/>
        </w:rPr>
        <w:t> </w:t>
      </w:r>
      <w:r>
        <w:rPr>
          <w:sz w:val="21"/>
          <w:u w:val="none"/>
        </w:rPr>
        <w:t>ile</w:t>
      </w:r>
      <w:r>
        <w:rPr>
          <w:spacing w:val="-6"/>
          <w:sz w:val="21"/>
          <w:u w:val="none"/>
        </w:rPr>
        <w:t> </w:t>
      </w:r>
      <w:r>
        <w:rPr>
          <w:spacing w:val="-2"/>
          <w:sz w:val="21"/>
          <w:u w:val="none"/>
        </w:rPr>
        <w:t>lisanslanmıştır.</w:t>
      </w:r>
    </w:p>
    <w:sectPr>
      <w:pgSz w:w="11910" w:h="16840"/>
      <w:pgMar w:header="442" w:footer="532" w:top="780" w:bottom="720" w:left="4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sana Math">
    <w:altName w:val="Asana Math"/>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80608">
              <wp:simplePos x="0" y="0"/>
              <wp:positionH relativeFrom="page">
                <wp:posOffset>708342</wp:posOffset>
              </wp:positionH>
              <wp:positionV relativeFrom="page">
                <wp:posOffset>10215822</wp:posOffset>
              </wp:positionV>
              <wp:extent cx="2805430" cy="1835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05430" cy="183515"/>
                      </a:xfrm>
                      <a:prstGeom prst="rect">
                        <a:avLst/>
                      </a:prstGeom>
                    </wps:spPr>
                    <wps:txbx>
                      <w:txbxContent>
                        <w:p>
                          <w:pPr>
                            <w:spacing w:before="25"/>
                            <w:ind w:left="20" w:right="0" w:firstLine="0"/>
                            <w:jc w:val="left"/>
                            <w:rPr>
                              <w:sz w:val="20"/>
                            </w:rPr>
                          </w:pPr>
                          <w:r>
                            <w:rPr>
                              <w:w w:val="105"/>
                              <w:sz w:val="20"/>
                            </w:rPr>
                            <w:t>Akdeniz</w:t>
                          </w:r>
                          <w:r>
                            <w:rPr>
                              <w:spacing w:val="2"/>
                              <w:w w:val="105"/>
                              <w:sz w:val="20"/>
                            </w:rPr>
                            <w:t> </w:t>
                          </w:r>
                          <w:r>
                            <w:rPr>
                              <w:w w:val="105"/>
                              <w:sz w:val="20"/>
                            </w:rPr>
                            <w:t>Spor</w:t>
                          </w:r>
                          <w:r>
                            <w:rPr>
                              <w:spacing w:val="2"/>
                              <w:w w:val="105"/>
                              <w:sz w:val="20"/>
                            </w:rPr>
                            <w:t> </w:t>
                          </w:r>
                          <w:r>
                            <w:rPr>
                              <w:w w:val="105"/>
                              <w:sz w:val="20"/>
                            </w:rPr>
                            <w:t>Bilimleri</w:t>
                          </w:r>
                          <w:r>
                            <w:rPr>
                              <w:spacing w:val="3"/>
                              <w:w w:val="105"/>
                              <w:sz w:val="20"/>
                            </w:rPr>
                            <w:t> </w:t>
                          </w:r>
                          <w:r>
                            <w:rPr>
                              <w:w w:val="105"/>
                              <w:sz w:val="20"/>
                            </w:rPr>
                            <w:t>Dergisi</w:t>
                          </w:r>
                          <w:r>
                            <w:rPr>
                              <w:spacing w:val="3"/>
                              <w:w w:val="105"/>
                              <w:sz w:val="20"/>
                            </w:rPr>
                            <w:t> </w:t>
                          </w:r>
                          <w:r>
                            <w:rPr>
                              <w:w w:val="105"/>
                              <w:sz w:val="20"/>
                            </w:rPr>
                            <w:t>2023,</w:t>
                          </w:r>
                          <w:r>
                            <w:rPr>
                              <w:spacing w:val="2"/>
                              <w:w w:val="105"/>
                              <w:sz w:val="20"/>
                            </w:rPr>
                            <w:t> </w:t>
                          </w:r>
                          <w:r>
                            <w:rPr>
                              <w:w w:val="105"/>
                              <w:sz w:val="20"/>
                            </w:rPr>
                            <w:t>Cilt</w:t>
                          </w:r>
                          <w:r>
                            <w:rPr>
                              <w:spacing w:val="1"/>
                              <w:w w:val="105"/>
                              <w:sz w:val="20"/>
                            </w:rPr>
                            <w:t> </w:t>
                          </w:r>
                          <w:r>
                            <w:rPr>
                              <w:w w:val="105"/>
                              <w:sz w:val="20"/>
                            </w:rPr>
                            <w:t>6,</w:t>
                          </w:r>
                          <w:r>
                            <w:rPr>
                              <w:spacing w:val="2"/>
                              <w:w w:val="105"/>
                              <w:sz w:val="20"/>
                            </w:rPr>
                            <w:t> </w:t>
                          </w:r>
                          <w:r>
                            <w:rPr>
                              <w:w w:val="105"/>
                              <w:sz w:val="20"/>
                            </w:rPr>
                            <w:t>Sayı</w:t>
                          </w:r>
                          <w:r>
                            <w:rPr>
                              <w:spacing w:val="4"/>
                              <w:w w:val="105"/>
                              <w:sz w:val="20"/>
                            </w:rPr>
                            <w:t> </w:t>
                          </w:r>
                          <w:r>
                            <w:rPr>
                              <w:spacing w:val="-10"/>
                              <w:w w:val="105"/>
                              <w:sz w:val="20"/>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775002pt;margin-top:804.395508pt;width:220.9pt;height:14.45pt;mso-position-horizontal-relative:page;mso-position-vertical-relative:page;z-index:-16335872" type="#_x0000_t202" id="docshape1" filled="false" stroked="false">
              <v:textbox inset="0,0,0,0">
                <w:txbxContent>
                  <w:p>
                    <w:pPr>
                      <w:spacing w:before="25"/>
                      <w:ind w:left="20" w:right="0" w:firstLine="0"/>
                      <w:jc w:val="left"/>
                      <w:rPr>
                        <w:sz w:val="20"/>
                      </w:rPr>
                    </w:pPr>
                    <w:r>
                      <w:rPr>
                        <w:w w:val="105"/>
                        <w:sz w:val="20"/>
                      </w:rPr>
                      <w:t>Akdeniz</w:t>
                    </w:r>
                    <w:r>
                      <w:rPr>
                        <w:spacing w:val="2"/>
                        <w:w w:val="105"/>
                        <w:sz w:val="20"/>
                      </w:rPr>
                      <w:t> </w:t>
                    </w:r>
                    <w:r>
                      <w:rPr>
                        <w:w w:val="105"/>
                        <w:sz w:val="20"/>
                      </w:rPr>
                      <w:t>Spor</w:t>
                    </w:r>
                    <w:r>
                      <w:rPr>
                        <w:spacing w:val="2"/>
                        <w:w w:val="105"/>
                        <w:sz w:val="20"/>
                      </w:rPr>
                      <w:t> </w:t>
                    </w:r>
                    <w:r>
                      <w:rPr>
                        <w:w w:val="105"/>
                        <w:sz w:val="20"/>
                      </w:rPr>
                      <w:t>Bilimleri</w:t>
                    </w:r>
                    <w:r>
                      <w:rPr>
                        <w:spacing w:val="3"/>
                        <w:w w:val="105"/>
                        <w:sz w:val="20"/>
                      </w:rPr>
                      <w:t> </w:t>
                    </w:r>
                    <w:r>
                      <w:rPr>
                        <w:w w:val="105"/>
                        <w:sz w:val="20"/>
                      </w:rPr>
                      <w:t>Dergisi</w:t>
                    </w:r>
                    <w:r>
                      <w:rPr>
                        <w:spacing w:val="3"/>
                        <w:w w:val="105"/>
                        <w:sz w:val="20"/>
                      </w:rPr>
                      <w:t> </w:t>
                    </w:r>
                    <w:r>
                      <w:rPr>
                        <w:w w:val="105"/>
                        <w:sz w:val="20"/>
                      </w:rPr>
                      <w:t>2023,</w:t>
                    </w:r>
                    <w:r>
                      <w:rPr>
                        <w:spacing w:val="2"/>
                        <w:w w:val="105"/>
                        <w:sz w:val="20"/>
                      </w:rPr>
                      <w:t> </w:t>
                    </w:r>
                    <w:r>
                      <w:rPr>
                        <w:w w:val="105"/>
                        <w:sz w:val="20"/>
                      </w:rPr>
                      <w:t>Cilt</w:t>
                    </w:r>
                    <w:r>
                      <w:rPr>
                        <w:spacing w:val="1"/>
                        <w:w w:val="105"/>
                        <w:sz w:val="20"/>
                      </w:rPr>
                      <w:t> </w:t>
                    </w:r>
                    <w:r>
                      <w:rPr>
                        <w:w w:val="105"/>
                        <w:sz w:val="20"/>
                      </w:rPr>
                      <w:t>6,</w:t>
                    </w:r>
                    <w:r>
                      <w:rPr>
                        <w:spacing w:val="2"/>
                        <w:w w:val="105"/>
                        <w:sz w:val="20"/>
                      </w:rPr>
                      <w:t> </w:t>
                    </w:r>
                    <w:r>
                      <w:rPr>
                        <w:w w:val="105"/>
                        <w:sz w:val="20"/>
                      </w:rPr>
                      <w:t>Sayı</w:t>
                    </w:r>
                    <w:r>
                      <w:rPr>
                        <w:spacing w:val="4"/>
                        <w:w w:val="105"/>
                        <w:sz w:val="20"/>
                      </w:rPr>
                      <w:t> </w:t>
                    </w:r>
                    <w:r>
                      <w:rPr>
                        <w:spacing w:val="-10"/>
                        <w:w w:val="105"/>
                        <w:sz w:val="20"/>
                      </w:rPr>
                      <w:t>4</w:t>
                    </w:r>
                  </w:p>
                </w:txbxContent>
              </v:textbox>
              <w10:wrap type="none"/>
            </v:shape>
          </w:pict>
        </mc:Fallback>
      </mc:AlternateContent>
    </w:r>
    <w:r>
      <w:rPr/>
      <mc:AlternateContent>
        <mc:Choice Requires="wps">
          <w:drawing>
            <wp:anchor distT="0" distB="0" distL="0" distR="0" allowOverlap="1" layoutInCell="1" locked="0" behindDoc="1" simplePos="0" relativeHeight="486981120">
              <wp:simplePos x="0" y="0"/>
              <wp:positionH relativeFrom="page">
                <wp:posOffset>5584190</wp:posOffset>
              </wp:positionH>
              <wp:positionV relativeFrom="page">
                <wp:posOffset>10215822</wp:posOffset>
              </wp:positionV>
              <wp:extent cx="1241425" cy="1835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41425" cy="183515"/>
                      </a:xfrm>
                      <a:prstGeom prst="rect">
                        <a:avLst/>
                      </a:prstGeom>
                    </wps:spPr>
                    <wps:txbx>
                      <w:txbxContent>
                        <w:p>
                          <w:pPr>
                            <w:spacing w:line="289" w:lineRule="exact" w:before="0"/>
                            <w:ind w:left="20" w:right="0" w:firstLine="0"/>
                            <w:jc w:val="left"/>
                            <w:rPr>
                              <w:rFonts w:ascii="Asana Math" w:hAnsi="Asana Math"/>
                              <w:sz w:val="20"/>
                            </w:rPr>
                          </w:pPr>
                          <w:r>
                            <w:rPr>
                              <w:rFonts w:ascii="Asana Math" w:hAnsi="Asana Math"/>
                              <w:sz w:val="20"/>
                            </w:rPr>
                            <w:t>Çini</w:t>
                          </w:r>
                          <w:r>
                            <w:rPr>
                              <w:rFonts w:ascii="Asana Math" w:hAnsi="Asana Math"/>
                              <w:spacing w:val="-1"/>
                              <w:sz w:val="20"/>
                            </w:rPr>
                            <w:t> </w:t>
                          </w:r>
                          <w:r>
                            <w:rPr>
                              <w:rFonts w:ascii="Asana Math" w:hAnsi="Asana Math"/>
                              <w:sz w:val="20"/>
                            </w:rPr>
                            <w:t>&amp;</w:t>
                          </w:r>
                          <w:r>
                            <w:rPr>
                              <w:rFonts w:ascii="Asana Math" w:hAnsi="Asana Math"/>
                              <w:spacing w:val="-1"/>
                              <w:sz w:val="20"/>
                            </w:rPr>
                            <w:t> </w:t>
                          </w:r>
                          <w:r>
                            <w:rPr>
                              <w:rFonts w:ascii="Asana Math" w:hAnsi="Asana Math"/>
                              <w:sz w:val="20"/>
                            </w:rPr>
                            <w:t>Güzel </w:t>
                          </w:r>
                          <w:r>
                            <w:rPr>
                              <w:rFonts w:ascii="Asana Math" w:hAnsi="Asana Math"/>
                              <w:spacing w:val="-2"/>
                              <w:sz w:val="20"/>
                            </w:rPr>
                            <w:t>Kuyucu</w:t>
                          </w:r>
                        </w:p>
                      </w:txbxContent>
                    </wps:txbx>
                    <wps:bodyPr wrap="square" lIns="0" tIns="0" rIns="0" bIns="0" rtlCol="0">
                      <a:noAutofit/>
                    </wps:bodyPr>
                  </wps:wsp>
                </a:graphicData>
              </a:graphic>
            </wp:anchor>
          </w:drawing>
        </mc:Choice>
        <mc:Fallback>
          <w:pict>
            <v:shape style="position:absolute;margin-left:439.700012pt;margin-top:804.395508pt;width:97.75pt;height:14.45pt;mso-position-horizontal-relative:page;mso-position-vertical-relative:page;z-index:-16335360" type="#_x0000_t202" id="docshape2" filled="false" stroked="false">
              <v:textbox inset="0,0,0,0">
                <w:txbxContent>
                  <w:p>
                    <w:pPr>
                      <w:spacing w:line="289" w:lineRule="exact" w:before="0"/>
                      <w:ind w:left="20" w:right="0" w:firstLine="0"/>
                      <w:jc w:val="left"/>
                      <w:rPr>
                        <w:rFonts w:ascii="Asana Math" w:hAnsi="Asana Math"/>
                        <w:sz w:val="20"/>
                      </w:rPr>
                    </w:pPr>
                    <w:r>
                      <w:rPr>
                        <w:rFonts w:ascii="Asana Math" w:hAnsi="Asana Math"/>
                        <w:sz w:val="20"/>
                      </w:rPr>
                      <w:t>Çini</w:t>
                    </w:r>
                    <w:r>
                      <w:rPr>
                        <w:rFonts w:ascii="Asana Math" w:hAnsi="Asana Math"/>
                        <w:spacing w:val="-1"/>
                        <w:sz w:val="20"/>
                      </w:rPr>
                      <w:t> </w:t>
                    </w:r>
                    <w:r>
                      <w:rPr>
                        <w:rFonts w:ascii="Asana Math" w:hAnsi="Asana Math"/>
                        <w:sz w:val="20"/>
                      </w:rPr>
                      <w:t>&amp;</w:t>
                    </w:r>
                    <w:r>
                      <w:rPr>
                        <w:rFonts w:ascii="Asana Math" w:hAnsi="Asana Math"/>
                        <w:spacing w:val="-1"/>
                        <w:sz w:val="20"/>
                      </w:rPr>
                      <w:t> </w:t>
                    </w:r>
                    <w:r>
                      <w:rPr>
                        <w:rFonts w:ascii="Asana Math" w:hAnsi="Asana Math"/>
                        <w:sz w:val="20"/>
                      </w:rPr>
                      <w:t>Güzel </w:t>
                    </w:r>
                    <w:r>
                      <w:rPr>
                        <w:rFonts w:ascii="Asana Math" w:hAnsi="Asana Math"/>
                        <w:spacing w:val="-2"/>
                        <w:sz w:val="20"/>
                      </w:rPr>
                      <w:t>Kuyucu</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82656">
              <wp:simplePos x="0" y="0"/>
              <wp:positionH relativeFrom="page">
                <wp:posOffset>708342</wp:posOffset>
              </wp:positionH>
              <wp:positionV relativeFrom="page">
                <wp:posOffset>10215822</wp:posOffset>
              </wp:positionV>
              <wp:extent cx="2805430" cy="1835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805430" cy="183515"/>
                      </a:xfrm>
                      <a:prstGeom prst="rect">
                        <a:avLst/>
                      </a:prstGeom>
                    </wps:spPr>
                    <wps:txbx>
                      <w:txbxContent>
                        <w:p>
                          <w:pPr>
                            <w:spacing w:before="25"/>
                            <w:ind w:left="20" w:right="0" w:firstLine="0"/>
                            <w:jc w:val="left"/>
                            <w:rPr>
                              <w:sz w:val="20"/>
                            </w:rPr>
                          </w:pPr>
                          <w:r>
                            <w:rPr>
                              <w:w w:val="105"/>
                              <w:sz w:val="20"/>
                            </w:rPr>
                            <w:t>Akdeniz</w:t>
                          </w:r>
                          <w:r>
                            <w:rPr>
                              <w:spacing w:val="2"/>
                              <w:w w:val="105"/>
                              <w:sz w:val="20"/>
                            </w:rPr>
                            <w:t> </w:t>
                          </w:r>
                          <w:r>
                            <w:rPr>
                              <w:w w:val="105"/>
                              <w:sz w:val="20"/>
                            </w:rPr>
                            <w:t>Spor</w:t>
                          </w:r>
                          <w:r>
                            <w:rPr>
                              <w:spacing w:val="2"/>
                              <w:w w:val="105"/>
                              <w:sz w:val="20"/>
                            </w:rPr>
                            <w:t> </w:t>
                          </w:r>
                          <w:r>
                            <w:rPr>
                              <w:w w:val="105"/>
                              <w:sz w:val="20"/>
                            </w:rPr>
                            <w:t>Bilimleri</w:t>
                          </w:r>
                          <w:r>
                            <w:rPr>
                              <w:spacing w:val="3"/>
                              <w:w w:val="105"/>
                              <w:sz w:val="20"/>
                            </w:rPr>
                            <w:t> </w:t>
                          </w:r>
                          <w:r>
                            <w:rPr>
                              <w:w w:val="105"/>
                              <w:sz w:val="20"/>
                            </w:rPr>
                            <w:t>Dergisi</w:t>
                          </w:r>
                          <w:r>
                            <w:rPr>
                              <w:spacing w:val="3"/>
                              <w:w w:val="105"/>
                              <w:sz w:val="20"/>
                            </w:rPr>
                            <w:t> </w:t>
                          </w:r>
                          <w:r>
                            <w:rPr>
                              <w:w w:val="105"/>
                              <w:sz w:val="20"/>
                            </w:rPr>
                            <w:t>2023,</w:t>
                          </w:r>
                          <w:r>
                            <w:rPr>
                              <w:spacing w:val="2"/>
                              <w:w w:val="105"/>
                              <w:sz w:val="20"/>
                            </w:rPr>
                            <w:t> </w:t>
                          </w:r>
                          <w:r>
                            <w:rPr>
                              <w:w w:val="105"/>
                              <w:sz w:val="20"/>
                            </w:rPr>
                            <w:t>Cilt</w:t>
                          </w:r>
                          <w:r>
                            <w:rPr>
                              <w:spacing w:val="1"/>
                              <w:w w:val="105"/>
                              <w:sz w:val="20"/>
                            </w:rPr>
                            <w:t> </w:t>
                          </w:r>
                          <w:r>
                            <w:rPr>
                              <w:w w:val="105"/>
                              <w:sz w:val="20"/>
                            </w:rPr>
                            <w:t>6,</w:t>
                          </w:r>
                          <w:r>
                            <w:rPr>
                              <w:spacing w:val="2"/>
                              <w:w w:val="105"/>
                              <w:sz w:val="20"/>
                            </w:rPr>
                            <w:t> </w:t>
                          </w:r>
                          <w:r>
                            <w:rPr>
                              <w:w w:val="105"/>
                              <w:sz w:val="20"/>
                            </w:rPr>
                            <w:t>Sayı</w:t>
                          </w:r>
                          <w:r>
                            <w:rPr>
                              <w:spacing w:val="4"/>
                              <w:w w:val="105"/>
                              <w:sz w:val="20"/>
                            </w:rPr>
                            <w:t> </w:t>
                          </w:r>
                          <w:r>
                            <w:rPr>
                              <w:spacing w:val="-10"/>
                              <w:w w:val="105"/>
                              <w:sz w:val="20"/>
                            </w:rPr>
                            <w:t>4</w:t>
                          </w:r>
                        </w:p>
                      </w:txbxContent>
                    </wps:txbx>
                    <wps:bodyPr wrap="square" lIns="0" tIns="0" rIns="0" bIns="0" rtlCol="0">
                      <a:noAutofit/>
                    </wps:bodyPr>
                  </wps:wsp>
                </a:graphicData>
              </a:graphic>
            </wp:anchor>
          </w:drawing>
        </mc:Choice>
        <mc:Fallback>
          <w:pict>
            <v:shape style="position:absolute;margin-left:55.775002pt;margin-top:804.395508pt;width:220.9pt;height:14.45pt;mso-position-horizontal-relative:page;mso-position-vertical-relative:page;z-index:-16333824" type="#_x0000_t202" id="docshape6" filled="false" stroked="false">
              <v:textbox inset="0,0,0,0">
                <w:txbxContent>
                  <w:p>
                    <w:pPr>
                      <w:spacing w:before="25"/>
                      <w:ind w:left="20" w:right="0" w:firstLine="0"/>
                      <w:jc w:val="left"/>
                      <w:rPr>
                        <w:sz w:val="20"/>
                      </w:rPr>
                    </w:pPr>
                    <w:r>
                      <w:rPr>
                        <w:w w:val="105"/>
                        <w:sz w:val="20"/>
                      </w:rPr>
                      <w:t>Akdeniz</w:t>
                    </w:r>
                    <w:r>
                      <w:rPr>
                        <w:spacing w:val="2"/>
                        <w:w w:val="105"/>
                        <w:sz w:val="20"/>
                      </w:rPr>
                      <w:t> </w:t>
                    </w:r>
                    <w:r>
                      <w:rPr>
                        <w:w w:val="105"/>
                        <w:sz w:val="20"/>
                      </w:rPr>
                      <w:t>Spor</w:t>
                    </w:r>
                    <w:r>
                      <w:rPr>
                        <w:spacing w:val="2"/>
                        <w:w w:val="105"/>
                        <w:sz w:val="20"/>
                      </w:rPr>
                      <w:t> </w:t>
                    </w:r>
                    <w:r>
                      <w:rPr>
                        <w:w w:val="105"/>
                        <w:sz w:val="20"/>
                      </w:rPr>
                      <w:t>Bilimleri</w:t>
                    </w:r>
                    <w:r>
                      <w:rPr>
                        <w:spacing w:val="3"/>
                        <w:w w:val="105"/>
                        <w:sz w:val="20"/>
                      </w:rPr>
                      <w:t> </w:t>
                    </w:r>
                    <w:r>
                      <w:rPr>
                        <w:w w:val="105"/>
                        <w:sz w:val="20"/>
                      </w:rPr>
                      <w:t>Dergisi</w:t>
                    </w:r>
                    <w:r>
                      <w:rPr>
                        <w:spacing w:val="3"/>
                        <w:w w:val="105"/>
                        <w:sz w:val="20"/>
                      </w:rPr>
                      <w:t> </w:t>
                    </w:r>
                    <w:r>
                      <w:rPr>
                        <w:w w:val="105"/>
                        <w:sz w:val="20"/>
                      </w:rPr>
                      <w:t>2023,</w:t>
                    </w:r>
                    <w:r>
                      <w:rPr>
                        <w:spacing w:val="2"/>
                        <w:w w:val="105"/>
                        <w:sz w:val="20"/>
                      </w:rPr>
                      <w:t> </w:t>
                    </w:r>
                    <w:r>
                      <w:rPr>
                        <w:w w:val="105"/>
                        <w:sz w:val="20"/>
                      </w:rPr>
                      <w:t>Cilt</w:t>
                    </w:r>
                    <w:r>
                      <w:rPr>
                        <w:spacing w:val="1"/>
                        <w:w w:val="105"/>
                        <w:sz w:val="20"/>
                      </w:rPr>
                      <w:t> </w:t>
                    </w:r>
                    <w:r>
                      <w:rPr>
                        <w:w w:val="105"/>
                        <w:sz w:val="20"/>
                      </w:rPr>
                      <w:t>6,</w:t>
                    </w:r>
                    <w:r>
                      <w:rPr>
                        <w:spacing w:val="2"/>
                        <w:w w:val="105"/>
                        <w:sz w:val="20"/>
                      </w:rPr>
                      <w:t> </w:t>
                    </w:r>
                    <w:r>
                      <w:rPr>
                        <w:w w:val="105"/>
                        <w:sz w:val="20"/>
                      </w:rPr>
                      <w:t>Sayı</w:t>
                    </w:r>
                    <w:r>
                      <w:rPr>
                        <w:spacing w:val="4"/>
                        <w:w w:val="105"/>
                        <w:sz w:val="20"/>
                      </w:rPr>
                      <w:t> </w:t>
                    </w:r>
                    <w:r>
                      <w:rPr>
                        <w:spacing w:val="-10"/>
                        <w:w w:val="105"/>
                        <w:sz w:val="20"/>
                      </w:rPr>
                      <w:t>4</w:t>
                    </w:r>
                  </w:p>
                </w:txbxContent>
              </v:textbox>
              <w10:wrap type="none"/>
            </v:shape>
          </w:pict>
        </mc:Fallback>
      </mc:AlternateContent>
    </w:r>
    <w:r>
      <w:rPr/>
      <mc:AlternateContent>
        <mc:Choice Requires="wps">
          <w:drawing>
            <wp:anchor distT="0" distB="0" distL="0" distR="0" allowOverlap="1" layoutInCell="1" locked="0" behindDoc="1" simplePos="0" relativeHeight="486983168">
              <wp:simplePos x="0" y="0"/>
              <wp:positionH relativeFrom="page">
                <wp:posOffset>5584190</wp:posOffset>
              </wp:positionH>
              <wp:positionV relativeFrom="page">
                <wp:posOffset>10215822</wp:posOffset>
              </wp:positionV>
              <wp:extent cx="1241425" cy="1835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41425" cy="183515"/>
                      </a:xfrm>
                      <a:prstGeom prst="rect">
                        <a:avLst/>
                      </a:prstGeom>
                    </wps:spPr>
                    <wps:txbx>
                      <w:txbxContent>
                        <w:p>
                          <w:pPr>
                            <w:spacing w:line="289" w:lineRule="exact" w:before="0"/>
                            <w:ind w:left="20" w:right="0" w:firstLine="0"/>
                            <w:jc w:val="left"/>
                            <w:rPr>
                              <w:rFonts w:ascii="Asana Math" w:hAnsi="Asana Math"/>
                              <w:sz w:val="20"/>
                            </w:rPr>
                          </w:pPr>
                          <w:r>
                            <w:rPr>
                              <w:rFonts w:ascii="Asana Math" w:hAnsi="Asana Math"/>
                              <w:sz w:val="20"/>
                            </w:rPr>
                            <w:t>Çini</w:t>
                          </w:r>
                          <w:r>
                            <w:rPr>
                              <w:rFonts w:ascii="Asana Math" w:hAnsi="Asana Math"/>
                              <w:spacing w:val="-1"/>
                              <w:sz w:val="20"/>
                            </w:rPr>
                            <w:t> </w:t>
                          </w:r>
                          <w:r>
                            <w:rPr>
                              <w:rFonts w:ascii="Asana Math" w:hAnsi="Asana Math"/>
                              <w:sz w:val="20"/>
                            </w:rPr>
                            <w:t>&amp;</w:t>
                          </w:r>
                          <w:r>
                            <w:rPr>
                              <w:rFonts w:ascii="Asana Math" w:hAnsi="Asana Math"/>
                              <w:spacing w:val="-1"/>
                              <w:sz w:val="20"/>
                            </w:rPr>
                            <w:t> </w:t>
                          </w:r>
                          <w:r>
                            <w:rPr>
                              <w:rFonts w:ascii="Asana Math" w:hAnsi="Asana Math"/>
                              <w:sz w:val="20"/>
                            </w:rPr>
                            <w:t>Güzel </w:t>
                          </w:r>
                          <w:r>
                            <w:rPr>
                              <w:rFonts w:ascii="Asana Math" w:hAnsi="Asana Math"/>
                              <w:spacing w:val="-2"/>
                              <w:sz w:val="20"/>
                            </w:rPr>
                            <w:t>Kuyucu</w:t>
                          </w:r>
                        </w:p>
                      </w:txbxContent>
                    </wps:txbx>
                    <wps:bodyPr wrap="square" lIns="0" tIns="0" rIns="0" bIns="0" rtlCol="0">
                      <a:noAutofit/>
                    </wps:bodyPr>
                  </wps:wsp>
                </a:graphicData>
              </a:graphic>
            </wp:anchor>
          </w:drawing>
        </mc:Choice>
        <mc:Fallback>
          <w:pict>
            <v:shape style="position:absolute;margin-left:439.700012pt;margin-top:804.395508pt;width:97.75pt;height:14.45pt;mso-position-horizontal-relative:page;mso-position-vertical-relative:page;z-index:-16333312" type="#_x0000_t202" id="docshape7" filled="false" stroked="false">
              <v:textbox inset="0,0,0,0">
                <w:txbxContent>
                  <w:p>
                    <w:pPr>
                      <w:spacing w:line="289" w:lineRule="exact" w:before="0"/>
                      <w:ind w:left="20" w:right="0" w:firstLine="0"/>
                      <w:jc w:val="left"/>
                      <w:rPr>
                        <w:rFonts w:ascii="Asana Math" w:hAnsi="Asana Math"/>
                        <w:sz w:val="20"/>
                      </w:rPr>
                    </w:pPr>
                    <w:r>
                      <w:rPr>
                        <w:rFonts w:ascii="Asana Math" w:hAnsi="Asana Math"/>
                        <w:sz w:val="20"/>
                      </w:rPr>
                      <w:t>Çini</w:t>
                    </w:r>
                    <w:r>
                      <w:rPr>
                        <w:rFonts w:ascii="Asana Math" w:hAnsi="Asana Math"/>
                        <w:spacing w:val="-1"/>
                        <w:sz w:val="20"/>
                      </w:rPr>
                      <w:t> </w:t>
                    </w:r>
                    <w:r>
                      <w:rPr>
                        <w:rFonts w:ascii="Asana Math" w:hAnsi="Asana Math"/>
                        <w:sz w:val="20"/>
                      </w:rPr>
                      <w:t>&amp;</w:t>
                    </w:r>
                    <w:r>
                      <w:rPr>
                        <w:rFonts w:ascii="Asana Math" w:hAnsi="Asana Math"/>
                        <w:spacing w:val="-1"/>
                        <w:sz w:val="20"/>
                      </w:rPr>
                      <w:t> </w:t>
                    </w:r>
                    <w:r>
                      <w:rPr>
                        <w:rFonts w:ascii="Asana Math" w:hAnsi="Asana Math"/>
                        <w:sz w:val="20"/>
                      </w:rPr>
                      <w:t>Güzel </w:t>
                    </w:r>
                    <w:r>
                      <w:rPr>
                        <w:rFonts w:ascii="Asana Math" w:hAnsi="Asana Math"/>
                        <w:spacing w:val="-2"/>
                        <w:sz w:val="20"/>
                      </w:rPr>
                      <w:t>Kuyucu</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81632">
              <wp:simplePos x="0" y="0"/>
              <wp:positionH relativeFrom="page">
                <wp:posOffset>708342</wp:posOffset>
              </wp:positionH>
              <wp:positionV relativeFrom="page">
                <wp:posOffset>268237</wp:posOffset>
              </wp:positionV>
              <wp:extent cx="5788025" cy="25272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788025" cy="252729"/>
                      </a:xfrm>
                      <a:prstGeom prst="rect">
                        <a:avLst/>
                      </a:prstGeom>
                    </wps:spPr>
                    <wps:txbx>
                      <w:txbxContent>
                        <w:p>
                          <w:pPr>
                            <w:spacing w:line="182" w:lineRule="exact" w:before="13"/>
                            <w:ind w:left="20" w:right="0" w:firstLine="0"/>
                            <w:jc w:val="left"/>
                            <w:rPr>
                              <w:sz w:val="16"/>
                            </w:rPr>
                          </w:pPr>
                          <w:r>
                            <w:rPr>
                              <w:sz w:val="16"/>
                            </w:rPr>
                            <w:t>Çini,</w:t>
                          </w:r>
                          <w:r>
                            <w:rPr>
                              <w:spacing w:val="-1"/>
                              <w:sz w:val="16"/>
                            </w:rPr>
                            <w:t> </w:t>
                          </w:r>
                          <w:r>
                            <w:rPr>
                              <w:sz w:val="16"/>
                            </w:rPr>
                            <w:t>N.</w:t>
                          </w:r>
                          <w:r>
                            <w:rPr>
                              <w:spacing w:val="1"/>
                              <w:sz w:val="16"/>
                            </w:rPr>
                            <w:t> </w:t>
                          </w:r>
                          <w:r>
                            <w:rPr>
                              <w:sz w:val="16"/>
                            </w:rPr>
                            <w:t>G.,</w:t>
                          </w:r>
                          <w:r>
                            <w:rPr>
                              <w:spacing w:val="1"/>
                              <w:sz w:val="16"/>
                            </w:rPr>
                            <w:t> </w:t>
                          </w:r>
                          <w:r>
                            <w:rPr>
                              <w:sz w:val="16"/>
                            </w:rPr>
                            <w:t>ve Güzel-Kuyucu,</w:t>
                          </w:r>
                          <w:r>
                            <w:rPr>
                              <w:spacing w:val="2"/>
                              <w:sz w:val="16"/>
                            </w:rPr>
                            <w:t> </w:t>
                          </w:r>
                          <w:r>
                            <w:rPr>
                              <w:sz w:val="16"/>
                            </w:rPr>
                            <w:t>E.</w:t>
                          </w:r>
                          <w:r>
                            <w:rPr>
                              <w:spacing w:val="40"/>
                              <w:sz w:val="16"/>
                            </w:rPr>
                            <w:t> </w:t>
                          </w:r>
                          <w:r>
                            <w:rPr>
                              <w:sz w:val="16"/>
                            </w:rPr>
                            <w:t>(2023).</w:t>
                          </w:r>
                          <w:r>
                            <w:rPr>
                              <w:spacing w:val="-2"/>
                              <w:sz w:val="16"/>
                            </w:rPr>
                            <w:t> </w:t>
                          </w:r>
                          <w:r>
                            <w:rPr>
                              <w:sz w:val="16"/>
                            </w:rPr>
                            <w:t>Sezonluk</w:t>
                          </w:r>
                          <w:r>
                            <w:rPr>
                              <w:spacing w:val="1"/>
                              <w:sz w:val="16"/>
                            </w:rPr>
                            <w:t> </w:t>
                          </w:r>
                          <w:r>
                            <w:rPr>
                              <w:sz w:val="16"/>
                            </w:rPr>
                            <w:t>(Kombine)</w:t>
                          </w:r>
                          <w:r>
                            <w:rPr>
                              <w:spacing w:val="3"/>
                              <w:sz w:val="16"/>
                            </w:rPr>
                            <w:t> </w:t>
                          </w:r>
                          <w:r>
                            <w:rPr>
                              <w:sz w:val="16"/>
                            </w:rPr>
                            <w:t>Bilet</w:t>
                          </w:r>
                          <w:r>
                            <w:rPr>
                              <w:spacing w:val="2"/>
                              <w:sz w:val="16"/>
                            </w:rPr>
                            <w:t> </w:t>
                          </w:r>
                          <w:r>
                            <w:rPr>
                              <w:sz w:val="16"/>
                            </w:rPr>
                            <w:t>Sahipleri</w:t>
                          </w:r>
                          <w:r>
                            <w:rPr>
                              <w:spacing w:val="-3"/>
                              <w:sz w:val="16"/>
                            </w:rPr>
                            <w:t> </w:t>
                          </w:r>
                          <w:r>
                            <w:rPr>
                              <w:sz w:val="16"/>
                            </w:rPr>
                            <w:t>Memnuniyet</w:t>
                          </w:r>
                          <w:r>
                            <w:rPr>
                              <w:spacing w:val="2"/>
                              <w:sz w:val="16"/>
                            </w:rPr>
                            <w:t> </w:t>
                          </w:r>
                          <w:r>
                            <w:rPr>
                              <w:sz w:val="16"/>
                            </w:rPr>
                            <w:t>Ölçeği:</w:t>
                          </w:r>
                          <w:r>
                            <w:rPr>
                              <w:spacing w:val="3"/>
                              <w:sz w:val="16"/>
                            </w:rPr>
                            <w:t> </w:t>
                          </w:r>
                          <w:r>
                            <w:rPr>
                              <w:sz w:val="16"/>
                            </w:rPr>
                            <w:t>Türkçe geçerlik</w:t>
                          </w:r>
                          <w:r>
                            <w:rPr>
                              <w:spacing w:val="1"/>
                              <w:sz w:val="16"/>
                            </w:rPr>
                            <w:t> </w:t>
                          </w:r>
                          <w:r>
                            <w:rPr>
                              <w:sz w:val="16"/>
                            </w:rPr>
                            <w:t>ve güvenirlik</w:t>
                          </w:r>
                          <w:r>
                            <w:rPr>
                              <w:spacing w:val="2"/>
                              <w:sz w:val="16"/>
                            </w:rPr>
                            <w:t> </w:t>
                          </w:r>
                          <w:r>
                            <w:rPr>
                              <w:spacing w:val="-2"/>
                              <w:sz w:val="16"/>
                            </w:rPr>
                            <w:t>çalışması.</w:t>
                          </w:r>
                        </w:p>
                        <w:p>
                          <w:pPr>
                            <w:spacing w:line="182" w:lineRule="exact" w:before="0"/>
                            <w:ind w:left="20" w:right="0" w:firstLine="0"/>
                            <w:jc w:val="left"/>
                            <w:rPr>
                              <w:sz w:val="16"/>
                            </w:rPr>
                          </w:pPr>
                          <w:r>
                            <w:rPr>
                              <w:i/>
                              <w:sz w:val="16"/>
                            </w:rPr>
                            <w:t>Akdeniz</w:t>
                          </w:r>
                          <w:r>
                            <w:rPr>
                              <w:i/>
                              <w:spacing w:val="-5"/>
                              <w:sz w:val="16"/>
                            </w:rPr>
                            <w:t> </w:t>
                          </w:r>
                          <w:r>
                            <w:rPr>
                              <w:i/>
                              <w:sz w:val="16"/>
                            </w:rPr>
                            <w:t>Spor</w:t>
                          </w:r>
                          <w:r>
                            <w:rPr>
                              <w:i/>
                              <w:spacing w:val="-4"/>
                              <w:sz w:val="16"/>
                            </w:rPr>
                            <w:t> </w:t>
                          </w:r>
                          <w:r>
                            <w:rPr>
                              <w:i/>
                              <w:sz w:val="16"/>
                            </w:rPr>
                            <w:t>Bilimleri</w:t>
                          </w:r>
                          <w:r>
                            <w:rPr>
                              <w:i/>
                              <w:spacing w:val="1"/>
                              <w:sz w:val="16"/>
                            </w:rPr>
                            <w:t> </w:t>
                          </w:r>
                          <w:r>
                            <w:rPr>
                              <w:i/>
                              <w:sz w:val="16"/>
                            </w:rPr>
                            <w:t>Dergisi,</w:t>
                          </w:r>
                          <w:r>
                            <w:rPr>
                              <w:i/>
                              <w:spacing w:val="-1"/>
                              <w:sz w:val="16"/>
                            </w:rPr>
                            <w:t> </w:t>
                          </w:r>
                          <w:r>
                            <w:rPr>
                              <w:i/>
                              <w:sz w:val="16"/>
                            </w:rPr>
                            <w:t>6</w:t>
                          </w:r>
                          <w:r>
                            <w:rPr>
                              <w:sz w:val="16"/>
                            </w:rPr>
                            <w:t>(4),</w:t>
                          </w:r>
                          <w:r>
                            <w:rPr>
                              <w:spacing w:val="-1"/>
                              <w:sz w:val="16"/>
                            </w:rPr>
                            <w:t> </w:t>
                          </w:r>
                          <w:r>
                            <w:rPr>
                              <w:sz w:val="16"/>
                            </w:rPr>
                            <w:t>1277-1291.</w:t>
                          </w:r>
                          <w:r>
                            <w:rPr>
                              <w:spacing w:val="-1"/>
                              <w:sz w:val="16"/>
                            </w:rPr>
                            <w:t> </w:t>
                          </w:r>
                          <w:r>
                            <w:rPr>
                              <w:sz w:val="16"/>
                            </w:rPr>
                            <w:t>DOI:</w:t>
                          </w:r>
                          <w:r>
                            <w:rPr>
                              <w:spacing w:val="-1"/>
                              <w:sz w:val="16"/>
                            </w:rPr>
                            <w:t> </w:t>
                          </w:r>
                          <w:hyperlink r:id="rId1">
                            <w:r>
                              <w:rPr>
                                <w:spacing w:val="-2"/>
                                <w:sz w:val="16"/>
                              </w:rPr>
                              <w:t>https://doi.org/10.38021asbid.1355793</w:t>
                            </w:r>
                          </w:hyperlink>
                        </w:p>
                      </w:txbxContent>
                    </wps:txbx>
                    <wps:bodyPr wrap="square" lIns="0" tIns="0" rIns="0" bIns="0" rtlCol="0">
                      <a:noAutofit/>
                    </wps:bodyPr>
                  </wps:wsp>
                </a:graphicData>
              </a:graphic>
            </wp:anchor>
          </w:drawing>
        </mc:Choice>
        <mc:Fallback>
          <w:pict>
            <v:shape style="position:absolute;margin-left:55.775002pt;margin-top:21.121094pt;width:455.75pt;height:19.9pt;mso-position-horizontal-relative:page;mso-position-vertical-relative:page;z-index:-16334848" type="#_x0000_t202" id="docshape4" filled="false" stroked="false">
              <v:textbox inset="0,0,0,0">
                <w:txbxContent>
                  <w:p>
                    <w:pPr>
                      <w:spacing w:line="182" w:lineRule="exact" w:before="13"/>
                      <w:ind w:left="20" w:right="0" w:firstLine="0"/>
                      <w:jc w:val="left"/>
                      <w:rPr>
                        <w:sz w:val="16"/>
                      </w:rPr>
                    </w:pPr>
                    <w:r>
                      <w:rPr>
                        <w:sz w:val="16"/>
                      </w:rPr>
                      <w:t>Çini,</w:t>
                    </w:r>
                    <w:r>
                      <w:rPr>
                        <w:spacing w:val="-1"/>
                        <w:sz w:val="16"/>
                      </w:rPr>
                      <w:t> </w:t>
                    </w:r>
                    <w:r>
                      <w:rPr>
                        <w:sz w:val="16"/>
                      </w:rPr>
                      <w:t>N.</w:t>
                    </w:r>
                    <w:r>
                      <w:rPr>
                        <w:spacing w:val="1"/>
                        <w:sz w:val="16"/>
                      </w:rPr>
                      <w:t> </w:t>
                    </w:r>
                    <w:r>
                      <w:rPr>
                        <w:sz w:val="16"/>
                      </w:rPr>
                      <w:t>G.,</w:t>
                    </w:r>
                    <w:r>
                      <w:rPr>
                        <w:spacing w:val="1"/>
                        <w:sz w:val="16"/>
                      </w:rPr>
                      <w:t> </w:t>
                    </w:r>
                    <w:r>
                      <w:rPr>
                        <w:sz w:val="16"/>
                      </w:rPr>
                      <w:t>ve Güzel-Kuyucu,</w:t>
                    </w:r>
                    <w:r>
                      <w:rPr>
                        <w:spacing w:val="2"/>
                        <w:sz w:val="16"/>
                      </w:rPr>
                      <w:t> </w:t>
                    </w:r>
                    <w:r>
                      <w:rPr>
                        <w:sz w:val="16"/>
                      </w:rPr>
                      <w:t>E.</w:t>
                    </w:r>
                    <w:r>
                      <w:rPr>
                        <w:spacing w:val="40"/>
                        <w:sz w:val="16"/>
                      </w:rPr>
                      <w:t> </w:t>
                    </w:r>
                    <w:r>
                      <w:rPr>
                        <w:sz w:val="16"/>
                      </w:rPr>
                      <w:t>(2023).</w:t>
                    </w:r>
                    <w:r>
                      <w:rPr>
                        <w:spacing w:val="-2"/>
                        <w:sz w:val="16"/>
                      </w:rPr>
                      <w:t> </w:t>
                    </w:r>
                    <w:r>
                      <w:rPr>
                        <w:sz w:val="16"/>
                      </w:rPr>
                      <w:t>Sezonluk</w:t>
                    </w:r>
                    <w:r>
                      <w:rPr>
                        <w:spacing w:val="1"/>
                        <w:sz w:val="16"/>
                      </w:rPr>
                      <w:t> </w:t>
                    </w:r>
                    <w:r>
                      <w:rPr>
                        <w:sz w:val="16"/>
                      </w:rPr>
                      <w:t>(Kombine)</w:t>
                    </w:r>
                    <w:r>
                      <w:rPr>
                        <w:spacing w:val="3"/>
                        <w:sz w:val="16"/>
                      </w:rPr>
                      <w:t> </w:t>
                    </w:r>
                    <w:r>
                      <w:rPr>
                        <w:sz w:val="16"/>
                      </w:rPr>
                      <w:t>Bilet</w:t>
                    </w:r>
                    <w:r>
                      <w:rPr>
                        <w:spacing w:val="2"/>
                        <w:sz w:val="16"/>
                      </w:rPr>
                      <w:t> </w:t>
                    </w:r>
                    <w:r>
                      <w:rPr>
                        <w:sz w:val="16"/>
                      </w:rPr>
                      <w:t>Sahipleri</w:t>
                    </w:r>
                    <w:r>
                      <w:rPr>
                        <w:spacing w:val="-3"/>
                        <w:sz w:val="16"/>
                      </w:rPr>
                      <w:t> </w:t>
                    </w:r>
                    <w:r>
                      <w:rPr>
                        <w:sz w:val="16"/>
                      </w:rPr>
                      <w:t>Memnuniyet</w:t>
                    </w:r>
                    <w:r>
                      <w:rPr>
                        <w:spacing w:val="2"/>
                        <w:sz w:val="16"/>
                      </w:rPr>
                      <w:t> </w:t>
                    </w:r>
                    <w:r>
                      <w:rPr>
                        <w:sz w:val="16"/>
                      </w:rPr>
                      <w:t>Ölçeği:</w:t>
                    </w:r>
                    <w:r>
                      <w:rPr>
                        <w:spacing w:val="3"/>
                        <w:sz w:val="16"/>
                      </w:rPr>
                      <w:t> </w:t>
                    </w:r>
                    <w:r>
                      <w:rPr>
                        <w:sz w:val="16"/>
                      </w:rPr>
                      <w:t>Türkçe geçerlik</w:t>
                    </w:r>
                    <w:r>
                      <w:rPr>
                        <w:spacing w:val="1"/>
                        <w:sz w:val="16"/>
                      </w:rPr>
                      <w:t> </w:t>
                    </w:r>
                    <w:r>
                      <w:rPr>
                        <w:sz w:val="16"/>
                      </w:rPr>
                      <w:t>ve güvenirlik</w:t>
                    </w:r>
                    <w:r>
                      <w:rPr>
                        <w:spacing w:val="2"/>
                        <w:sz w:val="16"/>
                      </w:rPr>
                      <w:t> </w:t>
                    </w:r>
                    <w:r>
                      <w:rPr>
                        <w:spacing w:val="-2"/>
                        <w:sz w:val="16"/>
                      </w:rPr>
                      <w:t>çalışması.</w:t>
                    </w:r>
                  </w:p>
                  <w:p>
                    <w:pPr>
                      <w:spacing w:line="182" w:lineRule="exact" w:before="0"/>
                      <w:ind w:left="20" w:right="0" w:firstLine="0"/>
                      <w:jc w:val="left"/>
                      <w:rPr>
                        <w:sz w:val="16"/>
                      </w:rPr>
                    </w:pPr>
                    <w:r>
                      <w:rPr>
                        <w:i/>
                        <w:sz w:val="16"/>
                      </w:rPr>
                      <w:t>Akdeniz</w:t>
                    </w:r>
                    <w:r>
                      <w:rPr>
                        <w:i/>
                        <w:spacing w:val="-5"/>
                        <w:sz w:val="16"/>
                      </w:rPr>
                      <w:t> </w:t>
                    </w:r>
                    <w:r>
                      <w:rPr>
                        <w:i/>
                        <w:sz w:val="16"/>
                      </w:rPr>
                      <w:t>Spor</w:t>
                    </w:r>
                    <w:r>
                      <w:rPr>
                        <w:i/>
                        <w:spacing w:val="-4"/>
                        <w:sz w:val="16"/>
                      </w:rPr>
                      <w:t> </w:t>
                    </w:r>
                    <w:r>
                      <w:rPr>
                        <w:i/>
                        <w:sz w:val="16"/>
                      </w:rPr>
                      <w:t>Bilimleri</w:t>
                    </w:r>
                    <w:r>
                      <w:rPr>
                        <w:i/>
                        <w:spacing w:val="1"/>
                        <w:sz w:val="16"/>
                      </w:rPr>
                      <w:t> </w:t>
                    </w:r>
                    <w:r>
                      <w:rPr>
                        <w:i/>
                        <w:sz w:val="16"/>
                      </w:rPr>
                      <w:t>Dergisi,</w:t>
                    </w:r>
                    <w:r>
                      <w:rPr>
                        <w:i/>
                        <w:spacing w:val="-1"/>
                        <w:sz w:val="16"/>
                      </w:rPr>
                      <w:t> </w:t>
                    </w:r>
                    <w:r>
                      <w:rPr>
                        <w:i/>
                        <w:sz w:val="16"/>
                      </w:rPr>
                      <w:t>6</w:t>
                    </w:r>
                    <w:r>
                      <w:rPr>
                        <w:sz w:val="16"/>
                      </w:rPr>
                      <w:t>(4),</w:t>
                    </w:r>
                    <w:r>
                      <w:rPr>
                        <w:spacing w:val="-1"/>
                        <w:sz w:val="16"/>
                      </w:rPr>
                      <w:t> </w:t>
                    </w:r>
                    <w:r>
                      <w:rPr>
                        <w:sz w:val="16"/>
                      </w:rPr>
                      <w:t>1277-1291.</w:t>
                    </w:r>
                    <w:r>
                      <w:rPr>
                        <w:spacing w:val="-1"/>
                        <w:sz w:val="16"/>
                      </w:rPr>
                      <w:t> </w:t>
                    </w:r>
                    <w:r>
                      <w:rPr>
                        <w:sz w:val="16"/>
                      </w:rPr>
                      <w:t>DOI:</w:t>
                    </w:r>
                    <w:r>
                      <w:rPr>
                        <w:spacing w:val="-1"/>
                        <w:sz w:val="16"/>
                      </w:rPr>
                      <w:t> </w:t>
                    </w:r>
                    <w:hyperlink r:id="rId1">
                      <w:r>
                        <w:rPr>
                          <w:spacing w:val="-2"/>
                          <w:sz w:val="16"/>
                        </w:rPr>
                        <w:t>https://doi.org/10.38021asbid.1355793</w:t>
                      </w:r>
                    </w:hyperlink>
                  </w:p>
                </w:txbxContent>
              </v:textbox>
              <w10:wrap type="none"/>
            </v:shape>
          </w:pict>
        </mc:Fallback>
      </mc:AlternateContent>
    </w:r>
    <w:r>
      <w:rPr/>
      <mc:AlternateContent>
        <mc:Choice Requires="wps">
          <w:drawing>
            <wp:anchor distT="0" distB="0" distL="0" distR="0" allowOverlap="1" layoutInCell="1" locked="0" behindDoc="1" simplePos="0" relativeHeight="486982144">
              <wp:simplePos x="0" y="0"/>
              <wp:positionH relativeFrom="page">
                <wp:posOffset>6546468</wp:posOffset>
              </wp:positionH>
              <wp:positionV relativeFrom="page">
                <wp:posOffset>288925</wp:posOffset>
              </wp:positionV>
              <wp:extent cx="34290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42900" cy="152400"/>
                      </a:xfrm>
                      <a:prstGeom prst="rect">
                        <a:avLst/>
                      </a:prstGeom>
                    </wps:spPr>
                    <wps:txbx>
                      <w:txbxContent>
                        <w:p>
                          <w:pPr>
                            <w:spacing w:line="213" w:lineRule="exact" w:before="0"/>
                            <w:ind w:left="60" w:right="0" w:firstLine="0"/>
                            <w:jc w:val="left"/>
                            <w:rPr>
                              <w:sz w:val="20"/>
                            </w:rPr>
                          </w:pPr>
                          <w:r>
                            <w:rPr>
                              <w:spacing w:val="-4"/>
                              <w:sz w:val="20"/>
                            </w:rPr>
                            <w:fldChar w:fldCharType="begin"/>
                          </w:r>
                          <w:r>
                            <w:rPr>
                              <w:spacing w:val="-4"/>
                              <w:sz w:val="20"/>
                            </w:rPr>
                            <w:instrText> PAGE </w:instrText>
                          </w:r>
                          <w:r>
                            <w:rPr>
                              <w:spacing w:val="-4"/>
                              <w:sz w:val="20"/>
                            </w:rPr>
                            <w:fldChar w:fldCharType="separate"/>
                          </w:r>
                          <w:r>
                            <w:rPr>
                              <w:spacing w:val="-4"/>
                              <w:sz w:val="20"/>
                            </w:rPr>
                            <w:t>1278</w:t>
                          </w:r>
                          <w:r>
                            <w:rPr>
                              <w:spacing w:val="-4"/>
                              <w:sz w:val="20"/>
                            </w:rPr>
                            <w:fldChar w:fldCharType="end"/>
                          </w:r>
                        </w:p>
                      </w:txbxContent>
                    </wps:txbx>
                    <wps:bodyPr wrap="square" lIns="0" tIns="0" rIns="0" bIns="0" rtlCol="0">
                      <a:noAutofit/>
                    </wps:bodyPr>
                  </wps:wsp>
                </a:graphicData>
              </a:graphic>
            </wp:anchor>
          </w:drawing>
        </mc:Choice>
        <mc:Fallback>
          <w:pict>
            <v:shape style="position:absolute;margin-left:515.469971pt;margin-top:22.75pt;width:27pt;height:12pt;mso-position-horizontal-relative:page;mso-position-vertical-relative:page;z-index:-16334336" type="#_x0000_t202" id="docshape5" filled="false" stroked="false">
              <v:textbox inset="0,0,0,0">
                <w:txbxContent>
                  <w:p>
                    <w:pPr>
                      <w:spacing w:line="213" w:lineRule="exact" w:before="0"/>
                      <w:ind w:left="60" w:right="0" w:firstLine="0"/>
                      <w:jc w:val="left"/>
                      <w:rPr>
                        <w:sz w:val="20"/>
                      </w:rPr>
                    </w:pPr>
                    <w:r>
                      <w:rPr>
                        <w:spacing w:val="-4"/>
                        <w:sz w:val="20"/>
                      </w:rPr>
                      <w:fldChar w:fldCharType="begin"/>
                    </w:r>
                    <w:r>
                      <w:rPr>
                        <w:spacing w:val="-4"/>
                        <w:sz w:val="20"/>
                      </w:rPr>
                      <w:instrText> PAGE </w:instrText>
                    </w:r>
                    <w:r>
                      <w:rPr>
                        <w:spacing w:val="-4"/>
                        <w:sz w:val="20"/>
                      </w:rPr>
                      <w:fldChar w:fldCharType="separate"/>
                    </w:r>
                    <w:r>
                      <w:rPr>
                        <w:spacing w:val="-4"/>
                        <w:sz w:val="20"/>
                      </w:rPr>
                      <w:t>1278</w:t>
                    </w:r>
                    <w:r>
                      <w:rPr>
                        <w:spacing w:val="-4"/>
                        <w:sz w:val="20"/>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1"/>
      <w:ind w:left="735"/>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spacing w:before="1"/>
      <w:ind w:left="735"/>
      <w:jc w:val="both"/>
      <w:outlineLvl w:val="2"/>
    </w:pPr>
    <w:rPr>
      <w:rFonts w:ascii="Times New Roman" w:hAnsi="Times New Roman" w:eastAsia="Times New Roman" w:cs="Times New Roman"/>
      <w:b/>
      <w:bCs/>
      <w:i/>
      <w:iCs/>
      <w:sz w:val="24"/>
      <w:szCs w:val="24"/>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orcid.org/%200000-0001-8966-9285" TargetMode="External"/><Relationship Id="rId8" Type="http://schemas.openxmlformats.org/officeDocument/2006/relationships/image" Target="media/image2.jpeg"/><Relationship Id="rId9" Type="http://schemas.openxmlformats.org/officeDocument/2006/relationships/hyperlink" Target="https://orcid.org/0000-0002-8792-3072" TargetMode="External"/><Relationship Id="rId10" Type="http://schemas.openxmlformats.org/officeDocument/2006/relationships/hyperlink" Target="https://doi.org/10.38021asbid.1355793" TargetMode="External"/><Relationship Id="rId11" Type="http://schemas.openxmlformats.org/officeDocument/2006/relationships/hyperlink" Target="mailto:goksu.cini@gmail.com" TargetMode="Externa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image" Target="media/image3.jpeg"/><Relationship Id="rId15" Type="http://schemas.openxmlformats.org/officeDocument/2006/relationships/hyperlink" Target="https://doi.org/10.1080/02642069.2019.1606213" TargetMode="External"/><Relationship Id="rId16" Type="http://schemas.openxmlformats.org/officeDocument/2006/relationships/image" Target="media/image4.png"/><Relationship Id="rId17" Type="http://schemas.openxmlformats.org/officeDocument/2006/relationships/hyperlink" Target="https://creativecommons.org/licenses/by-nc/4.0/deed.t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38021asbid.1355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2024-10-23T21:10:55Z</dcterms:created>
  <dcterms:modified xsi:type="dcterms:W3CDTF">2024-10-23T21:10:55Z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LastSaved">
    <vt:filetime>2024-10-23T00:00:00Z</vt:filetime>
  </property>
  <property fmtid="{D5CDD505-2E9C-101B-9397-08002B2CF9AE}" pid="4" name="Producer">
    <vt:lpwstr>3-Heights(TM) PDF Security Shell 4.8.25.2 (http://www.pdf-tools.com)</vt:lpwstr>
  </property>
</Properties>
</file>