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70FF0" w14:textId="78C75E43" w:rsidR="00EF1CB5" w:rsidRPr="007551C0" w:rsidRDefault="007551C0" w:rsidP="007551C0">
      <w:pPr>
        <w:spacing w:before="0" w:after="0"/>
        <w:ind w:firstLine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551C0">
        <w:rPr>
          <w:rFonts w:ascii="Times New Roman" w:hAnsi="Times New Roman"/>
          <w:b/>
          <w:sz w:val="24"/>
          <w:szCs w:val="24"/>
          <w:shd w:val="clear" w:color="auto" w:fill="FFFFFF"/>
        </w:rPr>
        <w:t>Salgın Hastalık Komplo Ölçeği</w:t>
      </w:r>
    </w:p>
    <w:p w14:paraId="1D5B54D0" w14:textId="77777777" w:rsidR="00EF1CB5" w:rsidRDefault="00EF1CB5" w:rsidP="00EF1CB5">
      <w:pPr>
        <w:spacing w:before="0" w:after="0"/>
        <w:ind w:firstLine="0"/>
        <w:rPr>
          <w:rFonts w:ascii="Times New Roman" w:hAnsi="Times New Roman"/>
          <w:shd w:val="clear" w:color="auto" w:fill="FFFFFF"/>
        </w:rPr>
      </w:pPr>
    </w:p>
    <w:p w14:paraId="53D1753F" w14:textId="14513DA3" w:rsidR="00EF1CB5" w:rsidRDefault="00EF1CB5" w:rsidP="00EF1CB5">
      <w:pPr>
        <w:spacing w:before="0" w:after="0"/>
        <w:ind w:firstLine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Aşağıda yer alan ölçek 5’li likert (1:Kesinlikle Katılmıyorum,2: Katılmıyorum, 3: Ne Katılıyorum Ne Katılmıyorum, 4: Katılıyorum, 5: Kesinlikle Katılıyorum) şeklindedir. </w:t>
      </w:r>
      <w:r w:rsidR="00A953AB">
        <w:rPr>
          <w:rFonts w:ascii="Times New Roman" w:hAnsi="Times New Roman"/>
          <w:shd w:val="clear" w:color="auto" w:fill="FFFFFF"/>
        </w:rPr>
        <w:t>2</w:t>
      </w:r>
      <w:r>
        <w:rPr>
          <w:rFonts w:ascii="Times New Roman" w:hAnsi="Times New Roman"/>
          <w:shd w:val="clear" w:color="auto" w:fill="FFFFFF"/>
        </w:rPr>
        <w:t xml:space="preserve"> alt boyut bulunmaktadır.</w:t>
      </w:r>
    </w:p>
    <w:p w14:paraId="258BC8E1" w14:textId="014715EF" w:rsidR="00EF1CB5" w:rsidRDefault="00EF1CB5" w:rsidP="00EF1CB5">
      <w:pPr>
        <w:numPr>
          <w:ilvl w:val="0"/>
          <w:numId w:val="1"/>
        </w:numPr>
        <w:spacing w:before="0"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1-</w:t>
      </w:r>
      <w:r w:rsidR="000D2FEE">
        <w:rPr>
          <w:rFonts w:ascii="Times New Roman" w:hAnsi="Times New Roman"/>
          <w:shd w:val="clear" w:color="auto" w:fill="FFFFFF"/>
        </w:rPr>
        <w:t>14</w:t>
      </w:r>
      <w:r>
        <w:rPr>
          <w:rFonts w:ascii="Times New Roman" w:hAnsi="Times New Roman"/>
          <w:shd w:val="clear" w:color="auto" w:fill="FFFFFF"/>
        </w:rPr>
        <w:t xml:space="preserve"> nolu ifadeler</w:t>
      </w:r>
      <w:r w:rsidR="001A3ABF" w:rsidRPr="001A3ABF">
        <w:rPr>
          <w:rFonts w:ascii="Times New Roman" w:hAnsi="Times New Roman"/>
          <w:b/>
          <w:bCs/>
          <w:shd w:val="clear" w:color="auto" w:fill="FFFFFF"/>
        </w:rPr>
        <w:t xml:space="preserve"> “Yapay Hastalık Algısı” </w:t>
      </w:r>
      <w:r>
        <w:rPr>
          <w:rFonts w:ascii="Times New Roman" w:hAnsi="Times New Roman"/>
          <w:shd w:val="clear" w:color="auto" w:fill="FFFFFF"/>
        </w:rPr>
        <w:t>alt faktörünü,</w:t>
      </w:r>
    </w:p>
    <w:p w14:paraId="4ED05F66" w14:textId="439F4E8C" w:rsidR="00EF1CB5" w:rsidRPr="001A3ABF" w:rsidRDefault="000D2FEE" w:rsidP="001A3ABF">
      <w:pPr>
        <w:numPr>
          <w:ilvl w:val="0"/>
          <w:numId w:val="1"/>
        </w:numPr>
        <w:spacing w:before="0"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15-19</w:t>
      </w:r>
      <w:r w:rsidR="00EF1CB5">
        <w:rPr>
          <w:rFonts w:ascii="Times New Roman" w:hAnsi="Times New Roman"/>
          <w:shd w:val="clear" w:color="auto" w:fill="FFFFFF"/>
        </w:rPr>
        <w:t xml:space="preserve"> nolu ifadeler </w:t>
      </w:r>
      <w:r w:rsidR="001A3ABF" w:rsidRPr="001A3ABF">
        <w:rPr>
          <w:rFonts w:ascii="Times New Roman" w:hAnsi="Times New Roman"/>
          <w:b/>
          <w:bCs/>
          <w:shd w:val="clear" w:color="auto" w:fill="FFFFFF"/>
        </w:rPr>
        <w:t>“Sağlık Hizmetine Güvensizlik”</w:t>
      </w:r>
      <w:r w:rsidR="001A3ABF">
        <w:rPr>
          <w:rFonts w:ascii="Times New Roman" w:hAnsi="Times New Roman"/>
          <w:shd w:val="clear" w:color="auto" w:fill="FFFFFF"/>
        </w:rPr>
        <w:t xml:space="preserve"> </w:t>
      </w:r>
      <w:r w:rsidR="00EF1CB5">
        <w:rPr>
          <w:rFonts w:ascii="Times New Roman" w:hAnsi="Times New Roman"/>
          <w:shd w:val="clear" w:color="auto" w:fill="FFFFFF"/>
        </w:rPr>
        <w:t>alt faktörünü</w:t>
      </w:r>
      <w:r w:rsidR="001A3ABF">
        <w:rPr>
          <w:rFonts w:ascii="Times New Roman" w:hAnsi="Times New Roman"/>
          <w:shd w:val="clear" w:color="auto" w:fill="FFFFFF"/>
        </w:rPr>
        <w:t xml:space="preserve"> </w:t>
      </w:r>
      <w:r w:rsidR="00EF1CB5" w:rsidRPr="001A3ABF">
        <w:rPr>
          <w:rFonts w:ascii="Times New Roman" w:hAnsi="Times New Roman"/>
          <w:shd w:val="clear" w:color="auto" w:fill="FFFFFF"/>
        </w:rPr>
        <w:t xml:space="preserve">ifade etmektedir. </w:t>
      </w:r>
    </w:p>
    <w:p w14:paraId="2AE8A3CC" w14:textId="77777777" w:rsidR="00EF1CB5" w:rsidRDefault="00EF1CB5" w:rsidP="00EF1CB5">
      <w:pPr>
        <w:spacing w:before="0" w:after="0"/>
        <w:ind w:left="720" w:firstLine="0"/>
        <w:rPr>
          <w:rFonts w:ascii="Times New Roman" w:hAnsi="Times New Roman"/>
          <w:shd w:val="clear" w:color="auto" w:fill="FFFFFF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731"/>
        <w:gridCol w:w="598"/>
        <w:gridCol w:w="448"/>
        <w:gridCol w:w="795"/>
        <w:gridCol w:w="427"/>
        <w:gridCol w:w="571"/>
      </w:tblGrid>
      <w:tr w:rsidR="00EF1CB5" w:rsidRPr="003E5C80" w14:paraId="382E48DE" w14:textId="77777777" w:rsidTr="00EF1CB5">
        <w:trPr>
          <w:cantSplit/>
          <w:trHeight w:val="1483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782049BC" w14:textId="77777777" w:rsidR="00EF1CB5" w:rsidRPr="003E5C80" w:rsidRDefault="00EF1CB5" w:rsidP="00EF1CB5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5731" w:type="dxa"/>
            <w:shd w:val="clear" w:color="auto" w:fill="auto"/>
          </w:tcPr>
          <w:p w14:paraId="09B99B66" w14:textId="77777777" w:rsidR="00EF1CB5" w:rsidRPr="003E5C80" w:rsidRDefault="00EF1CB5" w:rsidP="007D4C64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14:paraId="2AC5A1BA" w14:textId="77777777" w:rsidR="00EF1CB5" w:rsidRPr="003E5C80" w:rsidRDefault="00EF1CB5" w:rsidP="007D4C64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14:paraId="20CAC74B" w14:textId="77777777" w:rsidR="00EF1CB5" w:rsidRPr="003E5C80" w:rsidRDefault="00EF1CB5" w:rsidP="007D4C64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14:paraId="308B5353" w14:textId="7ADA3907" w:rsidR="00EF1CB5" w:rsidRPr="003E5C80" w:rsidRDefault="00EF1CB5" w:rsidP="007D4C64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İfade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14:paraId="6C0864A0" w14:textId="77777777" w:rsidR="00EF1CB5" w:rsidRPr="003E5C80" w:rsidRDefault="00EF1CB5" w:rsidP="007D4C64">
            <w:pPr>
              <w:spacing w:before="0" w:after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Kesinlikle Katılmıyorum</w:t>
            </w:r>
          </w:p>
        </w:tc>
        <w:tc>
          <w:tcPr>
            <w:tcW w:w="448" w:type="dxa"/>
            <w:shd w:val="clear" w:color="auto" w:fill="auto"/>
            <w:textDirection w:val="btLr"/>
            <w:vAlign w:val="center"/>
          </w:tcPr>
          <w:p w14:paraId="19094749" w14:textId="77777777" w:rsidR="00EF1CB5" w:rsidRPr="003E5C80" w:rsidRDefault="00EF1CB5" w:rsidP="007D4C64">
            <w:pPr>
              <w:spacing w:before="0" w:after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Katılmıyorum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14008A6C" w14:textId="77777777" w:rsidR="00EF1CB5" w:rsidRPr="003E5C80" w:rsidRDefault="00EF1CB5" w:rsidP="007D4C64">
            <w:pPr>
              <w:spacing w:before="0" w:after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Ne Katılıyorum Ne Katılmıyorum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73CB0EF9" w14:textId="77777777" w:rsidR="00EF1CB5" w:rsidRPr="003E5C80" w:rsidRDefault="00EF1CB5" w:rsidP="007D4C64">
            <w:pPr>
              <w:spacing w:before="0" w:after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Katılıyorum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14:paraId="500A5A12" w14:textId="77777777" w:rsidR="00EF1CB5" w:rsidRPr="003E5C80" w:rsidRDefault="00EF1CB5" w:rsidP="007D4C64">
            <w:pPr>
              <w:spacing w:before="0" w:after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Kesinlikle Katılıyorum</w:t>
            </w:r>
          </w:p>
        </w:tc>
      </w:tr>
      <w:tr w:rsidR="003E5C80" w:rsidRPr="003E5C80" w14:paraId="2C219E7D" w14:textId="77777777" w:rsidTr="00EF1CB5">
        <w:trPr>
          <w:cantSplit/>
          <w:trHeight w:val="287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54120CBA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5731" w:type="dxa"/>
            <w:shd w:val="clear" w:color="auto" w:fill="auto"/>
          </w:tcPr>
          <w:p w14:paraId="537F17E2" w14:textId="0615CD8A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Salgına neden olan virüslerin laboratuvar ortamında üretildiğini düşünüyorum</w:t>
            </w:r>
          </w:p>
        </w:tc>
        <w:tc>
          <w:tcPr>
            <w:tcW w:w="598" w:type="dxa"/>
            <w:shd w:val="clear" w:color="auto" w:fill="auto"/>
          </w:tcPr>
          <w:p w14:paraId="4DC40A8C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74D587B4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3EC40558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010DCBAD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094B6300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670C2199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7FDC864D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5731" w:type="dxa"/>
            <w:shd w:val="clear" w:color="auto" w:fill="auto"/>
          </w:tcPr>
          <w:p w14:paraId="4A193DC2" w14:textId="3BD3F359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Dünyayı yöneten grup salgın hastalıkları üreterek dünya üzerindeki kontrolünü artırmaktadır</w:t>
            </w:r>
          </w:p>
        </w:tc>
        <w:tc>
          <w:tcPr>
            <w:tcW w:w="598" w:type="dxa"/>
            <w:shd w:val="clear" w:color="auto" w:fill="auto"/>
          </w:tcPr>
          <w:p w14:paraId="45630E6C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42D2200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527E0888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481A1B87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2C9EE6E1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7BA0810D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682C720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5731" w:type="dxa"/>
            <w:shd w:val="clear" w:color="auto" w:fill="auto"/>
          </w:tcPr>
          <w:p w14:paraId="221DEEF8" w14:textId="145D0921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 günümüz teknolojisi ile çok rahat üretilebilir</w:t>
            </w:r>
          </w:p>
        </w:tc>
        <w:tc>
          <w:tcPr>
            <w:tcW w:w="598" w:type="dxa"/>
            <w:shd w:val="clear" w:color="auto" w:fill="auto"/>
          </w:tcPr>
          <w:p w14:paraId="7165597C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5826EF7E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68BEA1F1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74578D57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DD626EF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39A25BF5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778D2040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5731" w:type="dxa"/>
            <w:shd w:val="clear" w:color="auto" w:fill="auto"/>
          </w:tcPr>
          <w:p w14:paraId="7C1B3D5E" w14:textId="74549647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hastalıklar ile dünya nüfusunun azaltılması istenmektedir</w:t>
            </w:r>
          </w:p>
        </w:tc>
        <w:tc>
          <w:tcPr>
            <w:tcW w:w="598" w:type="dxa"/>
            <w:shd w:val="clear" w:color="auto" w:fill="auto"/>
          </w:tcPr>
          <w:p w14:paraId="3C0E44BF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A702822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0BC0648A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6EDDC0D8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4C3C1FF2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7D8AACE4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5B258868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5731" w:type="dxa"/>
            <w:shd w:val="clear" w:color="auto" w:fill="auto"/>
          </w:tcPr>
          <w:p w14:paraId="49EEDA64" w14:textId="255FE533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hastalıklar ile ülkelerin ekonomisi çökertilmeye çalışılıyor</w:t>
            </w:r>
          </w:p>
        </w:tc>
        <w:tc>
          <w:tcPr>
            <w:tcW w:w="598" w:type="dxa"/>
            <w:shd w:val="clear" w:color="auto" w:fill="auto"/>
          </w:tcPr>
          <w:p w14:paraId="6B3D1BA5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25A89AC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0660415D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35B830E7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7638D685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3A1534EB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0AF43D4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5731" w:type="dxa"/>
            <w:shd w:val="clear" w:color="auto" w:fill="auto"/>
          </w:tcPr>
          <w:p w14:paraId="1EC9F316" w14:textId="794C5575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hastalıklar sömürgeci devletlerin yeni sömürü biçimidir</w:t>
            </w:r>
          </w:p>
        </w:tc>
        <w:tc>
          <w:tcPr>
            <w:tcW w:w="598" w:type="dxa"/>
            <w:shd w:val="clear" w:color="auto" w:fill="auto"/>
          </w:tcPr>
          <w:p w14:paraId="447F4904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220F6DE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25AB8961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40C202D7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6DF3B936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2DC3BB8F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B34F4A3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5731" w:type="dxa"/>
            <w:shd w:val="clear" w:color="auto" w:fill="auto"/>
          </w:tcPr>
          <w:p w14:paraId="2999DB05" w14:textId="00CB8EBF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hastalıkların varlığı bazı devletlerin ekonomik olarak gelişmesine katkıda bulunur</w:t>
            </w:r>
          </w:p>
        </w:tc>
        <w:tc>
          <w:tcPr>
            <w:tcW w:w="598" w:type="dxa"/>
            <w:shd w:val="clear" w:color="auto" w:fill="auto"/>
          </w:tcPr>
          <w:p w14:paraId="0E742570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18CCEC44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0890B77C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32DBCE2A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3580EAFD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397D890E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02614F7F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5731" w:type="dxa"/>
            <w:shd w:val="clear" w:color="auto" w:fill="auto"/>
          </w:tcPr>
          <w:p w14:paraId="6A337CC6" w14:textId="736FF5B0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hastalıklarla toplumun ruh halinin bozulması amaçlanmaktadır</w:t>
            </w:r>
          </w:p>
        </w:tc>
        <w:tc>
          <w:tcPr>
            <w:tcW w:w="598" w:type="dxa"/>
            <w:shd w:val="clear" w:color="auto" w:fill="auto"/>
          </w:tcPr>
          <w:p w14:paraId="54469644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2FF937C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11C9BB4A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0322C50D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67EE3BEB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109F86BB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F375CAB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5731" w:type="dxa"/>
            <w:shd w:val="clear" w:color="auto" w:fill="auto"/>
          </w:tcPr>
          <w:p w14:paraId="79EAE103" w14:textId="65EE495B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hastalıklar dünya tarihindeki yaşanan savaşların biyolojik halidir</w:t>
            </w:r>
          </w:p>
        </w:tc>
        <w:tc>
          <w:tcPr>
            <w:tcW w:w="598" w:type="dxa"/>
            <w:shd w:val="clear" w:color="auto" w:fill="auto"/>
          </w:tcPr>
          <w:p w14:paraId="42C72893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D6C6C3C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73813C05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3FE88055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59001BD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5F63EA96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51EDB46B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5731" w:type="dxa"/>
            <w:shd w:val="clear" w:color="auto" w:fill="auto"/>
          </w:tcPr>
          <w:p w14:paraId="272F539A" w14:textId="51F28F85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hastalıklar büyük ilaç firmaları tarafından bilinçli olarak üretilmektedir.</w:t>
            </w:r>
          </w:p>
        </w:tc>
        <w:tc>
          <w:tcPr>
            <w:tcW w:w="598" w:type="dxa"/>
            <w:shd w:val="clear" w:color="auto" w:fill="auto"/>
          </w:tcPr>
          <w:p w14:paraId="5DA6EF8B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84094F7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109FB009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5930F6C0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46770768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58E2B463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7420321C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5731" w:type="dxa"/>
            <w:shd w:val="clear" w:color="auto" w:fill="auto"/>
          </w:tcPr>
          <w:p w14:paraId="122F4D51" w14:textId="72D88653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hastalıkların gelişmiş ülkelerde yaygın olmaması yapay olarak üretildiğinin göstergesidir</w:t>
            </w:r>
          </w:p>
        </w:tc>
        <w:tc>
          <w:tcPr>
            <w:tcW w:w="598" w:type="dxa"/>
            <w:shd w:val="clear" w:color="auto" w:fill="auto"/>
          </w:tcPr>
          <w:p w14:paraId="3BB5DAB1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A938FF7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1A06E481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1578E050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942206C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1CE4C6E4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0653C949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5731" w:type="dxa"/>
            <w:shd w:val="clear" w:color="auto" w:fill="auto"/>
          </w:tcPr>
          <w:p w14:paraId="575DAF96" w14:textId="389175B5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hastalıkların üretilmesinde Dünya Bankası ve Dünya Sağlık Örgütü gibi uluslararası kuruluşların da payı bulunmaktadır</w:t>
            </w:r>
          </w:p>
        </w:tc>
        <w:tc>
          <w:tcPr>
            <w:tcW w:w="598" w:type="dxa"/>
            <w:shd w:val="clear" w:color="auto" w:fill="auto"/>
          </w:tcPr>
          <w:p w14:paraId="402604EE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D97E678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1771526D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7173E85A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06A5ACD9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636C5D26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4AC06C9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5731" w:type="dxa"/>
            <w:shd w:val="clear" w:color="auto" w:fill="auto"/>
          </w:tcPr>
          <w:p w14:paraId="168D2B6F" w14:textId="7D6C0AF6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hastalıklar sonrası geliştirilen aşı ve ilaçlar ile insanlar üzerinde bilimsel araştırmalar yapılmaktadır</w:t>
            </w:r>
          </w:p>
        </w:tc>
        <w:tc>
          <w:tcPr>
            <w:tcW w:w="598" w:type="dxa"/>
            <w:shd w:val="clear" w:color="auto" w:fill="auto"/>
          </w:tcPr>
          <w:p w14:paraId="40C7EFB5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5143B6F0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2DCDFA44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5206DDD1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6C786FF8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0527A661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A3E5632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5731" w:type="dxa"/>
            <w:shd w:val="clear" w:color="auto" w:fill="auto"/>
          </w:tcPr>
          <w:p w14:paraId="347D7AE1" w14:textId="1421AE5C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hastalık, toplumları kontrol aracıdır.</w:t>
            </w:r>
          </w:p>
        </w:tc>
        <w:tc>
          <w:tcPr>
            <w:tcW w:w="598" w:type="dxa"/>
            <w:shd w:val="clear" w:color="auto" w:fill="auto"/>
          </w:tcPr>
          <w:p w14:paraId="4CDFE4DA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45B543D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7EBB8837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7B65A0EF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04DBF3E1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3345CE6B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B25BA56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5731" w:type="dxa"/>
            <w:shd w:val="clear" w:color="auto" w:fill="auto"/>
          </w:tcPr>
          <w:p w14:paraId="616A2EA3" w14:textId="6373ACD1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hastalıkların azaltılması için geliştirilen aşıların etkisi yoktur</w:t>
            </w:r>
          </w:p>
        </w:tc>
        <w:tc>
          <w:tcPr>
            <w:tcW w:w="598" w:type="dxa"/>
            <w:shd w:val="clear" w:color="auto" w:fill="auto"/>
          </w:tcPr>
          <w:p w14:paraId="418C024D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3410AB5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61448736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1D040B12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3F296CF5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21236021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38CC8A2C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5731" w:type="dxa"/>
            <w:shd w:val="clear" w:color="auto" w:fill="auto"/>
          </w:tcPr>
          <w:p w14:paraId="19DD9014" w14:textId="58E4562F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hastalıkların önlenmesi için geliştirilen aşıların yararlı olduğunu düşünmüyorum</w:t>
            </w:r>
          </w:p>
        </w:tc>
        <w:tc>
          <w:tcPr>
            <w:tcW w:w="598" w:type="dxa"/>
            <w:shd w:val="clear" w:color="auto" w:fill="auto"/>
          </w:tcPr>
          <w:p w14:paraId="63ED1DCA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1A9CB603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08FF4C96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4529D282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707DB205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2D5A882A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5657C21A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5731" w:type="dxa"/>
            <w:shd w:val="clear" w:color="auto" w:fill="auto"/>
          </w:tcPr>
          <w:p w14:paraId="7FBE44D2" w14:textId="6F886B59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hastalık, basit bir hastalığın abartılmış şeklidir.</w:t>
            </w:r>
          </w:p>
        </w:tc>
        <w:tc>
          <w:tcPr>
            <w:tcW w:w="598" w:type="dxa"/>
            <w:shd w:val="clear" w:color="auto" w:fill="auto"/>
          </w:tcPr>
          <w:p w14:paraId="41632347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134D1F5B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10B8A141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160F0120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8AAD92D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24881A27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2E45A034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5731" w:type="dxa"/>
            <w:shd w:val="clear" w:color="auto" w:fill="auto"/>
          </w:tcPr>
          <w:p w14:paraId="401FA689" w14:textId="783BB56A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hastalık, hiçbir önlem almadan da geçer.</w:t>
            </w:r>
          </w:p>
        </w:tc>
        <w:tc>
          <w:tcPr>
            <w:tcW w:w="598" w:type="dxa"/>
            <w:shd w:val="clear" w:color="auto" w:fill="auto"/>
          </w:tcPr>
          <w:p w14:paraId="19449FBA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78B060C2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217CE98A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50181EBC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485FF6B3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C80" w:rsidRPr="003E5C80" w14:paraId="6A30640E" w14:textId="77777777" w:rsidTr="00EF1CB5">
        <w:trPr>
          <w:cantSplit/>
          <w:trHeight w:val="294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6695CE0" w14:textId="77777777" w:rsidR="003E5C80" w:rsidRPr="003E5C80" w:rsidRDefault="003E5C80" w:rsidP="003E5C80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E5C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5731" w:type="dxa"/>
            <w:shd w:val="clear" w:color="auto" w:fill="auto"/>
          </w:tcPr>
          <w:p w14:paraId="531CCB4D" w14:textId="41E88F24" w:rsidR="003E5C80" w:rsidRPr="003E5C80" w:rsidRDefault="003E5C80" w:rsidP="003E5C80">
            <w:pPr>
              <w:spacing w:before="0" w:after="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E5C80">
              <w:rPr>
                <w:rFonts w:ascii="Times New Roman" w:hAnsi="Times New Roman"/>
                <w:sz w:val="18"/>
                <w:szCs w:val="18"/>
              </w:rPr>
              <w:t>Salgın hastalık, bize anlatıldığı gibi abartılı değildir.</w:t>
            </w:r>
          </w:p>
        </w:tc>
        <w:tc>
          <w:tcPr>
            <w:tcW w:w="598" w:type="dxa"/>
            <w:shd w:val="clear" w:color="auto" w:fill="auto"/>
          </w:tcPr>
          <w:p w14:paraId="12B01F38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9AA5D72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67CF976F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21F15FEF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43FA08CC" w14:textId="77777777" w:rsidR="003E5C80" w:rsidRPr="003E5C80" w:rsidRDefault="003E5C80" w:rsidP="003E5C8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0C39410" w14:textId="77777777" w:rsidR="00EF1CB5" w:rsidRDefault="00EF1CB5" w:rsidP="00EF1CB5">
      <w:pPr>
        <w:spacing w:before="0" w:after="0"/>
        <w:ind w:firstLine="0"/>
        <w:rPr>
          <w:rFonts w:ascii="Times New Roman" w:hAnsi="Times New Roman"/>
          <w:shd w:val="clear" w:color="auto" w:fill="FFFFFF"/>
        </w:rPr>
      </w:pPr>
    </w:p>
    <w:p w14:paraId="4A1414BC" w14:textId="77777777" w:rsidR="00EF1CB5" w:rsidRDefault="00EF1CB5" w:rsidP="00EF1CB5">
      <w:pPr>
        <w:spacing w:before="0" w:after="0"/>
        <w:ind w:firstLine="0"/>
        <w:rPr>
          <w:rFonts w:ascii="Times New Roman" w:hAnsi="Times New Roman"/>
          <w:shd w:val="clear" w:color="auto" w:fill="FFFFFF"/>
        </w:rPr>
      </w:pPr>
    </w:p>
    <w:p w14:paraId="6843699E" w14:textId="1C711D99" w:rsidR="00BE3647" w:rsidRDefault="00BE3647" w:rsidP="00EF1CB5">
      <w:pPr>
        <w:ind w:firstLine="0"/>
      </w:pPr>
    </w:p>
    <w:sectPr w:rsidR="00BE3647" w:rsidSect="00EF1CB5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A4781" w14:textId="77777777" w:rsidR="007B6F47" w:rsidRDefault="007B6F47">
      <w:pPr>
        <w:spacing w:before="0" w:after="0"/>
      </w:pPr>
      <w:r>
        <w:separator/>
      </w:r>
    </w:p>
  </w:endnote>
  <w:endnote w:type="continuationSeparator" w:id="0">
    <w:p w14:paraId="0420622F" w14:textId="77777777" w:rsidR="007B6F47" w:rsidRDefault="007B6F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28F6E" w14:textId="77777777" w:rsidR="007B6F47" w:rsidRDefault="007B6F47">
      <w:pPr>
        <w:spacing w:before="0" w:after="0"/>
      </w:pPr>
      <w:r>
        <w:separator/>
      </w:r>
    </w:p>
  </w:footnote>
  <w:footnote w:type="continuationSeparator" w:id="0">
    <w:p w14:paraId="6D10C068" w14:textId="77777777" w:rsidR="007B6F47" w:rsidRDefault="007B6F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8342B" w14:textId="77777777" w:rsidR="00EF1CB5" w:rsidRPr="009D59DD" w:rsidRDefault="00EF1CB5" w:rsidP="00E61930">
    <w:pPr>
      <w:pStyle w:val="a"/>
      <w:tabs>
        <w:tab w:val="clear" w:pos="9072"/>
        <w:tab w:val="right" w:pos="8220"/>
      </w:tabs>
      <w:rPr>
        <w:rFonts w:ascii="Times New Roman" w:hAnsi="Times New Roman"/>
        <w:i/>
      </w:rPr>
    </w:pPr>
    <w:r w:rsidRPr="00B16E00">
      <w:rPr>
        <w:rFonts w:ascii="Times New Roman" w:hAnsi="Times New Roman"/>
      </w:rPr>
      <w:fldChar w:fldCharType="begin"/>
    </w:r>
    <w:r w:rsidRPr="00B16E00">
      <w:rPr>
        <w:rFonts w:ascii="Times New Roman" w:hAnsi="Times New Roman"/>
      </w:rPr>
      <w:instrText>PAGE   \* MERGEFORMAT</w:instrText>
    </w:r>
    <w:r w:rsidRPr="00B16E0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B16E00">
      <w:rPr>
        <w:rFonts w:ascii="Times New Roman" w:hAnsi="Times New Roman"/>
      </w:rPr>
      <w:fldChar w:fldCharType="end"/>
    </w:r>
    <w:r w:rsidRPr="009D5854">
      <w:rPr>
        <w:rFonts w:ascii="Times New Roman" w:hAnsi="Times New Roman"/>
        <w:i/>
      </w:rPr>
      <w:t xml:space="preserve"> </w:t>
    </w:r>
    <w:r w:rsidRPr="0026697F">
      <w:rPr>
        <w:rFonts w:ascii="Times New Roman" w:hAnsi="Times New Roman"/>
        <w:i/>
      </w:rPr>
      <w:t xml:space="preserve">Hacettepe </w:t>
    </w:r>
    <w:r>
      <w:rPr>
        <w:rFonts w:ascii="Times New Roman" w:hAnsi="Times New Roman"/>
        <w:i/>
      </w:rPr>
      <w:t>Journal of Health Administration</w:t>
    </w:r>
    <w:r w:rsidRPr="0026697F">
      <w:rPr>
        <w:rFonts w:ascii="Times New Roman" w:hAnsi="Times New Roman"/>
        <w:i/>
      </w:rPr>
      <w:t>, 20</w:t>
    </w:r>
    <w:r>
      <w:rPr>
        <w:rFonts w:ascii="Times New Roman" w:hAnsi="Times New Roman"/>
        <w:i/>
      </w:rPr>
      <w:t>23</w:t>
    </w:r>
    <w:r w:rsidRPr="0026697F">
      <w:rPr>
        <w:rFonts w:ascii="Times New Roman" w:hAnsi="Times New Roman"/>
        <w:i/>
      </w:rPr>
      <w:t>; 2</w:t>
    </w:r>
    <w:r>
      <w:rPr>
        <w:rFonts w:ascii="Times New Roman" w:hAnsi="Times New Roman"/>
        <w:i/>
      </w:rPr>
      <w:t>6</w:t>
    </w:r>
    <w:r w:rsidRPr="0026697F">
      <w:rPr>
        <w:rFonts w:ascii="Times New Roman" w:hAnsi="Times New Roman"/>
        <w:i/>
      </w:rPr>
      <w:t>(</w:t>
    </w:r>
    <w:r>
      <w:rPr>
        <w:rFonts w:ascii="Times New Roman" w:hAnsi="Times New Roman"/>
        <w:i/>
      </w:rPr>
      <w:t>4</w:t>
    </w:r>
    <w:r w:rsidRPr="0026697F">
      <w:rPr>
        <w:rFonts w:ascii="Times New Roman" w:hAnsi="Times New Roman"/>
        <w:i/>
      </w:rPr>
      <w:t>): ..-..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DB0A" w14:textId="77777777" w:rsidR="00EF1CB5" w:rsidRPr="006962E3" w:rsidRDefault="00EF1CB5">
    <w:pPr>
      <w:pStyle w:val="a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H</w:t>
    </w:r>
    <w:r w:rsidRPr="001D65EA">
      <w:rPr>
        <w:rFonts w:ascii="Times New Roman" w:hAnsi="Times New Roman"/>
        <w:i/>
      </w:rPr>
      <w:t>ekim beyin göçünü etkileyen faktörler</w:t>
    </w:r>
    <w:r>
      <w:rPr>
        <w:rFonts w:ascii="Times New Roman" w:hAnsi="Times New Roman"/>
        <w:i/>
      </w:rPr>
      <w:t xml:space="preserve"> </w:t>
    </w:r>
    <w:r w:rsidRPr="00FA6308">
      <w:rPr>
        <w:rFonts w:ascii="Times New Roman" w:hAnsi="Times New Roman"/>
      </w:rPr>
      <w:fldChar w:fldCharType="begin"/>
    </w:r>
    <w:r w:rsidRPr="00FA6308">
      <w:rPr>
        <w:rFonts w:ascii="Times New Roman" w:hAnsi="Times New Roman"/>
      </w:rPr>
      <w:instrText>PAGE   \* MERGEFORMAT</w:instrText>
    </w:r>
    <w:r w:rsidRPr="00FA630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13</w:t>
    </w:r>
    <w:r w:rsidRPr="00FA6308">
      <w:rPr>
        <w:rFonts w:ascii="Times New Roman" w:hAnsi="Times New Roman"/>
      </w:rPr>
      <w:fldChar w:fldCharType="end"/>
    </w:r>
  </w:p>
  <w:p w14:paraId="348FF0DD" w14:textId="77777777" w:rsidR="00EF1CB5" w:rsidRDefault="00EF1CB5">
    <w:pPr>
      <w:pStyle w:val="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9C80" w14:textId="10DAED46" w:rsidR="00EF1CB5" w:rsidRPr="0026697F" w:rsidRDefault="00EF1CB5" w:rsidP="0026697F">
    <w:pPr>
      <w:pStyle w:val="a"/>
      <w:tabs>
        <w:tab w:val="clear" w:pos="9072"/>
        <w:tab w:val="right" w:pos="8220"/>
      </w:tabs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4CD6"/>
    <w:multiLevelType w:val="hybridMultilevel"/>
    <w:tmpl w:val="AB9899EE"/>
    <w:lvl w:ilvl="0" w:tplc="67246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0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A4"/>
    <w:rsid w:val="000D2FEE"/>
    <w:rsid w:val="001A3ABF"/>
    <w:rsid w:val="003660A4"/>
    <w:rsid w:val="003C18F5"/>
    <w:rsid w:val="003E5C80"/>
    <w:rsid w:val="005D67AF"/>
    <w:rsid w:val="005F05B5"/>
    <w:rsid w:val="007551C0"/>
    <w:rsid w:val="007669E9"/>
    <w:rsid w:val="007B6F47"/>
    <w:rsid w:val="00A953AB"/>
    <w:rsid w:val="00BE3647"/>
    <w:rsid w:val="00DA622A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FADE"/>
  <w15:chartTrackingRefBased/>
  <w15:docId w15:val="{9A49B5CC-7B9F-4B7C-B4FA-79B71B9C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B5"/>
    <w:pPr>
      <w:spacing w:before="240" w:after="240" w:line="240" w:lineRule="auto"/>
      <w:ind w:firstLine="284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66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6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6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6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6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6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6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6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6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6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6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60A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60A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60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60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60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60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60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60A4"/>
    <w:pPr>
      <w:numPr>
        <w:ilvl w:val="1"/>
      </w:numPr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6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60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60A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60A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6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60A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60A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EF1CB5"/>
    <w:rPr>
      <w:color w:val="0000FF"/>
      <w:u w:val="single"/>
    </w:rPr>
  </w:style>
  <w:style w:type="paragraph" w:customStyle="1" w:styleId="a">
    <w:basedOn w:val="Normal"/>
    <w:next w:val="stBilgi"/>
    <w:link w:val="stbilgiChar"/>
    <w:uiPriority w:val="99"/>
    <w:unhideWhenUsed/>
    <w:rsid w:val="00EF1CB5"/>
    <w:pPr>
      <w:tabs>
        <w:tab w:val="center" w:pos="4536"/>
        <w:tab w:val="right" w:pos="9072"/>
      </w:tabs>
      <w:spacing w:after="0"/>
    </w:pPr>
    <w:rPr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a"/>
    <w:uiPriority w:val="99"/>
    <w:rsid w:val="00EF1CB5"/>
  </w:style>
  <w:style w:type="paragraph" w:styleId="stBilgi">
    <w:name w:val="header"/>
    <w:basedOn w:val="Normal"/>
    <w:link w:val="stBilgiChar0"/>
    <w:uiPriority w:val="99"/>
    <w:semiHidden/>
    <w:unhideWhenUsed/>
    <w:rsid w:val="00EF1CB5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EF1CB5"/>
    <w:rPr>
      <w:rFonts w:ascii="Calibri" w:eastAsia="Calibri" w:hAnsi="Calibri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B6F47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7B6F4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Karaşin l GEDIK UNI</dc:creator>
  <cp:keywords/>
  <dc:description/>
  <cp:lastModifiedBy>Yusuf Karaşin l GEDIK UNI</cp:lastModifiedBy>
  <cp:revision>9</cp:revision>
  <dcterms:created xsi:type="dcterms:W3CDTF">2024-01-23T23:28:00Z</dcterms:created>
  <dcterms:modified xsi:type="dcterms:W3CDTF">2024-08-31T21:26:00Z</dcterms:modified>
</cp:coreProperties>
</file>