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15C41" w14:textId="5631FA1C" w:rsidR="00303E52" w:rsidRPr="008565E2" w:rsidRDefault="00CC462B" w:rsidP="00CC462B">
      <w:pPr>
        <w:spacing w:line="240" w:lineRule="auto"/>
        <w:jc w:val="center"/>
        <w:rPr>
          <w:rFonts w:ascii="Times New Roman" w:hAnsi="Times New Roman" w:cs="Times New Roman"/>
          <w:b/>
        </w:rPr>
      </w:pPr>
      <w:r w:rsidRPr="008565E2">
        <w:rPr>
          <w:rFonts w:ascii="Times New Roman" w:hAnsi="Times New Roman" w:cs="Times New Roman"/>
          <w:b/>
        </w:rPr>
        <w:t xml:space="preserve">Hemşirelik Öğrencilerinin Klinik Uygulama Sürecinde Hemşirelere Yönelik Tutum </w:t>
      </w:r>
      <w:r w:rsidR="0068091A">
        <w:rPr>
          <w:rFonts w:ascii="Times New Roman" w:hAnsi="Times New Roman" w:cs="Times New Roman"/>
          <w:b/>
        </w:rPr>
        <w:t>Ölçeği</w:t>
      </w:r>
    </w:p>
    <w:tbl>
      <w:tblPr>
        <w:tblW w:w="994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6521"/>
        <w:gridCol w:w="790"/>
        <w:gridCol w:w="552"/>
        <w:gridCol w:w="552"/>
        <w:gridCol w:w="552"/>
        <w:gridCol w:w="552"/>
      </w:tblGrid>
      <w:tr w:rsidR="0022054A" w:rsidRPr="008565E2" w14:paraId="12E30BE2" w14:textId="1BDFB84B" w:rsidTr="00717D6C">
        <w:trPr>
          <w:cantSplit/>
          <w:trHeight w:val="1558"/>
        </w:trPr>
        <w:tc>
          <w:tcPr>
            <w:tcW w:w="6946" w:type="dxa"/>
            <w:gridSpan w:val="2"/>
            <w:shd w:val="clear" w:color="auto" w:fill="auto"/>
            <w:noWrap/>
            <w:vAlign w:val="center"/>
            <w:hideMark/>
          </w:tcPr>
          <w:p w14:paraId="1AA05CB2" w14:textId="77777777" w:rsidR="0022054A" w:rsidRPr="008565E2" w:rsidRDefault="0022054A" w:rsidP="0022054A">
            <w:pPr>
              <w:spacing w:after="0" w:line="160" w:lineRule="atLeast"/>
              <w:jc w:val="both"/>
              <w:rPr>
                <w:rFonts w:ascii="Times New Roman" w:eastAsia="Malgun Gothic" w:hAnsi="Times New Roman" w:cs="Times New Roman"/>
                <w:bCs/>
                <w:color w:val="000000"/>
                <w:sz w:val="18"/>
                <w:szCs w:val="18"/>
              </w:rPr>
            </w:pPr>
            <w:r w:rsidRPr="008565E2">
              <w:rPr>
                <w:rFonts w:ascii="Times New Roman" w:eastAsia="Malgun Gothic" w:hAnsi="Times New Roman" w:cs="Times New Roman"/>
                <w:bCs/>
                <w:color w:val="000000"/>
                <w:sz w:val="18"/>
                <w:szCs w:val="18"/>
              </w:rPr>
              <w:t>Aşağıda hemşirelik öğrencilerinin klinik hemşirelere yönelik tutum düzeylerini belirlemek üzere oluşturulmuş ölçek maddeleri bulunmaktadır. Lütfen bütün soruları size en uygun seçeneği işaretleyerek cevaplayınız.</w:t>
            </w:r>
            <w:r w:rsidRPr="008565E2">
              <w:t xml:space="preserve"> </w:t>
            </w:r>
            <w:r w:rsidRPr="008565E2">
              <w:rPr>
                <w:rFonts w:ascii="Times New Roman" w:eastAsia="Malgun Gothic" w:hAnsi="Times New Roman" w:cs="Times New Roman"/>
                <w:bCs/>
                <w:color w:val="000000"/>
                <w:sz w:val="18"/>
                <w:szCs w:val="18"/>
              </w:rPr>
              <w:t xml:space="preserve">Soruların hepsini cevaplamanız çalışmanın bilimsel geçerliliği açısından önemlidir. </w:t>
            </w:r>
          </w:p>
          <w:p w14:paraId="1510E7B7" w14:textId="77777777" w:rsidR="0022054A" w:rsidRPr="008565E2" w:rsidRDefault="0022054A" w:rsidP="0022054A">
            <w:pPr>
              <w:spacing w:after="0" w:line="160" w:lineRule="atLeast"/>
              <w:jc w:val="both"/>
              <w:rPr>
                <w:rFonts w:ascii="Times New Roman" w:eastAsia="Malgun Gothic" w:hAnsi="Times New Roman" w:cs="Times New Roman"/>
                <w:bCs/>
                <w:color w:val="000000"/>
                <w:sz w:val="18"/>
                <w:szCs w:val="18"/>
              </w:rPr>
            </w:pPr>
            <w:r w:rsidRPr="008565E2">
              <w:rPr>
                <w:rFonts w:ascii="Times New Roman" w:eastAsia="Malgun Gothic" w:hAnsi="Times New Roman" w:cs="Times New Roman"/>
                <w:bCs/>
                <w:color w:val="000000"/>
                <w:sz w:val="18"/>
                <w:szCs w:val="18"/>
              </w:rPr>
              <w:t>Teşekkür ederiz.</w:t>
            </w:r>
          </w:p>
        </w:tc>
        <w:tc>
          <w:tcPr>
            <w:tcW w:w="790" w:type="dxa"/>
            <w:shd w:val="clear" w:color="auto" w:fill="auto"/>
            <w:textDirection w:val="btLr"/>
            <w:vAlign w:val="center"/>
          </w:tcPr>
          <w:p w14:paraId="44962328" w14:textId="3D48E386" w:rsidR="0022054A" w:rsidRPr="008565E2" w:rsidRDefault="0022054A" w:rsidP="00107500">
            <w:pPr>
              <w:spacing w:after="0" w:line="240" w:lineRule="auto"/>
              <w:ind w:left="-57" w:right="-57"/>
              <w:jc w:val="center"/>
              <w:rPr>
                <w:rFonts w:ascii="Times New Roman" w:eastAsia="Malgun Gothic" w:hAnsi="Times New Roman" w:cs="Times New Roman"/>
                <w:b/>
                <w:bCs/>
                <w:color w:val="000000"/>
                <w:sz w:val="20"/>
                <w:szCs w:val="18"/>
              </w:rPr>
            </w:pPr>
            <w:r w:rsidRPr="008565E2">
              <w:rPr>
                <w:rFonts w:ascii="Times New Roman" w:eastAsia="Malgun Gothic" w:hAnsi="Times New Roman" w:cs="Times New Roman"/>
                <w:bCs/>
                <w:color w:val="000000"/>
                <w:sz w:val="20"/>
              </w:rPr>
              <w:t>Kesinlikle Katılmıyorum</w:t>
            </w:r>
            <w:r w:rsidR="00717D6C">
              <w:rPr>
                <w:rFonts w:ascii="Times New Roman" w:eastAsia="Malgun Gothic" w:hAnsi="Times New Roman" w:cs="Times New Roman"/>
                <w:bCs/>
                <w:color w:val="000000"/>
                <w:sz w:val="20"/>
              </w:rPr>
              <w:t xml:space="preserve"> (1)</w:t>
            </w:r>
          </w:p>
        </w:tc>
        <w:tc>
          <w:tcPr>
            <w:tcW w:w="552" w:type="dxa"/>
            <w:shd w:val="clear" w:color="auto" w:fill="auto"/>
            <w:textDirection w:val="btLr"/>
            <w:vAlign w:val="center"/>
          </w:tcPr>
          <w:p w14:paraId="4ECFA0E7" w14:textId="140076A6" w:rsidR="0022054A" w:rsidRPr="008565E2" w:rsidRDefault="0022054A" w:rsidP="00107500">
            <w:pPr>
              <w:spacing w:after="0" w:line="240" w:lineRule="auto"/>
              <w:ind w:left="-57" w:right="-57"/>
              <w:jc w:val="center"/>
              <w:rPr>
                <w:rFonts w:ascii="Times New Roman" w:eastAsia="Malgun Gothic" w:hAnsi="Times New Roman" w:cs="Times New Roman"/>
                <w:b/>
                <w:bCs/>
                <w:color w:val="000000"/>
                <w:sz w:val="20"/>
                <w:szCs w:val="18"/>
              </w:rPr>
            </w:pPr>
            <w:r w:rsidRPr="008565E2">
              <w:rPr>
                <w:rFonts w:ascii="Times New Roman" w:eastAsia="Malgun Gothic" w:hAnsi="Times New Roman" w:cs="Times New Roman"/>
                <w:bCs/>
                <w:color w:val="000000"/>
                <w:sz w:val="20"/>
              </w:rPr>
              <w:t>Katılmıyorum</w:t>
            </w:r>
            <w:r w:rsidR="00717D6C">
              <w:rPr>
                <w:rFonts w:ascii="Times New Roman" w:eastAsia="Malgun Gothic" w:hAnsi="Times New Roman" w:cs="Times New Roman"/>
                <w:bCs/>
                <w:color w:val="000000"/>
                <w:sz w:val="20"/>
              </w:rPr>
              <w:t xml:space="preserve"> (2)</w:t>
            </w:r>
          </w:p>
        </w:tc>
        <w:tc>
          <w:tcPr>
            <w:tcW w:w="552" w:type="dxa"/>
            <w:shd w:val="clear" w:color="auto" w:fill="auto"/>
            <w:textDirection w:val="btLr"/>
            <w:vAlign w:val="center"/>
          </w:tcPr>
          <w:p w14:paraId="0E5CA2ED" w14:textId="1DE43370" w:rsidR="0022054A" w:rsidRPr="008565E2" w:rsidRDefault="0022054A" w:rsidP="00107500">
            <w:pPr>
              <w:spacing w:after="0" w:line="240" w:lineRule="auto"/>
              <w:ind w:left="-57" w:right="-57"/>
              <w:jc w:val="center"/>
              <w:rPr>
                <w:rFonts w:ascii="Times New Roman" w:eastAsia="Malgun Gothic" w:hAnsi="Times New Roman" w:cs="Times New Roman"/>
                <w:b/>
                <w:bCs/>
                <w:color w:val="000000"/>
                <w:sz w:val="20"/>
                <w:szCs w:val="18"/>
              </w:rPr>
            </w:pPr>
            <w:r w:rsidRPr="008565E2">
              <w:rPr>
                <w:rFonts w:ascii="Times New Roman" w:eastAsia="Malgun Gothic" w:hAnsi="Times New Roman" w:cs="Times New Roman"/>
                <w:bCs/>
                <w:color w:val="000000"/>
                <w:sz w:val="20"/>
              </w:rPr>
              <w:t>Kararsızım</w:t>
            </w:r>
            <w:r w:rsidR="00717D6C">
              <w:rPr>
                <w:rFonts w:ascii="Times New Roman" w:eastAsia="Malgun Gothic" w:hAnsi="Times New Roman" w:cs="Times New Roman"/>
                <w:bCs/>
                <w:color w:val="000000"/>
                <w:sz w:val="20"/>
              </w:rPr>
              <w:t xml:space="preserve"> (3)</w:t>
            </w:r>
          </w:p>
        </w:tc>
        <w:tc>
          <w:tcPr>
            <w:tcW w:w="552" w:type="dxa"/>
            <w:textDirection w:val="btLr"/>
            <w:vAlign w:val="center"/>
          </w:tcPr>
          <w:p w14:paraId="3388D813" w14:textId="7B080CEE" w:rsidR="0022054A" w:rsidRPr="008565E2" w:rsidRDefault="0022054A" w:rsidP="00107500">
            <w:pPr>
              <w:spacing w:after="0" w:line="240" w:lineRule="auto"/>
              <w:ind w:left="-57" w:right="-57"/>
              <w:jc w:val="center"/>
              <w:rPr>
                <w:rFonts w:ascii="Times New Roman" w:eastAsia="Malgun Gothic" w:hAnsi="Times New Roman" w:cs="Times New Roman"/>
                <w:b/>
                <w:bCs/>
                <w:color w:val="000000"/>
                <w:sz w:val="20"/>
                <w:szCs w:val="18"/>
              </w:rPr>
            </w:pPr>
            <w:r w:rsidRPr="008565E2">
              <w:rPr>
                <w:rFonts w:ascii="Times New Roman" w:eastAsia="Malgun Gothic" w:hAnsi="Times New Roman" w:cs="Times New Roman"/>
                <w:bCs/>
                <w:color w:val="000000"/>
                <w:sz w:val="20"/>
              </w:rPr>
              <w:t>Katılıyorum</w:t>
            </w:r>
            <w:r w:rsidR="00717D6C">
              <w:rPr>
                <w:rFonts w:ascii="Times New Roman" w:eastAsia="Malgun Gothic" w:hAnsi="Times New Roman" w:cs="Times New Roman"/>
                <w:bCs/>
                <w:color w:val="000000"/>
                <w:sz w:val="20"/>
              </w:rPr>
              <w:t xml:space="preserve"> (4)</w:t>
            </w:r>
          </w:p>
        </w:tc>
        <w:tc>
          <w:tcPr>
            <w:tcW w:w="552" w:type="dxa"/>
            <w:textDirection w:val="btLr"/>
            <w:vAlign w:val="center"/>
          </w:tcPr>
          <w:p w14:paraId="70ADD48F" w14:textId="61B7DB1B" w:rsidR="0022054A" w:rsidRPr="008565E2" w:rsidRDefault="0022054A" w:rsidP="00107500">
            <w:pPr>
              <w:spacing w:after="0" w:line="240" w:lineRule="auto"/>
              <w:ind w:left="-57" w:right="-57"/>
              <w:jc w:val="center"/>
              <w:rPr>
                <w:rFonts w:ascii="Times New Roman" w:eastAsia="Malgun Gothic" w:hAnsi="Times New Roman" w:cs="Times New Roman"/>
                <w:b/>
                <w:bCs/>
                <w:color w:val="000000"/>
                <w:sz w:val="20"/>
                <w:szCs w:val="18"/>
              </w:rPr>
            </w:pPr>
            <w:r w:rsidRPr="008565E2">
              <w:rPr>
                <w:rFonts w:ascii="Times New Roman" w:eastAsia="Malgun Gothic" w:hAnsi="Times New Roman" w:cs="Times New Roman"/>
                <w:bCs/>
                <w:color w:val="000000"/>
                <w:sz w:val="20"/>
              </w:rPr>
              <w:t>Kesinlikle Katılıyorum</w:t>
            </w:r>
            <w:r w:rsidR="00717D6C">
              <w:rPr>
                <w:rFonts w:ascii="Times New Roman" w:eastAsia="Malgun Gothic" w:hAnsi="Times New Roman" w:cs="Times New Roman"/>
                <w:bCs/>
                <w:color w:val="000000"/>
                <w:sz w:val="20"/>
              </w:rPr>
              <w:t xml:space="preserve"> (5)</w:t>
            </w:r>
          </w:p>
        </w:tc>
      </w:tr>
      <w:tr w:rsidR="003437A1" w:rsidRPr="008565E2" w14:paraId="731C0F32" w14:textId="57C05E72" w:rsidTr="005545B3">
        <w:trPr>
          <w:trHeight w:val="261"/>
        </w:trPr>
        <w:tc>
          <w:tcPr>
            <w:tcW w:w="425" w:type="dxa"/>
            <w:shd w:val="clear" w:color="auto" w:fill="auto"/>
            <w:vAlign w:val="center"/>
          </w:tcPr>
          <w:p w14:paraId="2B4B8FE8"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7FD89C0F"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w:t>
            </w:r>
            <w:bookmarkStart w:id="0" w:name="_GoBack"/>
            <w:bookmarkEnd w:id="0"/>
            <w:r w:rsidRPr="008565E2">
              <w:rPr>
                <w:rFonts w:ascii="Times New Roman" w:eastAsia="Malgun Gothic" w:hAnsi="Times New Roman" w:cs="Times New Roman"/>
                <w:color w:val="000000"/>
                <w:sz w:val="18"/>
                <w:szCs w:val="18"/>
              </w:rPr>
              <w:t>rencilere</w:t>
            </w:r>
            <w:r w:rsidRPr="008565E2">
              <w:t xml:space="preserve"> </w:t>
            </w:r>
            <w:r w:rsidRPr="008565E2">
              <w:rPr>
                <w:rFonts w:ascii="Times New Roman" w:eastAsia="Malgun Gothic" w:hAnsi="Times New Roman" w:cs="Times New Roman"/>
                <w:color w:val="000000"/>
                <w:sz w:val="18"/>
                <w:szCs w:val="18"/>
              </w:rPr>
              <w:t>mesleğin gelecekteki bir üyesi olarak saygı duyar.</w:t>
            </w:r>
          </w:p>
        </w:tc>
        <w:tc>
          <w:tcPr>
            <w:tcW w:w="790" w:type="dxa"/>
            <w:shd w:val="clear" w:color="auto" w:fill="auto"/>
            <w:noWrap/>
            <w:vAlign w:val="center"/>
          </w:tcPr>
          <w:p w14:paraId="33E7DCAB" w14:textId="6C0A8436"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61095147" w14:textId="1828B092"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3D8003BC" w14:textId="37B0E40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A8E888E"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09F415DB"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1B58BA95" w14:textId="73F72F3F" w:rsidTr="005545B3">
        <w:trPr>
          <w:trHeight w:val="261"/>
        </w:trPr>
        <w:tc>
          <w:tcPr>
            <w:tcW w:w="425" w:type="dxa"/>
            <w:shd w:val="clear" w:color="auto" w:fill="auto"/>
            <w:vAlign w:val="center"/>
          </w:tcPr>
          <w:p w14:paraId="167FF172"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4EE3DF92"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öğrencilere yapıcı eleştirilerde bulunur.</w:t>
            </w:r>
          </w:p>
        </w:tc>
        <w:tc>
          <w:tcPr>
            <w:tcW w:w="790" w:type="dxa"/>
            <w:shd w:val="clear" w:color="auto" w:fill="auto"/>
            <w:noWrap/>
            <w:vAlign w:val="center"/>
          </w:tcPr>
          <w:p w14:paraId="1704B2A4" w14:textId="66B87D79"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2A4605D0" w14:textId="03B2356E"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B59B3EF" w14:textId="66847CBC"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6E487CC"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CDC8908"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6D9FE867" w14:textId="6381EF91" w:rsidTr="005545B3">
        <w:trPr>
          <w:trHeight w:val="261"/>
        </w:trPr>
        <w:tc>
          <w:tcPr>
            <w:tcW w:w="425" w:type="dxa"/>
            <w:shd w:val="clear" w:color="auto" w:fill="auto"/>
            <w:vAlign w:val="center"/>
          </w:tcPr>
          <w:p w14:paraId="35FAA90A"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194CCC0D"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klinik uygulama sürecinde öğrencilere yeterli zaman ayırır.</w:t>
            </w:r>
          </w:p>
        </w:tc>
        <w:tc>
          <w:tcPr>
            <w:tcW w:w="790" w:type="dxa"/>
            <w:shd w:val="clear" w:color="auto" w:fill="auto"/>
            <w:noWrap/>
            <w:vAlign w:val="center"/>
          </w:tcPr>
          <w:p w14:paraId="323CDD79" w14:textId="19CD7112"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6409411F" w14:textId="2F137DCA"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2143E1E" w14:textId="4EB273D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29F16BE9"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0AD06AAA"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5ADC95C9" w14:textId="7898BF31" w:rsidTr="005545B3">
        <w:trPr>
          <w:trHeight w:val="261"/>
        </w:trPr>
        <w:tc>
          <w:tcPr>
            <w:tcW w:w="425" w:type="dxa"/>
            <w:shd w:val="clear" w:color="auto" w:fill="auto"/>
            <w:vAlign w:val="center"/>
          </w:tcPr>
          <w:p w14:paraId="2AA399A7"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7B8E8751"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öğrenciler ile işbirliği içinde çalışır.</w:t>
            </w:r>
          </w:p>
        </w:tc>
        <w:tc>
          <w:tcPr>
            <w:tcW w:w="790" w:type="dxa"/>
            <w:shd w:val="clear" w:color="auto" w:fill="auto"/>
            <w:noWrap/>
            <w:vAlign w:val="center"/>
          </w:tcPr>
          <w:p w14:paraId="25EA227E" w14:textId="617B9E0F"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2239FD30" w14:textId="7A4FC669"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25B2E3DF" w14:textId="79778C56"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0A7EE89"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6EBA6ED"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4FE8B76D" w14:textId="696F89C4" w:rsidTr="005545B3">
        <w:trPr>
          <w:trHeight w:val="261"/>
        </w:trPr>
        <w:tc>
          <w:tcPr>
            <w:tcW w:w="425" w:type="dxa"/>
            <w:shd w:val="clear" w:color="auto" w:fill="auto"/>
            <w:vAlign w:val="center"/>
          </w:tcPr>
          <w:p w14:paraId="5B6B2D90"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107E0FDB"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öğrencilere rehberlik etme konusunda isteklidir.</w:t>
            </w:r>
          </w:p>
        </w:tc>
        <w:tc>
          <w:tcPr>
            <w:tcW w:w="790" w:type="dxa"/>
            <w:shd w:val="clear" w:color="auto" w:fill="auto"/>
            <w:noWrap/>
            <w:vAlign w:val="center"/>
          </w:tcPr>
          <w:p w14:paraId="4F330239" w14:textId="3F6B1FFA"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2E9315A" w14:textId="5CFF0B8E"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7173211" w14:textId="5E6B7F49"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053592AB"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770522D4"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07C22751" w14:textId="1B161E2C" w:rsidTr="005545B3">
        <w:trPr>
          <w:trHeight w:val="261"/>
        </w:trPr>
        <w:tc>
          <w:tcPr>
            <w:tcW w:w="425" w:type="dxa"/>
            <w:shd w:val="clear" w:color="auto" w:fill="auto"/>
            <w:vAlign w:val="center"/>
          </w:tcPr>
          <w:p w14:paraId="2DD1B72D"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2E9A603A"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öğrencilere adil davranır.</w:t>
            </w:r>
          </w:p>
        </w:tc>
        <w:tc>
          <w:tcPr>
            <w:tcW w:w="790" w:type="dxa"/>
            <w:shd w:val="clear" w:color="auto" w:fill="auto"/>
            <w:noWrap/>
            <w:vAlign w:val="center"/>
          </w:tcPr>
          <w:p w14:paraId="736A5241" w14:textId="06A72484"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0E288DD" w14:textId="748E001C"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1DA96CDD" w14:textId="0BB6880D"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7BD64F7"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A903AE7"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777BD22D" w14:textId="4A307D3E" w:rsidTr="005545B3">
        <w:trPr>
          <w:trHeight w:val="261"/>
        </w:trPr>
        <w:tc>
          <w:tcPr>
            <w:tcW w:w="425" w:type="dxa"/>
            <w:shd w:val="clear" w:color="auto" w:fill="auto"/>
            <w:vAlign w:val="center"/>
          </w:tcPr>
          <w:p w14:paraId="3E6AF769"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7817AD8D"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öğrencilere yardımseverdir.</w:t>
            </w:r>
          </w:p>
        </w:tc>
        <w:tc>
          <w:tcPr>
            <w:tcW w:w="790" w:type="dxa"/>
            <w:shd w:val="clear" w:color="auto" w:fill="auto"/>
            <w:noWrap/>
            <w:vAlign w:val="center"/>
          </w:tcPr>
          <w:p w14:paraId="3F69E0BA" w14:textId="165315BF"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BDF05A0" w14:textId="440F3438"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15E7C4F6" w14:textId="5530969F"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4A40A94"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41419EBF"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0DBC3771" w14:textId="0D73DC75" w:rsidTr="005545B3">
        <w:trPr>
          <w:trHeight w:val="261"/>
        </w:trPr>
        <w:tc>
          <w:tcPr>
            <w:tcW w:w="425" w:type="dxa"/>
            <w:shd w:val="clear" w:color="auto" w:fill="auto"/>
            <w:vAlign w:val="center"/>
          </w:tcPr>
          <w:p w14:paraId="643B0D1E"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067897EA"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öğrencilere anlayışlıdır.</w:t>
            </w:r>
          </w:p>
        </w:tc>
        <w:tc>
          <w:tcPr>
            <w:tcW w:w="790" w:type="dxa"/>
            <w:shd w:val="clear" w:color="auto" w:fill="auto"/>
            <w:noWrap/>
            <w:vAlign w:val="center"/>
          </w:tcPr>
          <w:p w14:paraId="5B68AAB9" w14:textId="75C29CD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96A5652" w14:textId="27BF6CEE"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F7E5CD5" w14:textId="0C760C38"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A6CB229"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0DD2A87"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77A58F9D" w14:textId="2FB55576" w:rsidTr="005545B3">
        <w:trPr>
          <w:trHeight w:val="261"/>
        </w:trPr>
        <w:tc>
          <w:tcPr>
            <w:tcW w:w="425" w:type="dxa"/>
            <w:shd w:val="clear" w:color="auto" w:fill="auto"/>
            <w:vAlign w:val="center"/>
          </w:tcPr>
          <w:p w14:paraId="08A79849"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6433F286"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ile klinikte çalışmak keyiflidir.</w:t>
            </w:r>
          </w:p>
        </w:tc>
        <w:tc>
          <w:tcPr>
            <w:tcW w:w="790" w:type="dxa"/>
            <w:shd w:val="clear" w:color="auto" w:fill="auto"/>
            <w:noWrap/>
            <w:vAlign w:val="center"/>
          </w:tcPr>
          <w:p w14:paraId="37EBD90B" w14:textId="4CB0D51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6DF25715" w14:textId="4E0FBC1F"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0503A38A" w14:textId="460878D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0487D2C"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5A9C503B"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70114D3E" w14:textId="39BEC266" w:rsidTr="005545B3">
        <w:trPr>
          <w:trHeight w:val="261"/>
        </w:trPr>
        <w:tc>
          <w:tcPr>
            <w:tcW w:w="425" w:type="dxa"/>
            <w:shd w:val="clear" w:color="auto" w:fill="auto"/>
            <w:vAlign w:val="center"/>
          </w:tcPr>
          <w:p w14:paraId="258379DD"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18773E0F"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Hemşirelerin geri bildirimleri, mesleki gelişimimde önemli rol oynar.</w:t>
            </w:r>
          </w:p>
        </w:tc>
        <w:tc>
          <w:tcPr>
            <w:tcW w:w="790" w:type="dxa"/>
            <w:shd w:val="clear" w:color="auto" w:fill="auto"/>
            <w:noWrap/>
            <w:vAlign w:val="center"/>
          </w:tcPr>
          <w:p w14:paraId="3194898F" w14:textId="49612E13"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2A6E1110" w14:textId="679139BE"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B914BAF" w14:textId="36EAC4E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823B510"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6348A29"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1FF74D51" w14:textId="08A52F33" w:rsidTr="005545B3">
        <w:trPr>
          <w:trHeight w:val="261"/>
        </w:trPr>
        <w:tc>
          <w:tcPr>
            <w:tcW w:w="425" w:type="dxa"/>
            <w:shd w:val="clear" w:color="auto" w:fill="auto"/>
            <w:vAlign w:val="center"/>
          </w:tcPr>
          <w:p w14:paraId="62CD271A"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10B5E98E"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Hemşirelerin verdiği sorumluluklar, beni daha yetkin hissettirir.</w:t>
            </w:r>
          </w:p>
        </w:tc>
        <w:tc>
          <w:tcPr>
            <w:tcW w:w="790" w:type="dxa"/>
            <w:shd w:val="clear" w:color="auto" w:fill="auto"/>
            <w:noWrap/>
            <w:vAlign w:val="center"/>
          </w:tcPr>
          <w:p w14:paraId="2DCD9AAB" w14:textId="7C65D253"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43B360CC" w14:textId="74FBD6A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395414F" w14:textId="3031790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2B3300B1"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44106502"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650A774F" w14:textId="34120A66" w:rsidTr="005545B3">
        <w:trPr>
          <w:trHeight w:val="261"/>
        </w:trPr>
        <w:tc>
          <w:tcPr>
            <w:tcW w:w="425" w:type="dxa"/>
            <w:shd w:val="clear" w:color="auto" w:fill="auto"/>
            <w:vAlign w:val="center"/>
          </w:tcPr>
          <w:p w14:paraId="43E5DAEA"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3FEC604E"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öğrenciler ile klinik uygulamalarda çalışmaya isteklidir.</w:t>
            </w:r>
          </w:p>
        </w:tc>
        <w:tc>
          <w:tcPr>
            <w:tcW w:w="790" w:type="dxa"/>
            <w:shd w:val="clear" w:color="auto" w:fill="auto"/>
            <w:noWrap/>
            <w:vAlign w:val="center"/>
          </w:tcPr>
          <w:p w14:paraId="6A377064" w14:textId="17BAFB1A"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6BDFA748" w14:textId="0B27FA53"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E217821" w14:textId="21EC8E9E"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2A5A8CE"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325C3FF"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5F2BE40D" w14:textId="4ADCD86A" w:rsidTr="005545B3">
        <w:trPr>
          <w:trHeight w:val="261"/>
        </w:trPr>
        <w:tc>
          <w:tcPr>
            <w:tcW w:w="425" w:type="dxa"/>
            <w:shd w:val="clear" w:color="auto" w:fill="auto"/>
            <w:vAlign w:val="center"/>
          </w:tcPr>
          <w:p w14:paraId="5D8FEC23"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6CE2AD59" w14:textId="77777777" w:rsidR="003437A1" w:rsidRPr="008565E2" w:rsidRDefault="003437A1" w:rsidP="000720C7">
            <w:pPr>
              <w:spacing w:after="0" w:line="160" w:lineRule="atLeast"/>
              <w:rPr>
                <w:rFonts w:ascii="Times New Roman" w:eastAsia="Malgun Gothic" w:hAnsi="Times New Roman" w:cs="Times New Roman"/>
                <w:color w:val="000000"/>
                <w:sz w:val="18"/>
                <w:szCs w:val="18"/>
              </w:rPr>
            </w:pPr>
            <w:r w:rsidRPr="008565E2">
              <w:rPr>
                <w:rFonts w:ascii="Times New Roman" w:eastAsia="Malgun Gothic" w:hAnsi="Times New Roman" w:cs="Times New Roman"/>
                <w:color w:val="000000"/>
                <w:sz w:val="18"/>
                <w:szCs w:val="18"/>
              </w:rPr>
              <w:t>Hemşireler, ekibin bir parçası olarak hissetmemi sağlar.</w:t>
            </w:r>
          </w:p>
        </w:tc>
        <w:tc>
          <w:tcPr>
            <w:tcW w:w="790" w:type="dxa"/>
            <w:shd w:val="clear" w:color="auto" w:fill="auto"/>
            <w:noWrap/>
            <w:vAlign w:val="center"/>
          </w:tcPr>
          <w:p w14:paraId="4F2126FE" w14:textId="4D2FAEB2"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45E1BB42" w14:textId="592A774D"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FD9BCC6" w14:textId="7B3FC9B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A6CC3D7"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5673EFD"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23C9BEF6" w14:textId="34E839A4" w:rsidTr="005545B3">
        <w:trPr>
          <w:trHeight w:val="261"/>
        </w:trPr>
        <w:tc>
          <w:tcPr>
            <w:tcW w:w="425" w:type="dxa"/>
            <w:shd w:val="clear" w:color="auto" w:fill="auto"/>
            <w:vAlign w:val="center"/>
          </w:tcPr>
          <w:p w14:paraId="31D8A4C2"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224C17D1"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iletişime açık bir tutum sergiler.</w:t>
            </w:r>
          </w:p>
        </w:tc>
        <w:tc>
          <w:tcPr>
            <w:tcW w:w="790" w:type="dxa"/>
            <w:shd w:val="clear" w:color="auto" w:fill="auto"/>
            <w:noWrap/>
            <w:vAlign w:val="center"/>
          </w:tcPr>
          <w:p w14:paraId="5C3A69C4" w14:textId="6CD040A6"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47F870ED" w14:textId="77F77F0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2110FD14" w14:textId="394DC7D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50F9FA09"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4BF8183A"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1C510FDA" w14:textId="07C64623" w:rsidTr="005545B3">
        <w:trPr>
          <w:trHeight w:val="261"/>
        </w:trPr>
        <w:tc>
          <w:tcPr>
            <w:tcW w:w="425" w:type="dxa"/>
            <w:shd w:val="clear" w:color="auto" w:fill="auto"/>
            <w:vAlign w:val="center"/>
          </w:tcPr>
          <w:p w14:paraId="0DAF9CEA"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5E7EF59C"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merak ettiğim konularda sorular sormak için fırsat tanırlar.</w:t>
            </w:r>
          </w:p>
        </w:tc>
        <w:tc>
          <w:tcPr>
            <w:tcW w:w="790" w:type="dxa"/>
            <w:shd w:val="clear" w:color="auto" w:fill="auto"/>
            <w:noWrap/>
            <w:vAlign w:val="center"/>
          </w:tcPr>
          <w:p w14:paraId="47A14E3E" w14:textId="15C48B2D"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124381EF" w14:textId="012223D0"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42DC6665" w14:textId="0C4D00BE"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63AAB76"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5C7D50C1"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0F7B484F" w14:textId="4E8FE41D" w:rsidTr="005545B3">
        <w:trPr>
          <w:trHeight w:val="261"/>
        </w:trPr>
        <w:tc>
          <w:tcPr>
            <w:tcW w:w="425" w:type="dxa"/>
            <w:shd w:val="clear" w:color="auto" w:fill="auto"/>
            <w:vAlign w:val="center"/>
          </w:tcPr>
          <w:p w14:paraId="6CD9EBE5"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2C3EEEA8"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uygulamalara ilişkin deneyim kazanma becerimi destekler.</w:t>
            </w:r>
          </w:p>
        </w:tc>
        <w:tc>
          <w:tcPr>
            <w:tcW w:w="790" w:type="dxa"/>
            <w:shd w:val="clear" w:color="auto" w:fill="auto"/>
            <w:noWrap/>
            <w:vAlign w:val="center"/>
          </w:tcPr>
          <w:p w14:paraId="05565B02" w14:textId="1DF9C88C"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CEE0323" w14:textId="3D87CE15"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31FB4463" w14:textId="301C020F"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74857608"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012F0AE0"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1048CFEA" w14:textId="6F7EC968" w:rsidTr="005545B3">
        <w:trPr>
          <w:trHeight w:val="261"/>
        </w:trPr>
        <w:tc>
          <w:tcPr>
            <w:tcW w:w="425" w:type="dxa"/>
            <w:shd w:val="clear" w:color="auto" w:fill="auto"/>
            <w:vAlign w:val="center"/>
          </w:tcPr>
          <w:p w14:paraId="4FE58637"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3EDC3E82"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klinik uygulama sürecime olumlu katkı sağlar.</w:t>
            </w:r>
          </w:p>
        </w:tc>
        <w:tc>
          <w:tcPr>
            <w:tcW w:w="790" w:type="dxa"/>
            <w:shd w:val="clear" w:color="auto" w:fill="auto"/>
            <w:noWrap/>
            <w:vAlign w:val="center"/>
          </w:tcPr>
          <w:p w14:paraId="2256E8B4" w14:textId="1B28EE69"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B2A154F" w14:textId="3AE91720"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18806253" w14:textId="053770A5"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7AA1C25F"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E019FED"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01E4AB7E" w14:textId="010244B0" w:rsidTr="005545B3">
        <w:trPr>
          <w:trHeight w:val="261"/>
        </w:trPr>
        <w:tc>
          <w:tcPr>
            <w:tcW w:w="425" w:type="dxa"/>
            <w:shd w:val="clear" w:color="auto" w:fill="auto"/>
            <w:vAlign w:val="center"/>
          </w:tcPr>
          <w:p w14:paraId="54EE29A9"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409FAE88" w14:textId="03A1239B"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ekip içindeki diğer meslek gruplarına karşı benim haklarımı savunmaz.*</w:t>
            </w:r>
          </w:p>
        </w:tc>
        <w:tc>
          <w:tcPr>
            <w:tcW w:w="790" w:type="dxa"/>
            <w:shd w:val="clear" w:color="auto" w:fill="auto"/>
            <w:noWrap/>
            <w:vAlign w:val="center"/>
          </w:tcPr>
          <w:p w14:paraId="48F77DAF" w14:textId="0F35BBB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99D7A17" w14:textId="0D6C4F95"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0961A431" w14:textId="286D8AA3"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7983B3F6"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4F11B953"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4F3587FA" w14:textId="75FF977E" w:rsidTr="005545B3">
        <w:trPr>
          <w:trHeight w:val="261"/>
        </w:trPr>
        <w:tc>
          <w:tcPr>
            <w:tcW w:w="425" w:type="dxa"/>
            <w:shd w:val="clear" w:color="auto" w:fill="auto"/>
            <w:vAlign w:val="center"/>
          </w:tcPr>
          <w:p w14:paraId="3C93C363"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312FF80B"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klinik uygulama sürecinde karşılaştığım stresli durumlarla baş etme becerilerimi geliştirmem konusunda yardımcı olur.</w:t>
            </w:r>
          </w:p>
        </w:tc>
        <w:tc>
          <w:tcPr>
            <w:tcW w:w="790" w:type="dxa"/>
            <w:shd w:val="clear" w:color="auto" w:fill="auto"/>
            <w:noWrap/>
            <w:vAlign w:val="center"/>
          </w:tcPr>
          <w:p w14:paraId="184B821C" w14:textId="5F3CABA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23CB23EC" w14:textId="288DB3EF"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432DCD9B" w14:textId="1B6FBC0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018CF58"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6963A91E"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2A36B39D" w14:textId="2F5BD6EA" w:rsidTr="005545B3">
        <w:trPr>
          <w:trHeight w:val="261"/>
        </w:trPr>
        <w:tc>
          <w:tcPr>
            <w:tcW w:w="425" w:type="dxa"/>
            <w:shd w:val="clear" w:color="auto" w:fill="auto"/>
            <w:vAlign w:val="center"/>
          </w:tcPr>
          <w:p w14:paraId="53AE6566"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733F0F59"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öğrencilere kendi mesleki deneyimlerini paylaşmaktan memnuniyet duyar.</w:t>
            </w:r>
          </w:p>
        </w:tc>
        <w:tc>
          <w:tcPr>
            <w:tcW w:w="790" w:type="dxa"/>
            <w:shd w:val="clear" w:color="auto" w:fill="auto"/>
            <w:noWrap/>
            <w:vAlign w:val="center"/>
          </w:tcPr>
          <w:p w14:paraId="553CC842" w14:textId="7C6E73B2"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17DB80CB" w14:textId="557B7619"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AE8A60A" w14:textId="3592A2C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05F86C5"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7150A1E0"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521E4F5B" w14:textId="3D5F0A88" w:rsidTr="005545B3">
        <w:trPr>
          <w:trHeight w:val="261"/>
        </w:trPr>
        <w:tc>
          <w:tcPr>
            <w:tcW w:w="425" w:type="dxa"/>
            <w:shd w:val="clear" w:color="auto" w:fill="auto"/>
            <w:vAlign w:val="center"/>
          </w:tcPr>
          <w:p w14:paraId="0F9549AE"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271AC9D0"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öğrencilere kariyer planlama konusunda katkı sağlar.</w:t>
            </w:r>
          </w:p>
        </w:tc>
        <w:tc>
          <w:tcPr>
            <w:tcW w:w="790" w:type="dxa"/>
            <w:shd w:val="clear" w:color="auto" w:fill="auto"/>
            <w:noWrap/>
            <w:vAlign w:val="center"/>
          </w:tcPr>
          <w:p w14:paraId="49BD0169" w14:textId="17F3555D"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2EBF29B" w14:textId="669C5EF2"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60C71FDD" w14:textId="345972F8"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AFFA931"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0223DC80"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4BD31FA3" w14:textId="34CECCDA" w:rsidTr="005545B3">
        <w:trPr>
          <w:trHeight w:val="261"/>
        </w:trPr>
        <w:tc>
          <w:tcPr>
            <w:tcW w:w="425" w:type="dxa"/>
            <w:shd w:val="clear" w:color="auto" w:fill="auto"/>
            <w:vAlign w:val="center"/>
          </w:tcPr>
          <w:p w14:paraId="6FD72960"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44D1FA0C"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hastalar ile iletişim kurma becerimi destekler.</w:t>
            </w:r>
          </w:p>
        </w:tc>
        <w:tc>
          <w:tcPr>
            <w:tcW w:w="790" w:type="dxa"/>
            <w:shd w:val="clear" w:color="auto" w:fill="auto"/>
            <w:noWrap/>
            <w:vAlign w:val="center"/>
          </w:tcPr>
          <w:p w14:paraId="46727952" w14:textId="45FCF605"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30A52C43" w14:textId="497C70B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4B9FC847" w14:textId="6D1E9664"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9420EC3"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7C95A36E"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0F9A0F38" w14:textId="13ABBACF" w:rsidTr="005545B3">
        <w:trPr>
          <w:trHeight w:val="261"/>
        </w:trPr>
        <w:tc>
          <w:tcPr>
            <w:tcW w:w="425" w:type="dxa"/>
            <w:shd w:val="clear" w:color="auto" w:fill="auto"/>
            <w:vAlign w:val="center"/>
          </w:tcPr>
          <w:p w14:paraId="7D7193DE"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5B60779E"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öğrencilere karşı saygılı bir tutum sergileyerek etkileşimde bulunur.</w:t>
            </w:r>
          </w:p>
        </w:tc>
        <w:tc>
          <w:tcPr>
            <w:tcW w:w="790" w:type="dxa"/>
            <w:shd w:val="clear" w:color="auto" w:fill="auto"/>
            <w:noWrap/>
            <w:vAlign w:val="center"/>
          </w:tcPr>
          <w:p w14:paraId="1ED9C84F" w14:textId="24F2DA65"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23E6455C" w14:textId="3360D5B2"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3FF98E9" w14:textId="1476F9F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40B94AA1"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E2A56D0"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0DCB065B" w14:textId="79514B91" w:rsidTr="005545B3">
        <w:trPr>
          <w:trHeight w:val="261"/>
        </w:trPr>
        <w:tc>
          <w:tcPr>
            <w:tcW w:w="425" w:type="dxa"/>
            <w:shd w:val="clear" w:color="auto" w:fill="auto"/>
            <w:vAlign w:val="center"/>
          </w:tcPr>
          <w:p w14:paraId="24469264"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142A5CB7" w14:textId="77777777" w:rsidR="003437A1" w:rsidRPr="008565E2" w:rsidRDefault="003437A1" w:rsidP="000720C7">
            <w:pPr>
              <w:spacing w:after="0" w:line="160" w:lineRule="atLeast"/>
              <w:rPr>
                <w:rFonts w:ascii="Times New Roman" w:hAnsi="Times New Roman" w:cs="Times New Roman"/>
                <w:sz w:val="18"/>
                <w:szCs w:val="18"/>
                <w:highlight w:val="yellow"/>
              </w:rPr>
            </w:pPr>
            <w:r w:rsidRPr="008565E2">
              <w:rPr>
                <w:rFonts w:ascii="Times New Roman" w:hAnsi="Times New Roman" w:cs="Times New Roman"/>
                <w:sz w:val="18"/>
                <w:szCs w:val="18"/>
              </w:rPr>
              <w:t>Hemşireler, öğrencilere klinik ortamda karşılaşabilecekleri stresle başa çıkma stratejileri konusunda rehberlik eder.</w:t>
            </w:r>
          </w:p>
        </w:tc>
        <w:tc>
          <w:tcPr>
            <w:tcW w:w="790" w:type="dxa"/>
            <w:shd w:val="clear" w:color="auto" w:fill="auto"/>
            <w:noWrap/>
            <w:vAlign w:val="center"/>
          </w:tcPr>
          <w:p w14:paraId="3833A62F" w14:textId="6DF0B5A2"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307B1A6A" w14:textId="09932B4C"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DB116F7" w14:textId="13B1082C"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4600E85D"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3ECCE9FE"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227671EF" w14:textId="563999E7" w:rsidTr="005545B3">
        <w:trPr>
          <w:trHeight w:val="261"/>
        </w:trPr>
        <w:tc>
          <w:tcPr>
            <w:tcW w:w="425" w:type="dxa"/>
            <w:shd w:val="clear" w:color="auto" w:fill="auto"/>
            <w:vAlign w:val="center"/>
          </w:tcPr>
          <w:p w14:paraId="40BF9804"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1FC74D04"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öğrencilere eşit ve adil bir şekilde davranarak her birine fırsat eşitliği sağlar.</w:t>
            </w:r>
          </w:p>
        </w:tc>
        <w:tc>
          <w:tcPr>
            <w:tcW w:w="790" w:type="dxa"/>
            <w:shd w:val="clear" w:color="auto" w:fill="auto"/>
            <w:noWrap/>
            <w:vAlign w:val="center"/>
          </w:tcPr>
          <w:p w14:paraId="3BE24EFF" w14:textId="127A18D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3FD5D7B" w14:textId="110546CE"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59F83783" w14:textId="4674FC7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263E499C"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7AD20A95"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79874F0A" w14:textId="66ECE3E6" w:rsidTr="005545B3">
        <w:trPr>
          <w:trHeight w:val="261"/>
        </w:trPr>
        <w:tc>
          <w:tcPr>
            <w:tcW w:w="425" w:type="dxa"/>
            <w:shd w:val="clear" w:color="auto" w:fill="auto"/>
            <w:vAlign w:val="center"/>
          </w:tcPr>
          <w:p w14:paraId="34FDB365"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0DCAAF96"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öğrencilere etik sorunlarla başa çıkma konusunda rehberlik eder.</w:t>
            </w:r>
          </w:p>
        </w:tc>
        <w:tc>
          <w:tcPr>
            <w:tcW w:w="790" w:type="dxa"/>
            <w:shd w:val="clear" w:color="auto" w:fill="auto"/>
            <w:noWrap/>
            <w:vAlign w:val="center"/>
          </w:tcPr>
          <w:p w14:paraId="33BEC65D" w14:textId="3B382F78"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38CCB274" w14:textId="117B1DF0"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1FE6EFB9" w14:textId="7116C47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516CD95D"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28EFCC71"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512323E7" w14:textId="1282D562" w:rsidTr="005545B3">
        <w:trPr>
          <w:trHeight w:val="261"/>
        </w:trPr>
        <w:tc>
          <w:tcPr>
            <w:tcW w:w="425" w:type="dxa"/>
            <w:shd w:val="clear" w:color="auto" w:fill="auto"/>
            <w:vAlign w:val="center"/>
          </w:tcPr>
          <w:p w14:paraId="56F033BC"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34EE4B75"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Hemşireler, öğrencilere etik değerlere uygun bir mesleki kimlik geliştirmeleri için kendi davranışlarıyla örnek olur.</w:t>
            </w:r>
          </w:p>
        </w:tc>
        <w:tc>
          <w:tcPr>
            <w:tcW w:w="790" w:type="dxa"/>
            <w:shd w:val="clear" w:color="auto" w:fill="auto"/>
            <w:noWrap/>
            <w:vAlign w:val="center"/>
          </w:tcPr>
          <w:p w14:paraId="34D1961B" w14:textId="3B0F82A4"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6778520A" w14:textId="1188757A"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0DF0275F" w14:textId="7581D9AB"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22A2CC4B"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4040CB45"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r w:rsidR="003437A1" w:rsidRPr="008565E2" w14:paraId="1B7BACF1" w14:textId="10C2F886" w:rsidTr="005545B3">
        <w:trPr>
          <w:trHeight w:val="261"/>
        </w:trPr>
        <w:tc>
          <w:tcPr>
            <w:tcW w:w="425" w:type="dxa"/>
            <w:shd w:val="clear" w:color="auto" w:fill="auto"/>
            <w:vAlign w:val="center"/>
          </w:tcPr>
          <w:p w14:paraId="4C253E31" w14:textId="77777777" w:rsidR="003437A1" w:rsidRPr="008565E2" w:rsidRDefault="003437A1" w:rsidP="000720C7">
            <w:pPr>
              <w:pStyle w:val="ListeParagraf"/>
              <w:numPr>
                <w:ilvl w:val="0"/>
                <w:numId w:val="4"/>
              </w:numPr>
              <w:spacing w:after="0" w:line="160" w:lineRule="atLeast"/>
              <w:jc w:val="center"/>
              <w:rPr>
                <w:rFonts w:ascii="Times New Roman" w:eastAsia="Malgun Gothic" w:hAnsi="Times New Roman" w:cs="Times New Roman"/>
                <w:b/>
                <w:bCs/>
                <w:color w:val="282828"/>
                <w:sz w:val="18"/>
                <w:szCs w:val="18"/>
              </w:rPr>
            </w:pPr>
          </w:p>
        </w:tc>
        <w:tc>
          <w:tcPr>
            <w:tcW w:w="6521" w:type="dxa"/>
            <w:shd w:val="clear" w:color="auto" w:fill="FFFFFF" w:themeFill="background1"/>
            <w:vAlign w:val="center"/>
          </w:tcPr>
          <w:p w14:paraId="7BF2B2AB" w14:textId="77777777" w:rsidR="003437A1" w:rsidRPr="008565E2" w:rsidRDefault="003437A1" w:rsidP="000720C7">
            <w:pPr>
              <w:spacing w:after="0" w:line="160" w:lineRule="atLeast"/>
              <w:rPr>
                <w:rFonts w:ascii="Times New Roman" w:hAnsi="Times New Roman" w:cs="Times New Roman"/>
                <w:sz w:val="18"/>
                <w:szCs w:val="18"/>
              </w:rPr>
            </w:pPr>
            <w:r w:rsidRPr="008565E2">
              <w:rPr>
                <w:rFonts w:ascii="Times New Roman" w:hAnsi="Times New Roman" w:cs="Times New Roman"/>
                <w:sz w:val="18"/>
                <w:szCs w:val="18"/>
              </w:rPr>
              <w:t xml:space="preserve">Hemşireler, öğrencilere </w:t>
            </w:r>
            <w:proofErr w:type="spellStart"/>
            <w:r w:rsidRPr="008565E2">
              <w:rPr>
                <w:rFonts w:ascii="Times New Roman" w:hAnsi="Times New Roman" w:cs="Times New Roman"/>
                <w:sz w:val="18"/>
                <w:szCs w:val="18"/>
              </w:rPr>
              <w:t>multidisipliner</w:t>
            </w:r>
            <w:proofErr w:type="spellEnd"/>
            <w:r w:rsidRPr="008565E2">
              <w:rPr>
                <w:rFonts w:ascii="Times New Roman" w:hAnsi="Times New Roman" w:cs="Times New Roman"/>
                <w:sz w:val="18"/>
                <w:szCs w:val="18"/>
              </w:rPr>
              <w:t xml:space="preserve"> ekip içinde etkili çalışma becerileri konusunda rehberlik eder.</w:t>
            </w:r>
          </w:p>
        </w:tc>
        <w:tc>
          <w:tcPr>
            <w:tcW w:w="790" w:type="dxa"/>
            <w:shd w:val="clear" w:color="auto" w:fill="auto"/>
            <w:noWrap/>
            <w:vAlign w:val="center"/>
          </w:tcPr>
          <w:p w14:paraId="28BD3F29" w14:textId="045E7B6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F2CD73D" w14:textId="55C86884"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shd w:val="clear" w:color="auto" w:fill="auto"/>
            <w:noWrap/>
            <w:vAlign w:val="center"/>
          </w:tcPr>
          <w:p w14:paraId="764A4D12" w14:textId="5D13A5B1"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1BB72F88"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c>
          <w:tcPr>
            <w:tcW w:w="552" w:type="dxa"/>
          </w:tcPr>
          <w:p w14:paraId="22C4FA15" w14:textId="77777777" w:rsidR="003437A1" w:rsidRPr="008565E2" w:rsidRDefault="003437A1" w:rsidP="000720C7">
            <w:pPr>
              <w:shd w:val="clear" w:color="auto" w:fill="FFFFFF"/>
              <w:spacing w:after="0" w:line="160" w:lineRule="atLeast"/>
              <w:jc w:val="center"/>
              <w:textAlignment w:val="center"/>
              <w:rPr>
                <w:rFonts w:ascii="Times New Roman" w:eastAsia="Gulim" w:hAnsi="Times New Roman" w:cs="Times New Roman"/>
                <w:color w:val="000000"/>
                <w:sz w:val="16"/>
                <w:szCs w:val="18"/>
              </w:rPr>
            </w:pPr>
          </w:p>
        </w:tc>
      </w:tr>
    </w:tbl>
    <w:p w14:paraId="24E259EB" w14:textId="176F208F" w:rsidR="0022054A" w:rsidRPr="008565E2" w:rsidRDefault="003437A1" w:rsidP="0022054A">
      <w:pPr>
        <w:spacing w:line="360" w:lineRule="auto"/>
        <w:rPr>
          <w:rFonts w:ascii="Times New Roman" w:hAnsi="Times New Roman" w:cs="Times New Roman"/>
          <w:sz w:val="20"/>
        </w:rPr>
      </w:pPr>
      <w:r w:rsidRPr="008565E2">
        <w:rPr>
          <w:rFonts w:ascii="Times New Roman" w:hAnsi="Times New Roman" w:cs="Times New Roman"/>
          <w:sz w:val="20"/>
        </w:rPr>
        <w:t>*</w:t>
      </w:r>
      <w:r w:rsidR="0022054A" w:rsidRPr="008565E2">
        <w:rPr>
          <w:rFonts w:ascii="Times New Roman" w:hAnsi="Times New Roman" w:cs="Times New Roman"/>
          <w:sz w:val="20"/>
        </w:rPr>
        <w:t>: Ters madde</w:t>
      </w:r>
    </w:p>
    <w:p w14:paraId="41CBE07C" w14:textId="5520324B" w:rsidR="005F64A3" w:rsidRPr="00D10D3A" w:rsidRDefault="00935193" w:rsidP="00801BB7">
      <w:pPr>
        <w:spacing w:line="276" w:lineRule="auto"/>
        <w:ind w:left="-426" w:right="-284"/>
        <w:jc w:val="both"/>
        <w:rPr>
          <w:rFonts w:ascii="Times New Roman" w:hAnsi="Times New Roman" w:cs="Times New Roman"/>
          <w:sz w:val="20"/>
          <w:szCs w:val="20"/>
        </w:rPr>
      </w:pPr>
      <w:r w:rsidRPr="008565E2">
        <w:rPr>
          <w:rFonts w:ascii="Times New Roman" w:hAnsi="Times New Roman" w:cs="Times New Roman"/>
          <w:sz w:val="20"/>
        </w:rPr>
        <w:t xml:space="preserve">Ölçek 28 madde ve üç alt boyuttan oluşmaktadır. </w:t>
      </w:r>
      <w:r w:rsidR="008565E2" w:rsidRPr="008565E2">
        <w:rPr>
          <w:rFonts w:ascii="Times New Roman" w:hAnsi="Times New Roman" w:cs="Times New Roman"/>
          <w:sz w:val="20"/>
        </w:rPr>
        <w:t xml:space="preserve">Ölçek maddeleri beşli </w:t>
      </w:r>
      <w:proofErr w:type="spellStart"/>
      <w:r w:rsidR="008565E2" w:rsidRPr="008565E2">
        <w:rPr>
          <w:rFonts w:ascii="Times New Roman" w:hAnsi="Times New Roman" w:cs="Times New Roman"/>
          <w:sz w:val="20"/>
        </w:rPr>
        <w:t>likert</w:t>
      </w:r>
      <w:proofErr w:type="spellEnd"/>
      <w:r w:rsidR="008565E2" w:rsidRPr="008565E2">
        <w:rPr>
          <w:rFonts w:ascii="Times New Roman" w:hAnsi="Times New Roman" w:cs="Times New Roman"/>
          <w:sz w:val="20"/>
        </w:rPr>
        <w:t xml:space="preserve"> tipinde hazırlanmış olup 1-5 arası</w:t>
      </w:r>
      <w:r w:rsidR="008565E2" w:rsidRPr="008565E2">
        <w:rPr>
          <w:rFonts w:ascii="Times New Roman" w:hAnsi="Times New Roman" w:cs="Times New Roman"/>
          <w:sz w:val="20"/>
        </w:rPr>
        <w:t xml:space="preserve"> </w:t>
      </w:r>
      <w:r w:rsidR="008565E2" w:rsidRPr="008565E2">
        <w:rPr>
          <w:rFonts w:ascii="Times New Roman" w:hAnsi="Times New Roman" w:cs="Times New Roman"/>
          <w:sz w:val="20"/>
        </w:rPr>
        <w:t>derecelendirilmektedir.</w:t>
      </w:r>
      <w:r w:rsidR="008565E2" w:rsidRPr="008565E2">
        <w:rPr>
          <w:rFonts w:ascii="Times New Roman" w:hAnsi="Times New Roman" w:cs="Times New Roman"/>
          <w:sz w:val="20"/>
        </w:rPr>
        <w:t xml:space="preserve"> Ölçekte yalnızca 1</w:t>
      </w:r>
      <w:r w:rsidRPr="008565E2">
        <w:rPr>
          <w:rFonts w:ascii="Times New Roman" w:hAnsi="Times New Roman" w:cs="Times New Roman"/>
          <w:sz w:val="20"/>
        </w:rPr>
        <w:t xml:space="preserve">8. madde ters kodlanmaktadır. Birinci faktör için minimum puan 15, maksimum puan 75, ikinci faktör için minimum puan 10, maksimum puan 50, üçüncü faktör için minimum puan 3, maksimum puan ise 15'tir. Tüm ölçek maddelerinden alınabilecek minimum puan 28, maksimum puan ise </w:t>
      </w:r>
      <w:r w:rsidRPr="00D10D3A">
        <w:rPr>
          <w:rFonts w:ascii="Times New Roman" w:hAnsi="Times New Roman" w:cs="Times New Roman"/>
          <w:sz w:val="20"/>
          <w:szCs w:val="20"/>
        </w:rPr>
        <w:t>140'tır. Ölçekten alınan toplam puanın artması, hemşirelik öğrencilerinin klinik uygulama sırasında hemşirelere karşı daha olumlu tutumlar sergilediğini göstermektedir.</w:t>
      </w:r>
    </w:p>
    <w:p w14:paraId="65CF0435" w14:textId="39F7BC01" w:rsidR="00935193" w:rsidRPr="00D10D3A" w:rsidRDefault="00D10D3A" w:rsidP="00FF39B1">
      <w:pPr>
        <w:spacing w:after="0" w:line="276" w:lineRule="auto"/>
        <w:ind w:left="-426" w:right="-284"/>
        <w:rPr>
          <w:rFonts w:ascii="Times New Roman" w:hAnsi="Times New Roman" w:cs="Times New Roman"/>
          <w:sz w:val="20"/>
          <w:szCs w:val="20"/>
        </w:rPr>
      </w:pPr>
      <w:r w:rsidRPr="00D10D3A">
        <w:rPr>
          <w:rFonts w:ascii="Times New Roman" w:hAnsi="Times New Roman" w:cs="Times New Roman"/>
          <w:sz w:val="20"/>
          <w:szCs w:val="20"/>
        </w:rPr>
        <w:t>Birinci faktör</w:t>
      </w:r>
      <w:r w:rsidRPr="00D10D3A">
        <w:rPr>
          <w:rFonts w:ascii="Times New Roman" w:hAnsi="Times New Roman" w:cs="Times New Roman"/>
          <w:sz w:val="20"/>
          <w:szCs w:val="20"/>
        </w:rPr>
        <w:t xml:space="preserve"> (</w:t>
      </w:r>
      <w:r w:rsidRPr="00D10D3A">
        <w:rPr>
          <w:rFonts w:ascii="Times New Roman" w:hAnsi="Times New Roman" w:cs="Times New Roman"/>
          <w:sz w:val="20"/>
          <w:szCs w:val="20"/>
        </w:rPr>
        <w:t>İşbirliği ve Anlayış</w:t>
      </w:r>
      <w:r w:rsidRPr="00D10D3A">
        <w:rPr>
          <w:rFonts w:ascii="Times New Roman" w:hAnsi="Times New Roman" w:cs="Times New Roman"/>
          <w:sz w:val="20"/>
          <w:szCs w:val="20"/>
        </w:rPr>
        <w:t xml:space="preserve">): </w:t>
      </w:r>
      <w:r w:rsidR="0068091A">
        <w:rPr>
          <w:rFonts w:ascii="Times New Roman" w:hAnsi="Times New Roman" w:cs="Times New Roman"/>
          <w:sz w:val="20"/>
          <w:szCs w:val="20"/>
        </w:rPr>
        <w:t>1-9,12-16,18</w:t>
      </w:r>
    </w:p>
    <w:p w14:paraId="7822C8F9" w14:textId="6BAD463B" w:rsidR="00D10D3A" w:rsidRPr="00D10D3A" w:rsidRDefault="00D10D3A" w:rsidP="00FF39B1">
      <w:pPr>
        <w:spacing w:after="0" w:line="276" w:lineRule="auto"/>
        <w:ind w:left="-426" w:right="-284"/>
        <w:rPr>
          <w:rFonts w:ascii="Times New Roman" w:hAnsi="Times New Roman" w:cs="Times New Roman"/>
          <w:sz w:val="20"/>
          <w:szCs w:val="20"/>
        </w:rPr>
      </w:pPr>
      <w:r w:rsidRPr="00D10D3A">
        <w:rPr>
          <w:rFonts w:ascii="Times New Roman" w:hAnsi="Times New Roman" w:cs="Times New Roman"/>
          <w:sz w:val="20"/>
          <w:szCs w:val="20"/>
        </w:rPr>
        <w:t>İkinci</w:t>
      </w:r>
      <w:r w:rsidRPr="00D10D3A">
        <w:rPr>
          <w:rFonts w:ascii="Times New Roman" w:hAnsi="Times New Roman" w:cs="Times New Roman"/>
          <w:sz w:val="20"/>
          <w:szCs w:val="20"/>
        </w:rPr>
        <w:t xml:space="preserve"> faktör</w:t>
      </w:r>
      <w:r w:rsidRPr="00D10D3A">
        <w:rPr>
          <w:rFonts w:ascii="Times New Roman" w:hAnsi="Times New Roman" w:cs="Times New Roman"/>
          <w:sz w:val="20"/>
          <w:szCs w:val="20"/>
        </w:rPr>
        <w:t xml:space="preserve"> (</w:t>
      </w:r>
      <w:r w:rsidRPr="00D10D3A">
        <w:rPr>
          <w:rFonts w:ascii="Times New Roman" w:hAnsi="Times New Roman" w:cs="Times New Roman"/>
          <w:sz w:val="20"/>
          <w:szCs w:val="20"/>
        </w:rPr>
        <w:t>İletişim Becerileri ve Rehberlik</w:t>
      </w:r>
      <w:r w:rsidRPr="00D10D3A">
        <w:rPr>
          <w:rFonts w:ascii="Times New Roman" w:hAnsi="Times New Roman" w:cs="Times New Roman"/>
          <w:sz w:val="20"/>
          <w:szCs w:val="20"/>
        </w:rPr>
        <w:t>):</w:t>
      </w:r>
      <w:r w:rsidR="0068091A">
        <w:rPr>
          <w:rFonts w:ascii="Times New Roman" w:hAnsi="Times New Roman" w:cs="Times New Roman"/>
          <w:sz w:val="20"/>
          <w:szCs w:val="20"/>
        </w:rPr>
        <w:t xml:space="preserve"> 19-28</w:t>
      </w:r>
    </w:p>
    <w:p w14:paraId="0196DAD2" w14:textId="2E11AD51" w:rsidR="00D10D3A" w:rsidRPr="00D10D3A" w:rsidRDefault="00D10D3A" w:rsidP="00FF39B1">
      <w:pPr>
        <w:spacing w:line="276" w:lineRule="auto"/>
        <w:ind w:left="-426" w:right="-284"/>
        <w:rPr>
          <w:rFonts w:ascii="Times New Roman" w:hAnsi="Times New Roman" w:cs="Times New Roman"/>
          <w:sz w:val="20"/>
          <w:szCs w:val="20"/>
        </w:rPr>
      </w:pPr>
      <w:r w:rsidRPr="00D10D3A">
        <w:rPr>
          <w:rFonts w:ascii="Times New Roman" w:hAnsi="Times New Roman" w:cs="Times New Roman"/>
          <w:sz w:val="20"/>
          <w:szCs w:val="20"/>
        </w:rPr>
        <w:t>Üçüncü faktör (</w:t>
      </w:r>
      <w:r w:rsidRPr="00D10D3A">
        <w:rPr>
          <w:rFonts w:ascii="Times New Roman" w:hAnsi="Times New Roman" w:cs="Times New Roman"/>
          <w:sz w:val="20"/>
          <w:szCs w:val="20"/>
        </w:rPr>
        <w:t>Mesleki Gelişime Destek</w:t>
      </w:r>
      <w:r w:rsidRPr="00D10D3A">
        <w:rPr>
          <w:rFonts w:ascii="Times New Roman" w:hAnsi="Times New Roman" w:cs="Times New Roman"/>
          <w:sz w:val="20"/>
          <w:szCs w:val="20"/>
        </w:rPr>
        <w:t xml:space="preserve">): </w:t>
      </w:r>
      <w:r w:rsidR="0068091A">
        <w:rPr>
          <w:rFonts w:ascii="Times New Roman" w:hAnsi="Times New Roman" w:cs="Times New Roman"/>
          <w:sz w:val="20"/>
          <w:szCs w:val="20"/>
        </w:rPr>
        <w:t>10,11,17</w:t>
      </w:r>
    </w:p>
    <w:p w14:paraId="15942244" w14:textId="42801F1C" w:rsidR="00107500" w:rsidRPr="008565E2" w:rsidRDefault="00107500" w:rsidP="00971963">
      <w:pPr>
        <w:spacing w:line="276" w:lineRule="auto"/>
        <w:ind w:left="-426" w:right="-284"/>
        <w:jc w:val="both"/>
        <w:rPr>
          <w:rFonts w:ascii="Times New Roman" w:hAnsi="Times New Roman" w:cs="Times New Roman"/>
          <w:sz w:val="20"/>
        </w:rPr>
      </w:pPr>
      <w:r w:rsidRPr="00107500">
        <w:rPr>
          <w:rFonts w:ascii="Times New Roman" w:hAnsi="Times New Roman" w:cs="Times New Roman"/>
          <w:b/>
          <w:sz w:val="20"/>
          <w:u w:val="single"/>
        </w:rPr>
        <w:t>ATIF</w:t>
      </w:r>
      <w:r>
        <w:rPr>
          <w:rFonts w:ascii="Times New Roman" w:hAnsi="Times New Roman" w:cs="Times New Roman"/>
          <w:sz w:val="20"/>
        </w:rPr>
        <w:t xml:space="preserve">: </w:t>
      </w:r>
      <w:r w:rsidRPr="00FF39B1">
        <w:rPr>
          <w:rFonts w:ascii="Times New Roman" w:hAnsi="Times New Roman" w:cs="Times New Roman"/>
          <w:sz w:val="20"/>
          <w:lang w:val="en-US"/>
        </w:rPr>
        <w:t>Kaplan, A</w:t>
      </w:r>
      <w:proofErr w:type="gramStart"/>
      <w:r w:rsidRPr="00FF39B1">
        <w:rPr>
          <w:rFonts w:ascii="Times New Roman" w:hAnsi="Times New Roman" w:cs="Times New Roman"/>
          <w:sz w:val="20"/>
          <w:lang w:val="en-US"/>
        </w:rPr>
        <w:t>.,</w:t>
      </w:r>
      <w:proofErr w:type="gramEnd"/>
      <w:r w:rsidRPr="00FF39B1">
        <w:rPr>
          <w:rFonts w:ascii="Times New Roman" w:hAnsi="Times New Roman" w:cs="Times New Roman"/>
          <w:sz w:val="20"/>
          <w:lang w:val="en-US"/>
        </w:rPr>
        <w:t xml:space="preserve"> Kaplan, O., </w:t>
      </w:r>
      <w:proofErr w:type="spellStart"/>
      <w:r w:rsidRPr="00FF39B1">
        <w:rPr>
          <w:rFonts w:ascii="Times New Roman" w:hAnsi="Times New Roman" w:cs="Times New Roman"/>
          <w:sz w:val="20"/>
          <w:lang w:val="en-US"/>
        </w:rPr>
        <w:t>Ozdemır</w:t>
      </w:r>
      <w:proofErr w:type="spellEnd"/>
      <w:r w:rsidRPr="00FF39B1">
        <w:rPr>
          <w:rFonts w:ascii="Times New Roman" w:hAnsi="Times New Roman" w:cs="Times New Roman"/>
          <w:sz w:val="20"/>
          <w:lang w:val="en-US"/>
        </w:rPr>
        <w:t>, C.,</w:t>
      </w:r>
      <w:r w:rsidR="00E8482F" w:rsidRPr="00FF39B1">
        <w:rPr>
          <w:rFonts w:ascii="Times New Roman" w:hAnsi="Times New Roman" w:cs="Times New Roman"/>
          <w:sz w:val="20"/>
          <w:lang w:val="en-US"/>
        </w:rPr>
        <w:t xml:space="preserve"> &amp; Emir, B. </w:t>
      </w:r>
      <w:r w:rsidRPr="00FF39B1">
        <w:rPr>
          <w:rFonts w:ascii="Times New Roman" w:hAnsi="Times New Roman" w:cs="Times New Roman"/>
          <w:sz w:val="20"/>
          <w:lang w:val="en-US"/>
        </w:rPr>
        <w:t xml:space="preserve">Developing an instrument to measure nursing students’ attitudes towards nurses during clinical practice: A quantitative study. </w:t>
      </w:r>
      <w:r w:rsidRPr="00FF39B1">
        <w:rPr>
          <w:rFonts w:ascii="Times New Roman" w:hAnsi="Times New Roman" w:cs="Times New Roman"/>
          <w:i/>
          <w:sz w:val="20"/>
          <w:lang w:val="en-US"/>
        </w:rPr>
        <w:t>Nurse Education in Practice</w:t>
      </w:r>
      <w:r w:rsidRPr="00FF39B1">
        <w:rPr>
          <w:rFonts w:ascii="Times New Roman" w:hAnsi="Times New Roman" w:cs="Times New Roman"/>
          <w:sz w:val="20"/>
          <w:lang w:val="en-US"/>
        </w:rPr>
        <w:t xml:space="preserve">, </w:t>
      </w:r>
      <w:r w:rsidR="00E8482F" w:rsidRPr="00FF39B1">
        <w:rPr>
          <w:rFonts w:ascii="Times New Roman" w:hAnsi="Times New Roman" w:cs="Times New Roman"/>
          <w:sz w:val="20"/>
          <w:lang w:val="en-US"/>
        </w:rPr>
        <w:t>2024</w:t>
      </w:r>
      <w:r w:rsidR="00E8482F" w:rsidRPr="00FF39B1">
        <w:rPr>
          <w:rFonts w:ascii="Times New Roman" w:hAnsi="Times New Roman" w:cs="Times New Roman"/>
          <w:sz w:val="20"/>
          <w:lang w:val="en-US"/>
        </w:rPr>
        <w:t xml:space="preserve">; </w:t>
      </w:r>
      <w:r w:rsidRPr="00FF39B1">
        <w:rPr>
          <w:rFonts w:ascii="Times New Roman" w:hAnsi="Times New Roman" w:cs="Times New Roman"/>
          <w:sz w:val="20"/>
          <w:lang w:val="en-US"/>
        </w:rPr>
        <w:t>104127.</w:t>
      </w:r>
      <w:r w:rsidR="00E8482F" w:rsidRPr="00FF39B1">
        <w:rPr>
          <w:rFonts w:ascii="Times New Roman" w:hAnsi="Times New Roman" w:cs="Times New Roman"/>
          <w:sz w:val="20"/>
          <w:lang w:val="en-US"/>
        </w:rPr>
        <w:t xml:space="preserve"> https://doi.org/10.1016/j.nepr.2024.104127</w:t>
      </w:r>
    </w:p>
    <w:sectPr w:rsidR="00107500" w:rsidRPr="008565E2" w:rsidSect="00785E60">
      <w:pgSz w:w="11906" w:h="16838"/>
      <w:pgMar w:top="851" w:right="141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2F6"/>
    <w:multiLevelType w:val="hybridMultilevel"/>
    <w:tmpl w:val="00286D0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86508BE"/>
    <w:multiLevelType w:val="multilevel"/>
    <w:tmpl w:val="6B24DFC6"/>
    <w:lvl w:ilvl="0">
      <w:start w:val="1"/>
      <w:numFmt w:val="decimal"/>
      <w:lvlText w:val="%1."/>
      <w:lvlJc w:val="left"/>
      <w:pPr>
        <w:ind w:left="360" w:hanging="360"/>
      </w:pPr>
      <w:rPr>
        <w:b/>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CFE436C"/>
    <w:multiLevelType w:val="multilevel"/>
    <w:tmpl w:val="BBBA81A6"/>
    <w:lvl w:ilvl="0">
      <w:start w:val="1"/>
      <w:numFmt w:val="decimal"/>
      <w:lvlText w:val="%1."/>
      <w:lvlJc w:val="left"/>
      <w:pPr>
        <w:ind w:left="360" w:hanging="360"/>
      </w:pPr>
      <w:rPr>
        <w:b/>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35172C"/>
    <w:multiLevelType w:val="hybridMultilevel"/>
    <w:tmpl w:val="6F988410"/>
    <w:lvl w:ilvl="0" w:tplc="B6A0C65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ED1249"/>
    <w:multiLevelType w:val="multilevel"/>
    <w:tmpl w:val="69B245EE"/>
    <w:lvl w:ilvl="0">
      <w:start w:val="1"/>
      <w:numFmt w:val="lowerLetter"/>
      <w:lvlText w:val="%1."/>
      <w:lvlJc w:val="left"/>
      <w:pPr>
        <w:ind w:left="720" w:hanging="360"/>
      </w:pPr>
      <w:rPr>
        <w:b w:val="0"/>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FC"/>
    <w:rsid w:val="00002501"/>
    <w:rsid w:val="000115F0"/>
    <w:rsid w:val="00025915"/>
    <w:rsid w:val="00030988"/>
    <w:rsid w:val="000348FE"/>
    <w:rsid w:val="0006046C"/>
    <w:rsid w:val="00062919"/>
    <w:rsid w:val="00076E20"/>
    <w:rsid w:val="00080F09"/>
    <w:rsid w:val="00090AEF"/>
    <w:rsid w:val="000936F3"/>
    <w:rsid w:val="000A0C79"/>
    <w:rsid w:val="000B2B66"/>
    <w:rsid w:val="000B59AA"/>
    <w:rsid w:val="000B7CA3"/>
    <w:rsid w:val="000D214E"/>
    <w:rsid w:val="000D5E1A"/>
    <w:rsid w:val="000D723C"/>
    <w:rsid w:val="000D727F"/>
    <w:rsid w:val="000F1CA1"/>
    <w:rsid w:val="000F444F"/>
    <w:rsid w:val="00107500"/>
    <w:rsid w:val="0012304D"/>
    <w:rsid w:val="00142656"/>
    <w:rsid w:val="00151AC2"/>
    <w:rsid w:val="00180574"/>
    <w:rsid w:val="001811E2"/>
    <w:rsid w:val="00185725"/>
    <w:rsid w:val="0019533F"/>
    <w:rsid w:val="00195365"/>
    <w:rsid w:val="001B1157"/>
    <w:rsid w:val="001B7361"/>
    <w:rsid w:val="001D34FA"/>
    <w:rsid w:val="001E1D06"/>
    <w:rsid w:val="001F7664"/>
    <w:rsid w:val="0020353F"/>
    <w:rsid w:val="00203FDE"/>
    <w:rsid w:val="0021112B"/>
    <w:rsid w:val="00220011"/>
    <w:rsid w:val="0022054A"/>
    <w:rsid w:val="0023457A"/>
    <w:rsid w:val="002374CA"/>
    <w:rsid w:val="00266FB7"/>
    <w:rsid w:val="00287A42"/>
    <w:rsid w:val="00293314"/>
    <w:rsid w:val="0029438D"/>
    <w:rsid w:val="002A3B56"/>
    <w:rsid w:val="002C4AFE"/>
    <w:rsid w:val="002D3770"/>
    <w:rsid w:val="002E263B"/>
    <w:rsid w:val="002E5F9A"/>
    <w:rsid w:val="002E73A4"/>
    <w:rsid w:val="002F2B3C"/>
    <w:rsid w:val="00300C44"/>
    <w:rsid w:val="00303E52"/>
    <w:rsid w:val="00314EB5"/>
    <w:rsid w:val="00322F3A"/>
    <w:rsid w:val="003327AD"/>
    <w:rsid w:val="003437A1"/>
    <w:rsid w:val="00346723"/>
    <w:rsid w:val="0035023A"/>
    <w:rsid w:val="00354158"/>
    <w:rsid w:val="00355D99"/>
    <w:rsid w:val="00360C71"/>
    <w:rsid w:val="003750D7"/>
    <w:rsid w:val="00393A6A"/>
    <w:rsid w:val="003B103D"/>
    <w:rsid w:val="003B78AF"/>
    <w:rsid w:val="003D3841"/>
    <w:rsid w:val="003E5A62"/>
    <w:rsid w:val="003F200A"/>
    <w:rsid w:val="00416AC7"/>
    <w:rsid w:val="0043739B"/>
    <w:rsid w:val="004411F8"/>
    <w:rsid w:val="00446668"/>
    <w:rsid w:val="00451540"/>
    <w:rsid w:val="00456C95"/>
    <w:rsid w:val="0046177E"/>
    <w:rsid w:val="004872C2"/>
    <w:rsid w:val="0049094D"/>
    <w:rsid w:val="004A20DE"/>
    <w:rsid w:val="004B7CED"/>
    <w:rsid w:val="004C7200"/>
    <w:rsid w:val="004D5B3D"/>
    <w:rsid w:val="004E297D"/>
    <w:rsid w:val="004E353A"/>
    <w:rsid w:val="004E78A1"/>
    <w:rsid w:val="004F7B98"/>
    <w:rsid w:val="00502A47"/>
    <w:rsid w:val="005251C0"/>
    <w:rsid w:val="005276F8"/>
    <w:rsid w:val="00537326"/>
    <w:rsid w:val="00544A9C"/>
    <w:rsid w:val="00544F5E"/>
    <w:rsid w:val="005479BA"/>
    <w:rsid w:val="005545B3"/>
    <w:rsid w:val="00563DF4"/>
    <w:rsid w:val="005654FB"/>
    <w:rsid w:val="00571239"/>
    <w:rsid w:val="00573C7A"/>
    <w:rsid w:val="005775E3"/>
    <w:rsid w:val="00581433"/>
    <w:rsid w:val="00590170"/>
    <w:rsid w:val="005972ED"/>
    <w:rsid w:val="005B5AD2"/>
    <w:rsid w:val="005C62FB"/>
    <w:rsid w:val="005C6A71"/>
    <w:rsid w:val="005F1B58"/>
    <w:rsid w:val="005F64A3"/>
    <w:rsid w:val="00611DF0"/>
    <w:rsid w:val="00615A4B"/>
    <w:rsid w:val="0063648A"/>
    <w:rsid w:val="00644AE4"/>
    <w:rsid w:val="00647601"/>
    <w:rsid w:val="0066351D"/>
    <w:rsid w:val="0068091A"/>
    <w:rsid w:val="006950B9"/>
    <w:rsid w:val="006A5CEA"/>
    <w:rsid w:val="006A5E5F"/>
    <w:rsid w:val="006C4D0D"/>
    <w:rsid w:val="006C5E1D"/>
    <w:rsid w:val="006F3318"/>
    <w:rsid w:val="006F337F"/>
    <w:rsid w:val="00714268"/>
    <w:rsid w:val="00717D6C"/>
    <w:rsid w:val="007504C6"/>
    <w:rsid w:val="007514D4"/>
    <w:rsid w:val="00770330"/>
    <w:rsid w:val="00777B3F"/>
    <w:rsid w:val="00785E60"/>
    <w:rsid w:val="00791369"/>
    <w:rsid w:val="007950ED"/>
    <w:rsid w:val="007C3E67"/>
    <w:rsid w:val="007C6C0F"/>
    <w:rsid w:val="007C78CC"/>
    <w:rsid w:val="007E2576"/>
    <w:rsid w:val="007E3132"/>
    <w:rsid w:val="007E4ADB"/>
    <w:rsid w:val="007E7B2C"/>
    <w:rsid w:val="007F5B50"/>
    <w:rsid w:val="007F62FC"/>
    <w:rsid w:val="007F7B4C"/>
    <w:rsid w:val="00801BB7"/>
    <w:rsid w:val="0080702F"/>
    <w:rsid w:val="00807609"/>
    <w:rsid w:val="0081085F"/>
    <w:rsid w:val="0082050C"/>
    <w:rsid w:val="00826A11"/>
    <w:rsid w:val="00833E47"/>
    <w:rsid w:val="00850D6B"/>
    <w:rsid w:val="008565E2"/>
    <w:rsid w:val="00884303"/>
    <w:rsid w:val="00887619"/>
    <w:rsid w:val="00895495"/>
    <w:rsid w:val="00897B39"/>
    <w:rsid w:val="008D30B9"/>
    <w:rsid w:val="008D5FEC"/>
    <w:rsid w:val="008F1649"/>
    <w:rsid w:val="0091462B"/>
    <w:rsid w:val="00914F88"/>
    <w:rsid w:val="00935193"/>
    <w:rsid w:val="00936FD0"/>
    <w:rsid w:val="00956B42"/>
    <w:rsid w:val="009657F9"/>
    <w:rsid w:val="009716E2"/>
    <w:rsid w:val="00971963"/>
    <w:rsid w:val="00972CF2"/>
    <w:rsid w:val="00984B36"/>
    <w:rsid w:val="009B635A"/>
    <w:rsid w:val="009B764E"/>
    <w:rsid w:val="009F42C5"/>
    <w:rsid w:val="00A109FC"/>
    <w:rsid w:val="00A12968"/>
    <w:rsid w:val="00A14ECB"/>
    <w:rsid w:val="00A20BCC"/>
    <w:rsid w:val="00A21891"/>
    <w:rsid w:val="00A21AED"/>
    <w:rsid w:val="00A24A07"/>
    <w:rsid w:val="00A34A23"/>
    <w:rsid w:val="00A5062C"/>
    <w:rsid w:val="00A877B1"/>
    <w:rsid w:val="00A93F89"/>
    <w:rsid w:val="00A95555"/>
    <w:rsid w:val="00A959D9"/>
    <w:rsid w:val="00AE77EE"/>
    <w:rsid w:val="00B01F00"/>
    <w:rsid w:val="00B1622F"/>
    <w:rsid w:val="00B2513F"/>
    <w:rsid w:val="00B33E8F"/>
    <w:rsid w:val="00B42AD4"/>
    <w:rsid w:val="00B60D1E"/>
    <w:rsid w:val="00B93F8F"/>
    <w:rsid w:val="00BC39AF"/>
    <w:rsid w:val="00C12E11"/>
    <w:rsid w:val="00C15BDD"/>
    <w:rsid w:val="00C323F7"/>
    <w:rsid w:val="00C42AD3"/>
    <w:rsid w:val="00C4548A"/>
    <w:rsid w:val="00C45AE1"/>
    <w:rsid w:val="00C47C75"/>
    <w:rsid w:val="00C50E2A"/>
    <w:rsid w:val="00C627C8"/>
    <w:rsid w:val="00C63252"/>
    <w:rsid w:val="00C714FC"/>
    <w:rsid w:val="00C73265"/>
    <w:rsid w:val="00C77F45"/>
    <w:rsid w:val="00C86D28"/>
    <w:rsid w:val="00C90040"/>
    <w:rsid w:val="00CC462B"/>
    <w:rsid w:val="00CD32BF"/>
    <w:rsid w:val="00CD5E6C"/>
    <w:rsid w:val="00CE04BB"/>
    <w:rsid w:val="00CF527F"/>
    <w:rsid w:val="00CF6AD5"/>
    <w:rsid w:val="00D04BE3"/>
    <w:rsid w:val="00D10D3A"/>
    <w:rsid w:val="00D12668"/>
    <w:rsid w:val="00D15312"/>
    <w:rsid w:val="00D314CC"/>
    <w:rsid w:val="00D32445"/>
    <w:rsid w:val="00D34CE9"/>
    <w:rsid w:val="00DA0491"/>
    <w:rsid w:val="00DA2512"/>
    <w:rsid w:val="00DA4E4E"/>
    <w:rsid w:val="00DA520E"/>
    <w:rsid w:val="00DF716C"/>
    <w:rsid w:val="00E10442"/>
    <w:rsid w:val="00E1065C"/>
    <w:rsid w:val="00E2712A"/>
    <w:rsid w:val="00E3161E"/>
    <w:rsid w:val="00E468AE"/>
    <w:rsid w:val="00E5600B"/>
    <w:rsid w:val="00E734C6"/>
    <w:rsid w:val="00E8482F"/>
    <w:rsid w:val="00EA5AAB"/>
    <w:rsid w:val="00EC0BC8"/>
    <w:rsid w:val="00EC1FD1"/>
    <w:rsid w:val="00EC61EE"/>
    <w:rsid w:val="00EC7349"/>
    <w:rsid w:val="00ED6ABB"/>
    <w:rsid w:val="00EE6E95"/>
    <w:rsid w:val="00EF3655"/>
    <w:rsid w:val="00F200C0"/>
    <w:rsid w:val="00F21EB4"/>
    <w:rsid w:val="00F34ABD"/>
    <w:rsid w:val="00F4260F"/>
    <w:rsid w:val="00F43EE7"/>
    <w:rsid w:val="00F44872"/>
    <w:rsid w:val="00F542B4"/>
    <w:rsid w:val="00F646DD"/>
    <w:rsid w:val="00F8585C"/>
    <w:rsid w:val="00F90C1B"/>
    <w:rsid w:val="00FA14A3"/>
    <w:rsid w:val="00FA39BC"/>
    <w:rsid w:val="00FC0474"/>
    <w:rsid w:val="00FC3EAB"/>
    <w:rsid w:val="00FD151A"/>
    <w:rsid w:val="00FE1DCB"/>
    <w:rsid w:val="00FF3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4B6C"/>
  <w15:chartTrackingRefBased/>
  <w15:docId w15:val="{F1893B21-9194-4C42-A003-41EA6D9D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1CA1"/>
    <w:pPr>
      <w:ind w:left="720"/>
      <w:contextualSpacing/>
    </w:pPr>
  </w:style>
  <w:style w:type="table" w:styleId="TabloKlavuzu">
    <w:name w:val="Table Grid"/>
    <w:basedOn w:val="NormalTablo"/>
    <w:uiPriority w:val="39"/>
    <w:rsid w:val="000F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5C6A71"/>
    <w:pPr>
      <w:spacing w:after="0" w:line="240" w:lineRule="auto"/>
    </w:pPr>
  </w:style>
  <w:style w:type="paragraph" w:styleId="BalonMetni">
    <w:name w:val="Balloon Text"/>
    <w:basedOn w:val="Normal"/>
    <w:link w:val="BalonMetniChar"/>
    <w:uiPriority w:val="99"/>
    <w:semiHidden/>
    <w:unhideWhenUsed/>
    <w:rsid w:val="008D5F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557</Words>
  <Characters>3179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Hamiyet KIZIL</dc:creator>
  <cp:keywords/>
  <dc:description/>
  <cp:lastModifiedBy>casper</cp:lastModifiedBy>
  <cp:revision>23</cp:revision>
  <dcterms:created xsi:type="dcterms:W3CDTF">2024-04-22T14:11:00Z</dcterms:created>
  <dcterms:modified xsi:type="dcterms:W3CDTF">2024-09-14T13:57:00Z</dcterms:modified>
</cp:coreProperties>
</file>