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tblpY="1200"/>
        <w:tblW w:w="9693" w:type="dxa"/>
        <w:tblBorders>
          <w:left w:val="none" w:sz="0" w:space="0" w:color="auto"/>
          <w:right w:val="none" w:sz="0" w:space="0" w:color="auto"/>
          <w:insideV w:val="none" w:sz="0" w:space="0" w:color="auto"/>
        </w:tblBorders>
        <w:tblLook w:val="04A0" w:firstRow="1" w:lastRow="0" w:firstColumn="1" w:lastColumn="0" w:noHBand="0" w:noVBand="1"/>
      </w:tblPr>
      <w:tblGrid>
        <w:gridCol w:w="466"/>
        <w:gridCol w:w="6321"/>
        <w:gridCol w:w="701"/>
        <w:gridCol w:w="562"/>
        <w:gridCol w:w="459"/>
        <w:gridCol w:w="459"/>
        <w:gridCol w:w="725"/>
      </w:tblGrid>
      <w:tr w:rsidR="00A6318C" w:rsidRPr="001F61AD" w14:paraId="77750D50" w14:textId="77777777" w:rsidTr="001F61AD">
        <w:trPr>
          <w:cantSplit/>
          <w:trHeight w:val="1559"/>
        </w:trPr>
        <w:tc>
          <w:tcPr>
            <w:tcW w:w="466" w:type="dxa"/>
          </w:tcPr>
          <w:p w14:paraId="0710F0CB" w14:textId="77777777"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bookmarkStart w:id="0" w:name="_GoBack"/>
            <w:bookmarkEnd w:id="0"/>
          </w:p>
        </w:tc>
        <w:tc>
          <w:tcPr>
            <w:tcW w:w="6321" w:type="dxa"/>
          </w:tcPr>
          <w:p w14:paraId="5D8C882D" w14:textId="7CBDCA10" w:rsidR="00A6318C" w:rsidRPr="001F61AD" w:rsidRDefault="00A6318C" w:rsidP="001F61AD">
            <w:pPr>
              <w:shd w:val="clear" w:color="auto" w:fill="FFFFFF" w:themeFill="background1"/>
              <w:spacing w:after="0" w:line="240" w:lineRule="auto"/>
              <w:rPr>
                <w:rFonts w:ascii="Times New Roman" w:hAnsi="Times New Roman" w:cs="Times New Roman"/>
                <w:sz w:val="20"/>
                <w:szCs w:val="20"/>
                <w:lang w:val="tr-TR"/>
              </w:rPr>
            </w:pPr>
          </w:p>
        </w:tc>
        <w:tc>
          <w:tcPr>
            <w:tcW w:w="701" w:type="dxa"/>
            <w:textDirection w:val="btLr"/>
          </w:tcPr>
          <w:p w14:paraId="73510714" w14:textId="70966E3B" w:rsidR="00A6318C" w:rsidRPr="001F61AD" w:rsidRDefault="00A6318C" w:rsidP="001F61AD">
            <w:pPr>
              <w:shd w:val="clear" w:color="auto" w:fill="FFFFFF" w:themeFill="background1"/>
              <w:spacing w:after="0" w:line="240" w:lineRule="auto"/>
              <w:ind w:left="113" w:right="113"/>
              <w:jc w:val="center"/>
              <w:rPr>
                <w:rFonts w:ascii="Times New Roman" w:hAnsi="Times New Roman" w:cs="Times New Roman"/>
                <w:b/>
                <w:sz w:val="20"/>
                <w:szCs w:val="20"/>
              </w:rPr>
            </w:pPr>
            <w:r w:rsidRPr="001F61AD">
              <w:rPr>
                <w:rFonts w:ascii="Times New Roman" w:hAnsi="Times New Roman" w:cs="Times New Roman"/>
                <w:b/>
                <w:sz w:val="20"/>
                <w:szCs w:val="20"/>
              </w:rPr>
              <w:t>Kesinlikle Katılmıyorum</w:t>
            </w:r>
          </w:p>
        </w:tc>
        <w:tc>
          <w:tcPr>
            <w:tcW w:w="562" w:type="dxa"/>
            <w:textDirection w:val="btLr"/>
          </w:tcPr>
          <w:p w14:paraId="06897737" w14:textId="1FD2244A" w:rsidR="00A6318C" w:rsidRPr="001F61AD" w:rsidRDefault="00A6318C" w:rsidP="001F61AD">
            <w:pPr>
              <w:shd w:val="clear" w:color="auto" w:fill="FFFFFF" w:themeFill="background1"/>
              <w:spacing w:after="0" w:line="240" w:lineRule="auto"/>
              <w:ind w:left="113" w:right="113"/>
              <w:jc w:val="center"/>
              <w:rPr>
                <w:rFonts w:ascii="Times New Roman" w:hAnsi="Times New Roman" w:cs="Times New Roman"/>
                <w:b/>
                <w:sz w:val="20"/>
                <w:szCs w:val="20"/>
              </w:rPr>
            </w:pPr>
            <w:r w:rsidRPr="001F61AD">
              <w:rPr>
                <w:rFonts w:ascii="Times New Roman" w:hAnsi="Times New Roman" w:cs="Times New Roman"/>
                <w:b/>
                <w:sz w:val="20"/>
                <w:szCs w:val="20"/>
              </w:rPr>
              <w:t>Katılmıyorum</w:t>
            </w:r>
          </w:p>
        </w:tc>
        <w:tc>
          <w:tcPr>
            <w:tcW w:w="459" w:type="dxa"/>
            <w:textDirection w:val="btLr"/>
          </w:tcPr>
          <w:p w14:paraId="62AF30A7" w14:textId="5BC6F224" w:rsidR="00A6318C" w:rsidRPr="001F61AD" w:rsidRDefault="00A6318C" w:rsidP="001F61AD">
            <w:pPr>
              <w:shd w:val="clear" w:color="auto" w:fill="FFFFFF" w:themeFill="background1"/>
              <w:spacing w:after="0" w:line="240" w:lineRule="auto"/>
              <w:ind w:left="113" w:right="113"/>
              <w:jc w:val="center"/>
              <w:rPr>
                <w:rFonts w:ascii="Times New Roman" w:hAnsi="Times New Roman" w:cs="Times New Roman"/>
                <w:b/>
                <w:sz w:val="20"/>
                <w:szCs w:val="20"/>
              </w:rPr>
            </w:pPr>
            <w:r w:rsidRPr="001F61AD">
              <w:rPr>
                <w:rFonts w:ascii="Times New Roman" w:hAnsi="Times New Roman" w:cs="Times New Roman"/>
                <w:b/>
                <w:sz w:val="20"/>
                <w:szCs w:val="20"/>
              </w:rPr>
              <w:t>Kararsızım</w:t>
            </w:r>
          </w:p>
        </w:tc>
        <w:tc>
          <w:tcPr>
            <w:tcW w:w="459" w:type="dxa"/>
            <w:textDirection w:val="btLr"/>
          </w:tcPr>
          <w:p w14:paraId="75EA4EEE" w14:textId="3A877D32" w:rsidR="00A6318C" w:rsidRPr="001F61AD" w:rsidRDefault="00A6318C" w:rsidP="001F61AD">
            <w:pPr>
              <w:shd w:val="clear" w:color="auto" w:fill="FFFFFF" w:themeFill="background1"/>
              <w:spacing w:after="0" w:line="240" w:lineRule="auto"/>
              <w:ind w:left="113" w:right="113"/>
              <w:jc w:val="center"/>
              <w:rPr>
                <w:rFonts w:ascii="Times New Roman" w:hAnsi="Times New Roman" w:cs="Times New Roman"/>
                <w:b/>
                <w:sz w:val="20"/>
                <w:szCs w:val="20"/>
              </w:rPr>
            </w:pPr>
            <w:r w:rsidRPr="001F61AD">
              <w:rPr>
                <w:rFonts w:ascii="Times New Roman" w:hAnsi="Times New Roman" w:cs="Times New Roman"/>
                <w:b/>
                <w:sz w:val="20"/>
                <w:szCs w:val="20"/>
              </w:rPr>
              <w:t>Katılyorum</w:t>
            </w:r>
          </w:p>
        </w:tc>
        <w:tc>
          <w:tcPr>
            <w:tcW w:w="725" w:type="dxa"/>
            <w:textDirection w:val="btLr"/>
          </w:tcPr>
          <w:p w14:paraId="38E2FF9D" w14:textId="0262B54E" w:rsidR="00A6318C" w:rsidRPr="001F61AD" w:rsidRDefault="00A6318C" w:rsidP="001F61AD">
            <w:pPr>
              <w:shd w:val="clear" w:color="auto" w:fill="FFFFFF" w:themeFill="background1"/>
              <w:spacing w:after="0" w:line="240" w:lineRule="auto"/>
              <w:ind w:left="113" w:right="113"/>
              <w:jc w:val="center"/>
              <w:rPr>
                <w:rFonts w:ascii="Times New Roman" w:hAnsi="Times New Roman" w:cs="Times New Roman"/>
                <w:b/>
                <w:sz w:val="20"/>
                <w:szCs w:val="20"/>
              </w:rPr>
            </w:pPr>
            <w:r w:rsidRPr="001F61AD">
              <w:rPr>
                <w:rFonts w:ascii="Times New Roman" w:hAnsi="Times New Roman" w:cs="Times New Roman"/>
                <w:b/>
                <w:sz w:val="20"/>
                <w:szCs w:val="20"/>
              </w:rPr>
              <w:t>Kesinlikle Katılıyorum</w:t>
            </w:r>
          </w:p>
        </w:tc>
      </w:tr>
      <w:tr w:rsidR="00A6318C" w:rsidRPr="001F61AD" w14:paraId="0472BB19" w14:textId="77777777" w:rsidTr="001F61AD">
        <w:trPr>
          <w:trHeight w:val="297"/>
        </w:trPr>
        <w:tc>
          <w:tcPr>
            <w:tcW w:w="466" w:type="dxa"/>
          </w:tcPr>
          <w:p w14:paraId="002634BE" w14:textId="77777777"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
        </w:tc>
        <w:tc>
          <w:tcPr>
            <w:tcW w:w="6321" w:type="dxa"/>
          </w:tcPr>
          <w:p w14:paraId="608CA9C0" w14:textId="52C1F388" w:rsidR="00A6318C" w:rsidRPr="001F61AD" w:rsidRDefault="00A6318C" w:rsidP="001F61AD">
            <w:pPr>
              <w:shd w:val="clear" w:color="auto" w:fill="FFFFFF" w:themeFill="background1"/>
              <w:spacing w:after="0" w:line="240" w:lineRule="auto"/>
              <w:rPr>
                <w:rFonts w:ascii="Times New Roman" w:hAnsi="Times New Roman" w:cs="Times New Roman"/>
                <w:b/>
                <w:i/>
                <w:sz w:val="20"/>
                <w:szCs w:val="20"/>
                <w:lang w:val="tr-TR"/>
              </w:rPr>
            </w:pPr>
            <w:r w:rsidRPr="001F61AD">
              <w:rPr>
                <w:rFonts w:ascii="Times New Roman" w:hAnsi="Times New Roman" w:cs="Times New Roman"/>
                <w:b/>
                <w:i/>
                <w:sz w:val="20"/>
                <w:szCs w:val="20"/>
                <w:lang w:val="tr-TR"/>
              </w:rPr>
              <w:t>Eğitim Alt Boyutu</w:t>
            </w:r>
          </w:p>
        </w:tc>
        <w:tc>
          <w:tcPr>
            <w:tcW w:w="701" w:type="dxa"/>
            <w:vAlign w:val="center"/>
          </w:tcPr>
          <w:p w14:paraId="0F5915F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67ACC88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6A959910"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81DF998"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00FCFC96" w14:textId="1C49BF1D"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3F8515DB" w14:textId="77777777" w:rsidTr="001F61AD">
        <w:trPr>
          <w:trHeight w:val="297"/>
        </w:trPr>
        <w:tc>
          <w:tcPr>
            <w:tcW w:w="466" w:type="dxa"/>
            <w:vAlign w:val="center"/>
          </w:tcPr>
          <w:p w14:paraId="3330D97C" w14:textId="43301C75"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w:t>
            </w:r>
          </w:p>
        </w:tc>
        <w:tc>
          <w:tcPr>
            <w:tcW w:w="6321" w:type="dxa"/>
          </w:tcPr>
          <w:p w14:paraId="40804ED4" w14:textId="08542953" w:rsidR="00A6318C" w:rsidRPr="001F61AD" w:rsidRDefault="00A6318C" w:rsidP="001F61AD">
            <w:pPr>
              <w:shd w:val="clear" w:color="auto" w:fill="FFFFFF" w:themeFill="background1"/>
              <w:spacing w:after="0" w:line="240" w:lineRule="auto"/>
              <w:rPr>
                <w:rFonts w:ascii="Times New Roman" w:hAnsi="Times New Roman" w:cs="Times New Roman"/>
                <w:sz w:val="20"/>
                <w:szCs w:val="20"/>
                <w:lang w:val="tr-TR"/>
              </w:rPr>
            </w:pPr>
            <w:r w:rsidRPr="001F61AD">
              <w:rPr>
                <w:rFonts w:ascii="Times New Roman" w:hAnsi="Times New Roman" w:cs="Times New Roman"/>
                <w:sz w:val="20"/>
                <w:szCs w:val="20"/>
              </w:rPr>
              <w:t>Metaverse uygulamaları sanal, artırılmış ve karma gerçeklik uygulamalarıyla öğrenmeyi kolaylaştırır.</w:t>
            </w:r>
          </w:p>
        </w:tc>
        <w:tc>
          <w:tcPr>
            <w:tcW w:w="701" w:type="dxa"/>
            <w:vAlign w:val="center"/>
          </w:tcPr>
          <w:p w14:paraId="155CE87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84E5EA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61928642"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4D357E6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183EE287" w14:textId="5435845D"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6481FEFF" w14:textId="77777777" w:rsidTr="001F61AD">
        <w:trPr>
          <w:trHeight w:val="297"/>
        </w:trPr>
        <w:tc>
          <w:tcPr>
            <w:tcW w:w="466" w:type="dxa"/>
            <w:vAlign w:val="center"/>
          </w:tcPr>
          <w:p w14:paraId="490CE6AC" w14:textId="20F0B9D7"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2.</w:t>
            </w:r>
          </w:p>
        </w:tc>
        <w:tc>
          <w:tcPr>
            <w:tcW w:w="6321" w:type="dxa"/>
          </w:tcPr>
          <w:p w14:paraId="6FA450F7" w14:textId="37D52E0B"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mevcut çevrimiçi öğrenme platformlarına kıyasla daha geniş bir uygulama alanı sunar.</w:t>
            </w:r>
          </w:p>
        </w:tc>
        <w:tc>
          <w:tcPr>
            <w:tcW w:w="701" w:type="dxa"/>
            <w:vAlign w:val="center"/>
          </w:tcPr>
          <w:p w14:paraId="0DC30ED7"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0F1D125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695665D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28D735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778FD8ED" w14:textId="2423D2E8"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3D8B0450" w14:textId="77777777" w:rsidTr="001F61AD">
        <w:trPr>
          <w:trHeight w:val="297"/>
        </w:trPr>
        <w:tc>
          <w:tcPr>
            <w:tcW w:w="466" w:type="dxa"/>
            <w:vAlign w:val="center"/>
          </w:tcPr>
          <w:p w14:paraId="2C9C912C" w14:textId="469B6FDF"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3.</w:t>
            </w:r>
          </w:p>
        </w:tc>
        <w:tc>
          <w:tcPr>
            <w:tcW w:w="6321" w:type="dxa"/>
          </w:tcPr>
          <w:p w14:paraId="6A206310" w14:textId="629CE39F"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uygulamaları risk almadan mesleki uygulama becerisi kazandırır.</w:t>
            </w:r>
          </w:p>
        </w:tc>
        <w:tc>
          <w:tcPr>
            <w:tcW w:w="701" w:type="dxa"/>
            <w:vAlign w:val="center"/>
          </w:tcPr>
          <w:p w14:paraId="7785424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4E4C024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500DE1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1D56342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0F1BEE20" w14:textId="0D5ED012"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60F441DC" w14:textId="77777777" w:rsidTr="001F61AD">
        <w:trPr>
          <w:trHeight w:val="297"/>
        </w:trPr>
        <w:tc>
          <w:tcPr>
            <w:tcW w:w="466" w:type="dxa"/>
            <w:vAlign w:val="center"/>
          </w:tcPr>
          <w:p w14:paraId="213C937B" w14:textId="5C2DEB10"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4.</w:t>
            </w:r>
          </w:p>
        </w:tc>
        <w:tc>
          <w:tcPr>
            <w:tcW w:w="6321" w:type="dxa"/>
          </w:tcPr>
          <w:p w14:paraId="19313DDE" w14:textId="0D932FC9"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uygulamaları profesyonellik, otonomi gibi mesleki beceri/yetkinlik kazandırır.</w:t>
            </w:r>
          </w:p>
        </w:tc>
        <w:tc>
          <w:tcPr>
            <w:tcW w:w="701" w:type="dxa"/>
            <w:vAlign w:val="center"/>
          </w:tcPr>
          <w:p w14:paraId="111F2818"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7351EE4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292EA6D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7DC3043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3D8636E2" w14:textId="09610873"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319D5187" w14:textId="77777777" w:rsidTr="001F61AD">
        <w:trPr>
          <w:trHeight w:val="297"/>
        </w:trPr>
        <w:tc>
          <w:tcPr>
            <w:tcW w:w="466" w:type="dxa"/>
            <w:vAlign w:val="center"/>
          </w:tcPr>
          <w:p w14:paraId="161C922F" w14:textId="509E86EE"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5.</w:t>
            </w:r>
          </w:p>
        </w:tc>
        <w:tc>
          <w:tcPr>
            <w:tcW w:w="6321" w:type="dxa"/>
          </w:tcPr>
          <w:p w14:paraId="158F72E3" w14:textId="36C06298"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uygulamaları, kolaylıkla bilgiye erişimi sağlar.</w:t>
            </w:r>
          </w:p>
        </w:tc>
        <w:tc>
          <w:tcPr>
            <w:tcW w:w="701" w:type="dxa"/>
            <w:vAlign w:val="center"/>
          </w:tcPr>
          <w:p w14:paraId="3B37196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4BD63AF7"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74A0F88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E6C7631"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01FF138A" w14:textId="6A8DE94F"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7CCBBBB2" w14:textId="77777777" w:rsidTr="001F61AD">
        <w:trPr>
          <w:trHeight w:val="297"/>
        </w:trPr>
        <w:tc>
          <w:tcPr>
            <w:tcW w:w="466" w:type="dxa"/>
            <w:vAlign w:val="center"/>
          </w:tcPr>
          <w:p w14:paraId="45413249" w14:textId="01D78191"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6.</w:t>
            </w:r>
          </w:p>
        </w:tc>
        <w:tc>
          <w:tcPr>
            <w:tcW w:w="6321" w:type="dxa"/>
          </w:tcPr>
          <w:p w14:paraId="7B4D6AF4" w14:textId="1134EEF8"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uygulamaları, yeni bilgi ve yöntemlerin uygulamaya aktarılmasını kolaylaştırır.</w:t>
            </w:r>
          </w:p>
        </w:tc>
        <w:tc>
          <w:tcPr>
            <w:tcW w:w="701" w:type="dxa"/>
            <w:vAlign w:val="center"/>
          </w:tcPr>
          <w:p w14:paraId="640D0B59"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6379472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EAB534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4DA66F6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050DC859" w14:textId="613C6B1E"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45E6540C" w14:textId="77777777" w:rsidTr="001F61AD">
        <w:trPr>
          <w:trHeight w:val="297"/>
        </w:trPr>
        <w:tc>
          <w:tcPr>
            <w:tcW w:w="466" w:type="dxa"/>
            <w:vAlign w:val="center"/>
          </w:tcPr>
          <w:p w14:paraId="4C50AE06" w14:textId="5E76A78C"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7.</w:t>
            </w:r>
          </w:p>
        </w:tc>
        <w:tc>
          <w:tcPr>
            <w:tcW w:w="6321" w:type="dxa"/>
          </w:tcPr>
          <w:p w14:paraId="2EEC92CD" w14:textId="00DF302C"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tabanlı eğitim, hasta çıktılarını/sonuçlarını olumlu etkiler.</w:t>
            </w:r>
          </w:p>
        </w:tc>
        <w:tc>
          <w:tcPr>
            <w:tcW w:w="701" w:type="dxa"/>
            <w:vAlign w:val="center"/>
          </w:tcPr>
          <w:p w14:paraId="44C8951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5E0D872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4806A22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4188B5B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34AF5896" w14:textId="65E63B8F"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22313E76" w14:textId="77777777" w:rsidTr="001F61AD">
        <w:trPr>
          <w:trHeight w:val="297"/>
        </w:trPr>
        <w:tc>
          <w:tcPr>
            <w:tcW w:w="466" w:type="dxa"/>
            <w:vAlign w:val="center"/>
          </w:tcPr>
          <w:p w14:paraId="4646FBE7" w14:textId="7B6E5C61"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8.</w:t>
            </w:r>
          </w:p>
        </w:tc>
        <w:tc>
          <w:tcPr>
            <w:tcW w:w="6321" w:type="dxa"/>
          </w:tcPr>
          <w:p w14:paraId="30333D3B" w14:textId="0D47A942"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klinik karar vermeyi güçlendirir.</w:t>
            </w:r>
          </w:p>
        </w:tc>
        <w:tc>
          <w:tcPr>
            <w:tcW w:w="701" w:type="dxa"/>
            <w:vAlign w:val="center"/>
          </w:tcPr>
          <w:p w14:paraId="38C0D75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5912662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1E57A1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4B89F70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06D7DC76" w14:textId="4C87B8BC"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6873F8D1" w14:textId="77777777" w:rsidTr="001F61AD">
        <w:trPr>
          <w:trHeight w:val="297"/>
        </w:trPr>
        <w:tc>
          <w:tcPr>
            <w:tcW w:w="466" w:type="dxa"/>
            <w:vAlign w:val="center"/>
          </w:tcPr>
          <w:p w14:paraId="62D6DE3B" w14:textId="53DAFAD6"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9.</w:t>
            </w:r>
          </w:p>
        </w:tc>
        <w:tc>
          <w:tcPr>
            <w:tcW w:w="6321" w:type="dxa"/>
          </w:tcPr>
          <w:p w14:paraId="5635F30F" w14:textId="3AB3054D"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eğitimde interdisipliner ve multidisipliner işbirliklerine fırsat sunar.</w:t>
            </w:r>
          </w:p>
        </w:tc>
        <w:tc>
          <w:tcPr>
            <w:tcW w:w="701" w:type="dxa"/>
            <w:vAlign w:val="center"/>
          </w:tcPr>
          <w:p w14:paraId="6EBA572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7DAE185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1AE85251"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DAAB462"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78D6EDF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2675793B" w14:textId="77777777" w:rsidTr="001F61AD">
        <w:trPr>
          <w:trHeight w:val="297"/>
        </w:trPr>
        <w:tc>
          <w:tcPr>
            <w:tcW w:w="466" w:type="dxa"/>
            <w:vAlign w:val="center"/>
          </w:tcPr>
          <w:p w14:paraId="0B684C9E" w14:textId="77777777"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
        </w:tc>
        <w:tc>
          <w:tcPr>
            <w:tcW w:w="6321" w:type="dxa"/>
          </w:tcPr>
          <w:p w14:paraId="441D4CE8" w14:textId="56B65A26" w:rsidR="00A6318C" w:rsidRPr="001F61AD" w:rsidRDefault="00A6318C" w:rsidP="001F61AD">
            <w:pPr>
              <w:shd w:val="clear" w:color="auto" w:fill="FFFFFF" w:themeFill="background1"/>
              <w:spacing w:after="0" w:line="240" w:lineRule="auto"/>
              <w:rPr>
                <w:rFonts w:ascii="Times New Roman" w:hAnsi="Times New Roman" w:cs="Times New Roman"/>
                <w:b/>
                <w:i/>
                <w:sz w:val="20"/>
                <w:szCs w:val="20"/>
                <w:lang w:val="tr-TR"/>
              </w:rPr>
            </w:pPr>
            <w:r w:rsidRPr="001F61AD">
              <w:rPr>
                <w:rFonts w:ascii="Times New Roman" w:hAnsi="Times New Roman" w:cs="Times New Roman"/>
                <w:b/>
                <w:i/>
                <w:sz w:val="20"/>
                <w:szCs w:val="20"/>
                <w:lang w:val="tr-TR"/>
              </w:rPr>
              <w:t>Teknoloji Alt Boyutu</w:t>
            </w:r>
          </w:p>
        </w:tc>
        <w:tc>
          <w:tcPr>
            <w:tcW w:w="701" w:type="dxa"/>
            <w:vAlign w:val="center"/>
          </w:tcPr>
          <w:p w14:paraId="331C3819"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5CA0EC6D"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249AE72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65A320B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3E2B840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0DBA5A6D" w14:textId="77777777" w:rsidTr="001F61AD">
        <w:trPr>
          <w:trHeight w:val="297"/>
        </w:trPr>
        <w:tc>
          <w:tcPr>
            <w:tcW w:w="466" w:type="dxa"/>
            <w:vAlign w:val="center"/>
          </w:tcPr>
          <w:p w14:paraId="097F0E34" w14:textId="12D5B87D"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10.</w:t>
            </w:r>
          </w:p>
        </w:tc>
        <w:tc>
          <w:tcPr>
            <w:tcW w:w="6321" w:type="dxa"/>
          </w:tcPr>
          <w:p w14:paraId="03B8A11B" w14:textId="749A9843"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 xml:space="preserve">Metaverse, 21. </w:t>
            </w:r>
            <w:proofErr w:type="spellStart"/>
            <w:r w:rsidRPr="001F61AD">
              <w:rPr>
                <w:rFonts w:ascii="Times New Roman" w:hAnsi="Times New Roman" w:cs="Times New Roman"/>
                <w:sz w:val="20"/>
                <w:szCs w:val="20"/>
              </w:rPr>
              <w:t>yüzyılda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hayatımızı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değiştirecek</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bir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dijital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teknolojidir</w:t>
            </w:r>
            <w:proofErr w:type="spellEnd"/>
            <w:r w:rsidR="00E7044C" w:rsidRPr="001F61AD">
              <w:rPr>
                <w:rFonts w:ascii="Times New Roman" w:hAnsi="Times New Roman" w:cs="Times New Roman"/>
                <w:sz w:val="20"/>
                <w:szCs w:val="20"/>
              </w:rPr>
              <w:t>.</w:t>
            </w:r>
          </w:p>
        </w:tc>
        <w:tc>
          <w:tcPr>
            <w:tcW w:w="701" w:type="dxa"/>
            <w:vAlign w:val="center"/>
          </w:tcPr>
          <w:p w14:paraId="5D09460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47D03D61"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1ACF8CF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27602B6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2F6D4344" w14:textId="0DC6F1B2"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2C02E71D" w14:textId="77777777" w:rsidTr="001F61AD">
        <w:trPr>
          <w:trHeight w:val="297"/>
        </w:trPr>
        <w:tc>
          <w:tcPr>
            <w:tcW w:w="466" w:type="dxa"/>
            <w:shd w:val="clear" w:color="auto" w:fill="FFFFFF" w:themeFill="background1"/>
            <w:vAlign w:val="center"/>
          </w:tcPr>
          <w:p w14:paraId="2EA3BF7B" w14:textId="2C135799"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11.</w:t>
            </w:r>
          </w:p>
        </w:tc>
        <w:tc>
          <w:tcPr>
            <w:tcW w:w="6321" w:type="dxa"/>
            <w:shd w:val="clear" w:color="auto" w:fill="FFFFFF" w:themeFill="background1"/>
          </w:tcPr>
          <w:p w14:paraId="412BCF74" w14:textId="6861377D"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 xml:space="preserve">Metaverse, sanal, </w:t>
            </w:r>
            <w:proofErr w:type="spellStart"/>
            <w:r w:rsidRPr="001F61AD">
              <w:rPr>
                <w:rFonts w:ascii="Times New Roman" w:hAnsi="Times New Roman" w:cs="Times New Roman"/>
                <w:sz w:val="20"/>
                <w:szCs w:val="20"/>
              </w:rPr>
              <w:t>artırılmış</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ve</w:t>
            </w:r>
            <w:proofErr w:type="spellEnd"/>
            <w:r w:rsidRPr="001F61AD">
              <w:rPr>
                <w:rFonts w:ascii="Times New Roman" w:hAnsi="Times New Roman" w:cs="Times New Roman"/>
                <w:sz w:val="20"/>
                <w:szCs w:val="20"/>
              </w:rPr>
              <w:t xml:space="preserve"> karma </w:t>
            </w:r>
            <w:proofErr w:type="spellStart"/>
            <w:r w:rsidRPr="001F61AD">
              <w:rPr>
                <w:rFonts w:ascii="Times New Roman" w:hAnsi="Times New Roman" w:cs="Times New Roman"/>
                <w:sz w:val="20"/>
                <w:szCs w:val="20"/>
              </w:rPr>
              <w:t>gerçeklik</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uygulamaları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aracılığıyla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fiziksel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dünyaya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yakın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bir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ortam</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sunar</w:t>
            </w:r>
            <w:proofErr w:type="spellEnd"/>
            <w:r w:rsidR="00E7044C" w:rsidRPr="001F61AD">
              <w:rPr>
                <w:rFonts w:ascii="Times New Roman" w:hAnsi="Times New Roman" w:cs="Times New Roman"/>
                <w:sz w:val="20"/>
                <w:szCs w:val="20"/>
              </w:rPr>
              <w:t>.</w:t>
            </w:r>
          </w:p>
        </w:tc>
        <w:tc>
          <w:tcPr>
            <w:tcW w:w="701" w:type="dxa"/>
            <w:vAlign w:val="center"/>
          </w:tcPr>
          <w:p w14:paraId="48C2766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6744F80D"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BECF21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2C11829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36CB3026" w14:textId="2432F4A2"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4A8FA803" w14:textId="77777777" w:rsidTr="001F61AD">
        <w:trPr>
          <w:trHeight w:val="297"/>
        </w:trPr>
        <w:tc>
          <w:tcPr>
            <w:tcW w:w="466" w:type="dxa"/>
            <w:vAlign w:val="center"/>
          </w:tcPr>
          <w:p w14:paraId="19D3F29E" w14:textId="7D14474B"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12.</w:t>
            </w:r>
          </w:p>
        </w:tc>
        <w:tc>
          <w:tcPr>
            <w:tcW w:w="6321" w:type="dxa"/>
          </w:tcPr>
          <w:p w14:paraId="06691E0D" w14:textId="22DF3782"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sanal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bir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metaforik</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ortamda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sürükleyici</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deneyimler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sunan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bir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platformdur</w:t>
            </w:r>
            <w:proofErr w:type="spellEnd"/>
            <w:r w:rsidR="00E7044C" w:rsidRPr="001F61AD">
              <w:rPr>
                <w:rFonts w:ascii="Times New Roman" w:hAnsi="Times New Roman" w:cs="Times New Roman"/>
                <w:sz w:val="20"/>
                <w:szCs w:val="20"/>
              </w:rPr>
              <w:t>.</w:t>
            </w:r>
          </w:p>
        </w:tc>
        <w:tc>
          <w:tcPr>
            <w:tcW w:w="701" w:type="dxa"/>
            <w:vAlign w:val="center"/>
          </w:tcPr>
          <w:p w14:paraId="09B29C6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426364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68FCA04C"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E9E7C6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61170109" w14:textId="51DFC2D1"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57B81E2C" w14:textId="77777777" w:rsidTr="001F61AD">
        <w:trPr>
          <w:trHeight w:val="297"/>
        </w:trPr>
        <w:tc>
          <w:tcPr>
            <w:tcW w:w="466" w:type="dxa"/>
            <w:vAlign w:val="center"/>
          </w:tcPr>
          <w:p w14:paraId="30169E40" w14:textId="0E0009BA"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13.</w:t>
            </w:r>
          </w:p>
        </w:tc>
        <w:tc>
          <w:tcPr>
            <w:tcW w:w="6321" w:type="dxa"/>
          </w:tcPr>
          <w:p w14:paraId="042D4A98" w14:textId="469A2737"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fiziksel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ile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sanal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dünyayı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birleştirir</w:t>
            </w:r>
            <w:proofErr w:type="spellEnd"/>
            <w:r w:rsidR="00E7044C" w:rsidRPr="001F61AD">
              <w:rPr>
                <w:rFonts w:ascii="Times New Roman" w:hAnsi="Times New Roman" w:cs="Times New Roman"/>
                <w:sz w:val="20"/>
                <w:szCs w:val="20"/>
              </w:rPr>
              <w:t>.</w:t>
            </w:r>
          </w:p>
        </w:tc>
        <w:tc>
          <w:tcPr>
            <w:tcW w:w="701" w:type="dxa"/>
            <w:vAlign w:val="center"/>
          </w:tcPr>
          <w:p w14:paraId="589351F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6BCDCD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670984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188E4E1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26564C41" w14:textId="1041AF36"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6C895BD5" w14:textId="77777777" w:rsidTr="001F61AD">
        <w:trPr>
          <w:trHeight w:val="297"/>
        </w:trPr>
        <w:tc>
          <w:tcPr>
            <w:tcW w:w="466" w:type="dxa"/>
            <w:vAlign w:val="center"/>
          </w:tcPr>
          <w:p w14:paraId="1C0C6E8D" w14:textId="3281D340"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14.</w:t>
            </w:r>
          </w:p>
        </w:tc>
        <w:tc>
          <w:tcPr>
            <w:tcW w:w="6321" w:type="dxa"/>
          </w:tcPr>
          <w:p w14:paraId="4D6A5F8A" w14:textId="068565AC"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yenilikçi</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çözümler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sunar</w:t>
            </w:r>
            <w:proofErr w:type="spellEnd"/>
            <w:r w:rsidR="00E7044C" w:rsidRPr="001F61AD">
              <w:rPr>
                <w:rFonts w:ascii="Times New Roman" w:hAnsi="Times New Roman" w:cs="Times New Roman"/>
                <w:sz w:val="20"/>
                <w:szCs w:val="20"/>
              </w:rPr>
              <w:t>.</w:t>
            </w:r>
          </w:p>
        </w:tc>
        <w:tc>
          <w:tcPr>
            <w:tcW w:w="701" w:type="dxa"/>
            <w:vAlign w:val="center"/>
          </w:tcPr>
          <w:p w14:paraId="04E01E02"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4EBE348"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87B0F9C"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74128DF7"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06DD22B6" w14:textId="42EB5194"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0D5D15CA" w14:textId="77777777" w:rsidTr="001F61AD">
        <w:trPr>
          <w:trHeight w:val="297"/>
        </w:trPr>
        <w:tc>
          <w:tcPr>
            <w:tcW w:w="466" w:type="dxa"/>
            <w:vAlign w:val="center"/>
          </w:tcPr>
          <w:p w14:paraId="40358E76" w14:textId="77777777"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
        </w:tc>
        <w:tc>
          <w:tcPr>
            <w:tcW w:w="6321" w:type="dxa"/>
          </w:tcPr>
          <w:p w14:paraId="6C94F1AA" w14:textId="74CB981B" w:rsidR="00A6318C" w:rsidRPr="001F61AD" w:rsidRDefault="00A6318C" w:rsidP="001F61AD">
            <w:pPr>
              <w:shd w:val="clear" w:color="auto" w:fill="FFFFFF" w:themeFill="background1"/>
              <w:spacing w:after="0" w:line="240" w:lineRule="auto"/>
              <w:rPr>
                <w:rFonts w:ascii="Times New Roman" w:hAnsi="Times New Roman" w:cs="Times New Roman"/>
                <w:b/>
                <w:i/>
                <w:sz w:val="20"/>
                <w:szCs w:val="20"/>
                <w:lang w:val="tr-TR"/>
              </w:rPr>
            </w:pPr>
            <w:r w:rsidRPr="001F61AD">
              <w:rPr>
                <w:rFonts w:ascii="Times New Roman" w:hAnsi="Times New Roman" w:cs="Times New Roman"/>
                <w:b/>
                <w:i/>
                <w:sz w:val="20"/>
                <w:szCs w:val="20"/>
                <w:lang w:val="tr-TR"/>
              </w:rPr>
              <w:t>Zorluklar Alt Boyutu</w:t>
            </w:r>
          </w:p>
        </w:tc>
        <w:tc>
          <w:tcPr>
            <w:tcW w:w="701" w:type="dxa"/>
            <w:vAlign w:val="center"/>
          </w:tcPr>
          <w:p w14:paraId="2907E731"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F3D13F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5332040"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2569225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4D569348"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384DC9FF" w14:textId="77777777" w:rsidTr="001F61AD">
        <w:trPr>
          <w:trHeight w:val="297"/>
        </w:trPr>
        <w:tc>
          <w:tcPr>
            <w:tcW w:w="466" w:type="dxa"/>
            <w:vAlign w:val="center"/>
          </w:tcPr>
          <w:p w14:paraId="60103CEE" w14:textId="39921E4F"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15.</w:t>
            </w:r>
          </w:p>
        </w:tc>
        <w:tc>
          <w:tcPr>
            <w:tcW w:w="6321" w:type="dxa"/>
          </w:tcPr>
          <w:p w14:paraId="471997AF" w14:textId="27125CF8"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insanların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fiziksel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dünyada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yanlızlaşmasına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neden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olur</w:t>
            </w:r>
            <w:proofErr w:type="spellEnd"/>
            <w:r w:rsidR="00E7044C" w:rsidRPr="001F61AD">
              <w:rPr>
                <w:rFonts w:ascii="Times New Roman" w:hAnsi="Times New Roman" w:cs="Times New Roman"/>
                <w:sz w:val="20"/>
                <w:szCs w:val="20"/>
              </w:rPr>
              <w:t>.</w:t>
            </w:r>
          </w:p>
        </w:tc>
        <w:tc>
          <w:tcPr>
            <w:tcW w:w="701" w:type="dxa"/>
            <w:vAlign w:val="center"/>
          </w:tcPr>
          <w:p w14:paraId="3BDD0258"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8AFC7C8"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7A90070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26A099C"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38FF618A" w14:textId="58A585FD"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1496DE1A" w14:textId="77777777" w:rsidTr="001F61AD">
        <w:trPr>
          <w:trHeight w:val="297"/>
        </w:trPr>
        <w:tc>
          <w:tcPr>
            <w:tcW w:w="466" w:type="dxa"/>
            <w:vAlign w:val="center"/>
          </w:tcPr>
          <w:p w14:paraId="5D2A6255" w14:textId="35A1914B"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16.</w:t>
            </w:r>
          </w:p>
        </w:tc>
        <w:tc>
          <w:tcPr>
            <w:tcW w:w="6321" w:type="dxa"/>
          </w:tcPr>
          <w:p w14:paraId="1B4B0478" w14:textId="5DE4A171"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 xml:space="preserve">Metaverse uygulamaları insan sağlığını olumsuz yönde (mide bulantısı, hareketsizlik, göz yorgunluğu, vb.) </w:t>
            </w:r>
            <w:proofErr w:type="spellStart"/>
            <w:r w:rsidRPr="001F61AD">
              <w:rPr>
                <w:rFonts w:ascii="Times New Roman" w:hAnsi="Times New Roman" w:cs="Times New Roman"/>
                <w:sz w:val="20"/>
                <w:szCs w:val="20"/>
              </w:rPr>
              <w:t>etkiler</w:t>
            </w:r>
            <w:proofErr w:type="spellEnd"/>
            <w:r w:rsidR="00E7044C" w:rsidRPr="001F61AD">
              <w:rPr>
                <w:rFonts w:ascii="Times New Roman" w:hAnsi="Times New Roman" w:cs="Times New Roman"/>
                <w:sz w:val="20"/>
                <w:szCs w:val="20"/>
              </w:rPr>
              <w:t>.</w:t>
            </w:r>
          </w:p>
        </w:tc>
        <w:tc>
          <w:tcPr>
            <w:tcW w:w="701" w:type="dxa"/>
            <w:vAlign w:val="center"/>
          </w:tcPr>
          <w:p w14:paraId="27F7385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5239967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64ED8F5"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19E5F48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25E31B31" w14:textId="611211FA"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6AD84516" w14:textId="77777777" w:rsidTr="001F61AD">
        <w:trPr>
          <w:trHeight w:val="297"/>
        </w:trPr>
        <w:tc>
          <w:tcPr>
            <w:tcW w:w="466" w:type="dxa"/>
            <w:vAlign w:val="center"/>
          </w:tcPr>
          <w:p w14:paraId="4FCE83B4" w14:textId="124FC6DC"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17.</w:t>
            </w:r>
          </w:p>
        </w:tc>
        <w:tc>
          <w:tcPr>
            <w:tcW w:w="6321" w:type="dxa"/>
          </w:tcPr>
          <w:p w14:paraId="7AD340DE" w14:textId="3D1C3DA4"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 katılımcı verilerinin güvenlik ve gizliliği konusunda risk oluşturur.</w:t>
            </w:r>
          </w:p>
        </w:tc>
        <w:tc>
          <w:tcPr>
            <w:tcW w:w="701" w:type="dxa"/>
            <w:vAlign w:val="center"/>
          </w:tcPr>
          <w:p w14:paraId="156C720C"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7C5FF15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7B9FB7C"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4F1811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3FF310CC" w14:textId="0D488036"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02257DF6" w14:textId="77777777" w:rsidTr="001F61AD">
        <w:trPr>
          <w:trHeight w:val="297"/>
        </w:trPr>
        <w:tc>
          <w:tcPr>
            <w:tcW w:w="466" w:type="dxa"/>
            <w:vAlign w:val="center"/>
          </w:tcPr>
          <w:p w14:paraId="3EDDA98E" w14:textId="198CACE2"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18.</w:t>
            </w:r>
          </w:p>
        </w:tc>
        <w:tc>
          <w:tcPr>
            <w:tcW w:w="6321" w:type="dxa"/>
          </w:tcPr>
          <w:p w14:paraId="05DF5B2D" w14:textId="5A3BEEDC"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Metaverse’ün aşırı kullanımı fiziksel dünyadaki dengeleri olumsuz etkiler.</w:t>
            </w:r>
          </w:p>
        </w:tc>
        <w:tc>
          <w:tcPr>
            <w:tcW w:w="701" w:type="dxa"/>
            <w:vAlign w:val="center"/>
          </w:tcPr>
          <w:p w14:paraId="64B97C5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3AE3781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4382A81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677CB8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3CC8E5D2" w14:textId="316B49AC"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23D75A2A" w14:textId="77777777" w:rsidTr="001F61AD">
        <w:trPr>
          <w:trHeight w:val="297"/>
        </w:trPr>
        <w:tc>
          <w:tcPr>
            <w:tcW w:w="466" w:type="dxa"/>
            <w:vAlign w:val="center"/>
          </w:tcPr>
          <w:p w14:paraId="1E7D2930" w14:textId="44D10E1A"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19.</w:t>
            </w:r>
          </w:p>
        </w:tc>
        <w:tc>
          <w:tcPr>
            <w:tcW w:w="6321" w:type="dxa"/>
          </w:tcPr>
          <w:p w14:paraId="735E0395" w14:textId="637D6DA8"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için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gereken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altyapı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ve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ekipmanın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yetersiz</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olması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erişimi</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engeller</w:t>
            </w:r>
            <w:proofErr w:type="spellEnd"/>
            <w:r w:rsidR="00E7044C" w:rsidRPr="001F61AD">
              <w:rPr>
                <w:rFonts w:ascii="Times New Roman" w:hAnsi="Times New Roman" w:cs="Times New Roman"/>
                <w:sz w:val="20"/>
                <w:szCs w:val="20"/>
              </w:rPr>
              <w:t>.</w:t>
            </w:r>
          </w:p>
        </w:tc>
        <w:tc>
          <w:tcPr>
            <w:tcW w:w="701" w:type="dxa"/>
            <w:vAlign w:val="center"/>
          </w:tcPr>
          <w:p w14:paraId="78BC545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6BFC0C5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F71EF6C"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10FAD449"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01AEA407" w14:textId="7BF60BD8"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6AAF3CC9" w14:textId="77777777" w:rsidTr="001F61AD">
        <w:trPr>
          <w:trHeight w:val="297"/>
        </w:trPr>
        <w:tc>
          <w:tcPr>
            <w:tcW w:w="466" w:type="dxa"/>
            <w:vAlign w:val="center"/>
          </w:tcPr>
          <w:p w14:paraId="56D9C480" w14:textId="3E575F50"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
        </w:tc>
        <w:tc>
          <w:tcPr>
            <w:tcW w:w="6321" w:type="dxa"/>
          </w:tcPr>
          <w:p w14:paraId="17AACAE3" w14:textId="621DB424" w:rsidR="00A6318C" w:rsidRPr="001F61AD" w:rsidRDefault="00A6318C" w:rsidP="001F61AD">
            <w:pPr>
              <w:shd w:val="clear" w:color="auto" w:fill="FFFFFF" w:themeFill="background1"/>
              <w:spacing w:after="0" w:line="240" w:lineRule="auto"/>
              <w:rPr>
                <w:rFonts w:ascii="Times New Roman" w:hAnsi="Times New Roman" w:cs="Times New Roman"/>
                <w:b/>
                <w:i/>
                <w:sz w:val="20"/>
                <w:szCs w:val="20"/>
                <w:lang w:val="tr-TR"/>
              </w:rPr>
            </w:pPr>
            <w:r w:rsidRPr="001F61AD">
              <w:rPr>
                <w:rFonts w:ascii="Times New Roman" w:hAnsi="Times New Roman" w:cs="Times New Roman"/>
                <w:b/>
                <w:i/>
                <w:sz w:val="20"/>
                <w:szCs w:val="20"/>
                <w:lang w:val="tr-TR"/>
              </w:rPr>
              <w:t>Yaşam Biçimi Alt Boyutu</w:t>
            </w:r>
          </w:p>
        </w:tc>
        <w:tc>
          <w:tcPr>
            <w:tcW w:w="701" w:type="dxa"/>
            <w:vAlign w:val="center"/>
          </w:tcPr>
          <w:p w14:paraId="0E3637D7"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5108F09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F03E278"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314063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223F1FA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1E0BF667" w14:textId="77777777" w:rsidTr="001F61AD">
        <w:trPr>
          <w:trHeight w:val="297"/>
        </w:trPr>
        <w:tc>
          <w:tcPr>
            <w:tcW w:w="466" w:type="dxa"/>
            <w:vAlign w:val="center"/>
          </w:tcPr>
          <w:p w14:paraId="6E083452" w14:textId="38F050E9"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20.</w:t>
            </w:r>
          </w:p>
        </w:tc>
        <w:tc>
          <w:tcPr>
            <w:tcW w:w="6321" w:type="dxa"/>
          </w:tcPr>
          <w:p w14:paraId="5FBBDE68" w14:textId="0C563D61"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zaman </w:t>
            </w:r>
            <w:proofErr w:type="spellStart"/>
            <w:r w:rsidRPr="001F61AD">
              <w:rPr>
                <w:rFonts w:ascii="Times New Roman" w:hAnsi="Times New Roman" w:cs="Times New Roman"/>
                <w:sz w:val="20"/>
                <w:szCs w:val="20"/>
              </w:rPr>
              <w:t>ve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mekan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kısıtlarını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ortadan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kaldırarak</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yaşamımızı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kolaylaştırır</w:t>
            </w:r>
            <w:proofErr w:type="spellEnd"/>
            <w:r w:rsidR="00E7044C" w:rsidRPr="001F61AD">
              <w:rPr>
                <w:rFonts w:ascii="Times New Roman" w:hAnsi="Times New Roman" w:cs="Times New Roman"/>
                <w:sz w:val="20"/>
                <w:szCs w:val="20"/>
              </w:rPr>
              <w:t>.</w:t>
            </w:r>
          </w:p>
        </w:tc>
        <w:tc>
          <w:tcPr>
            <w:tcW w:w="701" w:type="dxa"/>
            <w:vAlign w:val="center"/>
          </w:tcPr>
          <w:p w14:paraId="4550317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3087965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C9EC90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2936B22"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7C81E3C5" w14:textId="29315ECC"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7D61CA68" w14:textId="77777777" w:rsidTr="001F61AD">
        <w:trPr>
          <w:trHeight w:val="297"/>
        </w:trPr>
        <w:tc>
          <w:tcPr>
            <w:tcW w:w="466" w:type="dxa"/>
            <w:vAlign w:val="center"/>
          </w:tcPr>
          <w:p w14:paraId="711ED143" w14:textId="765CD41B"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21.</w:t>
            </w:r>
          </w:p>
        </w:tc>
        <w:tc>
          <w:tcPr>
            <w:tcW w:w="6321" w:type="dxa"/>
          </w:tcPr>
          <w:p w14:paraId="4BF88E61" w14:textId="34CBDFD2"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insanların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avatarları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aracılığıyla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yeni</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sanal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dünyada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var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olmalarını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sağlar</w:t>
            </w:r>
            <w:proofErr w:type="spellEnd"/>
            <w:r w:rsidR="00E7044C" w:rsidRPr="001F61AD">
              <w:rPr>
                <w:rFonts w:ascii="Times New Roman" w:hAnsi="Times New Roman" w:cs="Times New Roman"/>
                <w:sz w:val="20"/>
                <w:szCs w:val="20"/>
              </w:rPr>
              <w:t>.</w:t>
            </w:r>
          </w:p>
        </w:tc>
        <w:tc>
          <w:tcPr>
            <w:tcW w:w="701" w:type="dxa"/>
            <w:vAlign w:val="center"/>
          </w:tcPr>
          <w:p w14:paraId="197B0B96"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07845F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41220C92"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2491B13"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59A0802B" w14:textId="660E7F5D"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56E3D329" w14:textId="77777777" w:rsidTr="001F61AD">
        <w:trPr>
          <w:trHeight w:val="297"/>
        </w:trPr>
        <w:tc>
          <w:tcPr>
            <w:tcW w:w="466" w:type="dxa"/>
            <w:vAlign w:val="center"/>
          </w:tcPr>
          <w:p w14:paraId="5C7318B9" w14:textId="62420B5D"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22.</w:t>
            </w:r>
          </w:p>
        </w:tc>
        <w:tc>
          <w:tcPr>
            <w:tcW w:w="6321" w:type="dxa"/>
          </w:tcPr>
          <w:p w14:paraId="2B9F015A" w14:textId="1C81A60C"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 xml:space="preserve">Metaverse, günlük rutinlerimizi değiştirerek insanların sosyalleşmesine, çalışmasına, oynamasına, eğitilmesine, vs. </w:t>
            </w:r>
            <w:proofErr w:type="spellStart"/>
            <w:r w:rsidRPr="001F61AD">
              <w:rPr>
                <w:rFonts w:ascii="Times New Roman" w:hAnsi="Times New Roman" w:cs="Times New Roman"/>
                <w:sz w:val="20"/>
                <w:szCs w:val="20"/>
              </w:rPr>
              <w:t>imkan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sunan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bir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sanal</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yapıyı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oluşturur</w:t>
            </w:r>
            <w:proofErr w:type="spellEnd"/>
            <w:r w:rsidR="00E7044C" w:rsidRPr="001F61AD">
              <w:rPr>
                <w:rFonts w:ascii="Times New Roman" w:hAnsi="Times New Roman" w:cs="Times New Roman"/>
                <w:sz w:val="20"/>
                <w:szCs w:val="20"/>
              </w:rPr>
              <w:t>.</w:t>
            </w:r>
          </w:p>
        </w:tc>
        <w:tc>
          <w:tcPr>
            <w:tcW w:w="701" w:type="dxa"/>
            <w:vAlign w:val="center"/>
          </w:tcPr>
          <w:p w14:paraId="0E03A00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3C200211"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32FC1CD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0CEC508F"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60DB449B" w14:textId="55390905"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08639E39" w14:textId="77777777" w:rsidTr="001F61AD">
        <w:trPr>
          <w:trHeight w:val="297"/>
        </w:trPr>
        <w:tc>
          <w:tcPr>
            <w:tcW w:w="466" w:type="dxa"/>
            <w:vAlign w:val="center"/>
          </w:tcPr>
          <w:p w14:paraId="7A45C864" w14:textId="1ABADCDB"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23.</w:t>
            </w:r>
          </w:p>
        </w:tc>
        <w:tc>
          <w:tcPr>
            <w:tcW w:w="6321" w:type="dxa"/>
          </w:tcPr>
          <w:p w14:paraId="7D28B876" w14:textId="7EF1C78F"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r w:rsidRPr="001F61AD">
              <w:rPr>
                <w:rFonts w:ascii="Times New Roman" w:hAnsi="Times New Roman" w:cs="Times New Roman"/>
                <w:sz w:val="20"/>
                <w:szCs w:val="20"/>
              </w:rPr>
              <w:t xml:space="preserve">Metaverse, farklı alanlarda düzenlenen etkinliklere (eğitim, sanat, spor, gezi, toplantı, vs.) </w:t>
            </w:r>
            <w:proofErr w:type="spellStart"/>
            <w:r w:rsidRPr="001F61AD">
              <w:rPr>
                <w:rFonts w:ascii="Times New Roman" w:hAnsi="Times New Roman" w:cs="Times New Roman"/>
                <w:sz w:val="20"/>
                <w:szCs w:val="20"/>
              </w:rPr>
              <w:t>kolaylıkla</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katılım</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fırsatı</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sunar</w:t>
            </w:r>
            <w:proofErr w:type="spellEnd"/>
            <w:r w:rsidR="00E7044C" w:rsidRPr="001F61AD">
              <w:rPr>
                <w:rFonts w:ascii="Times New Roman" w:hAnsi="Times New Roman" w:cs="Times New Roman"/>
                <w:sz w:val="20"/>
                <w:szCs w:val="20"/>
              </w:rPr>
              <w:t>.</w:t>
            </w:r>
          </w:p>
        </w:tc>
        <w:tc>
          <w:tcPr>
            <w:tcW w:w="701" w:type="dxa"/>
            <w:vAlign w:val="center"/>
          </w:tcPr>
          <w:p w14:paraId="1E398EA4"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2121E227"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2BEDAAF7"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7C4936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2B58CAAA" w14:textId="081BF6C9"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r w:rsidR="00A6318C" w:rsidRPr="001F61AD" w14:paraId="282E6152" w14:textId="77777777" w:rsidTr="001F61AD">
        <w:trPr>
          <w:trHeight w:val="297"/>
        </w:trPr>
        <w:tc>
          <w:tcPr>
            <w:tcW w:w="466" w:type="dxa"/>
            <w:vAlign w:val="center"/>
          </w:tcPr>
          <w:p w14:paraId="5AAF955C" w14:textId="0DB790E2" w:rsidR="00A6318C" w:rsidRPr="001F61AD" w:rsidRDefault="00A6318C" w:rsidP="001F61AD">
            <w:pPr>
              <w:shd w:val="clear" w:color="auto" w:fill="FFFFFF" w:themeFill="background1"/>
              <w:spacing w:after="0" w:line="240" w:lineRule="auto"/>
              <w:rPr>
                <w:rFonts w:ascii="Times New Roman" w:hAnsi="Times New Roman" w:cs="Times New Roman"/>
                <w:b/>
                <w:sz w:val="20"/>
                <w:szCs w:val="20"/>
              </w:rPr>
            </w:pPr>
            <w:r w:rsidRPr="001F61AD">
              <w:rPr>
                <w:rFonts w:ascii="Times New Roman" w:hAnsi="Times New Roman" w:cs="Times New Roman"/>
                <w:b/>
                <w:sz w:val="20"/>
                <w:szCs w:val="20"/>
              </w:rPr>
              <w:t>24.</w:t>
            </w:r>
          </w:p>
        </w:tc>
        <w:tc>
          <w:tcPr>
            <w:tcW w:w="6321" w:type="dxa"/>
          </w:tcPr>
          <w:p w14:paraId="70B9A89A" w14:textId="17FDCEC3" w:rsidR="00A6318C" w:rsidRPr="001F61AD" w:rsidRDefault="00A6318C" w:rsidP="001F61AD">
            <w:pPr>
              <w:shd w:val="clear" w:color="auto" w:fill="FFFFFF" w:themeFill="background1"/>
              <w:spacing w:after="0" w:line="240" w:lineRule="auto"/>
              <w:rPr>
                <w:rFonts w:ascii="Times New Roman" w:hAnsi="Times New Roman" w:cs="Times New Roman"/>
                <w:sz w:val="20"/>
                <w:szCs w:val="20"/>
              </w:rPr>
            </w:pPr>
            <w:proofErr w:type="spellStart"/>
            <w:r w:rsidRPr="001F61AD">
              <w:rPr>
                <w:rFonts w:ascii="Times New Roman" w:hAnsi="Times New Roman" w:cs="Times New Roman"/>
                <w:sz w:val="20"/>
                <w:szCs w:val="20"/>
              </w:rPr>
              <w:t>Metaverse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iletişime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ve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etkileşime</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girmek</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için</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fırsatlar</w:t>
            </w:r>
            <w:proofErr w:type="spellEnd"/>
            <w:r w:rsidRPr="001F61AD">
              <w:rPr>
                <w:rFonts w:ascii="Times New Roman" w:hAnsi="Times New Roman" w:cs="Times New Roman"/>
                <w:sz w:val="20"/>
                <w:szCs w:val="20"/>
              </w:rPr>
              <w:t xml:space="preserve"> </w:t>
            </w:r>
            <w:proofErr w:type="spellStart"/>
            <w:r w:rsidRPr="001F61AD">
              <w:rPr>
                <w:rFonts w:ascii="Times New Roman" w:hAnsi="Times New Roman" w:cs="Times New Roman"/>
                <w:sz w:val="20"/>
                <w:szCs w:val="20"/>
              </w:rPr>
              <w:t>sunar</w:t>
            </w:r>
            <w:proofErr w:type="spellEnd"/>
            <w:r w:rsidR="00E7044C" w:rsidRPr="001F61AD">
              <w:rPr>
                <w:rFonts w:ascii="Times New Roman" w:hAnsi="Times New Roman" w:cs="Times New Roman"/>
                <w:sz w:val="20"/>
                <w:szCs w:val="20"/>
              </w:rPr>
              <w:t>.</w:t>
            </w:r>
          </w:p>
        </w:tc>
        <w:tc>
          <w:tcPr>
            <w:tcW w:w="701" w:type="dxa"/>
            <w:vAlign w:val="center"/>
          </w:tcPr>
          <w:p w14:paraId="1D86091E"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562" w:type="dxa"/>
            <w:vAlign w:val="center"/>
          </w:tcPr>
          <w:p w14:paraId="3A189067"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B68845A"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459" w:type="dxa"/>
            <w:vAlign w:val="center"/>
          </w:tcPr>
          <w:p w14:paraId="53AA4EBB" w14:textId="77777777"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c>
          <w:tcPr>
            <w:tcW w:w="725" w:type="dxa"/>
            <w:vAlign w:val="center"/>
          </w:tcPr>
          <w:p w14:paraId="479B3433" w14:textId="33D73B10" w:rsidR="00A6318C" w:rsidRPr="001F61AD" w:rsidRDefault="00A6318C" w:rsidP="001F61AD">
            <w:pPr>
              <w:shd w:val="clear" w:color="auto" w:fill="FFFFFF" w:themeFill="background1"/>
              <w:spacing w:after="0" w:line="240" w:lineRule="auto"/>
              <w:jc w:val="center"/>
              <w:rPr>
                <w:rFonts w:ascii="Times New Roman" w:hAnsi="Times New Roman" w:cs="Times New Roman"/>
                <w:sz w:val="20"/>
                <w:szCs w:val="20"/>
              </w:rPr>
            </w:pPr>
          </w:p>
        </w:tc>
      </w:tr>
    </w:tbl>
    <w:p w14:paraId="4E55FD53" w14:textId="0CF12E90" w:rsidR="001F61AD" w:rsidRPr="001F61AD" w:rsidRDefault="001F61AD" w:rsidP="001F61AD">
      <w:pPr>
        <w:shd w:val="clear" w:color="auto" w:fill="FFFFFF" w:themeFill="background1"/>
        <w:jc w:val="center"/>
        <w:rPr>
          <w:rFonts w:ascii="Times New Roman" w:hAnsi="Times New Roman" w:cs="Times New Roman"/>
          <w:b/>
          <w:bCs/>
          <w:sz w:val="24"/>
          <w:szCs w:val="24"/>
        </w:rPr>
      </w:pPr>
      <w:r w:rsidRPr="001F61AD">
        <w:rPr>
          <w:rFonts w:ascii="Times New Roman" w:hAnsi="Times New Roman" w:cs="Times New Roman"/>
          <w:b/>
          <w:bCs/>
          <w:sz w:val="24"/>
          <w:szCs w:val="24"/>
        </w:rPr>
        <w:t xml:space="preserve">Hemşirelik Öğrencileri İçin </w:t>
      </w:r>
      <w:proofErr w:type="spellStart"/>
      <w:r w:rsidRPr="001F61AD">
        <w:rPr>
          <w:rFonts w:ascii="Times New Roman" w:hAnsi="Times New Roman" w:cs="Times New Roman"/>
          <w:b/>
          <w:bCs/>
          <w:sz w:val="24"/>
          <w:szCs w:val="24"/>
        </w:rPr>
        <w:t>Metaverse</w:t>
      </w:r>
      <w:proofErr w:type="spellEnd"/>
      <w:r w:rsidRPr="001F61AD">
        <w:rPr>
          <w:rFonts w:ascii="Times New Roman" w:hAnsi="Times New Roman" w:cs="Times New Roman"/>
          <w:b/>
          <w:bCs/>
          <w:sz w:val="24"/>
          <w:szCs w:val="24"/>
        </w:rPr>
        <w:t xml:space="preserve"> Algı Ölçeği</w:t>
      </w:r>
    </w:p>
    <w:p w14:paraId="64C73AB9" w14:textId="49D0B274" w:rsidR="00267A46" w:rsidRPr="001F61AD" w:rsidRDefault="001F61AD" w:rsidP="001F61AD">
      <w:pPr>
        <w:shd w:val="clear" w:color="auto" w:fill="FFFFFF" w:themeFill="background1"/>
        <w:jc w:val="center"/>
        <w:rPr>
          <w:rFonts w:ascii="Times New Roman" w:hAnsi="Times New Roman" w:cs="Times New Roman"/>
          <w:sz w:val="24"/>
          <w:szCs w:val="24"/>
        </w:rPr>
      </w:pPr>
      <w:proofErr w:type="spellStart"/>
      <w:r w:rsidRPr="001F61AD">
        <w:rPr>
          <w:rFonts w:ascii="Times New Roman" w:hAnsi="Times New Roman" w:cs="Times New Roman"/>
          <w:sz w:val="24"/>
          <w:szCs w:val="24"/>
        </w:rPr>
        <w:t>Metaverse</w:t>
      </w:r>
      <w:proofErr w:type="spellEnd"/>
      <w:r w:rsidRPr="001F61AD">
        <w:rPr>
          <w:rFonts w:ascii="Times New Roman" w:hAnsi="Times New Roman" w:cs="Times New Roman"/>
          <w:sz w:val="24"/>
          <w:szCs w:val="24"/>
        </w:rPr>
        <w:t xml:space="preserve"> </w:t>
      </w:r>
      <w:proofErr w:type="spellStart"/>
      <w:r w:rsidRPr="001F61AD">
        <w:rPr>
          <w:rFonts w:ascii="Times New Roman" w:hAnsi="Times New Roman" w:cs="Times New Roman"/>
          <w:sz w:val="24"/>
          <w:szCs w:val="24"/>
        </w:rPr>
        <w:t>Perception</w:t>
      </w:r>
      <w:proofErr w:type="spellEnd"/>
      <w:r w:rsidRPr="001F61AD">
        <w:rPr>
          <w:rFonts w:ascii="Times New Roman" w:hAnsi="Times New Roman" w:cs="Times New Roman"/>
          <w:sz w:val="24"/>
          <w:szCs w:val="24"/>
        </w:rPr>
        <w:t xml:space="preserve"> </w:t>
      </w:r>
      <w:proofErr w:type="spellStart"/>
      <w:r w:rsidRPr="001F61AD">
        <w:rPr>
          <w:rFonts w:ascii="Times New Roman" w:hAnsi="Times New Roman" w:cs="Times New Roman"/>
          <w:sz w:val="24"/>
          <w:szCs w:val="24"/>
        </w:rPr>
        <w:t>Scale</w:t>
      </w:r>
      <w:proofErr w:type="spellEnd"/>
      <w:r w:rsidRPr="001F61AD">
        <w:rPr>
          <w:rFonts w:ascii="Times New Roman" w:hAnsi="Times New Roman" w:cs="Times New Roman"/>
          <w:sz w:val="24"/>
          <w:szCs w:val="24"/>
        </w:rPr>
        <w:t xml:space="preserve"> </w:t>
      </w:r>
      <w:proofErr w:type="spellStart"/>
      <w:r w:rsidRPr="001F61AD">
        <w:rPr>
          <w:rFonts w:ascii="Times New Roman" w:hAnsi="Times New Roman" w:cs="Times New Roman"/>
          <w:sz w:val="24"/>
          <w:szCs w:val="24"/>
        </w:rPr>
        <w:t>for</w:t>
      </w:r>
      <w:proofErr w:type="spellEnd"/>
      <w:r w:rsidRPr="001F61AD">
        <w:rPr>
          <w:rFonts w:ascii="Times New Roman" w:hAnsi="Times New Roman" w:cs="Times New Roman"/>
          <w:sz w:val="24"/>
          <w:szCs w:val="24"/>
        </w:rPr>
        <w:t xml:space="preserve"> </w:t>
      </w:r>
      <w:proofErr w:type="spellStart"/>
      <w:r w:rsidRPr="001F61AD">
        <w:rPr>
          <w:rFonts w:ascii="Times New Roman" w:hAnsi="Times New Roman" w:cs="Times New Roman"/>
          <w:sz w:val="24"/>
          <w:szCs w:val="24"/>
        </w:rPr>
        <w:t>Nursing</w:t>
      </w:r>
      <w:proofErr w:type="spellEnd"/>
      <w:r w:rsidRPr="001F61AD">
        <w:rPr>
          <w:rFonts w:ascii="Times New Roman" w:hAnsi="Times New Roman" w:cs="Times New Roman"/>
          <w:sz w:val="24"/>
          <w:szCs w:val="24"/>
        </w:rPr>
        <w:t xml:space="preserve"> </w:t>
      </w:r>
      <w:proofErr w:type="spellStart"/>
      <w:r w:rsidRPr="001F61AD">
        <w:rPr>
          <w:rFonts w:ascii="Times New Roman" w:hAnsi="Times New Roman" w:cs="Times New Roman"/>
          <w:sz w:val="24"/>
          <w:szCs w:val="24"/>
        </w:rPr>
        <w:t>Students</w:t>
      </w:r>
      <w:proofErr w:type="spellEnd"/>
    </w:p>
    <w:p w14:paraId="3DEAF625" w14:textId="6C666973" w:rsidR="00267A46" w:rsidRPr="001F61AD" w:rsidRDefault="00267A46" w:rsidP="00162746">
      <w:pPr>
        <w:shd w:val="clear" w:color="auto" w:fill="FFFFFF" w:themeFill="background1"/>
        <w:rPr>
          <w:rFonts w:ascii="Times New Roman" w:hAnsi="Times New Roman" w:cs="Times New Roman"/>
          <w:sz w:val="24"/>
          <w:szCs w:val="24"/>
        </w:rPr>
      </w:pPr>
    </w:p>
    <w:p w14:paraId="2FE85644" w14:textId="77777777" w:rsidR="00E7044C" w:rsidRPr="001F61AD" w:rsidRDefault="00E7044C" w:rsidP="00162746">
      <w:pPr>
        <w:shd w:val="clear" w:color="auto" w:fill="FFFFFF" w:themeFill="background1"/>
        <w:rPr>
          <w:rFonts w:ascii="Times New Roman" w:hAnsi="Times New Roman" w:cs="Times New Roman"/>
          <w:sz w:val="24"/>
          <w:szCs w:val="24"/>
        </w:rPr>
      </w:pPr>
    </w:p>
    <w:p w14:paraId="665E7E48" w14:textId="7CAC03A6" w:rsidR="00162746" w:rsidRPr="001F61AD" w:rsidRDefault="00267A46" w:rsidP="00162746">
      <w:pPr>
        <w:shd w:val="clear" w:color="auto" w:fill="FFFFFF" w:themeFill="background1"/>
        <w:jc w:val="both"/>
        <w:rPr>
          <w:rFonts w:ascii="Times New Roman" w:hAnsi="Times New Roman" w:cs="Times New Roman"/>
          <w:sz w:val="24"/>
          <w:szCs w:val="24"/>
        </w:rPr>
      </w:pPr>
      <w:r w:rsidRPr="001F61AD">
        <w:rPr>
          <w:rFonts w:ascii="Times New Roman" w:hAnsi="Times New Roman" w:cs="Times New Roman"/>
          <w:b/>
          <w:bCs/>
          <w:sz w:val="24"/>
          <w:szCs w:val="24"/>
        </w:rPr>
        <w:t>Ölçek Değerlendirme:</w:t>
      </w:r>
      <w:r w:rsidR="00E7044C" w:rsidRPr="001F61AD">
        <w:rPr>
          <w:rFonts w:ascii="Times New Roman" w:hAnsi="Times New Roman" w:cs="Times New Roman"/>
          <w:b/>
          <w:bCs/>
          <w:sz w:val="24"/>
          <w:szCs w:val="24"/>
        </w:rPr>
        <w:t xml:space="preserve"> </w:t>
      </w:r>
      <w:r w:rsidR="00E7044C" w:rsidRPr="001F61AD">
        <w:rPr>
          <w:rFonts w:ascii="Times New Roman" w:hAnsi="Times New Roman" w:cs="Times New Roman"/>
          <w:bCs/>
          <w:sz w:val="24"/>
          <w:szCs w:val="24"/>
        </w:rPr>
        <w:t>Ölçek toplamda 24 madde ve 4 alt boyutludur. Ölçek alt boyutları 1-9 madde arası</w:t>
      </w:r>
      <w:r w:rsidR="001F61AD" w:rsidRPr="001F61AD">
        <w:rPr>
          <w:rFonts w:ascii="Times New Roman" w:hAnsi="Times New Roman" w:cs="Times New Roman"/>
          <w:bCs/>
          <w:i/>
          <w:iCs/>
          <w:sz w:val="24"/>
          <w:szCs w:val="24"/>
        </w:rPr>
        <w:t xml:space="preserve"> Eğitim</w:t>
      </w:r>
      <w:r w:rsidR="00E7044C" w:rsidRPr="001F61AD">
        <w:rPr>
          <w:rFonts w:ascii="Times New Roman" w:hAnsi="Times New Roman" w:cs="Times New Roman"/>
          <w:bCs/>
          <w:sz w:val="24"/>
          <w:szCs w:val="24"/>
        </w:rPr>
        <w:t xml:space="preserve">, 10-14 madde arası </w:t>
      </w:r>
      <w:r w:rsidR="001F61AD" w:rsidRPr="001F61AD">
        <w:rPr>
          <w:rFonts w:ascii="Times New Roman" w:hAnsi="Times New Roman" w:cs="Times New Roman"/>
          <w:bCs/>
          <w:i/>
          <w:iCs/>
          <w:sz w:val="24"/>
          <w:szCs w:val="24"/>
        </w:rPr>
        <w:t>Teknoloji</w:t>
      </w:r>
      <w:r w:rsidR="00E7044C" w:rsidRPr="001F61AD">
        <w:rPr>
          <w:rFonts w:ascii="Times New Roman" w:hAnsi="Times New Roman" w:cs="Times New Roman"/>
          <w:bCs/>
          <w:sz w:val="24"/>
          <w:szCs w:val="24"/>
        </w:rPr>
        <w:t xml:space="preserve">, 15-19 madde arası </w:t>
      </w:r>
      <w:r w:rsidR="001F61AD" w:rsidRPr="001F61AD">
        <w:rPr>
          <w:rFonts w:ascii="Times New Roman" w:hAnsi="Times New Roman" w:cs="Times New Roman"/>
          <w:bCs/>
          <w:i/>
          <w:iCs/>
          <w:sz w:val="24"/>
          <w:szCs w:val="24"/>
        </w:rPr>
        <w:t>Zorluklar</w:t>
      </w:r>
      <w:r w:rsidR="00E7044C" w:rsidRPr="001F61AD">
        <w:rPr>
          <w:rFonts w:ascii="Times New Roman" w:hAnsi="Times New Roman" w:cs="Times New Roman"/>
          <w:bCs/>
          <w:sz w:val="24"/>
          <w:szCs w:val="24"/>
        </w:rPr>
        <w:t xml:space="preserve"> ve 20-24 madde arası </w:t>
      </w:r>
      <w:r w:rsidR="001F61AD" w:rsidRPr="001F61AD">
        <w:rPr>
          <w:rFonts w:ascii="Times New Roman" w:hAnsi="Times New Roman" w:cs="Times New Roman"/>
          <w:bCs/>
          <w:i/>
          <w:iCs/>
          <w:sz w:val="24"/>
          <w:szCs w:val="24"/>
        </w:rPr>
        <w:t xml:space="preserve">Yaşam </w:t>
      </w:r>
      <w:proofErr w:type="spellStart"/>
      <w:r w:rsidR="001F61AD" w:rsidRPr="001F61AD">
        <w:rPr>
          <w:rFonts w:ascii="Times New Roman" w:hAnsi="Times New Roman" w:cs="Times New Roman"/>
          <w:bCs/>
          <w:i/>
          <w:iCs/>
          <w:sz w:val="24"/>
          <w:szCs w:val="24"/>
        </w:rPr>
        <w:t>Biçimi</w:t>
      </w:r>
      <w:r w:rsidR="001F61AD">
        <w:rPr>
          <w:rFonts w:ascii="Times New Roman" w:hAnsi="Times New Roman" w:cs="Times New Roman"/>
          <w:bCs/>
          <w:i/>
          <w:iCs/>
          <w:sz w:val="24"/>
          <w:szCs w:val="24"/>
        </w:rPr>
        <w:t>’</w:t>
      </w:r>
      <w:r w:rsidR="001F61AD" w:rsidRPr="001F61AD">
        <w:rPr>
          <w:rFonts w:ascii="Times New Roman" w:hAnsi="Times New Roman" w:cs="Times New Roman"/>
          <w:bCs/>
          <w:sz w:val="24"/>
          <w:szCs w:val="24"/>
        </w:rPr>
        <w:t>dir</w:t>
      </w:r>
      <w:proofErr w:type="spellEnd"/>
      <w:r w:rsidR="00E7044C" w:rsidRPr="001F61AD">
        <w:rPr>
          <w:rFonts w:ascii="Times New Roman" w:hAnsi="Times New Roman" w:cs="Times New Roman"/>
          <w:bCs/>
          <w:sz w:val="24"/>
          <w:szCs w:val="24"/>
        </w:rPr>
        <w:t xml:space="preserve">. Ölçek puanlaması </w:t>
      </w:r>
      <w:r w:rsidR="001F61AD">
        <w:rPr>
          <w:rFonts w:ascii="Times New Roman" w:hAnsi="Times New Roman" w:cs="Times New Roman"/>
          <w:bCs/>
          <w:sz w:val="24"/>
          <w:szCs w:val="24"/>
        </w:rPr>
        <w:t xml:space="preserve">5’li </w:t>
      </w:r>
      <w:proofErr w:type="spellStart"/>
      <w:r w:rsidR="00E7044C" w:rsidRPr="001F61AD">
        <w:rPr>
          <w:rFonts w:ascii="Times New Roman" w:hAnsi="Times New Roman" w:cs="Times New Roman"/>
          <w:bCs/>
          <w:sz w:val="24"/>
          <w:szCs w:val="24"/>
        </w:rPr>
        <w:t>Likert</w:t>
      </w:r>
      <w:proofErr w:type="spellEnd"/>
      <w:r w:rsidR="00E7044C" w:rsidRPr="001F61AD">
        <w:rPr>
          <w:rFonts w:ascii="Times New Roman" w:hAnsi="Times New Roman" w:cs="Times New Roman"/>
          <w:bCs/>
          <w:sz w:val="24"/>
          <w:szCs w:val="24"/>
        </w:rPr>
        <w:t xml:space="preserve"> tipinde olup “1-Kesinlikle Katılmıyorum, 2-Katılmıyorum, 3-Kararsızım, 4-Katılıyorum, 5-Kesinlikle Katılıyorum” şeklindedir. </w:t>
      </w:r>
      <w:r w:rsidR="00E7044C" w:rsidRPr="001F61AD">
        <w:rPr>
          <w:rFonts w:ascii="Times New Roman" w:hAnsi="Times New Roman" w:cs="Times New Roman"/>
          <w:sz w:val="24"/>
          <w:szCs w:val="24"/>
        </w:rPr>
        <w:t xml:space="preserve">Ölçekten alınan yüksek puan </w:t>
      </w:r>
      <w:proofErr w:type="spellStart"/>
      <w:r w:rsidR="00E7044C" w:rsidRPr="001F61AD">
        <w:rPr>
          <w:rFonts w:ascii="Times New Roman" w:hAnsi="Times New Roman" w:cs="Times New Roman"/>
          <w:sz w:val="24"/>
          <w:szCs w:val="24"/>
        </w:rPr>
        <w:t>Metaverse</w:t>
      </w:r>
      <w:proofErr w:type="spellEnd"/>
      <w:r w:rsidR="00E7044C" w:rsidRPr="001F61AD">
        <w:rPr>
          <w:rFonts w:ascii="Times New Roman" w:hAnsi="Times New Roman" w:cs="Times New Roman"/>
          <w:sz w:val="24"/>
          <w:szCs w:val="24"/>
        </w:rPr>
        <w:t xml:space="preserve"> algısının yüksek olduğunu göstermektedir.</w:t>
      </w:r>
      <w:r w:rsidR="00162746" w:rsidRPr="001F61AD">
        <w:rPr>
          <w:rFonts w:ascii="Times New Roman" w:hAnsi="Times New Roman" w:cs="Times New Roman"/>
          <w:sz w:val="24"/>
          <w:szCs w:val="24"/>
        </w:rPr>
        <w:t xml:space="preserve"> Ölçek alt boyutlarından zorluklar alt boyutu için ortalama puan hesaplanırken ters kodlama yapılmıştır. Genel ölçek için ortalama puan ters kodlama yapılmadan hesaplanmıştır. Ölçek geneli Cronbach Alpha değeri 0,955’dir. Ölçek alt boyutlarında 0,930 ile 0,955 arasında değişmektedir.</w:t>
      </w:r>
    </w:p>
    <w:p w14:paraId="51AC5864" w14:textId="5BC7CBD8" w:rsidR="00162746" w:rsidRPr="001F61AD" w:rsidRDefault="00162746" w:rsidP="00162746">
      <w:pPr>
        <w:shd w:val="clear" w:color="auto" w:fill="FFFFFF" w:themeFill="background1"/>
        <w:jc w:val="both"/>
        <w:rPr>
          <w:rFonts w:ascii="Times New Roman" w:hAnsi="Times New Roman" w:cs="Times New Roman"/>
          <w:sz w:val="24"/>
          <w:szCs w:val="24"/>
        </w:rPr>
      </w:pPr>
    </w:p>
    <w:p w14:paraId="3F0200D6" w14:textId="6BED8B07" w:rsidR="00515D7E" w:rsidRPr="00515D7E" w:rsidRDefault="00515D7E" w:rsidP="00515D7E">
      <w:pPr>
        <w:shd w:val="clear" w:color="auto" w:fill="FFFFFF" w:themeFill="background1"/>
        <w:jc w:val="both"/>
        <w:rPr>
          <w:rFonts w:ascii="Times New Roman" w:hAnsi="Times New Roman" w:cs="Times New Roman"/>
          <w:sz w:val="24"/>
          <w:szCs w:val="24"/>
        </w:rPr>
      </w:pPr>
      <w:r w:rsidRPr="00515D7E">
        <w:rPr>
          <w:rFonts w:ascii="Times New Roman" w:hAnsi="Times New Roman" w:cs="Times New Roman"/>
          <w:b/>
          <w:bCs/>
          <w:sz w:val="24"/>
          <w:szCs w:val="24"/>
        </w:rPr>
        <w:t>Atıf için: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15D7E">
        <w:rPr>
          <w:rFonts w:ascii="Times New Roman" w:hAnsi="Times New Roman" w:cs="Times New Roman"/>
          <w:noProof/>
          <w:kern w:val="0"/>
          <w:sz w:val="24"/>
        </w:rPr>
        <w:t xml:space="preserve">Yıldırım, T. Ö., &amp; Karaman, M. (2024). Development and validation of the metaverse perception scale for nursing students. </w:t>
      </w:r>
      <w:r w:rsidRPr="00515D7E">
        <w:rPr>
          <w:rFonts w:ascii="Times New Roman" w:hAnsi="Times New Roman" w:cs="Times New Roman"/>
          <w:i/>
          <w:iCs/>
          <w:noProof/>
          <w:kern w:val="0"/>
          <w:sz w:val="24"/>
        </w:rPr>
        <w:t>Nurse Education in Practice</w:t>
      </w:r>
      <w:r w:rsidRPr="00515D7E">
        <w:rPr>
          <w:rFonts w:ascii="Times New Roman" w:hAnsi="Times New Roman" w:cs="Times New Roman"/>
          <w:noProof/>
          <w:kern w:val="0"/>
          <w:sz w:val="24"/>
        </w:rPr>
        <w:t xml:space="preserve">, </w:t>
      </w:r>
      <w:r w:rsidRPr="00515D7E">
        <w:rPr>
          <w:rFonts w:ascii="Times New Roman" w:hAnsi="Times New Roman" w:cs="Times New Roman"/>
          <w:i/>
          <w:iCs/>
          <w:noProof/>
          <w:kern w:val="0"/>
          <w:sz w:val="24"/>
        </w:rPr>
        <w:t>79</w:t>
      </w:r>
      <w:r w:rsidRPr="00515D7E">
        <w:rPr>
          <w:rFonts w:ascii="Times New Roman" w:hAnsi="Times New Roman" w:cs="Times New Roman"/>
          <w:noProof/>
          <w:kern w:val="0"/>
          <w:sz w:val="24"/>
        </w:rPr>
        <w:t>, 104061. https://doi.org/10.1016/j.nepr.2024.104061</w:t>
      </w:r>
      <w:r>
        <w:rPr>
          <w:rFonts w:ascii="Times New Roman" w:hAnsi="Times New Roman" w:cs="Times New Roman"/>
          <w:noProof/>
          <w:kern w:val="0"/>
          <w:sz w:val="24"/>
        </w:rPr>
        <w:t xml:space="preserve"> </w:t>
      </w:r>
    </w:p>
    <w:p w14:paraId="5F7D43FF" w14:textId="307D05D6" w:rsidR="00515D7E" w:rsidRPr="001F61AD" w:rsidRDefault="00515D7E" w:rsidP="0016274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15D7E" w:rsidRPr="001F61AD" w:rsidSect="00FB230F">
      <w:pgSz w:w="11906" w:h="16838" w:code="9"/>
      <w:pgMar w:top="1417" w:right="1418"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14DB3"/>
    <w:multiLevelType w:val="hybridMultilevel"/>
    <w:tmpl w:val="3FD8C6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227FCE"/>
    <w:multiLevelType w:val="hybridMultilevel"/>
    <w:tmpl w:val="BDB8AE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BA"/>
    <w:rsid w:val="000C46D5"/>
    <w:rsid w:val="00162746"/>
    <w:rsid w:val="001F61AD"/>
    <w:rsid w:val="0022529E"/>
    <w:rsid w:val="00267A46"/>
    <w:rsid w:val="003C1232"/>
    <w:rsid w:val="00495522"/>
    <w:rsid w:val="00515D7E"/>
    <w:rsid w:val="00534610"/>
    <w:rsid w:val="005A2F8F"/>
    <w:rsid w:val="00670CE1"/>
    <w:rsid w:val="007147BA"/>
    <w:rsid w:val="00A6318C"/>
    <w:rsid w:val="00B37F62"/>
    <w:rsid w:val="00D13C6C"/>
    <w:rsid w:val="00DD3EF6"/>
    <w:rsid w:val="00E2771A"/>
    <w:rsid w:val="00E7044C"/>
    <w:rsid w:val="00EC7858"/>
    <w:rsid w:val="00F01C59"/>
    <w:rsid w:val="00FB2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A847"/>
  <w15:docId w15:val="{3236D50B-2C5E-46FA-AF41-2B0FC3E7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BA"/>
    <w:pPr>
      <w:spacing w:after="160" w:line="259" w:lineRule="auto"/>
    </w:pPr>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47BA"/>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3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8155-E4FA-4BB2-84F5-732EAE59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Lenova</dc:creator>
  <cp:lastModifiedBy>Lenova</cp:lastModifiedBy>
  <cp:revision>2</cp:revision>
  <dcterms:created xsi:type="dcterms:W3CDTF">2024-07-25T15:29:00Z</dcterms:created>
  <dcterms:modified xsi:type="dcterms:W3CDTF">2024-07-25T15:29:00Z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http://www.zotero.org/styles/bmc-nursing</vt:lpwstr>
  </property>
  <property fmtid="{D5CDD505-2E9C-101B-9397-08002B2CF9AE}" pid="7" name="Mendeley Recent Style Name 2_1">
    <vt:lpwstr>BMC Nursing</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http://www.zotero.org/styles/world-journal-of-psychiatry</vt:lpwstr>
  </property>
  <property fmtid="{D5CDD505-2E9C-101B-9397-08002B2CF9AE}" pid="21" name="Mendeley Recent Style Name 9_1">
    <vt:lpwstr>World Journal of Psychiatry</vt:lpwstr>
  </property>
  <property fmtid="{D5CDD505-2E9C-101B-9397-08002B2CF9AE}" pid="22" name="Mendeley Document_1">
    <vt:lpwstr>True</vt:lpwstr>
  </property>
  <property fmtid="{D5CDD505-2E9C-101B-9397-08002B2CF9AE}" pid="23" name="Mendeley Unique User Id_1">
    <vt:lpwstr>c514216d-708c-3852-8d9b-65d3f121e637</vt:lpwstr>
  </property>
  <property fmtid="{D5CDD505-2E9C-101B-9397-08002B2CF9AE}" pid="24" name="Mendeley Citation Style_1">
    <vt:lpwstr>http://www.zotero.org/styles/apa</vt:lpwstr>
  </property>
</Properties>
</file>