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1" w:rsidRPr="00FF19D9" w:rsidRDefault="00BE74F1" w:rsidP="00BE7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D9">
        <w:rPr>
          <w:rFonts w:ascii="Times New Roman" w:hAnsi="Times New Roman" w:cs="Times New Roman"/>
          <w:b/>
          <w:sz w:val="24"/>
          <w:szCs w:val="24"/>
        </w:rPr>
        <w:t xml:space="preserve">Episiotomy 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Self-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Efficacy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Scale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(ESSES): Development 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Psychometric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</w:p>
    <w:p w:rsidR="00BE74F1" w:rsidRPr="00FF19D9" w:rsidRDefault="00BE74F1" w:rsidP="00BE74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19D9">
        <w:rPr>
          <w:rFonts w:ascii="Times New Roman" w:hAnsi="Times New Roman" w:cs="Times New Roman"/>
          <w:b/>
          <w:sz w:val="24"/>
          <w:szCs w:val="24"/>
        </w:rPr>
        <w:t>Epizyotomi</w:t>
      </w:r>
      <w:proofErr w:type="spellEnd"/>
      <w:r w:rsidRPr="00FF19D9">
        <w:rPr>
          <w:rFonts w:ascii="Times New Roman" w:hAnsi="Times New Roman" w:cs="Times New Roman"/>
          <w:b/>
          <w:sz w:val="24"/>
          <w:szCs w:val="24"/>
        </w:rPr>
        <w:t xml:space="preserve"> Becerileri Öz Yeterlilik Ölçeği</w:t>
      </w:r>
    </w:p>
    <w:tbl>
      <w:tblPr>
        <w:tblStyle w:val="TabloKlavuzu"/>
        <w:tblW w:w="1459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44"/>
        <w:gridCol w:w="6203"/>
        <w:gridCol w:w="1737"/>
        <w:gridCol w:w="1737"/>
        <w:gridCol w:w="1737"/>
        <w:gridCol w:w="1738"/>
      </w:tblGrid>
      <w:tr w:rsidR="00BE74F1" w:rsidRPr="00FF19D9" w:rsidTr="00FF19D9">
        <w:trPr>
          <w:cantSplit/>
          <w:trHeight w:val="758"/>
        </w:trPr>
        <w:tc>
          <w:tcPr>
            <w:tcW w:w="1444" w:type="dxa"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D9">
              <w:rPr>
                <w:rFonts w:ascii="Times New Roman" w:hAnsi="Times New Roman" w:cs="Times New Roman"/>
                <w:b/>
                <w:sz w:val="24"/>
                <w:szCs w:val="24"/>
              </w:rPr>
              <w:t>Ölçek Maddeleri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Kesinlikle katılmıyorum</w:t>
            </w:r>
          </w:p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(1)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Katılmıyorum</w:t>
            </w:r>
          </w:p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(2)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Katılıyorum</w:t>
            </w:r>
          </w:p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FF19D9">
              <w:rPr>
                <w:b/>
                <w:sz w:val="24"/>
                <w:szCs w:val="24"/>
                <w:lang w:val="tr-TR"/>
              </w:rPr>
              <w:t>(3)</w:t>
            </w: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Kesinlikle katılıyorum</w:t>
            </w:r>
          </w:p>
          <w:p w:rsidR="00BE74F1" w:rsidRPr="00FF19D9" w:rsidRDefault="00BE74F1" w:rsidP="008046F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tr-TR"/>
              </w:rPr>
            </w:pPr>
            <w:r w:rsidRPr="00FF19D9">
              <w:rPr>
                <w:b/>
                <w:sz w:val="24"/>
                <w:szCs w:val="24"/>
                <w:lang w:val="tr-TR"/>
              </w:rPr>
              <w:t>(4)</w:t>
            </w:r>
          </w:p>
        </w:tc>
      </w:tr>
      <w:tr w:rsidR="00BE74F1" w:rsidRPr="00FF19D9" w:rsidTr="00FF19D9">
        <w:trPr>
          <w:trHeight w:val="329"/>
        </w:trPr>
        <w:tc>
          <w:tcPr>
            <w:tcW w:w="1444" w:type="dxa"/>
            <w:vMerge w:val="restart"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D9">
              <w:rPr>
                <w:rFonts w:ascii="Times New Roman" w:hAnsi="Times New Roman" w:cs="Times New Roman"/>
                <w:b/>
                <w:sz w:val="24"/>
                <w:szCs w:val="24"/>
              </w:rPr>
              <w:t>Epizyotomi</w:t>
            </w:r>
            <w:proofErr w:type="spellEnd"/>
            <w:r w:rsidRPr="00FF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Hazırlık Ve Uygulama</w:t>
            </w: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lang w:eastAsia="ar-SA"/>
              </w:rPr>
              <w:t xml:space="preserve">Doğum eyleminin ilerleyişine göre </w:t>
            </w:r>
            <w:proofErr w:type="spellStart"/>
            <w:r w:rsidRPr="00FF19D9">
              <w:rPr>
                <w:lang w:eastAsia="ar-SA"/>
              </w:rPr>
              <w:t>epizyotomi</w:t>
            </w:r>
            <w:proofErr w:type="spellEnd"/>
            <w:r w:rsidRPr="00FF19D9">
              <w:rPr>
                <w:lang w:eastAsia="ar-SA"/>
              </w:rPr>
              <w:t xml:space="preserve"> açılıp açılmayacağına karar verebilirim.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 xml:space="preserve">Fetüsün gelen kısmı </w:t>
            </w:r>
            <w:proofErr w:type="spellStart"/>
            <w:r w:rsidRPr="00FF19D9">
              <w:t>perineye</w:t>
            </w:r>
            <w:proofErr w:type="spellEnd"/>
            <w:r w:rsidRPr="00FF19D9">
              <w:t xml:space="preserve"> dayanınca, </w:t>
            </w:r>
            <w:proofErr w:type="spellStart"/>
            <w:r w:rsidRPr="00FF19D9">
              <w:t>insizyon</w:t>
            </w:r>
            <w:proofErr w:type="spellEnd"/>
            <w:r w:rsidRPr="00FF19D9">
              <w:t xml:space="preserve"> yapılacak </w:t>
            </w:r>
            <w:proofErr w:type="spellStart"/>
            <w:r w:rsidRPr="00FF19D9">
              <w:t>perineal</w:t>
            </w:r>
            <w:proofErr w:type="spellEnd"/>
            <w:r w:rsidRPr="00FF19D9">
              <w:t xml:space="preserve"> bölgeye </w:t>
            </w:r>
            <w:proofErr w:type="gramStart"/>
            <w:r w:rsidRPr="00FF19D9">
              <w:t>lokal</w:t>
            </w:r>
            <w:proofErr w:type="gramEnd"/>
            <w:r w:rsidRPr="00FF19D9">
              <w:t xml:space="preserve"> </w:t>
            </w:r>
            <w:proofErr w:type="spellStart"/>
            <w:r w:rsidRPr="00FF19D9">
              <w:t>anestezik</w:t>
            </w:r>
            <w:proofErr w:type="spellEnd"/>
            <w:r w:rsidRPr="00FF19D9">
              <w:t xml:space="preserve"> ilaç uygulayabilirim.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2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FF19D9">
              <w:rPr>
                <w:lang w:eastAsia="ar-SA"/>
              </w:rPr>
              <w:t>Epizyotomiyi</w:t>
            </w:r>
            <w:proofErr w:type="spellEnd"/>
            <w:r w:rsidRPr="00FF19D9">
              <w:rPr>
                <w:lang w:eastAsia="ar-SA"/>
              </w:rPr>
              <w:t xml:space="preserve"> açmak için </w:t>
            </w:r>
            <w:r w:rsidRPr="00FF19D9">
              <w:t xml:space="preserve">fetüsün gelen kısmı taçlanana kadar </w:t>
            </w:r>
            <w:r w:rsidRPr="00FF19D9">
              <w:rPr>
                <w:lang w:eastAsia="ar-SA"/>
              </w:rPr>
              <w:t xml:space="preserve">bekleyebilirim (gelen kısım </w:t>
            </w:r>
            <w:proofErr w:type="spellStart"/>
            <w:r w:rsidRPr="00FF19D9">
              <w:rPr>
                <w:lang w:eastAsia="ar-SA"/>
              </w:rPr>
              <w:t>perineden</w:t>
            </w:r>
            <w:proofErr w:type="spellEnd"/>
            <w:r w:rsidRPr="00FF19D9">
              <w:rPr>
                <w:lang w:eastAsia="ar-SA"/>
              </w:rPr>
              <w:t xml:space="preserve"> 3-4 cm görülene kadar).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96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rFonts w:eastAsia="Arial"/>
                <w:iCs/>
              </w:rPr>
              <w:t xml:space="preserve">Fetüsü korumak için, bir elin işaret ve orta parmağını </w:t>
            </w:r>
            <w:r w:rsidRPr="00FF19D9">
              <w:t xml:space="preserve">gelen kısım </w:t>
            </w:r>
            <w:r w:rsidRPr="00FF19D9">
              <w:rPr>
                <w:rFonts w:eastAsia="Arial"/>
                <w:iCs/>
              </w:rPr>
              <w:t xml:space="preserve">ile vajina arasına yerleştirerek </w:t>
            </w:r>
            <w:r w:rsidRPr="00FF19D9">
              <w:t>gelen kısmı</w:t>
            </w:r>
            <w:r w:rsidRPr="00FF19D9">
              <w:rPr>
                <w:rFonts w:eastAsia="Arial"/>
                <w:iCs/>
              </w:rPr>
              <w:t xml:space="preserve"> koruyabilirim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FF19D9">
              <w:rPr>
                <w:lang w:eastAsia="ar-SA"/>
              </w:rPr>
              <w:t>Kontraksiyon</w:t>
            </w:r>
            <w:proofErr w:type="spellEnd"/>
            <w:r w:rsidRPr="00FF19D9">
              <w:rPr>
                <w:lang w:eastAsia="ar-SA"/>
              </w:rPr>
              <w:t xml:space="preserve"> anında iki parmağımı yerleştirdiğim alanı, makası sabitleyerek tek bir hamlede kesebilirim.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lang w:eastAsia="ar-SA"/>
              </w:rPr>
              <w:t xml:space="preserve">Doğum gerçekleştikten sonra </w:t>
            </w:r>
            <w:proofErr w:type="spellStart"/>
            <w:r w:rsidRPr="00FF19D9">
              <w:rPr>
                <w:lang w:eastAsia="ar-SA"/>
              </w:rPr>
              <w:t>insizyon</w:t>
            </w:r>
            <w:proofErr w:type="spellEnd"/>
            <w:r w:rsidRPr="00FF19D9">
              <w:rPr>
                <w:lang w:eastAsia="ar-SA"/>
              </w:rPr>
              <w:t xml:space="preserve"> alanı dışında </w:t>
            </w:r>
            <w:proofErr w:type="spellStart"/>
            <w:r w:rsidRPr="00FF19D9">
              <w:rPr>
                <w:lang w:eastAsia="ar-SA"/>
              </w:rPr>
              <w:t>laserasyon</w:t>
            </w:r>
            <w:proofErr w:type="spellEnd"/>
            <w:r w:rsidRPr="00FF19D9">
              <w:rPr>
                <w:lang w:eastAsia="ar-SA"/>
              </w:rPr>
              <w:t xml:space="preserve"> ve yırtık olup olmadığını kontrol ederim.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247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FF19D9">
              <w:t>Epizyotomi</w:t>
            </w:r>
            <w:proofErr w:type="spellEnd"/>
            <w:r w:rsidRPr="00FF19D9">
              <w:t xml:space="preserve"> onarımına başlamadan önce </w:t>
            </w:r>
            <w:proofErr w:type="spellStart"/>
            <w:r w:rsidRPr="00FF19D9">
              <w:t>insizyon</w:t>
            </w:r>
            <w:proofErr w:type="spellEnd"/>
            <w:r w:rsidRPr="00FF19D9">
              <w:t xml:space="preserve"> alanına yeniden </w:t>
            </w:r>
            <w:proofErr w:type="spellStart"/>
            <w:r w:rsidRPr="00FF19D9">
              <w:t>anestezik</w:t>
            </w:r>
            <w:proofErr w:type="spellEnd"/>
            <w:r w:rsidRPr="00FF19D9">
              <w:t xml:space="preserve"> madde uygulayabilirim.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43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FF19D9">
              <w:rPr>
                <w:w w:val="108"/>
              </w:rPr>
              <w:t>İnsizyonun</w:t>
            </w:r>
            <w:proofErr w:type="spellEnd"/>
            <w:r w:rsidRPr="00FF19D9">
              <w:rPr>
                <w:w w:val="108"/>
              </w:rPr>
              <w:t xml:space="preserve"> </w:t>
            </w:r>
            <w:proofErr w:type="spellStart"/>
            <w:r w:rsidRPr="00FF19D9">
              <w:rPr>
                <w:w w:val="108"/>
              </w:rPr>
              <w:t>vajen</w:t>
            </w:r>
            <w:proofErr w:type="spellEnd"/>
            <w:r w:rsidRPr="00FF19D9">
              <w:rPr>
                <w:w w:val="108"/>
              </w:rPr>
              <w:t xml:space="preserve"> içerisindeki tepe noktasını bulabilirim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 xml:space="preserve">Bulunan tepe noktanın 1 cm üstünden ilk </w:t>
            </w:r>
            <w:proofErr w:type="spellStart"/>
            <w:r w:rsidRPr="00FF19D9">
              <w:t>süturu</w:t>
            </w:r>
            <w:proofErr w:type="spellEnd"/>
            <w:r w:rsidRPr="00FF19D9">
              <w:t xml:space="preserve"> atabilirim.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58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>Vajina girişine kadar, vajina dokusunu devamlı (</w:t>
            </w:r>
            <w:proofErr w:type="spellStart"/>
            <w:r w:rsidRPr="00FF19D9">
              <w:t>kontinü</w:t>
            </w:r>
            <w:proofErr w:type="spellEnd"/>
            <w:r w:rsidRPr="00FF19D9">
              <w:t xml:space="preserve">) </w:t>
            </w:r>
            <w:proofErr w:type="spellStart"/>
            <w:r w:rsidRPr="00FF19D9">
              <w:t>sütur</w:t>
            </w:r>
            <w:proofErr w:type="spellEnd"/>
            <w:r w:rsidRPr="00FF19D9">
              <w:t xml:space="preserve"> tekniği ile dikebilirim.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43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rFonts w:eastAsia="Arial"/>
                <w:w w:val="105"/>
              </w:rPr>
              <w:t>Perine cildini tek tek/</w:t>
            </w:r>
            <w:r w:rsidRPr="00FF19D9">
              <w:t xml:space="preserve"> devamlı estetik (</w:t>
            </w:r>
            <w:proofErr w:type="spellStart"/>
            <w:r w:rsidRPr="00FF19D9">
              <w:t>subkütiküler</w:t>
            </w:r>
            <w:proofErr w:type="spellEnd"/>
            <w:r w:rsidRPr="00FF19D9">
              <w:t xml:space="preserve">) </w:t>
            </w:r>
            <w:proofErr w:type="spellStart"/>
            <w:r w:rsidRPr="00FF19D9">
              <w:rPr>
                <w:rFonts w:eastAsia="Arial"/>
                <w:w w:val="105"/>
              </w:rPr>
              <w:t>süturla</w:t>
            </w:r>
            <w:proofErr w:type="spellEnd"/>
            <w:r w:rsidRPr="00FF19D9">
              <w:rPr>
                <w:rFonts w:eastAsia="Arial"/>
                <w:w w:val="105"/>
              </w:rPr>
              <w:t xml:space="preserve"> onarabilirim.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225"/>
        </w:trPr>
        <w:tc>
          <w:tcPr>
            <w:tcW w:w="1444" w:type="dxa"/>
            <w:vMerge w:val="restart"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Epizyotomi</w:t>
            </w:r>
            <w:proofErr w:type="spellEnd"/>
            <w:r w:rsidRPr="00FF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</w:t>
            </w: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FF19D9">
              <w:rPr>
                <w:rFonts w:eastAsia="Arial"/>
                <w:w w:val="105"/>
              </w:rPr>
              <w:t>İnsizyon</w:t>
            </w:r>
            <w:proofErr w:type="spellEnd"/>
            <w:r w:rsidRPr="00FF19D9">
              <w:rPr>
                <w:rFonts w:eastAsia="Arial"/>
                <w:w w:val="105"/>
              </w:rPr>
              <w:t xml:space="preserve"> onarımı bittikten sonra bölgeyi kanama, </w:t>
            </w:r>
            <w:proofErr w:type="spellStart"/>
            <w:r w:rsidRPr="00FF19D9">
              <w:rPr>
                <w:rFonts w:eastAsia="Arial"/>
                <w:w w:val="105"/>
              </w:rPr>
              <w:t>hematom</w:t>
            </w:r>
            <w:proofErr w:type="spellEnd"/>
            <w:r w:rsidRPr="00FF19D9">
              <w:rPr>
                <w:rFonts w:eastAsia="Arial"/>
                <w:w w:val="105"/>
              </w:rPr>
              <w:t xml:space="preserve"> açısından kontrol edebilirim.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87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rFonts w:eastAsia="Arial"/>
                <w:w w:val="105"/>
              </w:rPr>
              <w:t xml:space="preserve">Kanama yok ise </w:t>
            </w:r>
            <w:proofErr w:type="spellStart"/>
            <w:r w:rsidRPr="00FF19D9">
              <w:rPr>
                <w:rFonts w:eastAsia="Arial"/>
                <w:w w:val="105"/>
              </w:rPr>
              <w:t>vajen</w:t>
            </w:r>
            <w:proofErr w:type="spellEnd"/>
            <w:r w:rsidRPr="00FF19D9">
              <w:rPr>
                <w:rFonts w:eastAsia="Arial"/>
                <w:w w:val="105"/>
              </w:rPr>
              <w:t xml:space="preserve"> içindeki </w:t>
            </w:r>
            <w:proofErr w:type="spellStart"/>
            <w:r w:rsidRPr="00FF19D9">
              <w:rPr>
                <w:rFonts w:eastAsia="Arial"/>
                <w:w w:val="105"/>
              </w:rPr>
              <w:t>spancı</w:t>
            </w:r>
            <w:proofErr w:type="spellEnd"/>
            <w:r w:rsidRPr="00FF19D9">
              <w:rPr>
                <w:rFonts w:eastAsia="Arial"/>
                <w:w w:val="105"/>
              </w:rPr>
              <w:t>/tamponu çıkarırım.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805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rPr>
                <w:rFonts w:eastAsia="Arial"/>
                <w:iCs/>
              </w:rPr>
              <w:t>Perine bölgesini antiseptik solüsyon ile temizleyebilirim.</w:t>
            </w:r>
            <w:r w:rsidRPr="00FF19D9">
              <w:rPr>
                <w:rFonts w:eastAsia="Arial"/>
                <w:iCs/>
              </w:rPr>
              <w:tab/>
            </w:r>
            <w:r w:rsidRPr="00FF19D9">
              <w:rPr>
                <w:rFonts w:eastAsia="Arial"/>
                <w:iCs/>
              </w:rPr>
              <w:tab/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343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>Tüm işlemleri yaparken aseptik kurallara dikkat edebilirim.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59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 xml:space="preserve">Kadına </w:t>
            </w:r>
            <w:proofErr w:type="spellStart"/>
            <w:r w:rsidRPr="00FF19D9">
              <w:t>epizyotomi</w:t>
            </w:r>
            <w:proofErr w:type="spellEnd"/>
            <w:r w:rsidRPr="00FF19D9">
              <w:t xml:space="preserve"> bakımı ve tehlike belirtileri hakkında bilgi verebilirim. 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BE74F1">
            <w:pPr>
              <w:pStyle w:val="ListeParagraf"/>
              <w:numPr>
                <w:ilvl w:val="0"/>
                <w:numId w:val="1"/>
              </w:numPr>
            </w:pPr>
            <w:r w:rsidRPr="00FF19D9">
              <w:t>Malzemeleri sayarak tam olup olmadığını değerlendirebilirim.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FF19D9">
              <w:rPr>
                <w:rFonts w:ascii="Times New Roman" w:hAnsi="Times New Roman" w:cs="Times New Roman"/>
                <w:sz w:val="24"/>
                <w:szCs w:val="24"/>
              </w:rPr>
              <w:t>Epizyotomi</w:t>
            </w:r>
            <w:proofErr w:type="spellEnd"/>
            <w:r w:rsidRPr="00FF19D9">
              <w:rPr>
                <w:rFonts w:ascii="Times New Roman" w:hAnsi="Times New Roman" w:cs="Times New Roman"/>
                <w:sz w:val="24"/>
                <w:szCs w:val="24"/>
              </w:rPr>
              <w:t xml:space="preserve"> işleminde kullanılan malzemelerin niteliklerine göre uygun şekilde atık kontrolünü sağlayabilirim.  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7"/>
              <w:rPr>
                <w:sz w:val="24"/>
                <w:szCs w:val="24"/>
                <w:lang w:val="tr-TR"/>
              </w:rPr>
            </w:pPr>
          </w:p>
        </w:tc>
      </w:tr>
      <w:tr w:rsidR="00BE74F1" w:rsidRPr="00FF19D9" w:rsidTr="00FF19D9">
        <w:trPr>
          <w:trHeight w:val="674"/>
        </w:trPr>
        <w:tc>
          <w:tcPr>
            <w:tcW w:w="1444" w:type="dxa"/>
            <w:vMerge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E74F1" w:rsidRPr="00FF19D9" w:rsidRDefault="00BE74F1" w:rsidP="0080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FF19D9">
              <w:rPr>
                <w:rFonts w:ascii="Times New Roman" w:hAnsi="Times New Roman" w:cs="Times New Roman"/>
                <w:sz w:val="24"/>
                <w:szCs w:val="24"/>
              </w:rPr>
              <w:t>Epizyotomi</w:t>
            </w:r>
            <w:proofErr w:type="spellEnd"/>
            <w:r w:rsidRPr="00FF19D9">
              <w:rPr>
                <w:rFonts w:ascii="Times New Roman" w:hAnsi="Times New Roman" w:cs="Times New Roman"/>
                <w:sz w:val="24"/>
                <w:szCs w:val="24"/>
              </w:rPr>
              <w:t xml:space="preserve"> işlemi ile ilgili bilgileri hasta dosyasına kayıt edebilirim.</w:t>
            </w: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  <w:shd w:val="clear" w:color="auto" w:fill="auto"/>
          </w:tcPr>
          <w:p w:rsidR="00BE74F1" w:rsidRPr="00FF19D9" w:rsidRDefault="00BE74F1" w:rsidP="008046FB">
            <w:pPr>
              <w:pStyle w:val="TableParagraph"/>
              <w:spacing w:line="233" w:lineRule="exact"/>
              <w:ind w:right="96"/>
              <w:rPr>
                <w:sz w:val="24"/>
                <w:szCs w:val="24"/>
                <w:lang w:val="tr-TR"/>
              </w:rPr>
            </w:pPr>
          </w:p>
        </w:tc>
      </w:tr>
    </w:tbl>
    <w:p w:rsidR="00BE74F1" w:rsidRPr="00FF19D9" w:rsidRDefault="00BE74F1">
      <w:pPr>
        <w:rPr>
          <w:rFonts w:ascii="Times New Roman" w:hAnsi="Times New Roman" w:cs="Times New Roman"/>
          <w:sz w:val="24"/>
          <w:szCs w:val="24"/>
        </w:rPr>
      </w:pPr>
    </w:p>
    <w:p w:rsidR="00BE74F1" w:rsidRPr="00FF19D9" w:rsidRDefault="00BE74F1" w:rsidP="00BE74F1">
      <w:pPr>
        <w:jc w:val="both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b/>
          <w:sz w:val="24"/>
          <w:szCs w:val="24"/>
        </w:rPr>
        <w:t>Ölçekle İlgili Açıklama:</w:t>
      </w:r>
      <w:r w:rsidRPr="00FF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D9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FF19D9">
        <w:rPr>
          <w:rFonts w:ascii="Times New Roman" w:hAnsi="Times New Roman" w:cs="Times New Roman"/>
          <w:sz w:val="24"/>
          <w:szCs w:val="24"/>
        </w:rPr>
        <w:t xml:space="preserve"> tipi ölçekte yer alan her bir madde için “kesinlikle katılmıyorum” yanıtına “1”, “katılmıyorum” yanıtına “2”, “katılıyorum” yanıtına “3”, “kesinlikle katılıyorum” yanıtına “4” puan verilmektedir. Ölçekte ters kodlanan mad</w:t>
      </w:r>
      <w:r w:rsidR="00454B25" w:rsidRPr="00FF19D9">
        <w:rPr>
          <w:rFonts w:ascii="Times New Roman" w:hAnsi="Times New Roman" w:cs="Times New Roman"/>
          <w:sz w:val="24"/>
          <w:szCs w:val="24"/>
        </w:rPr>
        <w:t>de yoktur. Toplam puan 19 ile 76</w:t>
      </w:r>
      <w:r w:rsidRPr="00FF19D9">
        <w:rPr>
          <w:rFonts w:ascii="Times New Roman" w:hAnsi="Times New Roman" w:cs="Times New Roman"/>
          <w:sz w:val="24"/>
          <w:szCs w:val="24"/>
        </w:rPr>
        <w:t xml:space="preserve"> arasında değişmektedir. Ölçekten alınan yüksek puanlar, </w:t>
      </w:r>
      <w:proofErr w:type="spellStart"/>
      <w:r w:rsidRPr="00FF19D9">
        <w:rPr>
          <w:rFonts w:ascii="Times New Roman" w:hAnsi="Times New Roman" w:cs="Times New Roman"/>
          <w:sz w:val="24"/>
          <w:szCs w:val="24"/>
        </w:rPr>
        <w:t>epizyotomi</w:t>
      </w:r>
      <w:proofErr w:type="spellEnd"/>
      <w:r w:rsidRPr="00FF19D9">
        <w:rPr>
          <w:rFonts w:ascii="Times New Roman" w:hAnsi="Times New Roman" w:cs="Times New Roman"/>
          <w:sz w:val="24"/>
          <w:szCs w:val="24"/>
        </w:rPr>
        <w:t xml:space="preserve"> becerisine yönelik </w:t>
      </w:r>
      <w:proofErr w:type="spellStart"/>
      <w:r w:rsidRPr="00FF19D9">
        <w:rPr>
          <w:rFonts w:ascii="Times New Roman" w:hAnsi="Times New Roman" w:cs="Times New Roman"/>
          <w:sz w:val="24"/>
          <w:szCs w:val="24"/>
        </w:rPr>
        <w:t>özyeterlilik</w:t>
      </w:r>
      <w:proofErr w:type="spellEnd"/>
      <w:r w:rsidRPr="00FF19D9">
        <w:rPr>
          <w:rFonts w:ascii="Times New Roman" w:hAnsi="Times New Roman" w:cs="Times New Roman"/>
          <w:sz w:val="24"/>
          <w:szCs w:val="24"/>
        </w:rPr>
        <w:t xml:space="preserve"> düzeyinin yüksek olduğunu göstermektedir.</w:t>
      </w:r>
    </w:p>
    <w:sectPr w:rsidR="00BE74F1" w:rsidRPr="00FF19D9" w:rsidSect="00BE74F1">
      <w:pgSz w:w="16838" w:h="11906" w:orient="landscape"/>
      <w:pgMar w:top="1417" w:right="167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577A"/>
    <w:multiLevelType w:val="hybridMultilevel"/>
    <w:tmpl w:val="A33A77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1"/>
    <w:rsid w:val="004549D1"/>
    <w:rsid w:val="00454B25"/>
    <w:rsid w:val="009E3C81"/>
    <w:rsid w:val="00BE74F1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CA05-2E4A-4780-9512-5BD824A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E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74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2</cp:revision>
  <dcterms:created xsi:type="dcterms:W3CDTF">2023-12-30T10:15:00Z</dcterms:created>
  <dcterms:modified xsi:type="dcterms:W3CDTF">2023-12-30T10:15:00Z</dcterms:modified>
</cp:coreProperties>
</file>