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117" w:type="dxa"/>
        <w:tblInd w:w="108" w:type="dxa"/>
        <w:tblLook w:val="04A0" w:firstRow="1" w:lastRow="0" w:firstColumn="1" w:lastColumn="0" w:noHBand="0" w:noVBand="1"/>
      </w:tblPr>
      <w:tblGrid>
        <w:gridCol w:w="6096"/>
        <w:gridCol w:w="604"/>
        <w:gridCol w:w="604"/>
        <w:gridCol w:w="604"/>
        <w:gridCol w:w="604"/>
        <w:gridCol w:w="605"/>
      </w:tblGrid>
      <w:tr w:rsidR="001E262A" w:rsidRPr="000263B3" w:rsidTr="00F03136">
        <w:trPr>
          <w:cantSplit/>
          <w:trHeight w:val="1342"/>
        </w:trPr>
        <w:tc>
          <w:tcPr>
            <w:tcW w:w="6096" w:type="dxa"/>
            <w:vAlign w:val="center"/>
          </w:tcPr>
          <w:p w:rsidR="001E262A" w:rsidRPr="000263B3" w:rsidRDefault="001E262A" w:rsidP="00F03136">
            <w:pPr>
              <w:rPr>
                <w:rFonts w:asciiTheme="minorHAnsi" w:hAnsiTheme="minorHAnsi" w:cstheme="minorHAnsi"/>
                <w:b/>
                <w:noProof/>
                <w:lang w:val="en-US"/>
              </w:rPr>
            </w:pPr>
            <w:r w:rsidRPr="000263B3">
              <w:rPr>
                <w:rFonts w:asciiTheme="minorHAnsi" w:hAnsiTheme="minorHAnsi" w:cstheme="minorHAnsi"/>
                <w:b/>
                <w:noProof/>
                <w:lang w:val="en-US"/>
              </w:rPr>
              <w:t>Ölçek Maddeleri</w:t>
            </w:r>
          </w:p>
        </w:tc>
        <w:tc>
          <w:tcPr>
            <w:tcW w:w="604" w:type="dxa"/>
            <w:textDirection w:val="btLr"/>
            <w:vAlign w:val="center"/>
          </w:tcPr>
          <w:p w:rsidR="001E262A" w:rsidRPr="000263B3" w:rsidRDefault="001E262A" w:rsidP="00F03136">
            <w:pPr>
              <w:autoSpaceDE w:val="0"/>
              <w:autoSpaceDN w:val="0"/>
              <w:adjustRightInd w:val="0"/>
              <w:ind w:left="57" w:right="57"/>
              <w:jc w:val="both"/>
              <w:rPr>
                <w:rFonts w:asciiTheme="minorHAnsi" w:hAnsiTheme="minorHAnsi" w:cstheme="minorHAnsi"/>
                <w:b/>
                <w:noProof/>
                <w:lang w:val="en-US"/>
              </w:rPr>
            </w:pPr>
            <w:r w:rsidRPr="000263B3">
              <w:rPr>
                <w:rFonts w:asciiTheme="minorHAnsi" w:hAnsiTheme="minorHAnsi" w:cstheme="minorHAnsi"/>
                <w:b/>
                <w:noProof/>
                <w:lang w:val="en-US"/>
              </w:rPr>
              <w:t>Kesinlikle Katılmıyorum</w:t>
            </w:r>
          </w:p>
        </w:tc>
        <w:tc>
          <w:tcPr>
            <w:tcW w:w="604" w:type="dxa"/>
            <w:textDirection w:val="btLr"/>
            <w:vAlign w:val="center"/>
          </w:tcPr>
          <w:p w:rsidR="001E262A" w:rsidRPr="000263B3" w:rsidRDefault="001E262A" w:rsidP="00F03136">
            <w:pPr>
              <w:autoSpaceDE w:val="0"/>
              <w:autoSpaceDN w:val="0"/>
              <w:adjustRightInd w:val="0"/>
              <w:ind w:left="57" w:right="57"/>
              <w:jc w:val="both"/>
              <w:rPr>
                <w:rFonts w:asciiTheme="minorHAnsi" w:hAnsiTheme="minorHAnsi" w:cstheme="minorHAnsi"/>
                <w:b/>
                <w:bCs/>
                <w:noProof/>
                <w:lang w:val="en-US"/>
              </w:rPr>
            </w:pPr>
            <w:r w:rsidRPr="000263B3">
              <w:rPr>
                <w:rFonts w:asciiTheme="minorHAnsi" w:hAnsiTheme="minorHAnsi" w:cstheme="minorHAnsi"/>
                <w:b/>
                <w:noProof/>
                <w:lang w:val="en-US"/>
              </w:rPr>
              <w:t>Katılmıyorum</w:t>
            </w:r>
          </w:p>
        </w:tc>
        <w:tc>
          <w:tcPr>
            <w:tcW w:w="604" w:type="dxa"/>
            <w:textDirection w:val="btLr"/>
          </w:tcPr>
          <w:p w:rsidR="001E262A" w:rsidRPr="000263B3" w:rsidRDefault="001E262A" w:rsidP="00F03136">
            <w:pPr>
              <w:autoSpaceDE w:val="0"/>
              <w:autoSpaceDN w:val="0"/>
              <w:adjustRightInd w:val="0"/>
              <w:ind w:left="57" w:right="57"/>
              <w:jc w:val="both"/>
              <w:rPr>
                <w:rFonts w:asciiTheme="minorHAnsi" w:hAnsiTheme="minorHAnsi" w:cstheme="minorHAnsi"/>
                <w:b/>
                <w:noProof/>
                <w:lang w:val="en-US"/>
              </w:rPr>
            </w:pPr>
            <w:r w:rsidRPr="000263B3">
              <w:rPr>
                <w:rFonts w:asciiTheme="minorHAnsi" w:hAnsiTheme="minorHAnsi" w:cstheme="minorHAnsi"/>
                <w:b/>
                <w:noProof/>
                <w:lang w:val="en-US"/>
              </w:rPr>
              <w:t>Kararsızım</w:t>
            </w:r>
          </w:p>
        </w:tc>
        <w:tc>
          <w:tcPr>
            <w:tcW w:w="604" w:type="dxa"/>
            <w:textDirection w:val="btLr"/>
          </w:tcPr>
          <w:p w:rsidR="001E262A" w:rsidRPr="000263B3" w:rsidRDefault="001E262A" w:rsidP="00F03136">
            <w:pPr>
              <w:autoSpaceDE w:val="0"/>
              <w:autoSpaceDN w:val="0"/>
              <w:adjustRightInd w:val="0"/>
              <w:ind w:left="57" w:right="57"/>
              <w:jc w:val="both"/>
              <w:rPr>
                <w:rFonts w:asciiTheme="minorHAnsi" w:hAnsiTheme="minorHAnsi" w:cstheme="minorHAnsi"/>
                <w:b/>
                <w:noProof/>
                <w:lang w:val="en-US"/>
              </w:rPr>
            </w:pPr>
            <w:r w:rsidRPr="000263B3">
              <w:rPr>
                <w:rFonts w:asciiTheme="minorHAnsi" w:hAnsiTheme="minorHAnsi" w:cstheme="minorHAnsi"/>
                <w:b/>
                <w:noProof/>
                <w:lang w:val="en-US"/>
              </w:rPr>
              <w:t>Katılıyorum</w:t>
            </w:r>
          </w:p>
        </w:tc>
        <w:tc>
          <w:tcPr>
            <w:tcW w:w="605" w:type="dxa"/>
            <w:textDirection w:val="btLr"/>
          </w:tcPr>
          <w:p w:rsidR="001E262A" w:rsidRPr="000263B3" w:rsidRDefault="001E262A" w:rsidP="00F03136">
            <w:pPr>
              <w:autoSpaceDE w:val="0"/>
              <w:autoSpaceDN w:val="0"/>
              <w:adjustRightInd w:val="0"/>
              <w:ind w:left="113" w:right="57"/>
              <w:jc w:val="both"/>
              <w:rPr>
                <w:rFonts w:asciiTheme="minorHAnsi" w:hAnsiTheme="minorHAnsi" w:cstheme="minorHAnsi"/>
                <w:b/>
                <w:noProof/>
                <w:lang w:val="en-US"/>
              </w:rPr>
            </w:pPr>
            <w:r w:rsidRPr="000263B3">
              <w:rPr>
                <w:rFonts w:asciiTheme="minorHAnsi" w:hAnsiTheme="minorHAnsi" w:cstheme="minorHAnsi"/>
                <w:b/>
                <w:noProof/>
                <w:lang w:val="en-US"/>
              </w:rPr>
              <w:t>Kesinlikle Katılıyorum</w:t>
            </w:r>
          </w:p>
        </w:tc>
      </w:tr>
      <w:tr w:rsidR="001E262A" w:rsidRPr="000263B3" w:rsidTr="00F03136">
        <w:tc>
          <w:tcPr>
            <w:tcW w:w="6096" w:type="dxa"/>
            <w:vAlign w:val="center"/>
          </w:tcPr>
          <w:p w:rsidR="001E262A" w:rsidRPr="000263B3" w:rsidRDefault="001E262A" w:rsidP="00F03136">
            <w:pPr>
              <w:rPr>
                <w:rFonts w:asciiTheme="minorHAnsi" w:hAnsiTheme="minorHAnsi" w:cstheme="minorHAnsi"/>
                <w:b/>
                <w:i/>
                <w:noProof/>
                <w:lang w:val="en-US"/>
              </w:rPr>
            </w:pPr>
            <w:r w:rsidRPr="000263B3">
              <w:rPr>
                <w:rFonts w:asciiTheme="minorHAnsi" w:hAnsiTheme="minorHAnsi" w:cstheme="minorHAnsi"/>
                <w:b/>
                <w:i/>
                <w:noProof/>
                <w:lang w:val="en-US"/>
              </w:rPr>
              <w:t xml:space="preserve">Stratejik Bütünleşme </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İşletmenin başarısı finansal, çevresel ve sosyal göstergelerin birleşimiyle ölçülür.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Sürdürülebilir kalkınma, işletme kültürünün değerleri arasına yerleştirilmiştir.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İşletmede çalışanlar, finansal hedeflerin yanı sıra çevresel ve sosyal hedeflere ulaşmak için de motive edilmektedir.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müşteri memnuniyetini izleme konusunda kararlıdır.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ürünlerin/hizmetlerin çevre üzerindeki etkilerini izlemektedir.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ürünlerin/hizmetlerin toplum üzerindeki etkilerini izlemektedir.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rPr>
                <w:rFonts w:asciiTheme="minorHAnsi" w:hAnsiTheme="minorHAnsi" w:cstheme="minorHAnsi"/>
                <w:b/>
                <w:i/>
                <w:noProof/>
                <w:lang w:val="en-US"/>
              </w:rPr>
            </w:pPr>
            <w:r w:rsidRPr="000263B3">
              <w:rPr>
                <w:rFonts w:asciiTheme="minorHAnsi" w:hAnsiTheme="minorHAnsi" w:cstheme="minorHAnsi"/>
                <w:b/>
                <w:i/>
                <w:noProof/>
                <w:lang w:val="en-US"/>
              </w:rPr>
              <w:t>Toplumsal Katılım</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noProof/>
                <w:lang w:val="en-US"/>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toplumsal beklentiler doğrultusunda, çeşitli paydaşlarla (sivil toplum kuruluşları, ürün tedarikçileri, toplum, devlet) birlikte çalışmaktadır.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tedarikçileri çevresel, sosyal ve ekonomik kriterlere göre seçmektedir.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çalışanların, kişisel ve mesleki gelişimini eğitim, kariyer planlaması vb. yollarla teşvik etmektedir.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yerel, kültürel ve tarihi mirasın geliştirilmesine ve korunmasına destek olmaktadır.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çevre dostu ürün ve hizmetlerin satın alınmasını ve kullanılmasını tercih etmektedir.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rPr>
                <w:rFonts w:asciiTheme="minorHAnsi" w:hAnsiTheme="minorHAnsi" w:cstheme="minorHAnsi"/>
                <w:b/>
                <w:i/>
                <w:noProof/>
                <w:lang w:val="en-US"/>
              </w:rPr>
            </w:pPr>
            <w:r w:rsidRPr="000263B3">
              <w:rPr>
                <w:rFonts w:asciiTheme="minorHAnsi" w:hAnsiTheme="minorHAnsi" w:cstheme="minorHAnsi"/>
                <w:b/>
                <w:i/>
                <w:noProof/>
                <w:lang w:val="en-US"/>
              </w:rPr>
              <w:t xml:space="preserve">Etik </w:t>
            </w:r>
            <w:bookmarkStart w:id="0" w:name="_GoBack"/>
            <w:r w:rsidRPr="000263B3">
              <w:rPr>
                <w:rFonts w:asciiTheme="minorHAnsi" w:hAnsiTheme="minorHAnsi" w:cstheme="minorHAnsi"/>
                <w:b/>
                <w:i/>
                <w:noProof/>
                <w:lang w:val="en-US"/>
              </w:rPr>
              <w:t>Yetenekler</w:t>
            </w:r>
            <w:bookmarkEnd w:id="0"/>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 ürünleri/hizmetleri fiyatlandırırken sorumlu ve etik davranır.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yerinde, müşteriler ürün ve hizmetler hakkında her zaman tam bilgiye sahiptir.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yerinde, ürün ve hizmetlerin nitelikleri, tüketicilere açık, doğru ve dürüst bir şekilde sunulur.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r w:rsidR="001E262A" w:rsidRPr="000263B3" w:rsidTr="00F03136">
        <w:tc>
          <w:tcPr>
            <w:tcW w:w="6096" w:type="dxa"/>
            <w:vAlign w:val="center"/>
          </w:tcPr>
          <w:p w:rsidR="001E262A" w:rsidRPr="000263B3" w:rsidRDefault="001E262A" w:rsidP="00F03136">
            <w:pPr>
              <w:jc w:val="both"/>
              <w:rPr>
                <w:rFonts w:asciiTheme="minorHAnsi" w:hAnsiTheme="minorHAnsi" w:cstheme="minorHAnsi"/>
                <w:noProof/>
                <w:lang w:val="en-US"/>
              </w:rPr>
            </w:pPr>
            <w:r w:rsidRPr="000263B3">
              <w:rPr>
                <w:rFonts w:asciiTheme="minorHAnsi" w:hAnsiTheme="minorHAnsi" w:cstheme="minorHAnsi"/>
                <w:noProof/>
                <w:lang w:val="en-US"/>
              </w:rPr>
              <w:t>Çalıştığım iş yerinde, uzun vadede müşteri sadakatini oluşturmak için, satış faaliyetlerinde etik ve dürüst davranılır.</w:t>
            </w: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4"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c>
          <w:tcPr>
            <w:tcW w:w="605" w:type="dxa"/>
          </w:tcPr>
          <w:p w:rsidR="001E262A" w:rsidRPr="000263B3" w:rsidRDefault="001E262A" w:rsidP="00F03136">
            <w:pPr>
              <w:autoSpaceDE w:val="0"/>
              <w:autoSpaceDN w:val="0"/>
              <w:adjustRightInd w:val="0"/>
              <w:ind w:left="60" w:right="60"/>
              <w:jc w:val="center"/>
              <w:rPr>
                <w:rFonts w:asciiTheme="minorHAnsi" w:hAnsiTheme="minorHAnsi" w:cstheme="minorHAnsi"/>
              </w:rPr>
            </w:pPr>
          </w:p>
        </w:tc>
      </w:tr>
    </w:tbl>
    <w:p w:rsidR="0022529E" w:rsidRDefault="0022529E" w:rsidP="00F37412"/>
    <w:p w:rsidR="00855274" w:rsidRPr="00B25E14" w:rsidRDefault="00855274" w:rsidP="00855274">
      <w:pPr>
        <w:spacing w:after="160" w:line="259" w:lineRule="auto"/>
        <w:jc w:val="both"/>
        <w:rPr>
          <w:rFonts w:cstheme="minorHAnsi"/>
        </w:rPr>
      </w:pPr>
      <w:r w:rsidRPr="00B25E14">
        <w:rPr>
          <w:rFonts w:cstheme="minorHAnsi"/>
        </w:rPr>
        <w:t>*</w:t>
      </w:r>
      <w:r w:rsidRPr="00B25E14">
        <w:rPr>
          <w:rFonts w:cstheme="minorHAnsi"/>
          <w:color w:val="000000"/>
          <w:sz w:val="27"/>
          <w:szCs w:val="27"/>
        </w:rPr>
        <w:t xml:space="preserve"> </w:t>
      </w:r>
      <w:r w:rsidRPr="00B25E14">
        <w:rPr>
          <w:rFonts w:cstheme="minorHAnsi"/>
          <w:color w:val="000000"/>
        </w:rPr>
        <w:t xml:space="preserve">Ölçek </w:t>
      </w:r>
      <w:proofErr w:type="spellStart"/>
      <w:r w:rsidRPr="00B25E14">
        <w:rPr>
          <w:rFonts w:cstheme="minorHAnsi"/>
        </w:rPr>
        <w:t>Lučić</w:t>
      </w:r>
      <w:proofErr w:type="spellEnd"/>
      <w:r w:rsidRPr="00B25E14">
        <w:rPr>
          <w:rFonts w:cstheme="minorHAnsi"/>
          <w:color w:val="000000"/>
        </w:rPr>
        <w:t xml:space="preserve"> (2020) tarafından geliştirilmiş olup geçerlilik ve güvenirliği tarafımızca yapılmıştır.</w:t>
      </w:r>
      <w:r w:rsidRPr="00B25E14">
        <w:rPr>
          <w:rFonts w:cstheme="minorHAnsi"/>
        </w:rPr>
        <w:t xml:space="preserve"> Ölçek puanlaması </w:t>
      </w:r>
      <w:r w:rsidRPr="00B25E14">
        <w:rPr>
          <w:rFonts w:cstheme="minorHAnsi"/>
          <w:noProof/>
          <w:shd w:val="clear" w:color="auto" w:fill="FFFFFF"/>
          <w:lang w:val="en-US"/>
        </w:rPr>
        <w:t xml:space="preserve">“1-Kesinlikle Katılmıyorum ile 5-Kesinlikle Katılıyorum” arasındadır. Ölçekte ters kodlama bulunmamaktadır. Ölçek stratejik bütünleşme, toplumsal katılım ve etik yetenekler olmak üzere üç alt boyuttan oluşmaktadır. Ölçekten alınan puanlar arttıkça katılımcıların sürdürülebilir pazarlama yönelimi arttığı şeklinde yorumlanmaktadır. </w:t>
      </w:r>
    </w:p>
    <w:p w:rsidR="00855274" w:rsidRPr="00F37412" w:rsidRDefault="00855274" w:rsidP="00F37412"/>
    <w:sectPr w:rsidR="00855274" w:rsidRPr="00F37412" w:rsidSect="00FB230F">
      <w:pgSz w:w="11906" w:h="16838" w:code="9"/>
      <w:pgMar w:top="1417" w:right="1418"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12"/>
    <w:rsid w:val="00175813"/>
    <w:rsid w:val="001E262A"/>
    <w:rsid w:val="0022529E"/>
    <w:rsid w:val="00495522"/>
    <w:rsid w:val="00575A41"/>
    <w:rsid w:val="005A0B69"/>
    <w:rsid w:val="00606D5A"/>
    <w:rsid w:val="00855274"/>
    <w:rsid w:val="00C377F7"/>
    <w:rsid w:val="00F37412"/>
    <w:rsid w:val="00FB2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37412"/>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37412"/>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2</cp:revision>
  <dcterms:created xsi:type="dcterms:W3CDTF">2023-12-23T15:37:00Z</dcterms:created>
  <dcterms:modified xsi:type="dcterms:W3CDTF">2023-12-23T15:37:00Z</dcterms:modified>
</cp:coreProperties>
</file>