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66" w:rsidRDefault="00435166" w:rsidP="00435166">
      <w:pPr>
        <w:pStyle w:val="ListeParagraf"/>
        <w:autoSpaceDE w:val="0"/>
        <w:autoSpaceDN w:val="0"/>
        <w:adjustRightInd w:val="0"/>
        <w:spacing w:line="480" w:lineRule="auto"/>
        <w:ind w:left="34"/>
        <w:jc w:val="both"/>
        <w:rPr>
          <w:bCs/>
        </w:rPr>
      </w:pPr>
      <w:proofErr w:type="spellStart"/>
      <w:r w:rsidRPr="00D46A2E">
        <w:rPr>
          <w:b/>
          <w:bCs/>
        </w:rPr>
        <w:t>Kanserin</w:t>
      </w:r>
      <w:proofErr w:type="spellEnd"/>
      <w:r w:rsidRPr="00D46A2E">
        <w:rPr>
          <w:b/>
          <w:bCs/>
        </w:rPr>
        <w:t xml:space="preserve"> </w:t>
      </w:r>
      <w:proofErr w:type="spellStart"/>
      <w:r w:rsidRPr="00D46A2E">
        <w:rPr>
          <w:b/>
          <w:bCs/>
        </w:rPr>
        <w:t>Psikolojik</w:t>
      </w:r>
      <w:proofErr w:type="spellEnd"/>
      <w:r w:rsidRPr="00D46A2E">
        <w:rPr>
          <w:b/>
          <w:bCs/>
        </w:rPr>
        <w:t xml:space="preserve"> </w:t>
      </w:r>
      <w:proofErr w:type="spellStart"/>
      <w:r w:rsidRPr="00D46A2E">
        <w:rPr>
          <w:b/>
          <w:bCs/>
        </w:rPr>
        <w:t>Etkisi</w:t>
      </w:r>
      <w:proofErr w:type="spellEnd"/>
      <w:r w:rsidRPr="00D46A2E">
        <w:rPr>
          <w:b/>
          <w:bCs/>
        </w:rPr>
        <w:t xml:space="preserve"> </w:t>
      </w:r>
      <w:proofErr w:type="spellStart"/>
      <w:r w:rsidRPr="00D46A2E">
        <w:rPr>
          <w:b/>
          <w:bCs/>
        </w:rPr>
        <w:t>Ölçeği</w:t>
      </w:r>
      <w:proofErr w:type="spellEnd"/>
      <w:r w:rsidRPr="00D46A2E">
        <w:rPr>
          <w:b/>
          <w:bCs/>
        </w:rPr>
        <w:t xml:space="preserve"> (PICS): </w:t>
      </w:r>
      <w:r w:rsidRPr="00D46A2E">
        <w:rPr>
          <w:shd w:val="clear" w:color="auto" w:fill="FFFFFF"/>
        </w:rPr>
        <w:t>Hulbert-Williams</w:t>
      </w:r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ve</w:t>
      </w:r>
      <w:proofErr w:type="spellEnd"/>
      <w:r w:rsidRPr="00D46A2E">
        <w:rPr>
          <w:bCs/>
        </w:rPr>
        <w:t xml:space="preserve"> ark </w:t>
      </w:r>
      <w:proofErr w:type="spellStart"/>
      <w:r w:rsidRPr="00D46A2E">
        <w:rPr>
          <w:bCs/>
        </w:rPr>
        <w:t>tarafından</w:t>
      </w:r>
      <w:proofErr w:type="spellEnd"/>
      <w:r w:rsidRPr="00D46A2E">
        <w:rPr>
          <w:bCs/>
        </w:rPr>
        <w:t xml:space="preserve"> 2019 </w:t>
      </w:r>
      <w:proofErr w:type="spellStart"/>
      <w:r w:rsidRPr="00D46A2E">
        <w:rPr>
          <w:bCs/>
        </w:rPr>
        <w:t>yılında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kanser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hastalarında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hastalığın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psikolojik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etkisini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değerlendirilmek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için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geliştirilmiştir</w:t>
      </w:r>
      <w:proofErr w:type="spellEnd"/>
      <w:r w:rsidRPr="00D46A2E">
        <w:rPr>
          <w:bCs/>
        </w:rPr>
        <w:t xml:space="preserve"> </w:t>
      </w:r>
      <w:r w:rsidRPr="00D46A2E">
        <w:rPr>
          <w:bCs/>
        </w:rPr>
        <w:fldChar w:fldCharType="begin"/>
      </w:r>
      <w:r>
        <w:rPr>
          <w:bCs/>
        </w:rPr>
        <w:instrText xml:space="preserve"> ADDIN EN.CITE &lt;EndNote&gt;&lt;Cite&gt;&lt;Author&gt;Hulbert-Williams&lt;/Author&gt;&lt;Year&gt;2019&lt;/Year&gt;&lt;RecNum&gt;2&lt;/RecNum&gt;&lt;DisplayText&gt;&lt;style face="superscript"&gt;13&lt;/style&gt;&lt;/DisplayText&gt;&lt;record&gt;&lt;rec-number&gt;2&lt;/rec-number&gt;&lt;foreign-keys&gt;&lt;key app="EN" db-id="dwdftx5s8zpaahesdwupfdesz5swxvz9r2at" timestamp="1634061091"&gt;2&lt;/key&gt;&lt;/foreign-keys&gt;&lt;ref-type name="Journal Article"&gt;17&lt;/ref-type&gt;&lt;contributors&gt;&lt;authors&gt;&lt;author&gt;Hulbert-Williams, Nicholas J&lt;/author&gt;&lt;author&gt;Hulbert-Williams, Lee&lt;/author&gt;&lt;author&gt;Whelen, Liz&lt;/author&gt;&lt;author&gt;Mulcare, Hunter&lt;/author&gt;&lt;/authors&gt;&lt;/contributors&gt;&lt;titles&gt;&lt;title&gt;The Psychological Impact of Cancer (PIC) Scale: development and comparative psychometric testing against the Mini-MAC Scale in UK and Australian cancer survivors&lt;/title&gt;&lt;secondary-title&gt;Journal of Psychosocial Oncology Research and Practice&lt;/secondary-title&gt;&lt;/titles&gt;&lt;periodical&gt;&lt;full-title&gt;Journal of Psychosocial Oncology Research and Practice&lt;/full-title&gt;&lt;/periodical&gt;&lt;pages&gt;e8&lt;/pages&gt;&lt;volume&gt;1&lt;/volume&gt;&lt;number&gt;2&lt;/number&gt;&lt;dates&gt;&lt;year&gt;2019&lt;/year&gt;&lt;/dates&gt;&lt;isbn&gt;2637-5974&lt;/isbn&gt;&lt;urls&gt;&lt;/urls&gt;&lt;/record&gt;&lt;/Cite&gt;&lt;/EndNote&gt;</w:instrText>
      </w:r>
      <w:r w:rsidRPr="00D46A2E">
        <w:rPr>
          <w:bCs/>
        </w:rPr>
        <w:fldChar w:fldCharType="separate"/>
      </w:r>
      <w:r w:rsidRPr="00D46A2E">
        <w:rPr>
          <w:bCs/>
          <w:noProof/>
          <w:vertAlign w:val="superscript"/>
        </w:rPr>
        <w:t>13</w:t>
      </w:r>
      <w:r w:rsidRPr="00D46A2E">
        <w:rPr>
          <w:bCs/>
        </w:rPr>
        <w:fldChar w:fldCharType="end"/>
      </w:r>
      <w:r w:rsidRPr="00D46A2E">
        <w:rPr>
          <w:bCs/>
        </w:rPr>
        <w:t xml:space="preserve">. </w:t>
      </w:r>
      <w:proofErr w:type="spellStart"/>
      <w:r w:rsidRPr="00D46A2E">
        <w:rPr>
          <w:bCs/>
        </w:rPr>
        <w:t>Toplamda</w:t>
      </w:r>
      <w:proofErr w:type="spellEnd"/>
      <w:r w:rsidRPr="00D46A2E">
        <w:rPr>
          <w:bCs/>
        </w:rPr>
        <w:t xml:space="preserve"> 12 </w:t>
      </w:r>
      <w:proofErr w:type="spellStart"/>
      <w:r w:rsidRPr="00D46A2E">
        <w:rPr>
          <w:bCs/>
        </w:rPr>
        <w:t>maddeden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oluşan</w:t>
      </w:r>
      <w:proofErr w:type="spellEnd"/>
      <w:r w:rsidRPr="00D46A2E">
        <w:rPr>
          <w:bCs/>
        </w:rPr>
        <w:t xml:space="preserve"> PICS, </w:t>
      </w:r>
      <w:proofErr w:type="spellStart"/>
      <w:r w:rsidRPr="00D46A2E">
        <w:rPr>
          <w:bCs/>
        </w:rPr>
        <w:t>kanser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tanı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ve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tedavisine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psikolojik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uyumun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bileşenlerini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değerlendirmek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için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kullanılmaktadır</w:t>
      </w:r>
      <w:proofErr w:type="spellEnd"/>
      <w:r w:rsidRPr="00D46A2E">
        <w:rPr>
          <w:bCs/>
        </w:rPr>
        <w:t xml:space="preserve">. Her </w:t>
      </w:r>
      <w:proofErr w:type="spellStart"/>
      <w:r w:rsidRPr="00D46A2E">
        <w:rPr>
          <w:bCs/>
        </w:rPr>
        <w:t>madde</w:t>
      </w:r>
      <w:proofErr w:type="spellEnd"/>
      <w:r w:rsidRPr="00D46A2E">
        <w:rPr>
          <w:bCs/>
        </w:rPr>
        <w:t xml:space="preserve"> “</w:t>
      </w:r>
      <w:proofErr w:type="spellStart"/>
      <w:r w:rsidRPr="00D46A2E">
        <w:rPr>
          <w:bCs/>
        </w:rPr>
        <w:t>Kesinlikle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uygun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değil</w:t>
      </w:r>
      <w:proofErr w:type="spellEnd"/>
      <w:r w:rsidRPr="00D46A2E">
        <w:rPr>
          <w:bCs/>
        </w:rPr>
        <w:t xml:space="preserve"> (1)”, “</w:t>
      </w:r>
      <w:proofErr w:type="spellStart"/>
      <w:r w:rsidRPr="00D46A2E">
        <w:rPr>
          <w:bCs/>
        </w:rPr>
        <w:t>Uygun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değil</w:t>
      </w:r>
      <w:proofErr w:type="spellEnd"/>
      <w:r w:rsidRPr="00D46A2E">
        <w:rPr>
          <w:bCs/>
        </w:rPr>
        <w:t xml:space="preserve"> (2)”, “</w:t>
      </w:r>
      <w:proofErr w:type="spellStart"/>
      <w:r w:rsidRPr="00D46A2E">
        <w:rPr>
          <w:bCs/>
        </w:rPr>
        <w:t>Uygun</w:t>
      </w:r>
      <w:proofErr w:type="spellEnd"/>
      <w:r w:rsidRPr="00D46A2E">
        <w:rPr>
          <w:bCs/>
        </w:rPr>
        <w:t xml:space="preserve"> (3)”, “</w:t>
      </w:r>
      <w:proofErr w:type="spellStart"/>
      <w:r w:rsidRPr="00D46A2E">
        <w:rPr>
          <w:bCs/>
        </w:rPr>
        <w:t>Kesinlikle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uygun</w:t>
      </w:r>
      <w:proofErr w:type="spellEnd"/>
      <w:r w:rsidRPr="00D46A2E">
        <w:rPr>
          <w:bCs/>
        </w:rPr>
        <w:t xml:space="preserve"> (4)” </w:t>
      </w:r>
      <w:proofErr w:type="spellStart"/>
      <w:r w:rsidRPr="00D46A2E">
        <w:rPr>
          <w:bCs/>
        </w:rPr>
        <w:t>cevabını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temsil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etmektedir</w:t>
      </w:r>
      <w:proofErr w:type="spellEnd"/>
      <w:r w:rsidRPr="00D46A2E">
        <w:rPr>
          <w:bCs/>
        </w:rPr>
        <w:t xml:space="preserve">. Bu </w:t>
      </w:r>
      <w:proofErr w:type="spellStart"/>
      <w:r w:rsidRPr="00D46A2E">
        <w:rPr>
          <w:bCs/>
        </w:rPr>
        <w:t>ölçek</w:t>
      </w:r>
      <w:proofErr w:type="spellEnd"/>
      <w:r w:rsidRPr="00D46A2E">
        <w:rPr>
          <w:bCs/>
        </w:rPr>
        <w:t xml:space="preserve">, 4‟li </w:t>
      </w:r>
      <w:proofErr w:type="spellStart"/>
      <w:r w:rsidRPr="00D46A2E">
        <w:rPr>
          <w:bCs/>
        </w:rPr>
        <w:t>likert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tipindedir</w:t>
      </w:r>
      <w:proofErr w:type="spellEnd"/>
      <w:r w:rsidRPr="00D46A2E">
        <w:rPr>
          <w:bCs/>
        </w:rPr>
        <w:t xml:space="preserve">. 4 alt </w:t>
      </w:r>
      <w:proofErr w:type="spellStart"/>
      <w:r w:rsidRPr="00D46A2E">
        <w:rPr>
          <w:bCs/>
        </w:rPr>
        <w:t>boyuttan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oluşmaktadır</w:t>
      </w:r>
      <w:proofErr w:type="spellEnd"/>
      <w:r w:rsidRPr="00D46A2E">
        <w:rPr>
          <w:bCs/>
        </w:rPr>
        <w:t xml:space="preserve">: </w:t>
      </w:r>
      <w:proofErr w:type="spellStart"/>
      <w:r w:rsidRPr="00D46A2E">
        <w:rPr>
          <w:bCs/>
        </w:rPr>
        <w:t>Bilişsel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Distres</w:t>
      </w:r>
      <w:proofErr w:type="spellEnd"/>
      <w:r w:rsidRPr="00D46A2E">
        <w:rPr>
          <w:bCs/>
        </w:rPr>
        <w:t xml:space="preserve"> (2,6,7); </w:t>
      </w:r>
      <w:proofErr w:type="spellStart"/>
      <w:r w:rsidRPr="00D46A2E">
        <w:rPr>
          <w:bCs/>
        </w:rPr>
        <w:t>Bilişsel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Kaçınma</w:t>
      </w:r>
      <w:proofErr w:type="spellEnd"/>
      <w:r w:rsidRPr="00D46A2E">
        <w:rPr>
          <w:bCs/>
        </w:rPr>
        <w:t xml:space="preserve"> (8, 10, 11); </w:t>
      </w:r>
      <w:proofErr w:type="spellStart"/>
      <w:r w:rsidRPr="00D46A2E">
        <w:rPr>
          <w:bCs/>
        </w:rPr>
        <w:t>Emosyonel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Distres</w:t>
      </w:r>
      <w:proofErr w:type="spellEnd"/>
      <w:r w:rsidRPr="00D46A2E">
        <w:rPr>
          <w:bCs/>
        </w:rPr>
        <w:t xml:space="preserve"> (3, 5, 12); </w:t>
      </w:r>
      <w:proofErr w:type="spellStart"/>
      <w:r w:rsidRPr="00D46A2E">
        <w:rPr>
          <w:bCs/>
        </w:rPr>
        <w:t>Spiritüel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Başetme</w:t>
      </w:r>
      <w:proofErr w:type="spellEnd"/>
      <w:r w:rsidRPr="00D46A2E">
        <w:rPr>
          <w:bCs/>
        </w:rPr>
        <w:t xml:space="preserve"> (1, 4, 9). </w:t>
      </w:r>
      <w:proofErr w:type="spellStart"/>
      <w:r w:rsidRPr="00D46A2E">
        <w:rPr>
          <w:bCs/>
        </w:rPr>
        <w:t>Herbir</w:t>
      </w:r>
      <w:proofErr w:type="spellEnd"/>
      <w:r w:rsidRPr="00D46A2E">
        <w:rPr>
          <w:bCs/>
        </w:rPr>
        <w:t xml:space="preserve"> alt </w:t>
      </w:r>
      <w:proofErr w:type="spellStart"/>
      <w:r w:rsidRPr="00D46A2E">
        <w:rPr>
          <w:bCs/>
        </w:rPr>
        <w:t>ölçekteki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maddelerden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alınan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puanlar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toplanarak</w:t>
      </w:r>
      <w:proofErr w:type="spellEnd"/>
      <w:r w:rsidRPr="00D46A2E">
        <w:rPr>
          <w:bCs/>
        </w:rPr>
        <w:t xml:space="preserve"> alt </w:t>
      </w:r>
      <w:proofErr w:type="spellStart"/>
      <w:r w:rsidRPr="00D46A2E">
        <w:rPr>
          <w:bCs/>
        </w:rPr>
        <w:t>ölçek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puanları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hesaplanır</w:t>
      </w:r>
      <w:proofErr w:type="spellEnd"/>
      <w:r w:rsidRPr="00D46A2E">
        <w:rPr>
          <w:bCs/>
        </w:rPr>
        <w:t xml:space="preserve">. </w:t>
      </w:r>
      <w:proofErr w:type="spellStart"/>
      <w:r w:rsidRPr="00D46A2E">
        <w:rPr>
          <w:bCs/>
        </w:rPr>
        <w:t>Ters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kodlanan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madde</w:t>
      </w:r>
      <w:proofErr w:type="spellEnd"/>
      <w:r w:rsidRPr="00D46A2E">
        <w:rPr>
          <w:bCs/>
        </w:rPr>
        <w:t xml:space="preserve"> </w:t>
      </w:r>
      <w:proofErr w:type="spellStart"/>
      <w:r w:rsidRPr="00D46A2E">
        <w:rPr>
          <w:bCs/>
        </w:rPr>
        <w:t>yoktur</w:t>
      </w:r>
      <w:proofErr w:type="spellEnd"/>
      <w:r w:rsidRPr="00D46A2E">
        <w:rPr>
          <w:bCs/>
        </w:rPr>
        <w:t xml:space="preserve"> </w:t>
      </w:r>
      <w:r w:rsidRPr="00D46A2E">
        <w:rPr>
          <w:bCs/>
        </w:rPr>
        <w:fldChar w:fldCharType="begin"/>
      </w:r>
      <w:r>
        <w:rPr>
          <w:bCs/>
        </w:rPr>
        <w:instrText xml:space="preserve"> ADDIN EN.CITE &lt;EndNote&gt;&lt;Cite&gt;&lt;Author&gt;Hulbert-Williams&lt;/Author&gt;&lt;Year&gt;2019&lt;/Year&gt;&lt;RecNum&gt;2&lt;/RecNum&gt;&lt;DisplayText&gt;&lt;style face="superscript"&gt;13&lt;/style&gt;&lt;/DisplayText&gt;&lt;record&gt;&lt;rec-number&gt;2&lt;/rec-number&gt;&lt;foreign-keys&gt;&lt;key app="EN" db-id="dwdftx5s8zpaahesdwupfdesz5swxvz9r2at" timestamp="1634061091"&gt;2&lt;/key&gt;&lt;/foreign-keys&gt;&lt;ref-type name="Journal Article"&gt;17&lt;/ref-type&gt;&lt;contributors&gt;&lt;authors&gt;&lt;author&gt;Hulbert-Williams, Nicholas J&lt;/author&gt;&lt;author&gt;Hulbert-Williams, Lee&lt;/author&gt;&lt;author&gt;Whelen, Liz&lt;/author&gt;&lt;author&gt;Mulcare, Hunter&lt;/author&gt;&lt;/authors&gt;&lt;/contributors&gt;&lt;titles&gt;&lt;title&gt;The Psychological Impact of Cancer (PIC) Scale: development and comparative psychometric testing against the Mini-MAC Scale in UK and Australian cancer survivors&lt;/title&gt;&lt;secondary-title&gt;Journal of Psychosocial Oncology Research and Practice&lt;/secondary-title&gt;&lt;/titles&gt;&lt;periodical&gt;&lt;full-title&gt;Journal of Psychosocial Oncology Research and Practice&lt;/full-title&gt;&lt;/periodical&gt;&lt;pages&gt;e8&lt;/pages&gt;&lt;volume&gt;1&lt;/volume&gt;&lt;number&gt;2&lt;/number&gt;&lt;dates&gt;&lt;year&gt;2019&lt;/year&gt;&lt;/dates&gt;&lt;isbn&gt;2637-5974&lt;/isbn&gt;&lt;urls&gt;&lt;/urls&gt;&lt;/record&gt;&lt;/Cite&gt;&lt;/EndNote&gt;</w:instrText>
      </w:r>
      <w:r w:rsidRPr="00D46A2E">
        <w:rPr>
          <w:bCs/>
        </w:rPr>
        <w:fldChar w:fldCharType="separate"/>
      </w:r>
      <w:r w:rsidRPr="00D46A2E">
        <w:rPr>
          <w:bCs/>
          <w:noProof/>
          <w:vertAlign w:val="superscript"/>
        </w:rPr>
        <w:t>13</w:t>
      </w:r>
      <w:r w:rsidRPr="00D46A2E">
        <w:rPr>
          <w:bCs/>
        </w:rPr>
        <w:fldChar w:fldCharType="end"/>
      </w:r>
    </w:p>
    <w:p w:rsidR="00435166" w:rsidRDefault="00435166" w:rsidP="00435166">
      <w:pPr>
        <w:pStyle w:val="ListeParagraf"/>
        <w:autoSpaceDE w:val="0"/>
        <w:autoSpaceDN w:val="0"/>
        <w:adjustRightInd w:val="0"/>
        <w:spacing w:line="480" w:lineRule="auto"/>
        <w:ind w:left="34"/>
        <w:jc w:val="both"/>
        <w:rPr>
          <w:bCs/>
        </w:rPr>
      </w:pPr>
    </w:p>
    <w:p w:rsidR="00435166" w:rsidRDefault="00435166" w:rsidP="00435166">
      <w:pPr>
        <w:pStyle w:val="EndNoteBibliography"/>
        <w:spacing w:after="0"/>
        <w:ind w:left="720" w:hanging="720"/>
      </w:pPr>
      <w:r w:rsidRPr="00D46A2E">
        <w:t xml:space="preserve">Hulbert-Williams NJ, Hulbert-Williams L, Whelen L, Mulcare H. The Psychological Impact of Cancer (PIC) Scale: development and comparative psychometric testing against the Mini-MAC Scale in UK and Australian cancer survivors. </w:t>
      </w:r>
      <w:r w:rsidRPr="00D46A2E">
        <w:rPr>
          <w:b/>
        </w:rPr>
        <w:t>Journal of Psychosocial Oncology Research and Practice</w:t>
      </w:r>
      <w:r w:rsidRPr="00D46A2E">
        <w:rPr>
          <w:i/>
        </w:rPr>
        <w:t xml:space="preserve">. </w:t>
      </w:r>
      <w:r w:rsidRPr="00D46A2E">
        <w:t>2019;1(2):e8.</w:t>
      </w:r>
    </w:p>
    <w:p w:rsidR="00435166" w:rsidRDefault="00435166" w:rsidP="00435166">
      <w:pPr>
        <w:pStyle w:val="EndNoteBibliography"/>
        <w:spacing w:after="0"/>
        <w:rPr>
          <w:rFonts w:ascii="Book Antiqua" w:eastAsia="Book Antiqua" w:hAnsi="Book Antiqua" w:cs="Book Antiqua"/>
          <w:color w:val="000000"/>
        </w:rPr>
      </w:pPr>
    </w:p>
    <w:p w:rsidR="00435166" w:rsidRPr="00435166" w:rsidRDefault="00435166" w:rsidP="00435166">
      <w:pPr>
        <w:pStyle w:val="EndNoteBibliography"/>
        <w:spacing w:after="0"/>
      </w:pPr>
      <w:bookmarkStart w:id="0" w:name="_GoBack"/>
      <w:bookmarkEnd w:id="0"/>
      <w:r w:rsidRPr="00E64372">
        <w:rPr>
          <w:rFonts w:ascii="Book Antiqua" w:eastAsia="Book Antiqua" w:hAnsi="Book Antiqua" w:cs="Book Antiqua"/>
          <w:color w:val="000000"/>
        </w:rPr>
        <w:t>Bahçecioğlu Turan 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E64372">
        <w:rPr>
          <w:rFonts w:ascii="Book Antiqua" w:eastAsia="Book Antiqua" w:hAnsi="Book Antiqua" w:cs="Book Antiqua"/>
          <w:color w:val="000000"/>
        </w:rPr>
        <w:t xml:space="preserve">Karaman S, Aksoy M. The psychological impact of cancer scale: Turkish validity and reliability study. </w:t>
      </w:r>
      <w:r w:rsidRPr="00E64372"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 w:rsidRPr="00E64372">
        <w:rPr>
          <w:rFonts w:ascii="Book Antiqua" w:eastAsia="Book Antiqua" w:hAnsi="Book Antiqua" w:cs="Book Antiqua"/>
          <w:color w:val="000000"/>
        </w:rPr>
        <w:t xml:space="preserve"> 2023; In press</w:t>
      </w:r>
    </w:p>
    <w:p w:rsidR="00435166" w:rsidRDefault="00435166" w:rsidP="00055710">
      <w:pPr>
        <w:jc w:val="both"/>
        <w:rPr>
          <w:b/>
        </w:rPr>
      </w:pPr>
    </w:p>
    <w:p w:rsidR="00055710" w:rsidRPr="00D70E2A" w:rsidRDefault="00055710" w:rsidP="00055710">
      <w:pPr>
        <w:jc w:val="both"/>
        <w:rPr>
          <w:b/>
        </w:rPr>
      </w:pPr>
      <w:proofErr w:type="spellStart"/>
      <w:r w:rsidRPr="00760DA7">
        <w:rPr>
          <w:b/>
        </w:rPr>
        <w:t>Kanserin</w:t>
      </w:r>
      <w:proofErr w:type="spellEnd"/>
      <w:r w:rsidRPr="00760DA7">
        <w:rPr>
          <w:b/>
        </w:rPr>
        <w:t xml:space="preserve"> </w:t>
      </w:r>
      <w:proofErr w:type="spellStart"/>
      <w:r w:rsidRPr="00760DA7">
        <w:rPr>
          <w:b/>
        </w:rPr>
        <w:t>Psikolojik</w:t>
      </w:r>
      <w:proofErr w:type="spellEnd"/>
      <w:r w:rsidRPr="00760DA7">
        <w:rPr>
          <w:b/>
        </w:rPr>
        <w:t xml:space="preserve"> </w:t>
      </w:r>
      <w:proofErr w:type="spellStart"/>
      <w:r w:rsidRPr="00760DA7">
        <w:rPr>
          <w:b/>
        </w:rPr>
        <w:t>Etkisi</w:t>
      </w:r>
      <w:proofErr w:type="spellEnd"/>
      <w:r w:rsidRPr="00760DA7">
        <w:rPr>
          <w:b/>
        </w:rPr>
        <w:t xml:space="preserve"> </w:t>
      </w:r>
      <w:proofErr w:type="spellStart"/>
      <w:r w:rsidRPr="00760DA7">
        <w:rPr>
          <w:b/>
        </w:rPr>
        <w:t>Ölçeği</w:t>
      </w:r>
      <w:proofErr w:type="spellEnd"/>
    </w:p>
    <w:p w:rsidR="00055710" w:rsidRPr="00D70E2A" w:rsidRDefault="00055710" w:rsidP="00055710">
      <w:r>
        <w:t xml:space="preserve">1.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2.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3. </w:t>
      </w:r>
      <w:proofErr w:type="spellStart"/>
      <w:r>
        <w:t>Uygun</w:t>
      </w:r>
      <w:proofErr w:type="spellEnd"/>
      <w:r>
        <w:t xml:space="preserve">, 4.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uygun</w:t>
      </w:r>
      <w:proofErr w:type="spellEnd"/>
    </w:p>
    <w:p w:rsidR="00055710" w:rsidRPr="00D70E2A" w:rsidRDefault="00055710" w:rsidP="00055710">
      <w:pPr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10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22"/>
        <w:gridCol w:w="1719"/>
        <w:gridCol w:w="1289"/>
        <w:gridCol w:w="1146"/>
        <w:gridCol w:w="1290"/>
      </w:tblGrid>
      <w:tr w:rsidR="00055710" w:rsidRPr="00FC1A4A" w:rsidTr="00055710">
        <w:trPr>
          <w:trHeight w:val="759"/>
        </w:trPr>
        <w:tc>
          <w:tcPr>
            <w:tcW w:w="5322" w:type="dxa"/>
          </w:tcPr>
          <w:p w:rsidR="00055710" w:rsidRPr="00D70E2A" w:rsidRDefault="00055710" w:rsidP="0094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55710" w:rsidRPr="00D70E2A" w:rsidRDefault="00055710" w:rsidP="009459D3">
            <w:pPr>
              <w:spacing w:before="240"/>
              <w:rPr>
                <w:b/>
                <w:sz w:val="22"/>
                <w:szCs w:val="22"/>
              </w:rPr>
            </w:pPr>
            <w:proofErr w:type="spellStart"/>
            <w:r w:rsidRPr="00D70E2A">
              <w:rPr>
                <w:color w:val="000000"/>
                <w:sz w:val="22"/>
                <w:szCs w:val="22"/>
              </w:rPr>
              <w:t>Kesinlikle</w:t>
            </w:r>
            <w:proofErr w:type="spellEnd"/>
            <w:r w:rsidRPr="00D70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E2A">
              <w:rPr>
                <w:color w:val="000000"/>
                <w:sz w:val="22"/>
                <w:szCs w:val="22"/>
              </w:rPr>
              <w:t>uygun</w:t>
            </w:r>
            <w:proofErr w:type="spellEnd"/>
            <w:r w:rsidRPr="00D70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E2A">
              <w:rPr>
                <w:color w:val="000000"/>
                <w:sz w:val="22"/>
                <w:szCs w:val="22"/>
              </w:rPr>
              <w:t>değil</w:t>
            </w:r>
            <w:proofErr w:type="spellEnd"/>
            <w:r w:rsidRPr="00D70E2A"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289" w:type="dxa"/>
          </w:tcPr>
          <w:p w:rsidR="00055710" w:rsidRPr="00D70E2A" w:rsidRDefault="00055710" w:rsidP="009459D3">
            <w:pPr>
              <w:spacing w:before="240"/>
              <w:rPr>
                <w:b/>
                <w:sz w:val="22"/>
                <w:szCs w:val="22"/>
              </w:rPr>
            </w:pPr>
            <w:proofErr w:type="spellStart"/>
            <w:r w:rsidRPr="00D70E2A">
              <w:rPr>
                <w:color w:val="000000"/>
                <w:sz w:val="22"/>
                <w:szCs w:val="22"/>
              </w:rPr>
              <w:t>Uygun</w:t>
            </w:r>
            <w:proofErr w:type="spellEnd"/>
            <w:r w:rsidRPr="00D70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E2A">
              <w:rPr>
                <w:color w:val="000000"/>
                <w:sz w:val="22"/>
                <w:szCs w:val="22"/>
              </w:rPr>
              <w:t>değil</w:t>
            </w:r>
            <w:proofErr w:type="spellEnd"/>
            <w:r w:rsidRPr="00D70E2A">
              <w:rPr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146" w:type="dxa"/>
          </w:tcPr>
          <w:p w:rsidR="00055710" w:rsidRPr="00D70E2A" w:rsidRDefault="00055710" w:rsidP="009459D3">
            <w:pPr>
              <w:spacing w:before="240"/>
              <w:rPr>
                <w:b/>
                <w:sz w:val="22"/>
                <w:szCs w:val="22"/>
              </w:rPr>
            </w:pPr>
            <w:proofErr w:type="spellStart"/>
            <w:r w:rsidRPr="00D70E2A">
              <w:rPr>
                <w:sz w:val="22"/>
                <w:szCs w:val="22"/>
              </w:rPr>
              <w:t>Uygun</w:t>
            </w:r>
            <w:proofErr w:type="spellEnd"/>
            <w:r w:rsidRPr="00D70E2A">
              <w:rPr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290" w:type="dxa"/>
          </w:tcPr>
          <w:p w:rsidR="00055710" w:rsidRPr="00D70E2A" w:rsidRDefault="00055710" w:rsidP="009459D3">
            <w:pPr>
              <w:rPr>
                <w:sz w:val="22"/>
                <w:szCs w:val="22"/>
              </w:rPr>
            </w:pPr>
          </w:p>
          <w:p w:rsidR="00055710" w:rsidRPr="00D70E2A" w:rsidRDefault="00055710" w:rsidP="009459D3">
            <w:pPr>
              <w:rPr>
                <w:sz w:val="22"/>
                <w:szCs w:val="22"/>
              </w:rPr>
            </w:pPr>
            <w:proofErr w:type="spellStart"/>
            <w:r w:rsidRPr="00D70E2A">
              <w:rPr>
                <w:sz w:val="22"/>
                <w:szCs w:val="22"/>
              </w:rPr>
              <w:t>Kesinlikle</w:t>
            </w:r>
            <w:proofErr w:type="spellEnd"/>
            <w:r w:rsidRPr="00D70E2A">
              <w:rPr>
                <w:sz w:val="22"/>
                <w:szCs w:val="22"/>
              </w:rPr>
              <w:t xml:space="preserve"> </w:t>
            </w:r>
            <w:proofErr w:type="spellStart"/>
            <w:r w:rsidRPr="00D70E2A">
              <w:rPr>
                <w:sz w:val="22"/>
                <w:szCs w:val="22"/>
              </w:rPr>
              <w:t>uygun</w:t>
            </w:r>
            <w:proofErr w:type="spellEnd"/>
            <w:r w:rsidRPr="00D70E2A">
              <w:rPr>
                <w:sz w:val="22"/>
                <w:szCs w:val="22"/>
              </w:rPr>
              <w:t xml:space="preserve"> </w:t>
            </w:r>
            <w:r w:rsidRPr="00D70E2A">
              <w:rPr>
                <w:color w:val="000000"/>
                <w:sz w:val="22"/>
                <w:szCs w:val="22"/>
              </w:rPr>
              <w:t>(4)</w:t>
            </w:r>
          </w:p>
        </w:tc>
      </w:tr>
      <w:tr w:rsidR="00055710" w:rsidRPr="00055710" w:rsidTr="00055710">
        <w:trPr>
          <w:trHeight w:val="513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834"/>
              </w:tabs>
              <w:autoSpaceDE w:val="0"/>
              <w:autoSpaceDN w:val="0"/>
              <w:spacing w:before="181"/>
              <w:ind w:right="257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Hastalığımı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bir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sorun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olarak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görüyorum</w:t>
            </w:r>
            <w:proofErr w:type="spellEnd"/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143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834"/>
              </w:tabs>
              <w:autoSpaceDE w:val="0"/>
              <w:autoSpaceDN w:val="0"/>
              <w:ind w:right="323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Tamamen</w:t>
            </w:r>
            <w:proofErr w:type="spellEnd"/>
            <w:r w:rsidRPr="00435166">
              <w:rPr>
                <w:sz w:val="22"/>
                <w:szCs w:val="22"/>
              </w:rPr>
              <w:t xml:space="preserve"> ne </w:t>
            </w:r>
            <w:proofErr w:type="spellStart"/>
            <w:r w:rsidRPr="00435166">
              <w:rPr>
                <w:sz w:val="22"/>
                <w:szCs w:val="22"/>
              </w:rPr>
              <w:t>yapacağımı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bilmez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haldeyim</w:t>
            </w:r>
            <w:proofErr w:type="spellEnd"/>
            <w:r w:rsidRPr="0043516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384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834"/>
              </w:tabs>
              <w:autoSpaceDE w:val="0"/>
              <w:autoSpaceDN w:val="0"/>
              <w:spacing w:before="3"/>
              <w:ind w:right="194"/>
              <w:rPr>
                <w:sz w:val="22"/>
                <w:szCs w:val="22"/>
              </w:rPr>
            </w:pPr>
            <w:r w:rsidRPr="00435166">
              <w:rPr>
                <w:sz w:val="22"/>
                <w:szCs w:val="22"/>
              </w:rPr>
              <w:t xml:space="preserve">Bu </w:t>
            </w:r>
            <w:proofErr w:type="spellStart"/>
            <w:r w:rsidRPr="00435166">
              <w:rPr>
                <w:sz w:val="22"/>
                <w:szCs w:val="22"/>
              </w:rPr>
              <w:t>hastalığın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tekrarlaması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ya</w:t>
            </w:r>
            <w:proofErr w:type="spellEnd"/>
            <w:r w:rsidRPr="00435166">
              <w:rPr>
                <w:sz w:val="22"/>
                <w:szCs w:val="22"/>
              </w:rPr>
              <w:t xml:space="preserve"> da </w:t>
            </w:r>
            <w:proofErr w:type="spellStart"/>
            <w:r w:rsidRPr="00435166">
              <w:rPr>
                <w:sz w:val="22"/>
                <w:szCs w:val="22"/>
              </w:rPr>
              <w:t>kötüleşmesi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konusunda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endişeleniyorum</w:t>
            </w:r>
            <w:proofErr w:type="spellEnd"/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313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widowControl w:val="0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Hastalıkla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savaşmaya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çalışıyorum</w:t>
            </w:r>
            <w:proofErr w:type="spellEnd"/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263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Endişeliyim</w:t>
            </w:r>
            <w:proofErr w:type="spellEnd"/>
          </w:p>
        </w:tc>
        <w:tc>
          <w:tcPr>
            <w:tcW w:w="1719" w:type="dxa"/>
          </w:tcPr>
          <w:p w:rsidR="00055710" w:rsidRPr="00055710" w:rsidRDefault="00055710" w:rsidP="0005571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551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Kendime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yardım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etmek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için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yapabileceğim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hiçbir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şey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olmadığını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hissediyorum</w:t>
            </w:r>
            <w:proofErr w:type="spellEnd"/>
            <w:r w:rsidRPr="0043516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286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Dünyanın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sonu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olduğunu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düşünüyorum</w:t>
            </w:r>
            <w:proofErr w:type="spellEnd"/>
            <w:r w:rsidRPr="0043516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551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Hastalığı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düşünmemek</w:t>
            </w:r>
            <w:proofErr w:type="spellEnd"/>
            <w:r w:rsidRPr="00435166">
              <w:rPr>
                <w:sz w:val="22"/>
                <w:szCs w:val="22"/>
              </w:rPr>
              <w:t xml:space="preserve">, </w:t>
            </w:r>
            <w:proofErr w:type="spellStart"/>
            <w:r w:rsidRPr="00435166">
              <w:rPr>
                <w:sz w:val="22"/>
                <w:szCs w:val="22"/>
              </w:rPr>
              <w:t>onunla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baş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etmeme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yardım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ediyor</w:t>
            </w:r>
            <w:proofErr w:type="spellEnd"/>
            <w:r w:rsidRPr="0043516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166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166">
              <w:rPr>
                <w:sz w:val="22"/>
                <w:szCs w:val="22"/>
              </w:rPr>
              <w:t xml:space="preserve">Bu </w:t>
            </w:r>
            <w:proofErr w:type="spellStart"/>
            <w:r w:rsidRPr="00435166">
              <w:rPr>
                <w:sz w:val="22"/>
                <w:szCs w:val="22"/>
              </w:rPr>
              <w:t>hastalığı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yenmeye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kararlıyım</w:t>
            </w:r>
            <w:proofErr w:type="spellEnd"/>
            <w:r w:rsidRPr="0043516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536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834"/>
              </w:tabs>
              <w:autoSpaceDE w:val="0"/>
              <w:autoSpaceDN w:val="0"/>
              <w:spacing w:before="3"/>
              <w:ind w:right="122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Hastalığımı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düşünmemek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için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olumlu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bir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çaba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sarf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ediyorum</w:t>
            </w:r>
            <w:proofErr w:type="spellEnd"/>
            <w:r w:rsidRPr="004351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429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lastRenderedPageBreak/>
              <w:t>Bilinçli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olarak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tüm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kanser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düşüncelerini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zihnimden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atıyorum</w:t>
            </w:r>
            <w:proofErr w:type="spellEnd"/>
            <w:r w:rsidRPr="0043516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  <w:tr w:rsidR="00055710" w:rsidRPr="00055710" w:rsidTr="00055710">
        <w:trPr>
          <w:trHeight w:val="237"/>
        </w:trPr>
        <w:tc>
          <w:tcPr>
            <w:tcW w:w="5322" w:type="dxa"/>
          </w:tcPr>
          <w:p w:rsidR="00055710" w:rsidRPr="00435166" w:rsidRDefault="00055710" w:rsidP="0043516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35166">
              <w:rPr>
                <w:sz w:val="22"/>
                <w:szCs w:val="22"/>
              </w:rPr>
              <w:t>Biraz</w:t>
            </w:r>
            <w:proofErr w:type="spellEnd"/>
            <w:r w:rsidRPr="00435166">
              <w:rPr>
                <w:sz w:val="22"/>
                <w:szCs w:val="22"/>
              </w:rPr>
              <w:t xml:space="preserve"> </w:t>
            </w:r>
            <w:proofErr w:type="spellStart"/>
            <w:r w:rsidRPr="00435166">
              <w:rPr>
                <w:sz w:val="22"/>
                <w:szCs w:val="22"/>
              </w:rPr>
              <w:t>korkuyorum</w:t>
            </w:r>
            <w:proofErr w:type="spellEnd"/>
          </w:p>
        </w:tc>
        <w:tc>
          <w:tcPr>
            <w:tcW w:w="171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55710" w:rsidRPr="00055710" w:rsidRDefault="00055710" w:rsidP="0005571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055710" w:rsidRPr="00055710" w:rsidRDefault="00055710" w:rsidP="00055710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055710" w:rsidRPr="00055710" w:rsidRDefault="00055710" w:rsidP="00055710">
      <w:pPr>
        <w:rPr>
          <w:sz w:val="20"/>
          <w:szCs w:val="20"/>
        </w:rPr>
      </w:pPr>
    </w:p>
    <w:p w:rsidR="00055710" w:rsidRPr="00055710" w:rsidRDefault="00055710" w:rsidP="00055710">
      <w:pPr>
        <w:rPr>
          <w:sz w:val="20"/>
          <w:szCs w:val="20"/>
        </w:rPr>
      </w:pPr>
    </w:p>
    <w:sectPr w:rsidR="00055710" w:rsidRPr="00055710" w:rsidSect="00D6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3BFC"/>
    <w:multiLevelType w:val="hybridMultilevel"/>
    <w:tmpl w:val="DFC65F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0"/>
    <w:rsid w:val="00055710"/>
    <w:rsid w:val="00156F0A"/>
    <w:rsid w:val="00276825"/>
    <w:rsid w:val="00435166"/>
    <w:rsid w:val="005B0715"/>
    <w:rsid w:val="00D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28CE"/>
  <w15:docId w15:val="{E236DF40-DF3B-4842-9CE7-CA2AF5B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7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35166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435166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VarsaylanParagrafYazTipi"/>
    <w:link w:val="EndNoteBibliography"/>
    <w:rsid w:val="0043516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Gülcan</cp:lastModifiedBy>
  <cp:revision>2</cp:revision>
  <dcterms:created xsi:type="dcterms:W3CDTF">2023-04-20T13:36:00Z</dcterms:created>
  <dcterms:modified xsi:type="dcterms:W3CDTF">2023-04-20T13:36:00Z</dcterms:modified>
</cp:coreProperties>
</file>