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67EF" w14:textId="77777777" w:rsidR="007E7EC2" w:rsidRPr="00DC119B" w:rsidRDefault="007E7EC2" w:rsidP="007E7EC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119B">
        <w:rPr>
          <w:rFonts w:ascii="Times New Roman" w:hAnsi="Times New Roman" w:cs="Times New Roman"/>
          <w:b/>
          <w:bCs/>
          <w:sz w:val="20"/>
          <w:szCs w:val="20"/>
        </w:rPr>
        <w:t>OLAĞANÜSTÜ DURUMLARDA CİNSEL SAĞLIK VE ÜREME SAĞLIĞI BİLGİ ÖLÇEĞİ</w:t>
      </w:r>
    </w:p>
    <w:p w14:paraId="33432DA4" w14:textId="77777777" w:rsidR="007E7EC2" w:rsidRPr="00DC119B" w:rsidRDefault="007E7EC2" w:rsidP="007E7EC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C119B">
        <w:rPr>
          <w:rFonts w:ascii="Times New Roman" w:hAnsi="Times New Roman" w:cs="Times New Roman"/>
          <w:bCs/>
          <w:sz w:val="20"/>
          <w:szCs w:val="20"/>
        </w:rPr>
        <w:t>Sayın katılımcı,</w:t>
      </w:r>
    </w:p>
    <w:p w14:paraId="333AC31F" w14:textId="77777777" w:rsidR="007E7EC2" w:rsidRPr="00DC119B" w:rsidRDefault="007E7EC2" w:rsidP="007E7EC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119B">
        <w:rPr>
          <w:rFonts w:ascii="Times New Roman" w:hAnsi="Times New Roman" w:cs="Times New Roman"/>
          <w:bCs/>
          <w:sz w:val="20"/>
          <w:szCs w:val="20"/>
        </w:rPr>
        <w:t xml:space="preserve">Aşağıda “Olağanüstü Durumlarda Cinsel Sağlık ve Üreme </w:t>
      </w:r>
      <w:proofErr w:type="spellStart"/>
      <w:r w:rsidRPr="00DC119B">
        <w:rPr>
          <w:rFonts w:ascii="Times New Roman" w:hAnsi="Times New Roman" w:cs="Times New Roman"/>
          <w:bCs/>
          <w:sz w:val="20"/>
          <w:szCs w:val="20"/>
        </w:rPr>
        <w:t>Sağlığı”na</w:t>
      </w:r>
      <w:proofErr w:type="spellEnd"/>
      <w:r w:rsidRPr="00DC119B">
        <w:rPr>
          <w:rFonts w:ascii="Times New Roman" w:hAnsi="Times New Roman" w:cs="Times New Roman"/>
          <w:bCs/>
          <w:sz w:val="20"/>
          <w:szCs w:val="20"/>
        </w:rPr>
        <w:t xml:space="preserve"> ilişkin ifadeler yer almaktadır. İfadelere ilişkin düşüncelerinizi içtenlikle cevaplamanız rica ederiz. Cevabınız için seçtiğiniz ifadenin olduğu kutucuğuna lütfen “X” koyunuz. Katılımınız için teşekkür ederiz.</w:t>
      </w: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572"/>
        <w:gridCol w:w="4527"/>
        <w:gridCol w:w="1025"/>
        <w:gridCol w:w="1061"/>
        <w:gridCol w:w="998"/>
        <w:gridCol w:w="1194"/>
        <w:gridCol w:w="1159"/>
      </w:tblGrid>
      <w:tr w:rsidR="009F7267" w:rsidRPr="00DC119B" w14:paraId="296CA653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40BA" w14:textId="5528D91F" w:rsidR="009F7267" w:rsidRPr="00DC119B" w:rsidRDefault="009F7267" w:rsidP="00F91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C4E3B" w14:textId="3F4E052C" w:rsidR="009F7267" w:rsidRPr="00DC119B" w:rsidRDefault="009F7267" w:rsidP="00F91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b/>
                <w:sz w:val="20"/>
                <w:szCs w:val="20"/>
              </w:rPr>
              <w:t>İfadeler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222B3" w14:textId="5D27F6CC" w:rsidR="009F7267" w:rsidRPr="00DC119B" w:rsidRDefault="009F7267" w:rsidP="00F9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9B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katılıyorum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9EAD8" w14:textId="22607B2C" w:rsidR="009F7267" w:rsidRPr="00DC119B" w:rsidRDefault="009F7267" w:rsidP="00F9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9B">
              <w:rPr>
                <w:rFonts w:ascii="Times New Roman" w:hAnsi="Times New Roman" w:cs="Times New Roman"/>
                <w:b/>
                <w:sz w:val="16"/>
                <w:szCs w:val="16"/>
              </w:rPr>
              <w:t>Katılıyorum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334B1" w14:textId="5CF64B45" w:rsidR="009F7267" w:rsidRPr="00DC119B" w:rsidRDefault="009F7267" w:rsidP="00F9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9B">
              <w:rPr>
                <w:rFonts w:ascii="Times New Roman" w:hAnsi="Times New Roman" w:cs="Times New Roman"/>
                <w:b/>
                <w:sz w:val="16"/>
                <w:szCs w:val="16"/>
              </w:rPr>
              <w:t>Kararsızım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92411" w14:textId="5FF62644" w:rsidR="009F7267" w:rsidRPr="00DC119B" w:rsidRDefault="009F7267" w:rsidP="00F9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9B">
              <w:rPr>
                <w:rFonts w:ascii="Times New Roman" w:hAnsi="Times New Roman" w:cs="Times New Roman"/>
                <w:b/>
                <w:sz w:val="16"/>
                <w:szCs w:val="16"/>
              </w:rPr>
              <w:t>Katılmıyorum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9A21B" w14:textId="6D3DDE18" w:rsidR="009F7267" w:rsidRPr="00DC119B" w:rsidRDefault="009F7267" w:rsidP="00F9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9B">
              <w:rPr>
                <w:rFonts w:ascii="Times New Roman" w:hAnsi="Times New Roman" w:cs="Times New Roman"/>
                <w:b/>
                <w:sz w:val="16"/>
                <w:szCs w:val="16"/>
              </w:rPr>
              <w:t>Kesinlikle katılmıyorum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(1)</w:t>
            </w:r>
          </w:p>
        </w:tc>
      </w:tr>
      <w:tr w:rsidR="009F7267" w:rsidRPr="00DC119B" w14:paraId="4796C52A" w14:textId="77777777" w:rsidTr="00154AB8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80B0" w14:textId="439E25F4" w:rsidR="009F7267" w:rsidRPr="00DC119B" w:rsidRDefault="00783195" w:rsidP="00F91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 Sağlığının Güçlendirilmesi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7267" w:rsidRPr="00DC119B" w14:paraId="17143749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F33A2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6C54E" w14:textId="19C09C0C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Olağanüstü durumlarda aile içi şiddet, cinsel şiddet ve istismar vakalarında artış görülebilir.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C3480" w14:textId="0765E67A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F361" w14:textId="5F7CCE4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CB1E" w14:textId="5201D84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439E9" w14:textId="6E5786F2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446F" w14:textId="2EE0DD2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7FD31653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FFA87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A0A4" w14:textId="66DC74F6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>Kamp bölgelerinde yeterli aydınlatma sağlanmalıdır.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4AB78" w14:textId="6B4793D6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2BFAE" w14:textId="2CCA1462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0730B" w14:textId="2BD3D46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A3826" w14:textId="6A80E82A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8EAC2" w14:textId="03905EDC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6576710C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B0CA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C661C" w14:textId="72BADBDD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>Kamp bölgelerindeki tuvalet ve banyolar cinsiyete göre ayrılmış olmalıdır.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63908" w14:textId="33FF577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6C139" w14:textId="5676F60C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6EF7" w14:textId="7887F909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0C99B" w14:textId="16C3A440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30AE9" w14:textId="5493DAEA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27EBF79C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B2015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BC27D" w14:textId="4137E078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İstenmeyen gebeliklerin önlenmesi için 48 saat içinde acil kontrasepsiyon sağlanmalıdır. 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0E2D2" w14:textId="65CAC76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A489C" w14:textId="14BA9F1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7CF5" w14:textId="1369C00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6BF9C" w14:textId="1879E6B0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1A036" w14:textId="4742174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259D8051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9131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6D3CC" w14:textId="1AFA79DB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Mağdurların klinik bakımının yanında psikolojik bakımı da önemlidir.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7EE76" w14:textId="35DD9DB1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3E4ED" w14:textId="40764826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263EA" w14:textId="5AF802BD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FDFC0" w14:textId="6E3593F4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9720" w14:textId="4D84CC1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4579B6BA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D328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672A" w14:textId="20CBB4FB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Mağdurların cinsel şiddet ya da istismar maruziyetinden sonraki 2. hafta, 1. ay, 3. ay ve 6. ayda takip bakımı önerilir.</w:t>
            </w:r>
            <w:r w:rsidRPr="004E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27186" w14:textId="2F5047C2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A1586" w14:textId="38877A9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86244" w14:textId="115B14B1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811A" w14:textId="1793A8E9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B9757" w14:textId="7A95CC57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666367AD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8411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3DA67" w14:textId="68B3746E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6A0B">
              <w:rPr>
                <w:rFonts w:ascii="Times New Roman" w:hAnsi="Times New Roman" w:cs="Times New Roman"/>
                <w:sz w:val="24"/>
                <w:szCs w:val="24"/>
              </w:rPr>
              <w:t>HIV’in</w:t>
            </w:r>
            <w:proofErr w:type="spellEnd"/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 önlenmesi için öncelikle kan naklinin güvenli olması sağlanmalıdır.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EA3A5" w14:textId="11F75C55" w:rsidR="009F7267" w:rsidRPr="00DC119B" w:rsidRDefault="00E7407F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8BEF1" w14:textId="17EB4A20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00C3" w14:textId="778DE9B8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4112E" w14:textId="1AD4264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F179" w14:textId="5FCD24D5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7040CA20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32DA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D44F2" w14:textId="0E854D6E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Maternal ve neonatal mortalite ve morbiditenin önlenmesi için temiz doğum kitleri sağlanmalıdır.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ABD5F" w14:textId="599DD1D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FCDF6" w14:textId="3BA7300E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D3825" w14:textId="1A4C289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E539" w14:textId="0A0271CB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5FE6" w14:textId="29B46E91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05EE4C08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7B9E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72A16" w14:textId="0EC3B063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Maternal ve neonatal mortalite ve morbiditenin önlenmesinde acil obstetrik bakım hizmetleri önemlidir.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6363B" w14:textId="1688F2D7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B3DAB" w14:textId="0D1A0E67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98BF4" w14:textId="76BED0BF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10BE" w14:textId="57CE4298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21AA" w14:textId="5C0AE9B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12D7CD54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526C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3A38" w14:textId="6B5D11F8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Maternal ve neonatal mortalite ve morbiditenin önlenmesinde 7/24 etkin hizmet veren sevk sistemi gereklidir.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E5919" w14:textId="1ED8D6A2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CFD82" w14:textId="29EC0AA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2D95" w14:textId="14F0C23F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804D" w14:textId="1EDDAD4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9D546" w14:textId="1AA70829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7502E7F9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1079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CBC65" w14:textId="1E71F8D7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>İstenmeyen gebeliklerin önlenmesi için sağlık kuruluşlarında etkili aile planlaması yöntemleri sunulmalıdır.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46753" w14:textId="7FAEC4F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CC612" w14:textId="5F38477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7A876" w14:textId="7358AAF3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67D86" w14:textId="394CE0B2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6289" w14:textId="18AF5D9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56C8FB59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A830F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433B" w14:textId="3AD8A68F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İstenmeyen gebeliklerin önlenmesi için topluma bilgi ve eğitim verilmelidir.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1E701" w14:textId="6EC80A5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7F086" w14:textId="0B41326D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31261" w14:textId="2BA311BB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FAF0" w14:textId="5554E21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BB204" w14:textId="34721C2B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195" w:rsidRPr="00DC119B" w14:paraId="56A16177" w14:textId="77777777" w:rsidTr="00154AB8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9E922" w14:textId="29E1859A" w:rsidR="00783195" w:rsidRDefault="00783195" w:rsidP="00783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Olağanüstü Durumlarda Asgari Başlangıç Hizmet Paketini Uygulamak İçin Malzeme Tedariği</w:t>
            </w:r>
          </w:p>
        </w:tc>
      </w:tr>
      <w:tr w:rsidR="009F7267" w:rsidRPr="00DC119B" w14:paraId="3AC99AA3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E1CE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7280" w14:textId="0B029864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Üreme sağlığı kitleri olağanüstü durumdan en çok etkilenen ve kaynakların yetersiz olduğu bölgelerde müdahalenin başlangıç aşamasında kullanılmak üzere tasarlanmıştır.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88B4B" w14:textId="5F625D39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47A35" w14:textId="02DA234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4BC7" w14:textId="058769C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4C2F9" w14:textId="36F2BA9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8E58" w14:textId="18EDDB0A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38118EB1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A8C83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42CB" w14:textId="068FA5DC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Üreme sağlığı kitlerinde her set, etkilenen bölgenin nüfus kapasitesi ile farklı bir hizmet sunum seviyesini hedeflemektedir.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54EF2" w14:textId="5B9F2D6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274A8" w14:textId="0FA9DEEF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033C" w14:textId="54A267D6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2E31A" w14:textId="20D63455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F08CE" w14:textId="77F8DA28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65500D65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F624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B27F2" w14:textId="0E4D6226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Üreme sağlığı kiti 0, cinsel sağlık üreme sağlığı eğitim ve toplantılarında kullanılmak üzere ofis malzemelerini içermektedir. 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85651" w14:textId="049D65CB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42E60" w14:textId="2556D804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079E" w14:textId="7576571A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52438" w14:textId="57F882E5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B60DF" w14:textId="73C26E2B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674DA652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8ADBF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ED959" w14:textId="24818E9C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Üreme sağlığı kiti 1-5, birinci basamak sağlık kuruluşları için ilaç ve tek kullanımlık malzemelerdir.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4F642" w14:textId="54933ED1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83464" w14:textId="050965C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EC840" w14:textId="7EB13FF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3D0D" w14:textId="749B71BC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41B06" w14:textId="0A672559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2B8E36D6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0D76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DF38" w14:textId="143E3F46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Üreme sağlığı kiti 6-10, ileri sevk hastanelerinin kullanımı için, obstetrik cerrahide kullanılan malzemelerdir.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E4F59" w14:textId="2FDDAD7F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6C14E" w14:textId="70F0F8DE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29B1C" w14:textId="6655A53F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6FD7" w14:textId="678857C1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06FD0" w14:textId="3210781D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195" w:rsidRPr="00DC119B" w14:paraId="1A35599A" w14:textId="77777777" w:rsidTr="00154AB8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03606" w14:textId="4EA44028" w:rsidR="00783195" w:rsidRDefault="00783195" w:rsidP="00783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Olağanüstü Durumlarda Asgari Başlangıç Hizmet Paketi Temel Bilgisi</w:t>
            </w:r>
          </w:p>
        </w:tc>
      </w:tr>
      <w:tr w:rsidR="009F7267" w:rsidRPr="00DC119B" w14:paraId="72FD0C78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E36F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077E" w14:textId="3D274813" w:rsidR="009F7267" w:rsidRPr="00DC119B" w:rsidRDefault="009F7267" w:rsidP="001852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sz w:val="24"/>
                <w:szCs w:val="24"/>
              </w:rPr>
              <w:t xml:space="preserve">Olağanüstü durumdan etkilenen nüfusun cinsel sağlık üreme sağlığı ihtiyaçlarının karşılanması mümkünse ilk 48 saatte başlanmalıdır.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12DD1" w14:textId="2A1E4203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75185" w14:textId="5BF39169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EFD55" w14:textId="26531258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99D0E" w14:textId="78F9E856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E4EC" w14:textId="3CDCAD87" w:rsidR="009F7267" w:rsidRPr="00DC119B" w:rsidRDefault="009F7267" w:rsidP="0018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4FEE0139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C8D5E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45685" w14:textId="0195EDB3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Olağanüstü durumdan etkilenen nüfusa sağlanacak kondomun miktarının hesaplanmasında belli bir formül uygulanır.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82122" w14:textId="65D730E6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BCFB8" w14:textId="0B7BD028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CB2CB" w14:textId="3C1290D9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3CD45" w14:textId="2F4BA814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69A65" w14:textId="1E55478B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1992C066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F828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EEDD5" w14:textId="155848D6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Olağanüstü durumlarda kullanılan doğum kitlerinin, </w:t>
            </w:r>
            <w:proofErr w:type="spellStart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proofErr w:type="spellEnd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-neonatal mortalite ve morbiditenin önlenmesi için temiz olması gerekmektedir.  </w:t>
            </w:r>
          </w:p>
          <w:p w14:paraId="2C46E257" w14:textId="77777777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5F4E7" w14:textId="575172A2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11ED5" w14:textId="27ED57E3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88DD9" w14:textId="6AA7A284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87B6" w14:textId="047BD98A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3A34" w14:textId="48A6731E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195" w:rsidRPr="00DC119B" w14:paraId="672D05D5" w14:textId="77777777" w:rsidTr="00154AB8"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4E69" w14:textId="5BF3FC23" w:rsidR="00783195" w:rsidRDefault="00783195" w:rsidP="00783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Olağanüstü Durumlarda Asgari Başlangıç Hizmet Paketi Strateji ve Eğitim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F7267" w:rsidRPr="00DC119B" w14:paraId="5CC302F9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F89E2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BC4EC" w14:textId="48B2FC22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Olağanüstü durumlarda </w:t>
            </w:r>
            <w:proofErr w:type="spellStart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proofErr w:type="spellEnd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-neonatal mortalite ve morbiditenin önlenmesi için acil obstetrik bakım hizmetlerinin rolü önemlidir.</w:t>
            </w:r>
            <w:r w:rsidRPr="00DC119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E7098" w14:textId="49F49AD8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24F68" w14:textId="47E5224A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D40F8" w14:textId="78EC4172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22B0E" w14:textId="1A979DCA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AA46E" w14:textId="4F3C5332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5C269462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0554B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603B1" w14:textId="58D95B4C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color w:val="70AD47" w:themeColor="accent6"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Olağanüstü durumlarda </w:t>
            </w:r>
            <w:proofErr w:type="spellStart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proofErr w:type="spellEnd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-neonatal mortalite ve morbiditenin önlenmesinde hizmet veren sevk sistemi her zaman ulaşılabilir olmalıdır.</w:t>
            </w:r>
            <w:r w:rsidRPr="00DC119B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87318" w14:textId="309E74D3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438BD" w14:textId="3C615836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1560B" w14:textId="7D81D599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EC45A" w14:textId="58507A35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FA129" w14:textId="458D0D19" w:rsidR="009F7267" w:rsidRPr="00DC119B" w:rsidRDefault="009F7267" w:rsidP="001169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267" w:rsidRPr="00DC119B" w14:paraId="3A6C9388" w14:textId="77777777" w:rsidTr="00154AB8"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4943" w14:textId="77777777" w:rsidR="009F7267" w:rsidRPr="009F7267" w:rsidRDefault="009F7267" w:rsidP="009F72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7626B" w14:textId="2D24DA31" w:rsidR="009F7267" w:rsidRPr="00DC119B" w:rsidRDefault="009F7267" w:rsidP="00DA2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Olağanüstü durumlarda </w:t>
            </w:r>
            <w:proofErr w:type="spellStart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proofErr w:type="spellEnd"/>
            <w:r w:rsidRPr="00DC119B">
              <w:rPr>
                <w:rFonts w:ascii="Times New Roman" w:hAnsi="Times New Roman" w:cs="Times New Roman"/>
                <w:sz w:val="20"/>
                <w:szCs w:val="20"/>
              </w:rPr>
              <w:t xml:space="preserve">-neonatal mortalite ve morbiditenin önlenmesi için gebelikten korunma yöntemlerine erişim ve gebelik sonlandırma hizmeti sunmak, olağanüstü durumlardaki diğer ihtiyaçlar düşünüldüğünde önemli bir öncelik değildir. </w:t>
            </w:r>
            <w:r w:rsidRPr="00DC1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79583" w14:textId="35E1C063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F98FC" w14:textId="2AA92449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CBF95" w14:textId="485CC973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E8E45" w14:textId="3C73FA79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D06C" w14:textId="349B14A6" w:rsidR="009F7267" w:rsidRPr="00DC119B" w:rsidRDefault="009F7267" w:rsidP="00D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1ED9C3" w14:textId="77777777" w:rsidR="00161E23" w:rsidRDefault="00161E23"/>
    <w:p w14:paraId="151E2CF7" w14:textId="4DA53934" w:rsidR="001169AA" w:rsidRPr="0041339E" w:rsidRDefault="001169AA" w:rsidP="001169AA">
      <w:pPr>
        <w:pStyle w:val="GvdeMetni"/>
        <w:spacing w:line="480" w:lineRule="auto"/>
        <w:jc w:val="both"/>
        <w:rPr>
          <w:b w:val="0"/>
        </w:rPr>
      </w:pPr>
      <w:r w:rsidRPr="0041339E">
        <w:t xml:space="preserve">Olağanüstü Durumlarda Cinsel Sağlık ve Üreme Sağlığı Bilgi Ölçeği: </w:t>
      </w:r>
      <w:r w:rsidRPr="0041339E">
        <w:rPr>
          <w:b w:val="0"/>
        </w:rPr>
        <w:t xml:space="preserve">Hemşirelerin Olağanüstü Durumlarda Cinsel Sağlık ve Üreme Sağlığı Bilgi düzeylerini değerlendirmek amacıyla bu araştırma kapsamında geliştirildi. 23 maddeden oluşan ölçek beşli </w:t>
      </w:r>
      <w:proofErr w:type="spellStart"/>
      <w:r w:rsidRPr="0041339E">
        <w:rPr>
          <w:b w:val="0"/>
        </w:rPr>
        <w:t>likert</w:t>
      </w:r>
      <w:proofErr w:type="spellEnd"/>
      <w:r w:rsidRPr="0041339E">
        <w:rPr>
          <w:b w:val="0"/>
        </w:rPr>
        <w:t xml:space="preserve"> tipindedir (Kesinlikle katılmıyorum=1, Katılmıyorum=2, Kararsızım=3, Katılıyorum=4, Kesinlikle katılıyorum= 5). Beş tane madde ters kodlanmaktadır (4., 8., 15, 18. ve 23. maddeler). </w:t>
      </w:r>
      <w:r w:rsidR="00B461EA">
        <w:rPr>
          <w:b w:val="0"/>
        </w:rPr>
        <w:t xml:space="preserve">Ölçekten alınabilecek en düşük puan 23, en yüksek puan 115’tir. </w:t>
      </w:r>
      <w:r w:rsidRPr="0041339E">
        <w:rPr>
          <w:b w:val="0"/>
        </w:rPr>
        <w:t xml:space="preserve">Ölçek dört alt faktörden oluşmakta ve toplam puan hesaplanabilmektedir. </w:t>
      </w:r>
      <w:proofErr w:type="spellStart"/>
      <w:r w:rsidRPr="0041339E">
        <w:rPr>
          <w:b w:val="0"/>
          <w:color w:val="000000"/>
        </w:rPr>
        <w:t>Cronbach’s</w:t>
      </w:r>
      <w:proofErr w:type="spellEnd"/>
      <w:r w:rsidRPr="0041339E">
        <w:rPr>
          <w:b w:val="0"/>
          <w:color w:val="000000"/>
        </w:rPr>
        <w:t xml:space="preserve"> alfa katsayı değerleri; 1. faktör </w:t>
      </w:r>
      <w:r w:rsidRPr="0041339E">
        <w:rPr>
          <w:b w:val="0"/>
        </w:rPr>
        <w:t>(</w:t>
      </w:r>
      <w:r w:rsidRPr="0041339E">
        <w:rPr>
          <w:b w:val="0"/>
          <w:bCs w:val="0"/>
        </w:rPr>
        <w:t>Kadın Sağlığının Güçlendirilmesi)</w:t>
      </w:r>
      <w:r w:rsidRPr="0041339E">
        <w:rPr>
          <w:b w:val="0"/>
        </w:rPr>
        <w:t xml:space="preserve"> </w:t>
      </w:r>
      <w:r w:rsidRPr="0041339E">
        <w:rPr>
          <w:b w:val="0"/>
          <w:color w:val="000000"/>
        </w:rPr>
        <w:t xml:space="preserve">için </w:t>
      </w:r>
      <w:r w:rsidRPr="0041339E">
        <w:rPr>
          <w:b w:val="0"/>
        </w:rPr>
        <w:t>0.826, 2. faktör (</w:t>
      </w:r>
      <w:r w:rsidRPr="0041339E">
        <w:rPr>
          <w:b w:val="0"/>
          <w:bCs w:val="0"/>
        </w:rPr>
        <w:t xml:space="preserve">Olağanüstü Durumlarda Asgari Başlangıç Hizmet Paketini Uygulamak İçin Malzeme Tedariği) </w:t>
      </w:r>
      <w:r w:rsidRPr="0041339E">
        <w:rPr>
          <w:b w:val="0"/>
        </w:rPr>
        <w:t xml:space="preserve">için 0.814, </w:t>
      </w:r>
      <w:r w:rsidRPr="0041339E">
        <w:rPr>
          <w:rStyle w:val="y2iqfc"/>
          <w:b w:val="0"/>
        </w:rPr>
        <w:t>3. faktör</w:t>
      </w:r>
      <w:r w:rsidRPr="0041339E">
        <w:rPr>
          <w:b w:val="0"/>
        </w:rPr>
        <w:t xml:space="preserve"> (</w:t>
      </w:r>
      <w:r w:rsidRPr="0041339E">
        <w:rPr>
          <w:b w:val="0"/>
          <w:bCs w:val="0"/>
        </w:rPr>
        <w:t xml:space="preserve">Olağanüstü Durumlarda Asgari Başlangıç Hizmet Paketi Temel Bilgisi) </w:t>
      </w:r>
      <w:r w:rsidRPr="0041339E">
        <w:rPr>
          <w:b w:val="0"/>
        </w:rPr>
        <w:t>için 0.788, 4. faktör (</w:t>
      </w:r>
      <w:r w:rsidRPr="0041339E">
        <w:rPr>
          <w:b w:val="0"/>
          <w:bCs w:val="0"/>
        </w:rPr>
        <w:t>Olağanüstü Durumlarda Asgari Başlangıç Hizmet Paketi Strateji ve Eğitimi</w:t>
      </w:r>
      <w:r w:rsidRPr="0041339E">
        <w:rPr>
          <w:b w:val="0"/>
        </w:rPr>
        <w:t>) için 0.723 ve toplam puan için 0.896</w:t>
      </w:r>
      <w:r w:rsidRPr="0041339E">
        <w:rPr>
          <w:rStyle w:val="y2iqfc"/>
          <w:b w:val="0"/>
        </w:rPr>
        <w:t>’dır.</w:t>
      </w:r>
    </w:p>
    <w:p w14:paraId="398A990C" w14:textId="77777777" w:rsidR="001169AA" w:rsidRDefault="001169AA"/>
    <w:sectPr w:rsidR="001169AA" w:rsidSect="007E7EC2">
      <w:footerReference w:type="default" r:id="rId7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AB9A" w14:textId="77777777" w:rsidR="00F3550A" w:rsidRDefault="00F3550A" w:rsidP="00C872C9">
      <w:pPr>
        <w:spacing w:after="0" w:line="240" w:lineRule="auto"/>
      </w:pPr>
      <w:r>
        <w:separator/>
      </w:r>
    </w:p>
  </w:endnote>
  <w:endnote w:type="continuationSeparator" w:id="0">
    <w:p w14:paraId="588E3623" w14:textId="77777777" w:rsidR="00F3550A" w:rsidRDefault="00F3550A" w:rsidP="00C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2279"/>
      <w:docPartObj>
        <w:docPartGallery w:val="Page Numbers (Bottom of Page)"/>
        <w:docPartUnique/>
      </w:docPartObj>
    </w:sdtPr>
    <w:sdtContent>
      <w:p w14:paraId="272EC19C" w14:textId="1C88ABC0" w:rsidR="00C872C9" w:rsidRDefault="00C872C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3E4EE" w14:textId="77777777" w:rsidR="00C872C9" w:rsidRDefault="00C87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EBF" w14:textId="77777777" w:rsidR="00F3550A" w:rsidRDefault="00F3550A" w:rsidP="00C872C9">
      <w:pPr>
        <w:spacing w:after="0" w:line="240" w:lineRule="auto"/>
      </w:pPr>
      <w:r>
        <w:separator/>
      </w:r>
    </w:p>
  </w:footnote>
  <w:footnote w:type="continuationSeparator" w:id="0">
    <w:p w14:paraId="72E071EF" w14:textId="77777777" w:rsidR="00F3550A" w:rsidRDefault="00F3550A" w:rsidP="00C8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167"/>
    <w:multiLevelType w:val="hybridMultilevel"/>
    <w:tmpl w:val="5B1A55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8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CA"/>
    <w:rsid w:val="001169AA"/>
    <w:rsid w:val="00154AB8"/>
    <w:rsid w:val="00161E23"/>
    <w:rsid w:val="001852CA"/>
    <w:rsid w:val="003570D8"/>
    <w:rsid w:val="004919A9"/>
    <w:rsid w:val="00556F7E"/>
    <w:rsid w:val="00783195"/>
    <w:rsid w:val="007E7EC2"/>
    <w:rsid w:val="009479CA"/>
    <w:rsid w:val="009F7267"/>
    <w:rsid w:val="00AD35EC"/>
    <w:rsid w:val="00B461EA"/>
    <w:rsid w:val="00C05535"/>
    <w:rsid w:val="00C872C9"/>
    <w:rsid w:val="00DA27F2"/>
    <w:rsid w:val="00E27AA4"/>
    <w:rsid w:val="00E7407F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4EB8"/>
  <w15:chartTrackingRefBased/>
  <w15:docId w15:val="{E8B1304F-AE66-422B-9C85-45CF54DF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C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7E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8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2C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2C9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852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852CA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852CA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F726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unhideWhenUsed/>
    <w:qFormat/>
    <w:rsid w:val="00116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69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y2iqfc">
    <w:name w:val="y2iqfc"/>
    <w:basedOn w:val="VarsaylanParagrafYazTipi"/>
    <w:rsid w:val="0011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Cirban Ekrem</dc:creator>
  <cp:keywords/>
  <dc:description/>
  <cp:lastModifiedBy>Ebru Cirban Ekrem</cp:lastModifiedBy>
  <cp:revision>14</cp:revision>
  <dcterms:created xsi:type="dcterms:W3CDTF">2022-01-13T09:36:00Z</dcterms:created>
  <dcterms:modified xsi:type="dcterms:W3CDTF">2023-09-28T11:20:00Z</dcterms:modified>
</cp:coreProperties>
</file>